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F0EDEF" w14:textId="77777777" w:rsidR="00682AB3" w:rsidRPr="00DF4F7A" w:rsidRDefault="00682AB3" w:rsidP="00682AB3">
      <w:pPr>
        <w:jc w:val="center"/>
        <w:rPr>
          <w:rFonts w:ascii="Arial" w:hAnsi="Arial" w:cs="Arial"/>
          <w:b/>
          <w:sz w:val="22"/>
        </w:rPr>
      </w:pPr>
    </w:p>
    <w:p w14:paraId="29AC3405" w14:textId="77777777" w:rsidR="00682AB3" w:rsidRPr="00DF4F7A" w:rsidRDefault="00682AB3" w:rsidP="00682AB3">
      <w:pPr>
        <w:jc w:val="center"/>
        <w:rPr>
          <w:rFonts w:ascii="Arial" w:hAnsi="Arial" w:cs="Arial"/>
          <w:b/>
          <w:sz w:val="22"/>
        </w:rPr>
      </w:pPr>
    </w:p>
    <w:p w14:paraId="18154259" w14:textId="77777777" w:rsidR="00682AB3" w:rsidRPr="00DF4F7A" w:rsidRDefault="00682AB3" w:rsidP="00682AB3">
      <w:pPr>
        <w:jc w:val="center"/>
        <w:rPr>
          <w:rFonts w:ascii="Arial" w:hAnsi="Arial" w:cs="Arial"/>
          <w:b/>
          <w:sz w:val="22"/>
        </w:rPr>
      </w:pPr>
    </w:p>
    <w:p w14:paraId="2A0E661D" w14:textId="77777777" w:rsidR="00682AB3" w:rsidRPr="00DF4F7A" w:rsidRDefault="00682AB3" w:rsidP="00682AB3">
      <w:pPr>
        <w:jc w:val="center"/>
        <w:rPr>
          <w:rFonts w:ascii="Arial" w:hAnsi="Arial" w:cs="Arial"/>
          <w:b/>
          <w:sz w:val="22"/>
        </w:rPr>
      </w:pPr>
    </w:p>
    <w:p w14:paraId="3BC1E9D0" w14:textId="77777777" w:rsidR="00682AB3" w:rsidRPr="00DF4F7A" w:rsidRDefault="00682AB3" w:rsidP="00682AB3">
      <w:pPr>
        <w:jc w:val="center"/>
        <w:rPr>
          <w:rFonts w:ascii="Arial" w:hAnsi="Arial" w:cs="Arial"/>
          <w:b/>
          <w:sz w:val="22"/>
        </w:rPr>
      </w:pPr>
    </w:p>
    <w:p w14:paraId="6D792A75" w14:textId="77777777" w:rsidR="00682AB3" w:rsidRPr="00DF4F7A" w:rsidRDefault="00682AB3" w:rsidP="00682AB3">
      <w:pPr>
        <w:jc w:val="center"/>
        <w:rPr>
          <w:rFonts w:ascii="Arial" w:hAnsi="Arial" w:cs="Arial"/>
          <w:b/>
          <w:sz w:val="22"/>
        </w:rPr>
      </w:pPr>
    </w:p>
    <w:p w14:paraId="3C372C0E" w14:textId="77777777" w:rsidR="00682AB3" w:rsidRPr="00DF4F7A" w:rsidRDefault="00682AB3" w:rsidP="00682AB3">
      <w:pPr>
        <w:jc w:val="center"/>
        <w:rPr>
          <w:rFonts w:ascii="Arial" w:hAnsi="Arial" w:cs="Arial"/>
          <w:b/>
          <w:sz w:val="22"/>
        </w:rPr>
      </w:pPr>
    </w:p>
    <w:p w14:paraId="7D9174B1" w14:textId="77777777" w:rsidR="00682AB3" w:rsidRPr="00DF4F7A" w:rsidRDefault="00682AB3" w:rsidP="00682AB3">
      <w:pPr>
        <w:jc w:val="center"/>
        <w:rPr>
          <w:rFonts w:ascii="Arial" w:hAnsi="Arial" w:cs="Arial"/>
          <w:b/>
          <w:sz w:val="22"/>
        </w:rPr>
      </w:pPr>
    </w:p>
    <w:p w14:paraId="58C5703D" w14:textId="77777777" w:rsidR="00682AB3" w:rsidRPr="00DF4F7A" w:rsidRDefault="00682AB3" w:rsidP="00682AB3">
      <w:pPr>
        <w:jc w:val="center"/>
        <w:rPr>
          <w:rFonts w:ascii="Arial" w:hAnsi="Arial" w:cs="Arial"/>
          <w:b/>
          <w:sz w:val="22"/>
        </w:rPr>
      </w:pPr>
    </w:p>
    <w:p w14:paraId="3C4229DF" w14:textId="77777777" w:rsidR="00682AB3" w:rsidRPr="00DF4F7A" w:rsidRDefault="00682AB3" w:rsidP="00682AB3">
      <w:pPr>
        <w:jc w:val="center"/>
        <w:rPr>
          <w:rFonts w:ascii="Arial" w:hAnsi="Arial" w:cs="Arial"/>
          <w:b/>
          <w:sz w:val="22"/>
        </w:rPr>
      </w:pPr>
    </w:p>
    <w:p w14:paraId="495B27A4" w14:textId="296FACBA" w:rsidR="00F92BEE" w:rsidRPr="00DF4F7A" w:rsidRDefault="00F92BEE" w:rsidP="00682AB3">
      <w:pPr>
        <w:jc w:val="center"/>
        <w:rPr>
          <w:rFonts w:ascii="Arial" w:hAnsi="Arial" w:cs="Arial"/>
          <w:b/>
          <w:sz w:val="22"/>
        </w:rPr>
      </w:pPr>
      <w:r w:rsidRPr="00DF4F7A">
        <w:rPr>
          <w:rFonts w:ascii="Arial" w:hAnsi="Arial" w:cs="Arial"/>
          <w:b/>
          <w:sz w:val="22"/>
        </w:rPr>
        <w:t xml:space="preserve">Module Code: </w:t>
      </w:r>
      <w:r w:rsidR="00E8481B" w:rsidRPr="00DF4F7A">
        <w:rPr>
          <w:rFonts w:ascii="Arial" w:hAnsi="Arial" w:cs="Arial"/>
          <w:b/>
          <w:sz w:val="22"/>
        </w:rPr>
        <w:t>LCLM6001</w:t>
      </w:r>
    </w:p>
    <w:p w14:paraId="42239E5B" w14:textId="1C1A7CB9" w:rsidR="005A5341" w:rsidRPr="00DF4F7A" w:rsidRDefault="00F92BEE" w:rsidP="00682AB3">
      <w:pPr>
        <w:jc w:val="center"/>
        <w:rPr>
          <w:rFonts w:ascii="Arial" w:hAnsi="Arial" w:cs="Arial"/>
          <w:b/>
          <w:sz w:val="22"/>
        </w:rPr>
      </w:pPr>
      <w:r w:rsidRPr="00DF4F7A">
        <w:rPr>
          <w:rFonts w:ascii="Arial" w:hAnsi="Arial" w:cs="Arial"/>
          <w:b/>
          <w:sz w:val="22"/>
        </w:rPr>
        <w:t xml:space="preserve">Module Name: </w:t>
      </w:r>
      <w:r w:rsidR="00E8481B" w:rsidRPr="00DF4F7A">
        <w:rPr>
          <w:rFonts w:ascii="Arial" w:hAnsi="Arial" w:cs="Arial"/>
          <w:b/>
          <w:sz w:val="22"/>
        </w:rPr>
        <w:t>Strategic Management for Business</w:t>
      </w:r>
    </w:p>
    <w:p w14:paraId="3F2F7589" w14:textId="0A753785" w:rsidR="001E0681" w:rsidRPr="00DF4F7A" w:rsidRDefault="001E0681" w:rsidP="00682AB3">
      <w:pPr>
        <w:jc w:val="center"/>
        <w:rPr>
          <w:rFonts w:ascii="Arial" w:hAnsi="Arial" w:cs="Arial"/>
          <w:b/>
          <w:sz w:val="22"/>
        </w:rPr>
      </w:pPr>
      <w:r w:rsidRPr="00DF4F7A">
        <w:rPr>
          <w:rFonts w:ascii="Arial" w:hAnsi="Arial" w:cs="Arial"/>
          <w:b/>
          <w:sz w:val="22"/>
        </w:rPr>
        <w:t>Student Name:</w:t>
      </w:r>
      <w:r w:rsidR="00D73F7F">
        <w:rPr>
          <w:rFonts w:ascii="Arial" w:hAnsi="Arial" w:cs="Arial"/>
          <w:b/>
          <w:sz w:val="22"/>
        </w:rPr>
        <w:t xml:space="preserve"> Ansar Ali</w:t>
      </w:r>
    </w:p>
    <w:p w14:paraId="68BB939C" w14:textId="16EDC527" w:rsidR="001E0681" w:rsidRPr="00DF4F7A" w:rsidRDefault="001E0681" w:rsidP="00682AB3">
      <w:pPr>
        <w:jc w:val="center"/>
        <w:rPr>
          <w:rFonts w:ascii="Arial" w:hAnsi="Arial" w:cs="Arial"/>
          <w:b/>
          <w:sz w:val="22"/>
        </w:rPr>
      </w:pPr>
      <w:r w:rsidRPr="00DF4F7A">
        <w:rPr>
          <w:rFonts w:ascii="Arial" w:hAnsi="Arial" w:cs="Arial"/>
          <w:b/>
          <w:sz w:val="22"/>
        </w:rPr>
        <w:t>Student Number:</w:t>
      </w:r>
      <w:r w:rsidR="00D73F7F">
        <w:rPr>
          <w:rFonts w:ascii="Arial" w:hAnsi="Arial" w:cs="Arial"/>
          <w:b/>
          <w:sz w:val="22"/>
        </w:rPr>
        <w:t xml:space="preserve"> 2319374</w:t>
      </w:r>
      <w:bookmarkStart w:id="0" w:name="_GoBack"/>
      <w:bookmarkEnd w:id="0"/>
    </w:p>
    <w:p w14:paraId="7491F261" w14:textId="4215F379" w:rsidR="001E0681" w:rsidRPr="00DF4F7A" w:rsidRDefault="001E0681" w:rsidP="00682AB3">
      <w:pPr>
        <w:spacing w:before="120" w:after="120"/>
        <w:jc w:val="center"/>
        <w:rPr>
          <w:rFonts w:ascii="Arial" w:hAnsi="Arial" w:cs="Arial"/>
          <w:b/>
          <w:bCs/>
          <w:color w:val="auto"/>
          <w:sz w:val="22"/>
        </w:rPr>
      </w:pPr>
      <w:r w:rsidRPr="00DF4F7A">
        <w:rPr>
          <w:rFonts w:ascii="Arial" w:hAnsi="Arial" w:cs="Arial"/>
          <w:b/>
          <w:sz w:val="22"/>
        </w:rPr>
        <w:t xml:space="preserve">Module Leader(s): </w:t>
      </w:r>
      <w:r w:rsidRPr="00DF4F7A">
        <w:rPr>
          <w:rFonts w:ascii="Arial" w:hAnsi="Arial" w:cs="Arial"/>
          <w:b/>
          <w:bCs/>
          <w:sz w:val="22"/>
        </w:rPr>
        <w:t xml:space="preserve">Yohan Mendis </w:t>
      </w:r>
      <w:r w:rsidRPr="00DF4F7A">
        <w:rPr>
          <w:rFonts w:ascii="Arial" w:hAnsi="Arial" w:cs="Arial"/>
          <w:b/>
          <w:bCs/>
          <w:color w:val="auto"/>
          <w:sz w:val="22"/>
        </w:rPr>
        <w:t xml:space="preserve">&amp; </w:t>
      </w:r>
      <w:r w:rsidRPr="00DF4F7A">
        <w:rPr>
          <w:rFonts w:ascii="Arial" w:hAnsi="Arial" w:cs="Arial"/>
          <w:b/>
          <w:bCs/>
          <w:sz w:val="22"/>
        </w:rPr>
        <w:t>Nishi Ramsurrun</w:t>
      </w:r>
    </w:p>
    <w:p w14:paraId="6EF8F90F" w14:textId="30F32FCC" w:rsidR="001E0681" w:rsidRPr="00DF4F7A" w:rsidRDefault="001E0681" w:rsidP="00682AB3">
      <w:pPr>
        <w:jc w:val="center"/>
        <w:rPr>
          <w:rFonts w:ascii="Arial" w:hAnsi="Arial" w:cs="Arial"/>
          <w:b/>
          <w:sz w:val="22"/>
        </w:rPr>
      </w:pPr>
      <w:r w:rsidRPr="00DF4F7A">
        <w:rPr>
          <w:rStyle w:val="Strong"/>
          <w:rFonts w:ascii="Arial" w:hAnsi="Arial" w:cs="Arial"/>
          <w:color w:val="0F1115"/>
          <w:sz w:val="22"/>
          <w:shd w:val="clear" w:color="auto" w:fill="FFFFFF"/>
        </w:rPr>
        <w:t>Assignment Title:</w:t>
      </w:r>
      <w:r w:rsidRPr="00DF4F7A">
        <w:rPr>
          <w:rFonts w:ascii="Arial" w:hAnsi="Arial" w:cs="Arial"/>
          <w:color w:val="0F1115"/>
          <w:sz w:val="22"/>
          <w:shd w:val="clear" w:color="auto" w:fill="FFFFFF"/>
        </w:rPr>
        <w:t> Individual Report: Strategic Growth Plan for Innocent Drinks</w:t>
      </w:r>
    </w:p>
    <w:p w14:paraId="11D7E772" w14:textId="77777777" w:rsidR="005A5341" w:rsidRPr="00DF4F7A" w:rsidRDefault="005A5341">
      <w:pPr>
        <w:spacing w:line="259" w:lineRule="auto"/>
        <w:jc w:val="left"/>
        <w:rPr>
          <w:rFonts w:ascii="Arial" w:hAnsi="Arial" w:cs="Arial"/>
          <w:b/>
          <w:sz w:val="22"/>
        </w:rPr>
      </w:pPr>
      <w:r w:rsidRPr="00DF4F7A">
        <w:rPr>
          <w:rFonts w:ascii="Arial" w:hAnsi="Arial" w:cs="Arial"/>
          <w:b/>
          <w:sz w:val="22"/>
        </w:rPr>
        <w:br w:type="page"/>
      </w:r>
    </w:p>
    <w:sdt>
      <w:sdtPr>
        <w:rPr>
          <w:rFonts w:ascii="Arial" w:eastAsia="Calibri" w:hAnsi="Arial" w:cs="Arial"/>
          <w:color w:val="000000"/>
          <w:sz w:val="22"/>
          <w:szCs w:val="22"/>
          <w:lang w:val="en-GB" w:eastAsia="en-GB"/>
        </w:rPr>
        <w:id w:val="2001689557"/>
        <w:docPartObj>
          <w:docPartGallery w:val="Table of Contents"/>
          <w:docPartUnique/>
        </w:docPartObj>
      </w:sdtPr>
      <w:sdtEndPr>
        <w:rPr>
          <w:b/>
          <w:bCs/>
          <w:noProof/>
        </w:rPr>
      </w:sdtEndPr>
      <w:sdtContent>
        <w:p w14:paraId="366FE6B1" w14:textId="6B61FD7E" w:rsidR="005A5341" w:rsidRPr="00DF4F7A" w:rsidRDefault="005A5341">
          <w:pPr>
            <w:pStyle w:val="TOCHeading"/>
            <w:rPr>
              <w:rFonts w:ascii="Arial" w:hAnsi="Arial" w:cs="Arial"/>
              <w:sz w:val="22"/>
              <w:szCs w:val="22"/>
              <w:lang w:val="en-GB"/>
            </w:rPr>
          </w:pPr>
          <w:r w:rsidRPr="00DF4F7A">
            <w:rPr>
              <w:rFonts w:ascii="Arial" w:hAnsi="Arial" w:cs="Arial"/>
              <w:sz w:val="22"/>
              <w:szCs w:val="22"/>
              <w:lang w:val="en-GB"/>
            </w:rPr>
            <w:t>Table of Contents</w:t>
          </w:r>
        </w:p>
        <w:p w14:paraId="079AA244" w14:textId="3550F0FA" w:rsidR="005A5341" w:rsidRPr="00DF4F7A" w:rsidRDefault="005A5341">
          <w:pPr>
            <w:pStyle w:val="TOC1"/>
            <w:tabs>
              <w:tab w:val="left" w:pos="660"/>
              <w:tab w:val="right" w:leader="dot" w:pos="9350"/>
            </w:tabs>
            <w:rPr>
              <w:rFonts w:ascii="Arial" w:hAnsi="Arial" w:cs="Arial"/>
              <w:noProof/>
              <w:sz w:val="22"/>
            </w:rPr>
          </w:pPr>
          <w:r w:rsidRPr="00DF4F7A">
            <w:rPr>
              <w:rFonts w:ascii="Arial" w:hAnsi="Arial" w:cs="Arial"/>
              <w:sz w:val="22"/>
            </w:rPr>
            <w:fldChar w:fldCharType="begin"/>
          </w:r>
          <w:r w:rsidRPr="00DF4F7A">
            <w:rPr>
              <w:rFonts w:ascii="Arial" w:hAnsi="Arial" w:cs="Arial"/>
              <w:sz w:val="22"/>
            </w:rPr>
            <w:instrText xml:space="preserve"> TOC \o "1-3" \h \z \u </w:instrText>
          </w:r>
          <w:r w:rsidRPr="00DF4F7A">
            <w:rPr>
              <w:rFonts w:ascii="Arial" w:hAnsi="Arial" w:cs="Arial"/>
              <w:sz w:val="22"/>
            </w:rPr>
            <w:fldChar w:fldCharType="separate"/>
          </w:r>
          <w:hyperlink w:anchor="_Toc224072907" w:history="1">
            <w:r w:rsidRPr="00DF4F7A">
              <w:rPr>
                <w:rStyle w:val="Hyperlink"/>
                <w:rFonts w:ascii="Arial" w:hAnsi="Arial" w:cs="Arial"/>
                <w:noProof/>
                <w:sz w:val="22"/>
              </w:rPr>
              <w:t>1.0</w:t>
            </w:r>
            <w:r w:rsidRPr="00DF4F7A">
              <w:rPr>
                <w:rFonts w:ascii="Arial" w:hAnsi="Arial" w:cs="Arial"/>
                <w:noProof/>
                <w:sz w:val="22"/>
              </w:rPr>
              <w:tab/>
            </w:r>
            <w:r w:rsidRPr="00DF4F7A">
              <w:rPr>
                <w:rStyle w:val="Hyperlink"/>
                <w:rFonts w:ascii="Arial" w:hAnsi="Arial" w:cs="Arial"/>
                <w:noProof/>
                <w:sz w:val="22"/>
              </w:rPr>
              <w:t>Executive Summary</w:t>
            </w:r>
            <w:r w:rsidRPr="00DF4F7A">
              <w:rPr>
                <w:rFonts w:ascii="Arial" w:hAnsi="Arial" w:cs="Arial"/>
                <w:noProof/>
                <w:webHidden/>
                <w:sz w:val="22"/>
              </w:rPr>
              <w:tab/>
            </w:r>
            <w:r w:rsidRPr="00DF4F7A">
              <w:rPr>
                <w:rFonts w:ascii="Arial" w:hAnsi="Arial" w:cs="Arial"/>
                <w:noProof/>
                <w:webHidden/>
                <w:sz w:val="22"/>
              </w:rPr>
              <w:fldChar w:fldCharType="begin"/>
            </w:r>
            <w:r w:rsidRPr="00DF4F7A">
              <w:rPr>
                <w:rFonts w:ascii="Arial" w:hAnsi="Arial" w:cs="Arial"/>
                <w:noProof/>
                <w:webHidden/>
                <w:sz w:val="22"/>
              </w:rPr>
              <w:instrText xml:space="preserve"> PAGEREF _Toc224072907 \h </w:instrText>
            </w:r>
            <w:r w:rsidRPr="00DF4F7A">
              <w:rPr>
                <w:rFonts w:ascii="Arial" w:hAnsi="Arial" w:cs="Arial"/>
                <w:noProof/>
                <w:webHidden/>
                <w:sz w:val="22"/>
              </w:rPr>
            </w:r>
            <w:r w:rsidRPr="00DF4F7A">
              <w:rPr>
                <w:rFonts w:ascii="Arial" w:hAnsi="Arial" w:cs="Arial"/>
                <w:noProof/>
                <w:webHidden/>
                <w:sz w:val="22"/>
              </w:rPr>
              <w:fldChar w:fldCharType="separate"/>
            </w:r>
            <w:r w:rsidRPr="00DF4F7A">
              <w:rPr>
                <w:rFonts w:ascii="Arial" w:hAnsi="Arial" w:cs="Arial"/>
                <w:noProof/>
                <w:webHidden/>
                <w:sz w:val="22"/>
              </w:rPr>
              <w:t>3</w:t>
            </w:r>
            <w:r w:rsidRPr="00DF4F7A">
              <w:rPr>
                <w:rFonts w:ascii="Arial" w:hAnsi="Arial" w:cs="Arial"/>
                <w:noProof/>
                <w:webHidden/>
                <w:sz w:val="22"/>
              </w:rPr>
              <w:fldChar w:fldCharType="end"/>
            </w:r>
          </w:hyperlink>
        </w:p>
        <w:p w14:paraId="524FBF14" w14:textId="5271D0C7" w:rsidR="005A5341" w:rsidRPr="00DF4F7A" w:rsidRDefault="0031542F">
          <w:pPr>
            <w:pStyle w:val="TOC1"/>
            <w:tabs>
              <w:tab w:val="left" w:pos="660"/>
              <w:tab w:val="right" w:leader="dot" w:pos="9350"/>
            </w:tabs>
            <w:rPr>
              <w:rFonts w:ascii="Arial" w:hAnsi="Arial" w:cs="Arial"/>
              <w:noProof/>
              <w:sz w:val="22"/>
            </w:rPr>
          </w:pPr>
          <w:hyperlink w:anchor="_Toc224072908" w:history="1">
            <w:r w:rsidR="005A5341" w:rsidRPr="00DF4F7A">
              <w:rPr>
                <w:rStyle w:val="Hyperlink"/>
                <w:rFonts w:ascii="Arial" w:hAnsi="Arial" w:cs="Arial"/>
                <w:noProof/>
                <w:sz w:val="22"/>
              </w:rPr>
              <w:t>2.0</w:t>
            </w:r>
            <w:r w:rsidR="005A5341" w:rsidRPr="00DF4F7A">
              <w:rPr>
                <w:rFonts w:ascii="Arial" w:hAnsi="Arial" w:cs="Arial"/>
                <w:noProof/>
                <w:sz w:val="22"/>
              </w:rPr>
              <w:tab/>
            </w:r>
            <w:r w:rsidR="005A5341" w:rsidRPr="00DF4F7A">
              <w:rPr>
                <w:rStyle w:val="Hyperlink"/>
                <w:rFonts w:ascii="Arial" w:hAnsi="Arial" w:cs="Arial"/>
                <w:noProof/>
                <w:sz w:val="22"/>
              </w:rPr>
              <w:t>Introduction to Innocent Drinks</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_Toc224072908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3</w:t>
            </w:r>
            <w:r w:rsidR="005A5341" w:rsidRPr="00DF4F7A">
              <w:rPr>
                <w:rFonts w:ascii="Arial" w:hAnsi="Arial" w:cs="Arial"/>
                <w:noProof/>
                <w:webHidden/>
                <w:sz w:val="22"/>
              </w:rPr>
              <w:fldChar w:fldCharType="end"/>
            </w:r>
          </w:hyperlink>
        </w:p>
        <w:p w14:paraId="58623AD4" w14:textId="3968EC07" w:rsidR="005A5341" w:rsidRPr="00DF4F7A" w:rsidRDefault="0031542F">
          <w:pPr>
            <w:pStyle w:val="TOC1"/>
            <w:tabs>
              <w:tab w:val="left" w:pos="660"/>
              <w:tab w:val="right" w:leader="dot" w:pos="9350"/>
            </w:tabs>
            <w:rPr>
              <w:rFonts w:ascii="Arial" w:hAnsi="Arial" w:cs="Arial"/>
              <w:noProof/>
              <w:sz w:val="22"/>
            </w:rPr>
          </w:pPr>
          <w:hyperlink w:anchor="_Toc224072909" w:history="1">
            <w:r w:rsidR="005A5341" w:rsidRPr="00DF4F7A">
              <w:rPr>
                <w:rStyle w:val="Hyperlink"/>
                <w:rFonts w:ascii="Arial" w:hAnsi="Arial" w:cs="Arial"/>
                <w:noProof/>
                <w:sz w:val="22"/>
              </w:rPr>
              <w:t>3.0</w:t>
            </w:r>
            <w:r w:rsidR="005A5341" w:rsidRPr="00DF4F7A">
              <w:rPr>
                <w:rFonts w:ascii="Arial" w:hAnsi="Arial" w:cs="Arial"/>
                <w:noProof/>
                <w:sz w:val="22"/>
              </w:rPr>
              <w:tab/>
            </w:r>
            <w:r w:rsidR="005A5341" w:rsidRPr="00DF4F7A">
              <w:rPr>
                <w:rStyle w:val="Hyperlink"/>
                <w:rFonts w:ascii="Arial" w:hAnsi="Arial" w:cs="Arial"/>
                <w:noProof/>
                <w:sz w:val="22"/>
              </w:rPr>
              <w:t>Evaluation of Current Market Situation</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_Toc224072909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3</w:t>
            </w:r>
            <w:r w:rsidR="005A5341" w:rsidRPr="00DF4F7A">
              <w:rPr>
                <w:rFonts w:ascii="Arial" w:hAnsi="Arial" w:cs="Arial"/>
                <w:noProof/>
                <w:webHidden/>
                <w:sz w:val="22"/>
              </w:rPr>
              <w:fldChar w:fldCharType="end"/>
            </w:r>
          </w:hyperlink>
        </w:p>
        <w:p w14:paraId="4B77CBAE" w14:textId="3A925DEC" w:rsidR="005A5341" w:rsidRPr="00DF4F7A" w:rsidRDefault="0031542F">
          <w:pPr>
            <w:pStyle w:val="TOC2"/>
            <w:tabs>
              <w:tab w:val="right" w:leader="dot" w:pos="9350"/>
            </w:tabs>
            <w:rPr>
              <w:rFonts w:ascii="Arial" w:hAnsi="Arial" w:cs="Arial"/>
              <w:noProof/>
              <w:sz w:val="22"/>
            </w:rPr>
          </w:pPr>
          <w:hyperlink w:anchor="_Toc224072910" w:history="1">
            <w:r w:rsidR="005A5341" w:rsidRPr="00DF4F7A">
              <w:rPr>
                <w:rStyle w:val="Hyperlink"/>
                <w:rFonts w:ascii="Arial" w:eastAsia="Times New Roman" w:hAnsi="Arial" w:cs="Arial"/>
                <w:noProof/>
                <w:sz w:val="22"/>
                <w:lang w:eastAsia="en-US"/>
              </w:rPr>
              <w:t>3.1 Macro-</w:t>
            </w:r>
            <w:r w:rsidR="005A5341" w:rsidRPr="00DF4F7A">
              <w:rPr>
                <w:rStyle w:val="Hyperlink"/>
                <w:rFonts w:ascii="Arial" w:hAnsi="Arial" w:cs="Arial"/>
                <w:noProof/>
                <w:sz w:val="22"/>
              </w:rPr>
              <w:t>Environmental</w:t>
            </w:r>
            <w:r w:rsidR="005A5341" w:rsidRPr="00DF4F7A">
              <w:rPr>
                <w:rStyle w:val="Hyperlink"/>
                <w:rFonts w:ascii="Arial" w:eastAsia="Times New Roman" w:hAnsi="Arial" w:cs="Arial"/>
                <w:noProof/>
                <w:sz w:val="22"/>
                <w:lang w:eastAsia="en-US"/>
              </w:rPr>
              <w:t xml:space="preserve"> Analysis (PESTEL)</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_Toc224072910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3</w:t>
            </w:r>
            <w:r w:rsidR="005A5341" w:rsidRPr="00DF4F7A">
              <w:rPr>
                <w:rFonts w:ascii="Arial" w:hAnsi="Arial" w:cs="Arial"/>
                <w:noProof/>
                <w:webHidden/>
                <w:sz w:val="22"/>
              </w:rPr>
              <w:fldChar w:fldCharType="end"/>
            </w:r>
          </w:hyperlink>
        </w:p>
        <w:p w14:paraId="4DCDA4EE" w14:textId="4BEE248B" w:rsidR="005A5341" w:rsidRPr="00DF4F7A" w:rsidRDefault="0031542F">
          <w:pPr>
            <w:pStyle w:val="TOC2"/>
            <w:tabs>
              <w:tab w:val="right" w:leader="dot" w:pos="9350"/>
            </w:tabs>
            <w:rPr>
              <w:rFonts w:ascii="Arial" w:hAnsi="Arial" w:cs="Arial"/>
              <w:noProof/>
              <w:sz w:val="22"/>
            </w:rPr>
          </w:pPr>
          <w:hyperlink w:anchor="_Toc224072911" w:history="1">
            <w:r w:rsidR="005A5341" w:rsidRPr="00DF4F7A">
              <w:rPr>
                <w:rStyle w:val="Hyperlink"/>
                <w:rFonts w:ascii="Arial" w:hAnsi="Arial" w:cs="Arial"/>
                <w:noProof/>
                <w:sz w:val="22"/>
              </w:rPr>
              <w:t>3.2 Industry Analysis (Porter's Five Forces)</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_Toc224072911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5</w:t>
            </w:r>
            <w:r w:rsidR="005A5341" w:rsidRPr="00DF4F7A">
              <w:rPr>
                <w:rFonts w:ascii="Arial" w:hAnsi="Arial" w:cs="Arial"/>
                <w:noProof/>
                <w:webHidden/>
                <w:sz w:val="22"/>
              </w:rPr>
              <w:fldChar w:fldCharType="end"/>
            </w:r>
          </w:hyperlink>
        </w:p>
        <w:p w14:paraId="653D2CAE" w14:textId="1883B5CD" w:rsidR="005A5341" w:rsidRPr="00DF4F7A" w:rsidRDefault="0031542F">
          <w:pPr>
            <w:pStyle w:val="TOC2"/>
            <w:tabs>
              <w:tab w:val="right" w:leader="dot" w:pos="9350"/>
            </w:tabs>
            <w:rPr>
              <w:rFonts w:ascii="Arial" w:hAnsi="Arial" w:cs="Arial"/>
              <w:noProof/>
              <w:sz w:val="22"/>
            </w:rPr>
          </w:pPr>
          <w:hyperlink w:anchor="_Toc224072912" w:history="1">
            <w:r w:rsidR="005A5341" w:rsidRPr="00DF4F7A">
              <w:rPr>
                <w:rStyle w:val="Hyperlink"/>
                <w:rFonts w:ascii="Arial" w:hAnsi="Arial" w:cs="Arial"/>
                <w:noProof/>
                <w:sz w:val="22"/>
              </w:rPr>
              <w:t>3.3 Internal Analysis (SWOT)</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_Toc224072912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7</w:t>
            </w:r>
            <w:r w:rsidR="005A5341" w:rsidRPr="00DF4F7A">
              <w:rPr>
                <w:rFonts w:ascii="Arial" w:hAnsi="Arial" w:cs="Arial"/>
                <w:noProof/>
                <w:webHidden/>
                <w:sz w:val="22"/>
              </w:rPr>
              <w:fldChar w:fldCharType="end"/>
            </w:r>
          </w:hyperlink>
        </w:p>
        <w:p w14:paraId="76E7F077" w14:textId="3AACDB0C" w:rsidR="005A5341" w:rsidRPr="00DF4F7A" w:rsidRDefault="0031542F">
          <w:pPr>
            <w:pStyle w:val="TOC1"/>
            <w:tabs>
              <w:tab w:val="right" w:leader="dot" w:pos="9350"/>
            </w:tabs>
            <w:rPr>
              <w:rFonts w:ascii="Arial" w:hAnsi="Arial" w:cs="Arial"/>
              <w:noProof/>
              <w:sz w:val="22"/>
            </w:rPr>
          </w:pPr>
          <w:hyperlink w:anchor="_Toc224072913" w:history="1">
            <w:r w:rsidR="005A5341" w:rsidRPr="00DF4F7A">
              <w:rPr>
                <w:rStyle w:val="Hyperlink"/>
                <w:rFonts w:ascii="Arial" w:hAnsi="Arial" w:cs="Arial"/>
                <w:noProof/>
                <w:sz w:val="22"/>
              </w:rPr>
              <w:t>4.0 Strategic Growth Options and Proposed Strategy</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_Toc224072913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8</w:t>
            </w:r>
            <w:r w:rsidR="005A5341" w:rsidRPr="00DF4F7A">
              <w:rPr>
                <w:rFonts w:ascii="Arial" w:hAnsi="Arial" w:cs="Arial"/>
                <w:noProof/>
                <w:webHidden/>
                <w:sz w:val="22"/>
              </w:rPr>
              <w:fldChar w:fldCharType="end"/>
            </w:r>
          </w:hyperlink>
        </w:p>
        <w:p w14:paraId="3B00FC98" w14:textId="7B669FCF" w:rsidR="005A5341" w:rsidRPr="00DF4F7A" w:rsidRDefault="0031542F">
          <w:pPr>
            <w:pStyle w:val="TOC2"/>
            <w:tabs>
              <w:tab w:val="right" w:leader="dot" w:pos="9350"/>
            </w:tabs>
            <w:rPr>
              <w:rFonts w:ascii="Arial" w:hAnsi="Arial" w:cs="Arial"/>
              <w:noProof/>
              <w:sz w:val="22"/>
            </w:rPr>
          </w:pPr>
          <w:hyperlink w:anchor="_Toc224072914" w:history="1">
            <w:r w:rsidR="005A5341" w:rsidRPr="00DF4F7A">
              <w:rPr>
                <w:rStyle w:val="Hyperlink"/>
                <w:rFonts w:ascii="Arial" w:hAnsi="Arial" w:cs="Arial"/>
                <w:noProof/>
                <w:sz w:val="22"/>
              </w:rPr>
              <w:t>4.1 Exploration of Strategic Options</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_Toc224072914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8</w:t>
            </w:r>
            <w:r w:rsidR="005A5341" w:rsidRPr="00DF4F7A">
              <w:rPr>
                <w:rFonts w:ascii="Arial" w:hAnsi="Arial" w:cs="Arial"/>
                <w:noProof/>
                <w:webHidden/>
                <w:sz w:val="22"/>
              </w:rPr>
              <w:fldChar w:fldCharType="end"/>
            </w:r>
          </w:hyperlink>
        </w:p>
        <w:p w14:paraId="2FE71455" w14:textId="7F3368E2" w:rsidR="005A5341" w:rsidRPr="00DF4F7A" w:rsidRDefault="0031542F">
          <w:pPr>
            <w:pStyle w:val="TOC2"/>
            <w:tabs>
              <w:tab w:val="right" w:leader="dot" w:pos="9350"/>
            </w:tabs>
            <w:rPr>
              <w:rFonts w:ascii="Arial" w:hAnsi="Arial" w:cs="Arial"/>
              <w:noProof/>
              <w:sz w:val="22"/>
            </w:rPr>
          </w:pPr>
          <w:hyperlink w:anchor="_Toc224072915" w:history="1">
            <w:r w:rsidR="005A5341" w:rsidRPr="00DF4F7A">
              <w:rPr>
                <w:rStyle w:val="Hyperlink"/>
                <w:rFonts w:ascii="Arial" w:hAnsi="Arial" w:cs="Arial"/>
                <w:noProof/>
                <w:sz w:val="22"/>
              </w:rPr>
              <w:t>4.2 Proposed Strategy: Product Development through Differentiation</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_Toc224072915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9</w:t>
            </w:r>
            <w:r w:rsidR="005A5341" w:rsidRPr="00DF4F7A">
              <w:rPr>
                <w:rFonts w:ascii="Arial" w:hAnsi="Arial" w:cs="Arial"/>
                <w:noProof/>
                <w:webHidden/>
                <w:sz w:val="22"/>
              </w:rPr>
              <w:fldChar w:fldCharType="end"/>
            </w:r>
          </w:hyperlink>
        </w:p>
        <w:p w14:paraId="4F03D4CC" w14:textId="4EB86493" w:rsidR="005A5341" w:rsidRPr="00DF4F7A" w:rsidRDefault="0031542F">
          <w:pPr>
            <w:pStyle w:val="TOC2"/>
            <w:tabs>
              <w:tab w:val="right" w:leader="dot" w:pos="9350"/>
            </w:tabs>
            <w:rPr>
              <w:rFonts w:ascii="Arial" w:hAnsi="Arial" w:cs="Arial"/>
              <w:noProof/>
              <w:sz w:val="22"/>
            </w:rPr>
          </w:pPr>
          <w:hyperlink w:anchor="_Toc224072916" w:history="1">
            <w:r w:rsidR="005A5341" w:rsidRPr="00DF4F7A">
              <w:rPr>
                <w:rStyle w:val="Hyperlink"/>
                <w:rFonts w:ascii="Arial" w:hAnsi="Arial" w:cs="Arial"/>
                <w:noProof/>
                <w:sz w:val="22"/>
              </w:rPr>
              <w:t>4.3 Justification for the Proposed Strategy</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_Toc224072916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9</w:t>
            </w:r>
            <w:r w:rsidR="005A5341" w:rsidRPr="00DF4F7A">
              <w:rPr>
                <w:rFonts w:ascii="Arial" w:hAnsi="Arial" w:cs="Arial"/>
                <w:noProof/>
                <w:webHidden/>
                <w:sz w:val="22"/>
              </w:rPr>
              <w:fldChar w:fldCharType="end"/>
            </w:r>
          </w:hyperlink>
        </w:p>
        <w:p w14:paraId="610780BB" w14:textId="49B94B87" w:rsidR="005A5341" w:rsidRPr="00DF4F7A" w:rsidRDefault="0031542F">
          <w:pPr>
            <w:pStyle w:val="TOC1"/>
            <w:tabs>
              <w:tab w:val="right" w:leader="dot" w:pos="9350"/>
            </w:tabs>
            <w:rPr>
              <w:rFonts w:ascii="Arial" w:hAnsi="Arial" w:cs="Arial"/>
              <w:noProof/>
              <w:sz w:val="22"/>
            </w:rPr>
          </w:pPr>
          <w:hyperlink w:anchor="_Toc224072917" w:history="1">
            <w:r w:rsidR="005A5341" w:rsidRPr="00DF4F7A">
              <w:rPr>
                <w:rStyle w:val="Hyperlink"/>
                <w:rFonts w:ascii="Arial" w:hAnsi="Arial" w:cs="Arial"/>
                <w:noProof/>
                <w:sz w:val="22"/>
              </w:rPr>
              <w:t>5.0 Strategy Evaluation</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_Toc224072917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10</w:t>
            </w:r>
            <w:r w:rsidR="005A5341" w:rsidRPr="00DF4F7A">
              <w:rPr>
                <w:rFonts w:ascii="Arial" w:hAnsi="Arial" w:cs="Arial"/>
                <w:noProof/>
                <w:webHidden/>
                <w:sz w:val="22"/>
              </w:rPr>
              <w:fldChar w:fldCharType="end"/>
            </w:r>
          </w:hyperlink>
        </w:p>
        <w:p w14:paraId="77E271FA" w14:textId="0B66DB5C" w:rsidR="005A5341" w:rsidRPr="00DF4F7A" w:rsidRDefault="0031542F">
          <w:pPr>
            <w:pStyle w:val="TOC1"/>
            <w:tabs>
              <w:tab w:val="right" w:leader="dot" w:pos="9350"/>
            </w:tabs>
            <w:rPr>
              <w:rFonts w:ascii="Arial" w:hAnsi="Arial" w:cs="Arial"/>
              <w:noProof/>
              <w:sz w:val="22"/>
            </w:rPr>
          </w:pPr>
          <w:hyperlink w:anchor="_Toc224072918" w:history="1">
            <w:r w:rsidR="005A5341" w:rsidRPr="00DF4F7A">
              <w:rPr>
                <w:rStyle w:val="Hyperlink"/>
                <w:rFonts w:ascii="Arial" w:hAnsi="Arial" w:cs="Arial"/>
                <w:noProof/>
                <w:sz w:val="22"/>
              </w:rPr>
              <w:t>6.0 Stakeholder Analysis</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_Toc224072918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11</w:t>
            </w:r>
            <w:r w:rsidR="005A5341" w:rsidRPr="00DF4F7A">
              <w:rPr>
                <w:rFonts w:ascii="Arial" w:hAnsi="Arial" w:cs="Arial"/>
                <w:noProof/>
                <w:webHidden/>
                <w:sz w:val="22"/>
              </w:rPr>
              <w:fldChar w:fldCharType="end"/>
            </w:r>
          </w:hyperlink>
        </w:p>
        <w:p w14:paraId="453B812D" w14:textId="14381691" w:rsidR="005A5341" w:rsidRPr="00DF4F7A" w:rsidRDefault="0031542F">
          <w:pPr>
            <w:pStyle w:val="TOC1"/>
            <w:tabs>
              <w:tab w:val="right" w:leader="dot" w:pos="9350"/>
            </w:tabs>
            <w:rPr>
              <w:rFonts w:ascii="Arial" w:hAnsi="Arial" w:cs="Arial"/>
              <w:noProof/>
              <w:sz w:val="22"/>
            </w:rPr>
          </w:pPr>
          <w:hyperlink w:anchor="_Toc224072919" w:history="1">
            <w:r w:rsidR="005A5341" w:rsidRPr="00DF4F7A">
              <w:rPr>
                <w:rStyle w:val="Hyperlink"/>
                <w:rFonts w:ascii="Arial" w:hAnsi="Arial" w:cs="Arial"/>
                <w:noProof/>
                <w:sz w:val="22"/>
              </w:rPr>
              <w:t>7.0 Implementation and Monitoring</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_Toc224072919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12</w:t>
            </w:r>
            <w:r w:rsidR="005A5341" w:rsidRPr="00DF4F7A">
              <w:rPr>
                <w:rFonts w:ascii="Arial" w:hAnsi="Arial" w:cs="Arial"/>
                <w:noProof/>
                <w:webHidden/>
                <w:sz w:val="22"/>
              </w:rPr>
              <w:fldChar w:fldCharType="end"/>
            </w:r>
          </w:hyperlink>
        </w:p>
        <w:p w14:paraId="16D770D8" w14:textId="73996135" w:rsidR="005A5341" w:rsidRPr="00DF4F7A" w:rsidRDefault="0031542F">
          <w:pPr>
            <w:pStyle w:val="TOC1"/>
            <w:tabs>
              <w:tab w:val="right" w:leader="dot" w:pos="9350"/>
            </w:tabs>
            <w:rPr>
              <w:rFonts w:ascii="Arial" w:hAnsi="Arial" w:cs="Arial"/>
              <w:noProof/>
              <w:sz w:val="22"/>
            </w:rPr>
          </w:pPr>
          <w:hyperlink w:anchor="_Toc224072920" w:history="1">
            <w:r w:rsidR="005A5341" w:rsidRPr="00DF4F7A">
              <w:rPr>
                <w:rStyle w:val="Hyperlink"/>
                <w:rFonts w:ascii="Arial" w:hAnsi="Arial" w:cs="Arial"/>
                <w:noProof/>
                <w:sz w:val="22"/>
              </w:rPr>
              <w:t>8.0 Conclusion</w:t>
            </w:r>
            <w:r w:rsidR="005A5341" w:rsidRPr="00DF4F7A">
              <w:rPr>
                <w:rFonts w:ascii="Arial" w:hAnsi="Arial" w:cs="Arial"/>
                <w:noProof/>
                <w:webHidden/>
                <w:sz w:val="22"/>
              </w:rPr>
              <w:tab/>
            </w:r>
            <w:r w:rsidR="005A5341" w:rsidRPr="00DF4F7A">
              <w:rPr>
                <w:rFonts w:ascii="Arial" w:hAnsi="Arial" w:cs="Arial"/>
                <w:noProof/>
                <w:webHidden/>
                <w:sz w:val="22"/>
              </w:rPr>
              <w:fldChar w:fldCharType="begin"/>
            </w:r>
            <w:r w:rsidR="005A5341" w:rsidRPr="00DF4F7A">
              <w:rPr>
                <w:rFonts w:ascii="Arial" w:hAnsi="Arial" w:cs="Arial"/>
                <w:noProof/>
                <w:webHidden/>
                <w:sz w:val="22"/>
              </w:rPr>
              <w:instrText xml:space="preserve"> PAGEREF _Toc224072920 \h </w:instrText>
            </w:r>
            <w:r w:rsidR="005A5341" w:rsidRPr="00DF4F7A">
              <w:rPr>
                <w:rFonts w:ascii="Arial" w:hAnsi="Arial" w:cs="Arial"/>
                <w:noProof/>
                <w:webHidden/>
                <w:sz w:val="22"/>
              </w:rPr>
            </w:r>
            <w:r w:rsidR="005A5341" w:rsidRPr="00DF4F7A">
              <w:rPr>
                <w:rFonts w:ascii="Arial" w:hAnsi="Arial" w:cs="Arial"/>
                <w:noProof/>
                <w:webHidden/>
                <w:sz w:val="22"/>
              </w:rPr>
              <w:fldChar w:fldCharType="separate"/>
            </w:r>
            <w:r w:rsidR="005A5341" w:rsidRPr="00DF4F7A">
              <w:rPr>
                <w:rFonts w:ascii="Arial" w:hAnsi="Arial" w:cs="Arial"/>
                <w:noProof/>
                <w:webHidden/>
                <w:sz w:val="22"/>
              </w:rPr>
              <w:t>13</w:t>
            </w:r>
            <w:r w:rsidR="005A5341" w:rsidRPr="00DF4F7A">
              <w:rPr>
                <w:rFonts w:ascii="Arial" w:hAnsi="Arial" w:cs="Arial"/>
                <w:noProof/>
                <w:webHidden/>
                <w:sz w:val="22"/>
              </w:rPr>
              <w:fldChar w:fldCharType="end"/>
            </w:r>
          </w:hyperlink>
        </w:p>
        <w:p w14:paraId="7DF1EEA9" w14:textId="5E3326BD" w:rsidR="005A5341" w:rsidRPr="00DF4F7A" w:rsidRDefault="005A5341">
          <w:pPr>
            <w:rPr>
              <w:rFonts w:ascii="Arial" w:hAnsi="Arial" w:cs="Arial"/>
              <w:sz w:val="22"/>
            </w:rPr>
          </w:pPr>
          <w:r w:rsidRPr="00DF4F7A">
            <w:rPr>
              <w:rFonts w:ascii="Arial" w:hAnsi="Arial" w:cs="Arial"/>
              <w:b/>
              <w:bCs/>
              <w:noProof/>
              <w:sz w:val="22"/>
            </w:rPr>
            <w:fldChar w:fldCharType="end"/>
          </w:r>
        </w:p>
      </w:sdtContent>
    </w:sdt>
    <w:p w14:paraId="62A1609C" w14:textId="77777777" w:rsidR="00061FAD" w:rsidRPr="00DF4F7A" w:rsidRDefault="00061FAD">
      <w:pPr>
        <w:rPr>
          <w:rFonts w:ascii="Arial" w:hAnsi="Arial" w:cs="Arial"/>
          <w:b/>
          <w:sz w:val="22"/>
        </w:rPr>
      </w:pPr>
    </w:p>
    <w:p w14:paraId="5F9620E6" w14:textId="77777777" w:rsidR="00061FAD" w:rsidRPr="00DF4F7A" w:rsidRDefault="00061FAD">
      <w:pPr>
        <w:spacing w:line="259" w:lineRule="auto"/>
        <w:jc w:val="left"/>
        <w:rPr>
          <w:rFonts w:ascii="Arial" w:hAnsi="Arial" w:cs="Arial"/>
          <w:b/>
          <w:sz w:val="22"/>
        </w:rPr>
      </w:pPr>
      <w:r w:rsidRPr="00DF4F7A">
        <w:rPr>
          <w:rFonts w:ascii="Arial" w:hAnsi="Arial" w:cs="Arial"/>
          <w:b/>
          <w:sz w:val="22"/>
        </w:rPr>
        <w:br w:type="page"/>
      </w:r>
    </w:p>
    <w:p w14:paraId="4739CA37" w14:textId="4CD25F88" w:rsidR="001216F4" w:rsidRPr="00DF4F7A" w:rsidRDefault="00061FAD" w:rsidP="00B8407C">
      <w:pPr>
        <w:pStyle w:val="Heading1"/>
        <w:numPr>
          <w:ilvl w:val="0"/>
          <w:numId w:val="1"/>
        </w:numPr>
        <w:rPr>
          <w:rFonts w:ascii="Arial" w:hAnsi="Arial" w:cs="Arial"/>
          <w:sz w:val="22"/>
          <w:szCs w:val="22"/>
        </w:rPr>
      </w:pPr>
      <w:bookmarkStart w:id="1" w:name="_Toc224072907"/>
      <w:r w:rsidRPr="00DF4F7A">
        <w:rPr>
          <w:rFonts w:ascii="Arial" w:hAnsi="Arial" w:cs="Arial"/>
          <w:sz w:val="22"/>
          <w:szCs w:val="22"/>
        </w:rPr>
        <w:lastRenderedPageBreak/>
        <w:t>Executive Summary</w:t>
      </w:r>
      <w:bookmarkEnd w:id="1"/>
      <w:r w:rsidRPr="00DF4F7A">
        <w:rPr>
          <w:rFonts w:ascii="Arial" w:hAnsi="Arial" w:cs="Arial"/>
          <w:sz w:val="22"/>
          <w:szCs w:val="22"/>
        </w:rPr>
        <w:t xml:space="preserve"> </w:t>
      </w:r>
    </w:p>
    <w:p w14:paraId="31B19383" w14:textId="77777777" w:rsidR="001F357F" w:rsidRPr="00DF4F7A" w:rsidRDefault="001F357F" w:rsidP="001F357F">
      <w:pPr>
        <w:rPr>
          <w:rFonts w:ascii="Arial" w:hAnsi="Arial" w:cs="Arial"/>
          <w:color w:val="auto"/>
          <w:sz w:val="22"/>
          <w:lang w:eastAsia="en-US"/>
        </w:rPr>
      </w:pPr>
      <w:r w:rsidRPr="00DF4F7A">
        <w:rPr>
          <w:rFonts w:ascii="Arial" w:hAnsi="Arial" w:cs="Arial"/>
          <w:sz w:val="22"/>
        </w:rPr>
        <w:t>This report presents a strategic growth plan for Innocent Drinks, a hypothetical UK healthy-drinks leader with strong ethical values. PESTEL, Porter’s Five Forces, and SWOT analyses highlight market opportunities and competition. The plan proposes a differentiation and product-development strategy introducing plant-based wellness shots assessed through the SFA framework to support.</w:t>
      </w:r>
    </w:p>
    <w:p w14:paraId="183E1044" w14:textId="2BED29E6" w:rsidR="009D2CD2" w:rsidRPr="00DF4F7A" w:rsidRDefault="00061FAD" w:rsidP="009D2CD2">
      <w:pPr>
        <w:pStyle w:val="Heading1"/>
        <w:numPr>
          <w:ilvl w:val="0"/>
          <w:numId w:val="1"/>
        </w:numPr>
        <w:rPr>
          <w:rFonts w:ascii="Arial" w:hAnsi="Arial" w:cs="Arial"/>
          <w:sz w:val="22"/>
          <w:szCs w:val="22"/>
        </w:rPr>
      </w:pPr>
      <w:bookmarkStart w:id="2" w:name="_Toc224072908"/>
      <w:r w:rsidRPr="00DF4F7A">
        <w:rPr>
          <w:rFonts w:ascii="Arial" w:hAnsi="Arial" w:cs="Arial"/>
          <w:sz w:val="22"/>
          <w:szCs w:val="22"/>
        </w:rPr>
        <w:t>Introduction to Innocent Drinks</w:t>
      </w:r>
      <w:bookmarkEnd w:id="2"/>
      <w:r w:rsidRPr="00DF4F7A">
        <w:rPr>
          <w:rFonts w:ascii="Arial" w:hAnsi="Arial" w:cs="Arial"/>
          <w:sz w:val="22"/>
          <w:szCs w:val="22"/>
        </w:rPr>
        <w:t xml:space="preserve"> </w:t>
      </w:r>
    </w:p>
    <w:p w14:paraId="71B722E8" w14:textId="77777777" w:rsidR="00FA1595" w:rsidRPr="00DF4F7A" w:rsidRDefault="00FA1595" w:rsidP="00FA1595">
      <w:pPr>
        <w:rPr>
          <w:rFonts w:ascii="Arial" w:hAnsi="Arial" w:cs="Arial"/>
          <w:color w:val="auto"/>
          <w:sz w:val="22"/>
          <w:lang w:eastAsia="en-US"/>
        </w:rPr>
      </w:pPr>
      <w:r w:rsidRPr="00DF4F7A">
        <w:rPr>
          <w:rFonts w:ascii="Arial" w:hAnsi="Arial" w:cs="Arial"/>
          <w:sz w:val="22"/>
        </w:rPr>
        <w:t>Innocent Drinks, founded in 1999, is a key player in Europe’s healthy beverage market. Its mission to provide natural, healthy products guides strategy and stakeholder alignment. As a certified B Corporation, the company demonstrates ethical responsibility and social commitment, strengthening brand trust and competitive advantage (David, David and David, 2017).</w:t>
      </w:r>
    </w:p>
    <w:p w14:paraId="1156F734" w14:textId="6045CE6D" w:rsidR="00061FAD" w:rsidRPr="00DF4F7A" w:rsidRDefault="00061FAD" w:rsidP="00EF36C3">
      <w:pPr>
        <w:pStyle w:val="Heading1"/>
        <w:numPr>
          <w:ilvl w:val="0"/>
          <w:numId w:val="1"/>
        </w:numPr>
        <w:rPr>
          <w:rFonts w:ascii="Arial" w:hAnsi="Arial" w:cs="Arial"/>
          <w:sz w:val="22"/>
          <w:szCs w:val="22"/>
        </w:rPr>
      </w:pPr>
      <w:bookmarkStart w:id="3" w:name="_Toc224072909"/>
      <w:r w:rsidRPr="00DF4F7A">
        <w:rPr>
          <w:rFonts w:ascii="Arial" w:hAnsi="Arial" w:cs="Arial"/>
          <w:sz w:val="22"/>
          <w:szCs w:val="22"/>
        </w:rPr>
        <w:t>Evaluation of Current Market Situation</w:t>
      </w:r>
      <w:bookmarkEnd w:id="3"/>
    </w:p>
    <w:p w14:paraId="270CEA98" w14:textId="77777777" w:rsidR="00EF36C3" w:rsidRPr="00DF4F7A" w:rsidRDefault="00EF36C3" w:rsidP="00EF36C3">
      <w:pPr>
        <w:rPr>
          <w:rFonts w:ascii="Arial" w:hAnsi="Arial" w:cs="Arial"/>
          <w:sz w:val="22"/>
        </w:rPr>
      </w:pPr>
      <w:r w:rsidRPr="00DF4F7A">
        <w:rPr>
          <w:rFonts w:ascii="Arial" w:hAnsi="Arial" w:cs="Arial"/>
          <w:sz w:val="22"/>
        </w:rPr>
        <w:t>In order to develop a powerful strategy, one must first comprehend the complex environment that the Innocent Drinks firm is operating in. In this section a critical analysis of Macro-environment, industry structure, and internal capabilities are analyzed.</w:t>
      </w:r>
    </w:p>
    <w:p w14:paraId="38E6E361" w14:textId="72FFEE08" w:rsidR="00061FAD" w:rsidRPr="00DF4F7A" w:rsidRDefault="00EF36C3" w:rsidP="00EF36C3">
      <w:pPr>
        <w:pStyle w:val="Heading2"/>
        <w:rPr>
          <w:rFonts w:ascii="Arial" w:eastAsia="Times New Roman" w:hAnsi="Arial" w:cs="Arial"/>
          <w:sz w:val="22"/>
          <w:szCs w:val="22"/>
          <w:lang w:eastAsia="en-US"/>
        </w:rPr>
      </w:pPr>
      <w:bookmarkStart w:id="4" w:name="_Toc224072910"/>
      <w:r w:rsidRPr="00DF4F7A">
        <w:rPr>
          <w:rFonts w:ascii="Arial" w:eastAsia="Times New Roman" w:hAnsi="Arial" w:cs="Arial"/>
          <w:sz w:val="22"/>
          <w:szCs w:val="22"/>
          <w:lang w:eastAsia="en-US"/>
        </w:rPr>
        <w:t xml:space="preserve">3.1 </w:t>
      </w:r>
      <w:r w:rsidR="00061FAD" w:rsidRPr="00DF4F7A">
        <w:rPr>
          <w:rFonts w:ascii="Arial" w:eastAsia="Times New Roman" w:hAnsi="Arial" w:cs="Arial"/>
          <w:sz w:val="22"/>
          <w:szCs w:val="22"/>
          <w:lang w:eastAsia="en-US"/>
        </w:rPr>
        <w:t>Macro-</w:t>
      </w:r>
      <w:r w:rsidR="00061FAD" w:rsidRPr="00DF4F7A">
        <w:rPr>
          <w:rFonts w:ascii="Arial" w:hAnsi="Arial" w:cs="Arial"/>
          <w:sz w:val="22"/>
          <w:szCs w:val="22"/>
        </w:rPr>
        <w:t>Environmental</w:t>
      </w:r>
      <w:r w:rsidR="00061FAD" w:rsidRPr="00DF4F7A">
        <w:rPr>
          <w:rFonts w:ascii="Arial" w:eastAsia="Times New Roman" w:hAnsi="Arial" w:cs="Arial"/>
          <w:sz w:val="22"/>
          <w:szCs w:val="22"/>
          <w:lang w:eastAsia="en-US"/>
        </w:rPr>
        <w:t xml:space="preserve"> Analysis (PESTEL)</w:t>
      </w:r>
      <w:bookmarkEnd w:id="4"/>
    </w:p>
    <w:p w14:paraId="5F425594" w14:textId="77777777" w:rsidR="00EF36C3" w:rsidRPr="00DF4F7A" w:rsidRDefault="00EF36C3" w:rsidP="00EF36C3">
      <w:pPr>
        <w:rPr>
          <w:rFonts w:ascii="Arial" w:hAnsi="Arial" w:cs="Arial"/>
          <w:sz w:val="22"/>
        </w:rPr>
      </w:pPr>
      <w:r w:rsidRPr="00DF4F7A">
        <w:rPr>
          <w:rFonts w:ascii="Arial" w:hAnsi="Arial" w:cs="Arial"/>
          <w:b/>
          <w:bCs/>
          <w:i/>
          <w:iCs/>
          <w:sz w:val="22"/>
        </w:rPr>
        <w:t>Political:</w:t>
      </w:r>
      <w:r w:rsidRPr="00DF4F7A">
        <w:rPr>
          <w:rFonts w:ascii="Arial" w:hAnsi="Arial" w:cs="Arial"/>
          <w:sz w:val="22"/>
        </w:rPr>
        <w:t xml:space="preserve"> Political environment in the developed economies is becoming more favourable to the businesses that are more focused on sustainability. European governments are adopting policies that are in line with the principles of the circular economy and climate-neutral goals. Researchers have noted that the development of first-mover advantages to firms that already have sustainability commitments can be achieved through proactive environmental regulation (Pacheco, Dean and Payne, 2017). The alleged promises that Innocent has made concerning the environmental objectives imply that it would be effectively placed to ride policy tailwinds instead of being crippled by new regulations.</w:t>
      </w:r>
    </w:p>
    <w:p w14:paraId="5A1EE412" w14:textId="77777777" w:rsidR="00EF36C3" w:rsidRPr="00DF4F7A" w:rsidRDefault="00EF36C3" w:rsidP="00EF36C3">
      <w:pPr>
        <w:rPr>
          <w:rFonts w:ascii="Arial" w:hAnsi="Arial" w:cs="Arial"/>
          <w:sz w:val="22"/>
        </w:rPr>
      </w:pPr>
      <w:r w:rsidRPr="00DF4F7A">
        <w:rPr>
          <w:rFonts w:ascii="Arial" w:hAnsi="Arial" w:cs="Arial"/>
          <w:b/>
          <w:bCs/>
          <w:i/>
          <w:iCs/>
          <w:sz w:val="22"/>
        </w:rPr>
        <w:t>Economic:</w:t>
      </w:r>
      <w:r w:rsidRPr="00DF4F7A">
        <w:rPr>
          <w:rFonts w:ascii="Arial" w:hAnsi="Arial" w:cs="Arial"/>
          <w:sz w:val="22"/>
        </w:rPr>
        <w:t xml:space="preserve"> The crisis of the cost-of-living in Europe is a dichotomous problem. Though high-cost products may experience headwinds when people trade down, studies point out that health and wellness products may continue to experience demand in most times during economic recession (Panzone, Lemke and Petersen, 2016). Demographic trends tend to support the increasing need of health and wellness that is not limited to economic ups and downs on a short-term basis. Nonetheless, the company should be cautious of economic instability that will pinch household earnings and challenge consumer attachment to luxury brands.</w:t>
      </w:r>
    </w:p>
    <w:p w14:paraId="6F936791" w14:textId="77777777" w:rsidR="00EF36C3" w:rsidRPr="00DF4F7A" w:rsidRDefault="00EF36C3" w:rsidP="00EF36C3">
      <w:pPr>
        <w:rPr>
          <w:rFonts w:ascii="Arial" w:hAnsi="Arial" w:cs="Arial"/>
          <w:sz w:val="22"/>
        </w:rPr>
      </w:pPr>
      <w:r w:rsidRPr="00DF4F7A">
        <w:rPr>
          <w:rFonts w:ascii="Arial" w:hAnsi="Arial" w:cs="Arial"/>
          <w:b/>
          <w:bCs/>
          <w:i/>
          <w:iCs/>
          <w:sz w:val="22"/>
        </w:rPr>
        <w:lastRenderedPageBreak/>
        <w:t>Social:</w:t>
      </w:r>
      <w:r w:rsidRPr="00DF4F7A">
        <w:rPr>
          <w:rFonts w:ascii="Arial" w:hAnsi="Arial" w:cs="Arial"/>
          <w:sz w:val="22"/>
        </w:rPr>
        <w:t xml:space="preserve"> This is, perhaps, the most powerful opportunity driver. There is a secular change in favor of health-consciousness with consumers becoming more sensitive to the functional foods and drinks with real health benefits beyond simple nutrition. This tendency has been reported in detail by marketing researchers, as the researchers point out that contemporary consumers are making their food decisions based on their personal health and wellbeing and on the preventive health care (Bublitz et al., 2019). Moreover, among the target market of Innocent, especially among the younger population, there has been an increased demand to see a solid environmental, social, and governance scorecard by a brand, which some researchers have dubbed as conscientious consumerism (Carrington, Neville and Whitwell, 2021).</w:t>
      </w:r>
    </w:p>
    <w:p w14:paraId="616925F0" w14:textId="77777777" w:rsidR="00EF36C3" w:rsidRPr="00DF4F7A" w:rsidRDefault="00EF36C3" w:rsidP="00EF36C3">
      <w:pPr>
        <w:rPr>
          <w:rFonts w:ascii="Arial" w:hAnsi="Arial" w:cs="Arial"/>
          <w:sz w:val="22"/>
        </w:rPr>
      </w:pPr>
      <w:r w:rsidRPr="00DF4F7A">
        <w:rPr>
          <w:rFonts w:ascii="Arial" w:hAnsi="Arial" w:cs="Arial"/>
          <w:b/>
          <w:bCs/>
          <w:i/>
          <w:iCs/>
          <w:sz w:val="22"/>
        </w:rPr>
        <w:t>Technological:</w:t>
      </w:r>
      <w:r w:rsidRPr="00DF4F7A">
        <w:rPr>
          <w:rFonts w:ascii="Arial" w:hAnsi="Arial" w:cs="Arial"/>
          <w:sz w:val="22"/>
        </w:rPr>
        <w:t xml:space="preserve"> Sustainable packaging and production development are essential facilitators of food and beverage companies. Studies on sustainable supply chain management point to the fact that the number of technologies, which allow companies to monitor their environmental impact and minimize it, is increasing (Dubey et al., 2017). Moreover, technology has become an important aspect of supply chain visibility, enabling the firms to confirm sustainability and communicate with the suppliers on their environmental performance levels (Kshetri, 2018).</w:t>
      </w:r>
    </w:p>
    <w:p w14:paraId="7332E6C1" w14:textId="77777777" w:rsidR="00EF36C3" w:rsidRPr="00DF4F7A" w:rsidRDefault="00EF36C3" w:rsidP="00EF36C3">
      <w:pPr>
        <w:rPr>
          <w:rFonts w:ascii="Arial" w:hAnsi="Arial" w:cs="Arial"/>
          <w:sz w:val="22"/>
        </w:rPr>
      </w:pPr>
      <w:r w:rsidRPr="00DF4F7A">
        <w:rPr>
          <w:rFonts w:ascii="Arial" w:hAnsi="Arial" w:cs="Arial"/>
          <w:b/>
          <w:bCs/>
          <w:i/>
          <w:iCs/>
          <w:sz w:val="22"/>
        </w:rPr>
        <w:t>Environmental:</w:t>
      </w:r>
      <w:r w:rsidRPr="00DF4F7A">
        <w:rPr>
          <w:rFonts w:ascii="Arial" w:hAnsi="Arial" w:cs="Arial"/>
          <w:sz w:val="22"/>
        </w:rPr>
        <w:t xml:space="preserve"> Climate change presents direct physical risks to the world food supply chains, especially to any company dependent on certain agricultural production of susceptible areas. Researchers have reported the impact of climate variability on agricultural productivity and reliability of supply chains (Bezabih, Di Falco and Mekonnen, 2021). Environmental pressure is also a stimulus to innovation that is more actively perceived as a risk reduction strategy by proactive firms, which are investing in sustainable agricultural operations to guarantee long-term supply relations.</w:t>
      </w:r>
    </w:p>
    <w:p w14:paraId="502C491C" w14:textId="77777777" w:rsidR="00EF36C3" w:rsidRPr="00DF4F7A" w:rsidRDefault="00EF36C3" w:rsidP="00EF36C3">
      <w:pPr>
        <w:rPr>
          <w:rFonts w:ascii="Arial" w:hAnsi="Arial" w:cs="Arial"/>
          <w:sz w:val="22"/>
        </w:rPr>
      </w:pPr>
      <w:r w:rsidRPr="00DF4F7A">
        <w:rPr>
          <w:rFonts w:ascii="Arial" w:hAnsi="Arial" w:cs="Arial"/>
          <w:b/>
          <w:bCs/>
          <w:i/>
          <w:iCs/>
          <w:sz w:val="22"/>
        </w:rPr>
        <w:t>Legal:</w:t>
      </w:r>
      <w:r w:rsidRPr="00DF4F7A">
        <w:rPr>
          <w:rFonts w:ascii="Arial" w:hAnsi="Arial" w:cs="Arial"/>
          <w:sz w:val="22"/>
        </w:rPr>
        <w:t xml:space="preserve"> It is a basic requirement to be in the sector because legal regulations in the sector are strict on food safety and labelling. In a more strategic way, changes in the packaging laws and deposit return systems across Europe are both challenges and opportunities to companies, which adhere to the principles of the circular economy. It has been proposed in research that a proper regulatory framework can motivate sustainable packaging and waste minimisation (Calado et al., 2022).</w:t>
      </w:r>
    </w:p>
    <w:p w14:paraId="4F40683E" w14:textId="77777777" w:rsidR="00EF36C3" w:rsidRPr="00DF4F7A" w:rsidRDefault="00EF36C3" w:rsidP="00EF36C3">
      <w:pPr>
        <w:rPr>
          <w:rFonts w:ascii="Arial" w:hAnsi="Arial" w:cs="Arial"/>
          <w:sz w:val="22"/>
          <w:lang w:eastAsia="en-US"/>
        </w:rPr>
      </w:pPr>
    </w:p>
    <w:p w14:paraId="77538897" w14:textId="64DDCE17" w:rsidR="00167669" w:rsidRPr="00DF4F7A" w:rsidRDefault="00167669" w:rsidP="00167669">
      <w:pPr>
        <w:pStyle w:val="Heading2"/>
        <w:rPr>
          <w:rFonts w:ascii="Arial" w:hAnsi="Arial" w:cs="Arial"/>
          <w:sz w:val="22"/>
          <w:szCs w:val="22"/>
        </w:rPr>
      </w:pPr>
      <w:bookmarkStart w:id="5" w:name="_Toc224072911"/>
      <w:r w:rsidRPr="00DF4F7A">
        <w:rPr>
          <w:rFonts w:ascii="Arial" w:hAnsi="Arial" w:cs="Arial"/>
          <w:sz w:val="22"/>
          <w:szCs w:val="22"/>
        </w:rPr>
        <w:t>3.2 Industry Analysis (Porter's Five Forces)</w:t>
      </w:r>
      <w:bookmarkEnd w:id="5"/>
    </w:p>
    <w:p w14:paraId="04FCB65E" w14:textId="77777777" w:rsidR="003368B6" w:rsidRPr="00DF4F7A" w:rsidRDefault="003368B6" w:rsidP="003368B6">
      <w:pPr>
        <w:rPr>
          <w:rFonts w:ascii="Arial" w:hAnsi="Arial" w:cs="Arial"/>
          <w:sz w:val="22"/>
        </w:rPr>
      </w:pPr>
      <w:r w:rsidRPr="00DF4F7A">
        <w:rPr>
          <w:rFonts w:ascii="Arial" w:hAnsi="Arial" w:cs="Arial"/>
          <w:b/>
          <w:bCs/>
          <w:i/>
          <w:iCs/>
          <w:sz w:val="22"/>
        </w:rPr>
        <w:t>Threat of New Entrants (Moderate):</w:t>
      </w:r>
      <w:r w:rsidRPr="00DF4F7A">
        <w:rPr>
          <w:rFonts w:ascii="Arial" w:hAnsi="Arial" w:cs="Arial"/>
          <w:sz w:val="22"/>
        </w:rPr>
        <w:t xml:space="preserve"> The barriers to entry in the beverage industry, in general, are moderate, and a variety of small, artisanal brands have been coming to cater to the niche </w:t>
      </w:r>
      <w:r w:rsidRPr="00DF4F7A">
        <w:rPr>
          <w:rFonts w:ascii="Arial" w:hAnsi="Arial" w:cs="Arial"/>
          <w:sz w:val="22"/>
        </w:rPr>
        <w:lastRenderedPageBreak/>
        <w:t>market. Nonetheless, research conducted in the field of strategic management has proved that brand loyalty and well-developed distribution networks pose enormous barriers to entry that safeguard the existing companies (Porter, 2008). New players would find it difficult to match the infrastructural level of sustainability and supply chain relationships that established players have built over a long period of time.</w:t>
      </w:r>
    </w:p>
    <w:p w14:paraId="35D7A747" w14:textId="77777777" w:rsidR="003368B6" w:rsidRPr="00DF4F7A" w:rsidRDefault="003368B6" w:rsidP="003368B6">
      <w:pPr>
        <w:rPr>
          <w:rFonts w:ascii="Arial" w:hAnsi="Arial" w:cs="Arial"/>
          <w:sz w:val="22"/>
        </w:rPr>
      </w:pPr>
      <w:r w:rsidRPr="00DF4F7A">
        <w:rPr>
          <w:rFonts w:ascii="Arial" w:hAnsi="Arial" w:cs="Arial"/>
          <w:b/>
          <w:bCs/>
          <w:i/>
          <w:iCs/>
          <w:sz w:val="22"/>
        </w:rPr>
        <w:t>Supplier Bargaining Power (Moderate to High):</w:t>
      </w:r>
      <w:r w:rsidRPr="00DF4F7A">
        <w:rPr>
          <w:rFonts w:ascii="Arial" w:hAnsi="Arial" w:cs="Arial"/>
          <w:sz w:val="22"/>
        </w:rPr>
        <w:t xml:space="preserve"> This is a high force in food and beverage industry. Companies obtain farm goods through world supply chains and the influence of massive suppliers may be great, particularly with major components. The literature on supply chain relations focuses on the significance of long-term relationships and collaboration in dealing with supplier power (Touboulic and Walker, 2016). Active companies strive to restore the balance of power with the help of sustainability principles and structures of relationships with partners that help to build loyalty and decrease the probability of supply disruption.</w:t>
      </w:r>
    </w:p>
    <w:p w14:paraId="056E19CD" w14:textId="77777777" w:rsidR="003368B6" w:rsidRPr="00DF4F7A" w:rsidRDefault="003368B6" w:rsidP="003368B6">
      <w:pPr>
        <w:rPr>
          <w:rFonts w:ascii="Arial" w:hAnsi="Arial" w:cs="Arial"/>
          <w:sz w:val="22"/>
        </w:rPr>
      </w:pPr>
      <w:r w:rsidRPr="00DF4F7A">
        <w:rPr>
          <w:rFonts w:ascii="Arial" w:hAnsi="Arial" w:cs="Arial"/>
          <w:b/>
          <w:bCs/>
          <w:i/>
          <w:iCs/>
          <w:sz w:val="22"/>
        </w:rPr>
        <w:t>Buyers Power (High):</w:t>
      </w:r>
      <w:r w:rsidRPr="00DF4F7A">
        <w:rPr>
          <w:rFonts w:ascii="Arial" w:hAnsi="Arial" w:cs="Arial"/>
          <w:sz w:val="22"/>
        </w:rPr>
        <w:t xml:space="preserve"> Buyers have an enormous amount of options in the soft drinks/healthy snacks aisle. Supermarkets, being the major channel of entry of most of the food and beverage brands, also have great power, and require preferential placement in the shelves, promotion and competitive prices. According to the scholars of strategic management, powerful brands serve as a balancing force to the power of retailers because retailers understand that they have to have popular products on stock to satisfy demand (Homburg, Jozić and Kuehnl, 2017).</w:t>
      </w:r>
    </w:p>
    <w:p w14:paraId="210FE14F" w14:textId="77777777" w:rsidR="003368B6" w:rsidRPr="00DF4F7A" w:rsidRDefault="003368B6" w:rsidP="003368B6">
      <w:pPr>
        <w:rPr>
          <w:rFonts w:ascii="Arial" w:hAnsi="Arial" w:cs="Arial"/>
          <w:sz w:val="22"/>
        </w:rPr>
      </w:pPr>
      <w:r w:rsidRPr="00DF4F7A">
        <w:rPr>
          <w:rFonts w:ascii="Arial" w:hAnsi="Arial" w:cs="Arial"/>
          <w:b/>
          <w:bCs/>
          <w:i/>
          <w:iCs/>
          <w:sz w:val="22"/>
        </w:rPr>
        <w:t>Threat of Substitute Products (High):</w:t>
      </w:r>
      <w:r w:rsidRPr="00DF4F7A">
        <w:rPr>
          <w:rFonts w:ascii="Arial" w:hAnsi="Arial" w:cs="Arial"/>
          <w:sz w:val="22"/>
        </w:rPr>
        <w:t xml:space="preserve"> There is a high degree of threat of substitute products in the healthy drinks industry since the industry is saturated with a very high number of substitutes such as other types of beverages and alternative snacks. The risk is that the customers can redirect their expenditure in other product categories completely. Consumer switching behaviour studies emphasize that the constant innovation and brand reinforcement is the key to customer loyalty, considering the threat of substitute products (McDonald et al., 2021).</w:t>
      </w:r>
    </w:p>
    <w:p w14:paraId="2C384004" w14:textId="3BCCA840" w:rsidR="003368B6" w:rsidRPr="00DF4F7A" w:rsidRDefault="003368B6" w:rsidP="003368B6">
      <w:pPr>
        <w:rPr>
          <w:rFonts w:ascii="Arial" w:hAnsi="Arial" w:cs="Arial"/>
          <w:sz w:val="22"/>
        </w:rPr>
      </w:pPr>
      <w:r w:rsidRPr="00DF4F7A">
        <w:rPr>
          <w:rFonts w:ascii="Arial" w:hAnsi="Arial" w:cs="Arial"/>
          <w:b/>
          <w:bCs/>
          <w:i/>
          <w:iCs/>
          <w:sz w:val="22"/>
        </w:rPr>
        <w:t>Rivalry within the industry (High):</w:t>
      </w:r>
      <w:r w:rsidRPr="00DF4F7A">
        <w:rPr>
          <w:rFonts w:ascii="Arial" w:hAnsi="Arial" w:cs="Arial"/>
          <w:sz w:val="22"/>
        </w:rPr>
        <w:t xml:space="preserve"> Healthy drinks industry is competitive. Competition is grounded on product quality, brand image, distribution coverage and more importantly, sustainability credentials. Competitive threat of supermarket own-brand products is also high due to lower price of alternative products. According to the research, they have established that authentic ethical positioning differentiation can sustain a competitive edge under such competitive market environments (Jones, Hill and Comfort, 2020).</w:t>
      </w:r>
    </w:p>
    <w:p w14:paraId="1E959C03" w14:textId="77777777" w:rsidR="00D84017" w:rsidRPr="00DF4F7A" w:rsidRDefault="00D84017">
      <w:pPr>
        <w:spacing w:line="259" w:lineRule="auto"/>
        <w:jc w:val="left"/>
        <w:rPr>
          <w:rFonts w:ascii="Arial" w:eastAsiaTheme="majorEastAsia" w:hAnsi="Arial" w:cs="Arial"/>
          <w:b/>
          <w:sz w:val="22"/>
        </w:rPr>
      </w:pPr>
      <w:r w:rsidRPr="00DF4F7A">
        <w:rPr>
          <w:rFonts w:ascii="Arial" w:hAnsi="Arial" w:cs="Arial"/>
          <w:sz w:val="22"/>
        </w:rPr>
        <w:br w:type="page"/>
      </w:r>
    </w:p>
    <w:p w14:paraId="29D9C898" w14:textId="6DBA4929" w:rsidR="00FC424C" w:rsidRPr="00DF4F7A" w:rsidRDefault="00FC424C" w:rsidP="00FC424C">
      <w:pPr>
        <w:pStyle w:val="Heading2"/>
        <w:rPr>
          <w:rFonts w:ascii="Arial" w:hAnsi="Arial" w:cs="Arial"/>
          <w:sz w:val="22"/>
          <w:szCs w:val="22"/>
        </w:rPr>
      </w:pPr>
      <w:bookmarkStart w:id="6" w:name="_Toc224072912"/>
      <w:r w:rsidRPr="00DF4F7A">
        <w:rPr>
          <w:rFonts w:ascii="Arial" w:hAnsi="Arial" w:cs="Arial"/>
          <w:sz w:val="22"/>
          <w:szCs w:val="22"/>
        </w:rPr>
        <w:lastRenderedPageBreak/>
        <w:t>3.3 Internal Analysis (SWOT)</w:t>
      </w:r>
      <w:bookmarkEnd w:id="6"/>
    </w:p>
    <w:tbl>
      <w:tblPr>
        <w:tblStyle w:val="TableGrid"/>
        <w:tblW w:w="9934" w:type="dxa"/>
        <w:tblLook w:val="04A0" w:firstRow="1" w:lastRow="0" w:firstColumn="1" w:lastColumn="0" w:noHBand="0" w:noVBand="1"/>
      </w:tblPr>
      <w:tblGrid>
        <w:gridCol w:w="5543"/>
        <w:gridCol w:w="4391"/>
      </w:tblGrid>
      <w:tr w:rsidR="00D84017" w:rsidRPr="00DF4F7A" w14:paraId="7A67AD59" w14:textId="77777777" w:rsidTr="00FF6358">
        <w:trPr>
          <w:trHeight w:val="357"/>
        </w:trPr>
        <w:tc>
          <w:tcPr>
            <w:tcW w:w="0" w:type="auto"/>
            <w:hideMark/>
          </w:tcPr>
          <w:p w14:paraId="24C2EED6" w14:textId="77777777" w:rsidR="00FF6358" w:rsidRPr="00DF4F7A" w:rsidRDefault="00FF6358" w:rsidP="00FF6358">
            <w:pPr>
              <w:spacing w:line="375" w:lineRule="atLeast"/>
              <w:jc w:val="left"/>
              <w:rPr>
                <w:rFonts w:ascii="Arial" w:eastAsia="Times New Roman" w:hAnsi="Arial" w:cs="Arial"/>
                <w:color w:val="0F1115"/>
                <w:sz w:val="22"/>
                <w:lang w:eastAsia="en-US"/>
              </w:rPr>
            </w:pPr>
            <w:r w:rsidRPr="00DF4F7A">
              <w:rPr>
                <w:rFonts w:ascii="Arial" w:eastAsia="Times New Roman" w:hAnsi="Arial" w:cs="Arial"/>
                <w:b/>
                <w:bCs/>
                <w:color w:val="0F1115"/>
                <w:sz w:val="22"/>
                <w:lang w:eastAsia="en-US"/>
              </w:rPr>
              <w:t>Strengths</w:t>
            </w:r>
          </w:p>
        </w:tc>
        <w:tc>
          <w:tcPr>
            <w:tcW w:w="0" w:type="auto"/>
            <w:hideMark/>
          </w:tcPr>
          <w:p w14:paraId="655148EE" w14:textId="77777777" w:rsidR="00FF6358" w:rsidRPr="00DF4F7A" w:rsidRDefault="00FF6358" w:rsidP="00FF6358">
            <w:pPr>
              <w:spacing w:line="375" w:lineRule="atLeast"/>
              <w:jc w:val="left"/>
              <w:rPr>
                <w:rFonts w:ascii="Arial" w:eastAsia="Times New Roman" w:hAnsi="Arial" w:cs="Arial"/>
                <w:color w:val="0F1115"/>
                <w:sz w:val="22"/>
                <w:lang w:eastAsia="en-US"/>
              </w:rPr>
            </w:pPr>
            <w:r w:rsidRPr="00DF4F7A">
              <w:rPr>
                <w:rFonts w:ascii="Arial" w:eastAsia="Times New Roman" w:hAnsi="Arial" w:cs="Arial"/>
                <w:b/>
                <w:bCs/>
                <w:color w:val="0F1115"/>
                <w:sz w:val="22"/>
                <w:lang w:eastAsia="en-US"/>
              </w:rPr>
              <w:t>Weaknesses</w:t>
            </w:r>
          </w:p>
        </w:tc>
      </w:tr>
      <w:tr w:rsidR="00BE6628" w:rsidRPr="00DF4F7A" w14:paraId="06732406" w14:textId="77777777" w:rsidTr="00D84017">
        <w:trPr>
          <w:trHeight w:val="5345"/>
        </w:trPr>
        <w:tc>
          <w:tcPr>
            <w:tcW w:w="0" w:type="auto"/>
            <w:shd w:val="clear" w:color="auto" w:fill="D9E2F3" w:themeFill="accent1" w:themeFillTint="33"/>
            <w:hideMark/>
          </w:tcPr>
          <w:p w14:paraId="176CCD51"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Strong, authentic brand with high consumer trust and loyalty. Research confirms that brand authenticity significantly influences consumer purchase intentions (Fritz, Schoenmueller and Bruhn, 2017).</w:t>
            </w:r>
          </w:p>
          <w:p w14:paraId="2D82B2C8"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Mission-driven culture and ethical certification, providing key points of differentiation. Studies show that B Corp certification enhances consumer trust and willingness to pay premium prices (Paunescu, 2022).</w:t>
            </w:r>
          </w:p>
          <w:p w14:paraId="69F9FBE6"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Robust sustainability strategy with clear environmental commitments. Scholars note that transparent sustainability reporting enhances corporate legitimacy and stakeholder trust (Martínez-Ferrero and García-Sánchez, 2017).</w:t>
            </w:r>
          </w:p>
          <w:p w14:paraId="767215D5" w14:textId="3641A928"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Backing of a larger corporate parent, providing financial resources and distribution expertise.</w:t>
            </w:r>
          </w:p>
        </w:tc>
        <w:tc>
          <w:tcPr>
            <w:tcW w:w="0" w:type="auto"/>
            <w:shd w:val="clear" w:color="auto" w:fill="FFF2CC" w:themeFill="accent4" w:themeFillTint="33"/>
            <w:hideMark/>
          </w:tcPr>
          <w:p w14:paraId="4FFB058C"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Premium pricing makes products vulnerable in economic downturns, as consumers may trade down to lower-priced alternatives.</w:t>
            </w:r>
          </w:p>
          <w:p w14:paraId="0DA1932C"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Increasing pressure to innovate constantly, which can stretch R&amp;D capabilities and risk brand dilution if not managed carefully.</w:t>
            </w:r>
          </w:p>
          <w:p w14:paraId="7519EDE8"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Complex global supply chain creates vulnerability to disruptions and makes Scope 3 emissions difficult to manage.</w:t>
            </w:r>
          </w:p>
          <w:p w14:paraId="11BC78CE" w14:textId="7EC8CA60"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Dependence on major retail partners creates vulnerability to changes in retail strategy and buyer power.</w:t>
            </w:r>
          </w:p>
        </w:tc>
      </w:tr>
      <w:tr w:rsidR="00D84017" w:rsidRPr="00DF4F7A" w14:paraId="30F05076" w14:textId="77777777" w:rsidTr="00FF6358">
        <w:trPr>
          <w:trHeight w:val="357"/>
        </w:trPr>
        <w:tc>
          <w:tcPr>
            <w:tcW w:w="0" w:type="auto"/>
            <w:hideMark/>
          </w:tcPr>
          <w:p w14:paraId="14B77B6A" w14:textId="77777777" w:rsidR="00FF6358" w:rsidRPr="00DF4F7A" w:rsidRDefault="00FF6358" w:rsidP="00D84017">
            <w:pPr>
              <w:spacing w:line="240" w:lineRule="auto"/>
              <w:jc w:val="left"/>
              <w:rPr>
                <w:rFonts w:ascii="Arial" w:eastAsia="Times New Roman" w:hAnsi="Arial" w:cs="Arial"/>
                <w:color w:val="0F1115"/>
                <w:sz w:val="22"/>
                <w:lang w:eastAsia="en-US"/>
              </w:rPr>
            </w:pPr>
            <w:r w:rsidRPr="00DF4F7A">
              <w:rPr>
                <w:rFonts w:ascii="Arial" w:eastAsia="Times New Roman" w:hAnsi="Arial" w:cs="Arial"/>
                <w:b/>
                <w:bCs/>
                <w:color w:val="0F1115"/>
                <w:sz w:val="22"/>
                <w:lang w:eastAsia="en-US"/>
              </w:rPr>
              <w:t>Opportunities</w:t>
            </w:r>
          </w:p>
        </w:tc>
        <w:tc>
          <w:tcPr>
            <w:tcW w:w="0" w:type="auto"/>
            <w:hideMark/>
          </w:tcPr>
          <w:p w14:paraId="5E0640C9" w14:textId="77777777" w:rsidR="00FF6358" w:rsidRPr="00DF4F7A" w:rsidRDefault="00FF6358" w:rsidP="00D84017">
            <w:pPr>
              <w:spacing w:line="240" w:lineRule="auto"/>
              <w:jc w:val="left"/>
              <w:rPr>
                <w:rFonts w:ascii="Arial" w:eastAsia="Times New Roman" w:hAnsi="Arial" w:cs="Arial"/>
                <w:color w:val="0F1115"/>
                <w:sz w:val="22"/>
                <w:lang w:eastAsia="en-US"/>
              </w:rPr>
            </w:pPr>
            <w:r w:rsidRPr="00DF4F7A">
              <w:rPr>
                <w:rFonts w:ascii="Arial" w:eastAsia="Times New Roman" w:hAnsi="Arial" w:cs="Arial"/>
                <w:b/>
                <w:bCs/>
                <w:color w:val="0F1115"/>
                <w:sz w:val="22"/>
                <w:lang w:eastAsia="en-US"/>
              </w:rPr>
              <w:t>Threats</w:t>
            </w:r>
          </w:p>
        </w:tc>
      </w:tr>
      <w:tr w:rsidR="00BE6628" w:rsidRPr="00DF4F7A" w14:paraId="3384E7C5" w14:textId="77777777" w:rsidTr="00D84017">
        <w:trPr>
          <w:trHeight w:val="3860"/>
        </w:trPr>
        <w:tc>
          <w:tcPr>
            <w:tcW w:w="0" w:type="auto"/>
            <w:shd w:val="clear" w:color="auto" w:fill="D5DCE4" w:themeFill="text2" w:themeFillTint="33"/>
            <w:hideMark/>
          </w:tcPr>
          <w:p w14:paraId="20E8BB0C"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Growing consumer demand for functional beverages with added health benefits. Research documents the rapid growth of the functional foods market globally (Vicentini, Liberatore and Mastroberardino, 2021).</w:t>
            </w:r>
          </w:p>
          <w:p w14:paraId="3F4F42BC"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Expansion into adjacent product categories that align with the brand's ethical positioning.</w:t>
            </w:r>
          </w:p>
          <w:p w14:paraId="5EBFEB14"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Leveraging technology for enhanced supply chain transparency and customer engagement.</w:t>
            </w:r>
          </w:p>
          <w:p w14:paraId="0E4B98DC" w14:textId="03AA54BB"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Geographical expansion into new markets with growing health-conscious consumer segments.</w:t>
            </w:r>
          </w:p>
        </w:tc>
        <w:tc>
          <w:tcPr>
            <w:tcW w:w="0" w:type="auto"/>
            <w:shd w:val="clear" w:color="auto" w:fill="C5E0B3" w:themeFill="accent6" w:themeFillTint="66"/>
            <w:hideMark/>
          </w:tcPr>
          <w:p w14:paraId="17F9AFB4"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Intense and increasing competition from both new entrants and private-label brands with lower price points.</w:t>
            </w:r>
          </w:p>
          <w:p w14:paraId="7D4AB07A"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Volatility in global supply chains due to climate change, geopolitical instability, and rising input costs (Ivanov, 2021).</w:t>
            </w:r>
          </w:p>
          <w:p w14:paraId="356123D8" w14:textId="77777777"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Risk of 'greenwashing' accusations if sustainability claims are not meticulously backed by verifiable data and progress (Seele and Schultz, 2022).</w:t>
            </w:r>
          </w:p>
          <w:p w14:paraId="0533E92C" w14:textId="6AA8E21E" w:rsidR="00BE6628" w:rsidRPr="00DF4F7A" w:rsidRDefault="00BE6628" w:rsidP="00D84017">
            <w:pPr>
              <w:pStyle w:val="ListParagraph"/>
              <w:numPr>
                <w:ilvl w:val="0"/>
                <w:numId w:val="2"/>
              </w:numPr>
              <w:spacing w:line="240" w:lineRule="auto"/>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Changing consumer tastes and the potential for dietary shifts away from certain product categories.</w:t>
            </w:r>
          </w:p>
        </w:tc>
      </w:tr>
    </w:tbl>
    <w:p w14:paraId="7CEAC1A8" w14:textId="5D19C7F3" w:rsidR="00FF6358" w:rsidRPr="00DF4F7A" w:rsidRDefault="005A5341" w:rsidP="005A5341">
      <w:pPr>
        <w:pStyle w:val="Caption"/>
        <w:rPr>
          <w:rFonts w:ascii="Arial" w:hAnsi="Arial" w:cs="Arial"/>
          <w:sz w:val="22"/>
          <w:szCs w:val="22"/>
        </w:rPr>
      </w:pPr>
      <w:r w:rsidRPr="00DF4F7A">
        <w:rPr>
          <w:rFonts w:ascii="Arial" w:hAnsi="Arial" w:cs="Arial"/>
          <w:sz w:val="22"/>
          <w:szCs w:val="22"/>
        </w:rPr>
        <w:t xml:space="preserve">Table </w:t>
      </w:r>
      <w:r w:rsidRPr="00DF4F7A">
        <w:rPr>
          <w:rFonts w:ascii="Arial" w:hAnsi="Arial" w:cs="Arial"/>
          <w:sz w:val="22"/>
          <w:szCs w:val="22"/>
        </w:rPr>
        <w:fldChar w:fldCharType="begin"/>
      </w:r>
      <w:r w:rsidRPr="00DF4F7A">
        <w:rPr>
          <w:rFonts w:ascii="Arial" w:hAnsi="Arial" w:cs="Arial"/>
          <w:sz w:val="22"/>
          <w:szCs w:val="22"/>
        </w:rPr>
        <w:instrText xml:space="preserve"> SEQ Table \* ARABIC </w:instrText>
      </w:r>
      <w:r w:rsidRPr="00DF4F7A">
        <w:rPr>
          <w:rFonts w:ascii="Arial" w:hAnsi="Arial" w:cs="Arial"/>
          <w:sz w:val="22"/>
          <w:szCs w:val="22"/>
        </w:rPr>
        <w:fldChar w:fldCharType="separate"/>
      </w:r>
      <w:r w:rsidRPr="00DF4F7A">
        <w:rPr>
          <w:rFonts w:ascii="Arial" w:hAnsi="Arial" w:cs="Arial"/>
          <w:noProof/>
          <w:sz w:val="22"/>
          <w:szCs w:val="22"/>
        </w:rPr>
        <w:t>1</w:t>
      </w:r>
      <w:r w:rsidRPr="00DF4F7A">
        <w:rPr>
          <w:rFonts w:ascii="Arial" w:hAnsi="Arial" w:cs="Arial"/>
          <w:sz w:val="22"/>
          <w:szCs w:val="22"/>
        </w:rPr>
        <w:fldChar w:fldCharType="end"/>
      </w:r>
      <w:r w:rsidRPr="00DF4F7A">
        <w:rPr>
          <w:rFonts w:ascii="Arial" w:hAnsi="Arial" w:cs="Arial"/>
          <w:sz w:val="22"/>
          <w:szCs w:val="22"/>
        </w:rPr>
        <w:t>: SWOT Analysis.</w:t>
      </w:r>
    </w:p>
    <w:p w14:paraId="7834D56B" w14:textId="60D96F56" w:rsidR="00FC424C" w:rsidRPr="00DF4F7A" w:rsidRDefault="00C7446A" w:rsidP="00C7446A">
      <w:pPr>
        <w:pStyle w:val="Heading1"/>
        <w:rPr>
          <w:rFonts w:ascii="Arial" w:hAnsi="Arial" w:cs="Arial"/>
          <w:sz w:val="22"/>
          <w:szCs w:val="22"/>
        </w:rPr>
      </w:pPr>
      <w:bookmarkStart w:id="7" w:name="_Toc224072913"/>
      <w:r w:rsidRPr="00DF4F7A">
        <w:rPr>
          <w:rFonts w:ascii="Arial" w:hAnsi="Arial" w:cs="Arial"/>
          <w:sz w:val="22"/>
          <w:szCs w:val="22"/>
        </w:rPr>
        <w:t>4.0 Strategic Growth Options and Proposed Strategy</w:t>
      </w:r>
      <w:bookmarkEnd w:id="7"/>
      <w:r w:rsidRPr="00DF4F7A">
        <w:rPr>
          <w:rFonts w:ascii="Arial" w:hAnsi="Arial" w:cs="Arial"/>
          <w:sz w:val="22"/>
          <w:szCs w:val="22"/>
        </w:rPr>
        <w:t xml:space="preserve"> </w:t>
      </w:r>
    </w:p>
    <w:p w14:paraId="63B516E5" w14:textId="77777777" w:rsidR="00D14F95" w:rsidRPr="00DF4F7A" w:rsidRDefault="00D14F95" w:rsidP="00D14F95">
      <w:pPr>
        <w:rPr>
          <w:rFonts w:ascii="Arial" w:hAnsi="Arial" w:cs="Arial"/>
          <w:sz w:val="22"/>
        </w:rPr>
      </w:pPr>
      <w:r w:rsidRPr="00DF4F7A">
        <w:rPr>
          <w:rFonts w:ascii="Arial" w:hAnsi="Arial" w:cs="Arial"/>
          <w:sz w:val="22"/>
        </w:rPr>
        <w:t>According to the environmental analysis, Innocent Drinks needs to expand in a way that offers a commercially viable growth yet is true to the company.</w:t>
      </w:r>
    </w:p>
    <w:p w14:paraId="715A1CB5" w14:textId="3FFFA409" w:rsidR="00C7446A" w:rsidRPr="00DF4F7A" w:rsidRDefault="00C7446A" w:rsidP="00C7446A">
      <w:pPr>
        <w:pStyle w:val="Heading2"/>
        <w:rPr>
          <w:rFonts w:ascii="Arial" w:hAnsi="Arial" w:cs="Arial"/>
          <w:sz w:val="22"/>
          <w:szCs w:val="22"/>
        </w:rPr>
      </w:pPr>
      <w:bookmarkStart w:id="8" w:name="_Toc224072914"/>
      <w:r w:rsidRPr="00DF4F7A">
        <w:rPr>
          <w:rFonts w:ascii="Arial" w:hAnsi="Arial" w:cs="Arial"/>
          <w:sz w:val="22"/>
          <w:szCs w:val="22"/>
        </w:rPr>
        <w:lastRenderedPageBreak/>
        <w:t>4.1 Exploration of Strategic Options</w:t>
      </w:r>
      <w:bookmarkEnd w:id="8"/>
    </w:p>
    <w:p w14:paraId="2F7C54AA" w14:textId="77777777" w:rsidR="00D14F95" w:rsidRPr="00DF4F7A" w:rsidRDefault="00D14F95" w:rsidP="00D14F95">
      <w:pPr>
        <w:rPr>
          <w:rFonts w:ascii="Arial" w:hAnsi="Arial" w:cs="Arial"/>
          <w:sz w:val="22"/>
        </w:rPr>
      </w:pPr>
      <w:r w:rsidRPr="00DF4F7A">
        <w:rPr>
          <w:rFonts w:ascii="Arial" w:hAnsi="Arial" w:cs="Arial"/>
          <w:sz w:val="22"/>
        </w:rPr>
        <w:t>The potential growth directions can be assessed with the help of the Ansoff Matrix. The matrix is still one of the key strategic planning tools, as it allows managers to determine the level of risk posed by various growth directions (Ansoff, Kipley and Lewis, 2019).</w:t>
      </w:r>
    </w:p>
    <w:p w14:paraId="63F31D8F" w14:textId="77777777" w:rsidR="00D14F95" w:rsidRPr="00DF4F7A" w:rsidRDefault="00D14F95" w:rsidP="00D14F95">
      <w:pPr>
        <w:rPr>
          <w:rFonts w:ascii="Arial" w:hAnsi="Arial" w:cs="Arial"/>
          <w:sz w:val="22"/>
        </w:rPr>
      </w:pPr>
      <w:r w:rsidRPr="00DF4F7A">
        <w:rPr>
          <w:rFonts w:ascii="Arial" w:hAnsi="Arial" w:cs="Arial"/>
          <w:b/>
          <w:bCs/>
          <w:i/>
          <w:iCs/>
          <w:sz w:val="22"/>
        </w:rPr>
        <w:t>Market Penetration:</w:t>
      </w:r>
      <w:r w:rsidRPr="00DF4F7A">
        <w:rPr>
          <w:rFonts w:ascii="Arial" w:hAnsi="Arial" w:cs="Arial"/>
          <w:sz w:val="22"/>
        </w:rPr>
        <w:t xml:space="preserve"> Boosting the sales of the existing products in the existing markets. It is a safe entry mode but does not provide a lot of growth potential in a highly competitive and saturated market. It is proposed that the market penetration strategies are the most efficient in cases when markets are not already saturated, and the firm has underutilised competitive advantages (Hussain et al., 2021).</w:t>
      </w:r>
    </w:p>
    <w:p w14:paraId="2842723C" w14:textId="7B779550" w:rsidR="00D14F95" w:rsidRPr="00DF4F7A" w:rsidRDefault="00D14F95" w:rsidP="00D14F95">
      <w:pPr>
        <w:rPr>
          <w:rFonts w:ascii="Arial" w:hAnsi="Arial" w:cs="Arial"/>
          <w:sz w:val="22"/>
        </w:rPr>
      </w:pPr>
      <w:r w:rsidRPr="00DF4F7A">
        <w:rPr>
          <w:rFonts w:ascii="Arial" w:hAnsi="Arial" w:cs="Arial"/>
          <w:b/>
          <w:bCs/>
          <w:i/>
          <w:iCs/>
          <w:sz w:val="22"/>
        </w:rPr>
        <w:t>Market Development:</w:t>
      </w:r>
      <w:r w:rsidRPr="00DF4F7A">
        <w:rPr>
          <w:rFonts w:ascii="Arial" w:hAnsi="Arial" w:cs="Arial"/>
          <w:sz w:val="22"/>
        </w:rPr>
        <w:t xml:space="preserve"> Introduction of new geographical locations using existing products. Although this can be achieved through suitable distribution arrangements, there is a danger of losing brand authenticity when this is not done with a lot of care. Different cultural settings and sustainability dynamics that need to be adjusted to can exist in new markets</w:t>
      </w:r>
      <w:r w:rsidR="00325DB7" w:rsidRPr="00DF4F7A">
        <w:rPr>
          <w:rFonts w:ascii="Arial" w:hAnsi="Arial" w:cs="Arial"/>
          <w:sz w:val="22"/>
        </w:rPr>
        <w:t xml:space="preserve"> (Banker, Mashruwala and Tripathy, 2021)</w:t>
      </w:r>
      <w:r w:rsidRPr="00DF4F7A">
        <w:rPr>
          <w:rFonts w:ascii="Arial" w:hAnsi="Arial" w:cs="Arial"/>
          <w:sz w:val="22"/>
        </w:rPr>
        <w:t>.</w:t>
      </w:r>
    </w:p>
    <w:p w14:paraId="66909BB1" w14:textId="77777777" w:rsidR="00D14F95" w:rsidRPr="00DF4F7A" w:rsidRDefault="00D14F95" w:rsidP="00D14F95">
      <w:pPr>
        <w:rPr>
          <w:rFonts w:ascii="Arial" w:hAnsi="Arial" w:cs="Arial"/>
          <w:sz w:val="22"/>
        </w:rPr>
      </w:pPr>
      <w:r w:rsidRPr="00DF4F7A">
        <w:rPr>
          <w:rFonts w:ascii="Arial" w:hAnsi="Arial" w:cs="Arial"/>
          <w:b/>
          <w:bCs/>
          <w:i/>
          <w:iCs/>
          <w:sz w:val="22"/>
        </w:rPr>
        <w:t>Product Development:</w:t>
      </w:r>
      <w:r w:rsidRPr="00DF4F7A">
        <w:rPr>
          <w:rFonts w:ascii="Arial" w:hAnsi="Arial" w:cs="Arial"/>
          <w:sz w:val="22"/>
        </w:rPr>
        <w:t xml:space="preserve"> The production of new products to the already existing markets. This will enable the firm to utilise its good brand equity and distribution network to address the emerging consumer needs. It is an average-risk though high potential alternative that helps companies to exploit changing tastes of consumers (Brenes, Ciravegna and Acuña, 2020).</w:t>
      </w:r>
    </w:p>
    <w:p w14:paraId="40F32A21" w14:textId="77777777" w:rsidR="00D14F95" w:rsidRPr="00DF4F7A" w:rsidRDefault="00D14F95" w:rsidP="00D14F95">
      <w:pPr>
        <w:rPr>
          <w:rFonts w:ascii="Arial" w:hAnsi="Arial" w:cs="Arial"/>
          <w:sz w:val="22"/>
        </w:rPr>
      </w:pPr>
      <w:r w:rsidRPr="00DF4F7A">
        <w:rPr>
          <w:rFonts w:ascii="Arial" w:hAnsi="Arial" w:cs="Arial"/>
          <w:b/>
          <w:bCs/>
          <w:i/>
          <w:iCs/>
          <w:sz w:val="22"/>
        </w:rPr>
        <w:t xml:space="preserve">Diversification: </w:t>
      </w:r>
      <w:r w:rsidRPr="00DF4F7A">
        <w:rPr>
          <w:rFonts w:ascii="Arial" w:hAnsi="Arial" w:cs="Arial"/>
          <w:sz w:val="22"/>
        </w:rPr>
        <w:t>New product innovation to new markets. This is the most risky approach and may push the brand too far as it may lose its target customer base. According to the strategic management scholars, when shareholders are not careful in managing unrelated diversification, it usually destroys shareholder value (Lee and Lieberman, 2020).</w:t>
      </w:r>
    </w:p>
    <w:p w14:paraId="6AC23773" w14:textId="0C6C0F02" w:rsidR="003A2A81" w:rsidRPr="00DF4F7A" w:rsidRDefault="003A2A81" w:rsidP="003A2A81">
      <w:pPr>
        <w:pStyle w:val="Heading2"/>
        <w:rPr>
          <w:rFonts w:ascii="Arial" w:hAnsi="Arial" w:cs="Arial"/>
          <w:sz w:val="22"/>
          <w:szCs w:val="22"/>
        </w:rPr>
      </w:pPr>
      <w:bookmarkStart w:id="9" w:name="_Toc224072915"/>
      <w:r w:rsidRPr="00DF4F7A">
        <w:rPr>
          <w:rFonts w:ascii="Arial" w:hAnsi="Arial" w:cs="Arial"/>
          <w:sz w:val="22"/>
          <w:szCs w:val="22"/>
        </w:rPr>
        <w:t>4.2 Proposed Strategy: Product Development through Differentiation</w:t>
      </w:r>
      <w:bookmarkEnd w:id="9"/>
    </w:p>
    <w:p w14:paraId="166D7B6B" w14:textId="77777777" w:rsidR="00BE6628" w:rsidRPr="00DF4F7A" w:rsidRDefault="00BE6628" w:rsidP="00BE6628">
      <w:pPr>
        <w:rPr>
          <w:rFonts w:ascii="Arial" w:hAnsi="Arial" w:cs="Arial"/>
          <w:sz w:val="22"/>
        </w:rPr>
      </w:pPr>
      <w:r w:rsidRPr="00DF4F7A">
        <w:rPr>
          <w:rFonts w:ascii="Arial" w:hAnsi="Arial" w:cs="Arial"/>
          <w:sz w:val="22"/>
        </w:rPr>
        <w:t>The proposed Product Development strategy, supported by the Differentiation strategy, that is suggested in this report, is as follows: the establishment of a new line of plant-based, functional wellness shots.</w:t>
      </w:r>
    </w:p>
    <w:p w14:paraId="288877ED" w14:textId="1A9C863C" w:rsidR="00BE6628" w:rsidRPr="00DF4F7A" w:rsidRDefault="00BE6628" w:rsidP="00BE6628">
      <w:pPr>
        <w:rPr>
          <w:rFonts w:ascii="Arial" w:hAnsi="Arial" w:cs="Arial"/>
          <w:sz w:val="22"/>
        </w:rPr>
      </w:pPr>
      <w:r w:rsidRPr="00DF4F7A">
        <w:rPr>
          <w:rFonts w:ascii="Arial" w:hAnsi="Arial" w:cs="Arial"/>
          <w:sz w:val="22"/>
        </w:rPr>
        <w:t>They would be mini-sized bottles with concentrated combinations of fruits, vegetables and other natural products that address certain functional requirements. They might include immunity aid mixes, digestive health mix, and energy-enhancing mixes. The functional foods category has been moving towards a great increase, as consumers have been interested in proactive health management (Baker, 2023).</w:t>
      </w:r>
    </w:p>
    <w:p w14:paraId="69E01645" w14:textId="5FA92DC9" w:rsidR="003A2A81" w:rsidRPr="00DF4F7A" w:rsidRDefault="003A2A81" w:rsidP="003A2A81">
      <w:pPr>
        <w:pStyle w:val="Heading2"/>
        <w:rPr>
          <w:rFonts w:ascii="Arial" w:hAnsi="Arial" w:cs="Arial"/>
          <w:sz w:val="22"/>
          <w:szCs w:val="22"/>
        </w:rPr>
      </w:pPr>
      <w:bookmarkStart w:id="10" w:name="_Toc224072916"/>
      <w:r w:rsidRPr="00DF4F7A">
        <w:rPr>
          <w:rFonts w:ascii="Arial" w:hAnsi="Arial" w:cs="Arial"/>
          <w:sz w:val="22"/>
          <w:szCs w:val="22"/>
        </w:rPr>
        <w:lastRenderedPageBreak/>
        <w:t>4.3 Justification for the Proposed Strategy</w:t>
      </w:r>
      <w:bookmarkEnd w:id="10"/>
    </w:p>
    <w:p w14:paraId="70BE0A0C" w14:textId="77777777" w:rsidR="007F2785" w:rsidRPr="00DF4F7A" w:rsidRDefault="007F2785" w:rsidP="007F2785">
      <w:pPr>
        <w:rPr>
          <w:rFonts w:ascii="Arial" w:hAnsi="Arial" w:cs="Arial"/>
          <w:sz w:val="22"/>
        </w:rPr>
      </w:pPr>
      <w:r w:rsidRPr="00DF4F7A">
        <w:rPr>
          <w:rFonts w:ascii="Arial" w:hAnsi="Arial" w:cs="Arial"/>
          <w:sz w:val="22"/>
        </w:rPr>
        <w:t>The following are some of the reasons why this strategy can be used:</w:t>
      </w:r>
    </w:p>
    <w:p w14:paraId="67E9F882" w14:textId="77777777" w:rsidR="007F2785" w:rsidRPr="00DF4F7A" w:rsidRDefault="007F2785" w:rsidP="007F2785">
      <w:pPr>
        <w:rPr>
          <w:rFonts w:ascii="Arial" w:hAnsi="Arial" w:cs="Arial"/>
          <w:sz w:val="22"/>
        </w:rPr>
      </w:pPr>
      <w:r w:rsidRPr="00DF4F7A">
        <w:rPr>
          <w:rFonts w:ascii="Arial" w:hAnsi="Arial" w:cs="Arial"/>
          <w:b/>
          <w:bCs/>
          <w:i/>
          <w:iCs/>
          <w:sz w:val="22"/>
        </w:rPr>
        <w:t>Conformance to Mission and Values:</w:t>
      </w:r>
      <w:r w:rsidRPr="00DF4F7A">
        <w:rPr>
          <w:rFonts w:ascii="Arial" w:hAnsi="Arial" w:cs="Arial"/>
          <w:sz w:val="22"/>
        </w:rPr>
        <w:t xml:space="preserve"> The concept of functional wellness itself is in line with the mission of assisting people to live well. It provides consumers with the proactive means of health management. The ingredients would be natural and the packaging could be set in such a way that it would help to support the environmental commitments. Studies have established that strategic initiatives that are consistent with organisational mission and values have a higher chance of being internally approved and externally validated (Rey, Bastons and Sotok, 2019).</w:t>
      </w:r>
    </w:p>
    <w:p w14:paraId="21D561B2" w14:textId="77777777" w:rsidR="007F2785" w:rsidRPr="00DF4F7A" w:rsidRDefault="007F2785" w:rsidP="007F2785">
      <w:pPr>
        <w:rPr>
          <w:rFonts w:ascii="Arial" w:hAnsi="Arial" w:cs="Arial"/>
          <w:sz w:val="22"/>
        </w:rPr>
      </w:pPr>
      <w:r w:rsidRPr="00DF4F7A">
        <w:rPr>
          <w:rFonts w:ascii="Arial" w:hAnsi="Arial" w:cs="Arial"/>
          <w:b/>
          <w:bCs/>
          <w:i/>
          <w:iCs/>
          <w:sz w:val="22"/>
        </w:rPr>
        <w:t>Taking Advantage of Market Opportunity:</w:t>
      </w:r>
      <w:r w:rsidRPr="00DF4F7A">
        <w:rPr>
          <w:rFonts w:ascii="Arial" w:hAnsi="Arial" w:cs="Arial"/>
          <w:sz w:val="22"/>
        </w:rPr>
        <w:t xml:space="preserve"> It is a direct response to the high growth consumer behaviour in terms of product utilisation in the functional beverage and easy-to-use health solutions that have been found in the PESTEL analysis. Market research records heavy growth in functional food and beverage sector throughout the world (Vicentini, Liberatore and Mastroberardino, 2021). This places the brand out of the mundane smoothie market into a more niche, and possibly more lucrative market.</w:t>
      </w:r>
    </w:p>
    <w:p w14:paraId="4D976845" w14:textId="77777777" w:rsidR="007F2785" w:rsidRPr="00DF4F7A" w:rsidRDefault="007F2785" w:rsidP="007F2785">
      <w:pPr>
        <w:rPr>
          <w:rFonts w:ascii="Arial" w:hAnsi="Arial" w:cs="Arial"/>
          <w:sz w:val="22"/>
        </w:rPr>
      </w:pPr>
      <w:r w:rsidRPr="00DF4F7A">
        <w:rPr>
          <w:rFonts w:ascii="Arial" w:hAnsi="Arial" w:cs="Arial"/>
          <w:b/>
          <w:bCs/>
          <w:i/>
          <w:iCs/>
          <w:sz w:val="22"/>
        </w:rPr>
        <w:t>Leveraging Core Competencies:</w:t>
      </w:r>
      <w:r w:rsidRPr="00DF4F7A">
        <w:rPr>
          <w:rFonts w:ascii="Arial" w:hAnsi="Arial" w:cs="Arial"/>
          <w:sz w:val="22"/>
        </w:rPr>
        <w:t xml:space="preserve"> The strategy makes the use of the proven ability of Innocent to source high-quality natural ingredients, oversee complex supply chains in a socially responsible manner, and produce attractive healthy recipes. The idea of core competencies as it is expressed in the literature of strategic management implies that companies are to develop new products and services based on their current competencies (Teece, 2018).</w:t>
      </w:r>
    </w:p>
    <w:p w14:paraId="2ED7D44B" w14:textId="77777777" w:rsidR="007F2785" w:rsidRPr="00DF4F7A" w:rsidRDefault="007F2785" w:rsidP="007F2785">
      <w:pPr>
        <w:rPr>
          <w:rFonts w:ascii="Arial" w:hAnsi="Arial" w:cs="Arial"/>
          <w:sz w:val="22"/>
        </w:rPr>
      </w:pPr>
      <w:r w:rsidRPr="00DF4F7A">
        <w:rPr>
          <w:rFonts w:ascii="Arial" w:hAnsi="Arial" w:cs="Arial"/>
          <w:b/>
          <w:bCs/>
          <w:i/>
          <w:iCs/>
          <w:sz w:val="22"/>
        </w:rPr>
        <w:t>Competitive Differentiation:</w:t>
      </w:r>
      <w:r w:rsidRPr="00DF4F7A">
        <w:rPr>
          <w:rFonts w:ascii="Arial" w:hAnsi="Arial" w:cs="Arial"/>
          <w:sz w:val="22"/>
        </w:rPr>
        <w:t xml:space="preserve"> There are functional shots available in the market but there are very few that match in brand trust, distribution strength and ethical standing that Innocent has established. This opens up the possibility to have a unique and defensible market position. And the studies about brand positioning stress the significance of unique and authentic brand features in the saturated markets (Keller, 2020).</w:t>
      </w:r>
    </w:p>
    <w:p w14:paraId="784E5920" w14:textId="38DD3DE7" w:rsidR="007F2785" w:rsidRPr="00DF4F7A" w:rsidRDefault="007F2785" w:rsidP="007F2785">
      <w:pPr>
        <w:rPr>
          <w:rFonts w:ascii="Arial" w:hAnsi="Arial" w:cs="Arial"/>
          <w:sz w:val="22"/>
        </w:rPr>
      </w:pPr>
      <w:r w:rsidRPr="00DF4F7A">
        <w:rPr>
          <w:rFonts w:ascii="Arial" w:hAnsi="Arial" w:cs="Arial"/>
          <w:b/>
          <w:bCs/>
          <w:i/>
          <w:iCs/>
          <w:sz w:val="22"/>
        </w:rPr>
        <w:t>Reducing Threats:</w:t>
      </w:r>
      <w:r w:rsidRPr="00DF4F7A">
        <w:rPr>
          <w:rFonts w:ascii="Arial" w:hAnsi="Arial" w:cs="Arial"/>
          <w:sz w:val="22"/>
        </w:rPr>
        <w:t xml:space="preserve"> This plan is to reduce the threat of substitutes by establishing a new and unique position in a larger healthy consumption niche. It is also a solution to the pressure of the innovation by diversifying the product range in such a manner that it is a logical extension of the main purpose of the brand.</w:t>
      </w:r>
    </w:p>
    <w:p w14:paraId="6C7B6FB1" w14:textId="5BFAF6E0" w:rsidR="005D7E09" w:rsidRPr="00DF4F7A" w:rsidRDefault="005D7E09" w:rsidP="005D7E09">
      <w:pPr>
        <w:pStyle w:val="Heading1"/>
        <w:rPr>
          <w:rFonts w:ascii="Arial" w:hAnsi="Arial" w:cs="Arial"/>
          <w:sz w:val="22"/>
          <w:szCs w:val="22"/>
        </w:rPr>
      </w:pPr>
      <w:bookmarkStart w:id="11" w:name="_Toc224072917"/>
      <w:r w:rsidRPr="00DF4F7A">
        <w:rPr>
          <w:rFonts w:ascii="Arial" w:hAnsi="Arial" w:cs="Arial"/>
          <w:sz w:val="22"/>
          <w:szCs w:val="22"/>
        </w:rPr>
        <w:t>5.0 Strategy Evaluation</w:t>
      </w:r>
      <w:bookmarkEnd w:id="11"/>
    </w:p>
    <w:p w14:paraId="65905A8D" w14:textId="77777777" w:rsidR="00412550" w:rsidRPr="00DF4F7A" w:rsidRDefault="00412550" w:rsidP="00412550">
      <w:pPr>
        <w:rPr>
          <w:rFonts w:ascii="Arial" w:hAnsi="Arial" w:cs="Arial"/>
          <w:sz w:val="22"/>
        </w:rPr>
      </w:pPr>
      <w:r w:rsidRPr="00DF4F7A">
        <w:rPr>
          <w:rFonts w:ascii="Arial" w:hAnsi="Arial" w:cs="Arial"/>
          <w:sz w:val="22"/>
        </w:rPr>
        <w:t>In order to have an effective strategy in place as recommended it should be properly analyzed. This applies the Suitability, Feasibility and Acceptability (SFA) framework, which is popular in strategy and management education and practice (Johnson, Whittington and Scholes, 2017).</w:t>
      </w:r>
    </w:p>
    <w:p w14:paraId="79C82117" w14:textId="23E97A87" w:rsidR="00412550" w:rsidRPr="00DF4F7A" w:rsidRDefault="00412550" w:rsidP="00412550">
      <w:pPr>
        <w:rPr>
          <w:rFonts w:ascii="Arial" w:hAnsi="Arial" w:cs="Arial"/>
          <w:b/>
          <w:bCs/>
          <w:sz w:val="22"/>
        </w:rPr>
      </w:pPr>
      <w:r w:rsidRPr="00DF4F7A">
        <w:rPr>
          <w:rFonts w:ascii="Arial" w:hAnsi="Arial" w:cs="Arial"/>
          <w:b/>
          <w:bCs/>
          <w:sz w:val="22"/>
        </w:rPr>
        <w:lastRenderedPageBreak/>
        <w:t>Sustainability :Is the strategy appropriate?</w:t>
      </w:r>
    </w:p>
    <w:p w14:paraId="0DAA7781" w14:textId="77777777" w:rsidR="00412550" w:rsidRPr="00DF4F7A" w:rsidRDefault="00412550" w:rsidP="00412550">
      <w:pPr>
        <w:rPr>
          <w:rFonts w:ascii="Arial" w:hAnsi="Arial" w:cs="Arial"/>
          <w:sz w:val="22"/>
        </w:rPr>
      </w:pPr>
      <w:r w:rsidRPr="00DF4F7A">
        <w:rPr>
          <w:rFonts w:ascii="Arial" w:hAnsi="Arial" w:cs="Arial"/>
          <w:sz w:val="22"/>
        </w:rPr>
        <w:t>The strategy is very appropriate. It fits well into the opportunities that have been identified in the external surroundings (the trend in functional foods) and addresses the internal weaknesses of the necessity to innovate. It is developed based on the strength of the company, which is its brand, values, and supply chain expertise. As a conceptualisation used in the literature, strategic fit plays a crucial role in the successful implementation of the strategy (Andrews et al., 2022).</w:t>
      </w:r>
    </w:p>
    <w:p w14:paraId="14DE6F6F" w14:textId="77777777" w:rsidR="00412550" w:rsidRPr="00DF4F7A" w:rsidRDefault="00412550" w:rsidP="00412550">
      <w:pPr>
        <w:rPr>
          <w:rFonts w:ascii="Arial" w:hAnsi="Arial" w:cs="Arial"/>
          <w:b/>
          <w:bCs/>
          <w:sz w:val="22"/>
        </w:rPr>
      </w:pPr>
      <w:r w:rsidRPr="00DF4F7A">
        <w:rPr>
          <w:rFonts w:ascii="Arial" w:hAnsi="Arial" w:cs="Arial"/>
          <w:b/>
          <w:bCs/>
          <w:sz w:val="22"/>
        </w:rPr>
        <w:t>Feasibility: Is the strategy implementable successfully?</w:t>
      </w:r>
    </w:p>
    <w:p w14:paraId="3EA168C3" w14:textId="77777777" w:rsidR="00412550" w:rsidRPr="00DF4F7A" w:rsidRDefault="00412550" w:rsidP="00412550">
      <w:pPr>
        <w:pStyle w:val="ListParagraph"/>
        <w:numPr>
          <w:ilvl w:val="0"/>
          <w:numId w:val="3"/>
        </w:numPr>
        <w:rPr>
          <w:rFonts w:ascii="Arial" w:hAnsi="Arial" w:cs="Arial"/>
          <w:sz w:val="22"/>
        </w:rPr>
      </w:pPr>
      <w:r w:rsidRPr="00DF4F7A">
        <w:rPr>
          <w:rFonts w:ascii="Arial" w:hAnsi="Arial" w:cs="Arial"/>
          <w:b/>
          <w:bCs/>
          <w:i/>
          <w:iCs/>
          <w:sz w:val="22"/>
        </w:rPr>
        <w:t>Financial:</w:t>
      </w:r>
      <w:r w:rsidRPr="00DF4F7A">
        <w:rPr>
          <w:rFonts w:ascii="Arial" w:hAnsi="Arial" w:cs="Arial"/>
          <w:sz w:val="22"/>
        </w:rPr>
        <w:t xml:space="preserve"> The firm can find financial support through suitable corporate support as it has access to the capital required to carry out research and development, marketing, and production related changes. The increased returns that are generally attached to functional products are also likely to yield good returns.</w:t>
      </w:r>
    </w:p>
    <w:p w14:paraId="2464F07E" w14:textId="77777777" w:rsidR="00412550" w:rsidRPr="00DF4F7A" w:rsidRDefault="00412550" w:rsidP="00412550">
      <w:pPr>
        <w:pStyle w:val="ListParagraph"/>
        <w:numPr>
          <w:ilvl w:val="0"/>
          <w:numId w:val="3"/>
        </w:numPr>
        <w:rPr>
          <w:rFonts w:ascii="Arial" w:hAnsi="Arial" w:cs="Arial"/>
          <w:sz w:val="22"/>
        </w:rPr>
      </w:pPr>
      <w:r w:rsidRPr="00DF4F7A">
        <w:rPr>
          <w:rFonts w:ascii="Arial" w:hAnsi="Arial" w:cs="Arial"/>
          <w:b/>
          <w:bCs/>
          <w:i/>
          <w:iCs/>
          <w:sz w:val="22"/>
        </w:rPr>
        <w:t>Operation:</w:t>
      </w:r>
      <w:r w:rsidRPr="00DF4F7A">
        <w:rPr>
          <w:rFonts w:ascii="Arial" w:hAnsi="Arial" w:cs="Arial"/>
          <w:sz w:val="22"/>
        </w:rPr>
        <w:t xml:space="preserve"> The supply chain that is currently in place can be used to get the new ingredients needed. The production may be served in the current facilities or through co-packers which meets the necessary ethical requirements.</w:t>
      </w:r>
    </w:p>
    <w:p w14:paraId="4F9968DA" w14:textId="77777777" w:rsidR="00412550" w:rsidRPr="00DF4F7A" w:rsidRDefault="00412550" w:rsidP="00412550">
      <w:pPr>
        <w:pStyle w:val="ListParagraph"/>
        <w:numPr>
          <w:ilvl w:val="0"/>
          <w:numId w:val="3"/>
        </w:numPr>
        <w:rPr>
          <w:rFonts w:ascii="Arial" w:hAnsi="Arial" w:cs="Arial"/>
          <w:sz w:val="22"/>
        </w:rPr>
      </w:pPr>
      <w:r w:rsidRPr="00DF4F7A">
        <w:rPr>
          <w:rFonts w:ascii="Arial" w:hAnsi="Arial" w:cs="Arial"/>
          <w:b/>
          <w:bCs/>
          <w:i/>
          <w:iCs/>
          <w:sz w:val="22"/>
        </w:rPr>
        <w:t>Competencies:</w:t>
      </w:r>
      <w:r w:rsidRPr="00DF4F7A">
        <w:rPr>
          <w:rFonts w:ascii="Arial" w:hAnsi="Arial" w:cs="Arial"/>
          <w:sz w:val="22"/>
        </w:rPr>
        <w:t xml:space="preserve"> The company has the in-house skills required in product development, branding, and marketing and it fits well in this task. The greatest difficulty would be to gain or further develop expertise in nutritional science to make functional claims without going too far with regulatory regulations. Assumption: It is assumed that Innocent can effectively invest in the development of this specific research and development capacity either by getting it through hiring or strategic alliance.</w:t>
      </w:r>
    </w:p>
    <w:p w14:paraId="1476709E" w14:textId="77777777" w:rsidR="00412550" w:rsidRPr="00DF4F7A" w:rsidRDefault="00412550" w:rsidP="00412550">
      <w:pPr>
        <w:rPr>
          <w:rFonts w:ascii="Arial" w:hAnsi="Arial" w:cs="Arial"/>
          <w:b/>
          <w:bCs/>
          <w:sz w:val="22"/>
        </w:rPr>
      </w:pPr>
      <w:r w:rsidRPr="00DF4F7A">
        <w:rPr>
          <w:rFonts w:ascii="Arial" w:hAnsi="Arial" w:cs="Arial"/>
          <w:b/>
          <w:bCs/>
          <w:sz w:val="22"/>
        </w:rPr>
        <w:t>Acceptability: Does the strategy exceed the expectations of the stakeholders?</w:t>
      </w:r>
    </w:p>
    <w:p w14:paraId="724A10E7" w14:textId="77777777" w:rsidR="00412550" w:rsidRPr="00DF4F7A" w:rsidRDefault="00412550" w:rsidP="00412550">
      <w:pPr>
        <w:pStyle w:val="ListParagraph"/>
        <w:numPr>
          <w:ilvl w:val="0"/>
          <w:numId w:val="4"/>
        </w:numPr>
        <w:rPr>
          <w:rFonts w:ascii="Arial" w:hAnsi="Arial" w:cs="Arial"/>
          <w:sz w:val="22"/>
        </w:rPr>
      </w:pPr>
      <w:r w:rsidRPr="00DF4F7A">
        <w:rPr>
          <w:rFonts w:ascii="Arial" w:hAnsi="Arial" w:cs="Arial"/>
          <w:b/>
          <w:bCs/>
          <w:i/>
          <w:iCs/>
          <w:sz w:val="22"/>
        </w:rPr>
        <w:t>Returns:</w:t>
      </w:r>
      <w:r w:rsidRPr="00DF4F7A">
        <w:rPr>
          <w:rFonts w:ascii="Arial" w:hAnsi="Arial" w:cs="Arial"/>
          <w:sz w:val="22"/>
        </w:rPr>
        <w:t xml:space="preserve"> The strategy will give good returns owing to entry into high growth and premium market segment. It will create new sources of revenue and may also increase profit margins.</w:t>
      </w:r>
    </w:p>
    <w:p w14:paraId="64A64594" w14:textId="77777777" w:rsidR="00412550" w:rsidRPr="00DF4F7A" w:rsidRDefault="00412550" w:rsidP="00412550">
      <w:pPr>
        <w:pStyle w:val="ListParagraph"/>
        <w:numPr>
          <w:ilvl w:val="0"/>
          <w:numId w:val="4"/>
        </w:numPr>
        <w:rPr>
          <w:rFonts w:ascii="Arial" w:hAnsi="Arial" w:cs="Arial"/>
          <w:sz w:val="22"/>
        </w:rPr>
      </w:pPr>
      <w:r w:rsidRPr="00DF4F7A">
        <w:rPr>
          <w:rFonts w:ascii="Arial" w:hAnsi="Arial" w:cs="Arial"/>
          <w:b/>
          <w:bCs/>
          <w:i/>
          <w:iCs/>
          <w:sz w:val="22"/>
        </w:rPr>
        <w:t>Risk:</w:t>
      </w:r>
      <w:r w:rsidRPr="00DF4F7A">
        <w:rPr>
          <w:rFonts w:ascii="Arial" w:hAnsi="Arial" w:cs="Arial"/>
          <w:sz w:val="22"/>
        </w:rPr>
        <w:t xml:space="preserve"> The risk is moderate. It is greater than merely selling more of the existing products, although, it is far less than getting into a totally new market or spreading out in to other unrelated spheres. The first threat is that there are chances of cannibalisation of current products sales. This is however, acceptable to some extent because it absorbs expenditure that would otherwise be passed to the competitors or substitutes.</w:t>
      </w:r>
    </w:p>
    <w:p w14:paraId="6FBA7D91" w14:textId="77777777" w:rsidR="00412550" w:rsidRPr="00DF4F7A" w:rsidRDefault="00412550" w:rsidP="00412550">
      <w:pPr>
        <w:pStyle w:val="ListParagraph"/>
        <w:numPr>
          <w:ilvl w:val="0"/>
          <w:numId w:val="4"/>
        </w:numPr>
        <w:rPr>
          <w:rFonts w:ascii="Arial" w:hAnsi="Arial" w:cs="Arial"/>
          <w:sz w:val="22"/>
        </w:rPr>
      </w:pPr>
      <w:r w:rsidRPr="00DF4F7A">
        <w:rPr>
          <w:rFonts w:ascii="Arial" w:hAnsi="Arial" w:cs="Arial"/>
          <w:b/>
          <w:bCs/>
          <w:i/>
          <w:iCs/>
          <w:sz w:val="22"/>
        </w:rPr>
        <w:t>Stakeholder Reaction:</w:t>
      </w:r>
      <w:r w:rsidRPr="00DF4F7A">
        <w:rPr>
          <w:rFonts w:ascii="Arial" w:hAnsi="Arial" w:cs="Arial"/>
          <w:sz w:val="22"/>
        </w:rPr>
        <w:t xml:space="preserve"> This is likely to be favorable. Customers get new products that have helped them achieve their health objectives. The employees are provided with an </w:t>
      </w:r>
      <w:r w:rsidRPr="00DF4F7A">
        <w:rPr>
          <w:rFonts w:ascii="Arial" w:hAnsi="Arial" w:cs="Arial"/>
          <w:sz w:val="22"/>
        </w:rPr>
        <w:lastRenderedPageBreak/>
        <w:t>exciting new project that strengthens the organisational mission. When undertaken with integrity and transparency, the ethical stakeholders will take it positively. The corporate parent enjoys more-margin oriented products in an expanding category.</w:t>
      </w:r>
    </w:p>
    <w:p w14:paraId="4998DB00" w14:textId="77777777" w:rsidR="00412550" w:rsidRPr="00DF4F7A" w:rsidRDefault="00412550" w:rsidP="00412550">
      <w:pPr>
        <w:rPr>
          <w:rFonts w:ascii="Arial" w:hAnsi="Arial" w:cs="Arial"/>
          <w:sz w:val="22"/>
        </w:rPr>
      </w:pPr>
      <w:r w:rsidRPr="00DF4F7A">
        <w:rPr>
          <w:rFonts w:ascii="Arial" w:hAnsi="Arial" w:cs="Arial"/>
          <w:sz w:val="22"/>
        </w:rPr>
        <w:t>The SFA analysis reveals that the suggested strategy of Innocent Drinks fits its market environment, can be implemented with its resources and capabilities, and can be acceptable to its key stakeholders under the condition that the risks are properly handled (Johnson, Whittington and Scholes, 2017).</w:t>
      </w:r>
    </w:p>
    <w:p w14:paraId="123671AC" w14:textId="3B46D1A3" w:rsidR="00EA59DF" w:rsidRPr="00DF4F7A" w:rsidRDefault="00EA59DF" w:rsidP="00EA59DF">
      <w:pPr>
        <w:pStyle w:val="Heading1"/>
        <w:rPr>
          <w:rFonts w:ascii="Arial" w:hAnsi="Arial" w:cs="Arial"/>
          <w:sz w:val="22"/>
          <w:szCs w:val="22"/>
        </w:rPr>
      </w:pPr>
      <w:bookmarkStart w:id="12" w:name="_Toc224072918"/>
      <w:r w:rsidRPr="00DF4F7A">
        <w:rPr>
          <w:rFonts w:ascii="Arial" w:hAnsi="Arial" w:cs="Arial"/>
          <w:sz w:val="22"/>
          <w:szCs w:val="22"/>
        </w:rPr>
        <w:t>6.0 Stakeholder Analysis</w:t>
      </w:r>
      <w:bookmarkEnd w:id="12"/>
    </w:p>
    <w:p w14:paraId="26E530FC" w14:textId="658CA557" w:rsidR="00C75504" w:rsidRPr="00DF4F7A" w:rsidRDefault="007756A8" w:rsidP="00C75504">
      <w:pPr>
        <w:rPr>
          <w:rFonts w:ascii="Arial" w:hAnsi="Arial" w:cs="Arial"/>
          <w:sz w:val="22"/>
        </w:rPr>
      </w:pPr>
      <w:r w:rsidRPr="00DF4F7A">
        <w:rPr>
          <w:rFonts w:ascii="Arial" w:hAnsi="Arial" w:cs="Arial"/>
          <w:sz w:val="22"/>
        </w:rPr>
        <w:t>The effectiveness of the proposed functional shots strategy will be determined by the success of the interaction with the main stakeholders. The stakeholders are evaluated based on their power and interest using the Matrix by Mendelow and, as a result, a systematic engagement strategy is possible. Stakeholder theory focuses on ensuring that organisations pay attention to the interests of every stakeholder, who are impacted by organisational activities, and not just shareholders (Freeman et al., 2021). Major players such as the customers, the parent company, and the key major retailers demand strict cooperation and communication. The employees, suppliers, and ethical certification bodies need to be informed to create support and advocacy. The regulatory authorities are supposed to be contented by early adherence to the legal regulations and responsible product statements.</w:t>
      </w:r>
    </w:p>
    <w:tbl>
      <w:tblPr>
        <w:tblStyle w:val="GridTable4Accent6"/>
        <w:tblW w:w="8239" w:type="dxa"/>
        <w:tblLook w:val="04A0" w:firstRow="1" w:lastRow="0" w:firstColumn="1" w:lastColumn="0" w:noHBand="0" w:noVBand="1"/>
      </w:tblPr>
      <w:tblGrid>
        <w:gridCol w:w="1956"/>
        <w:gridCol w:w="2447"/>
        <w:gridCol w:w="3836"/>
      </w:tblGrid>
      <w:tr w:rsidR="00C75504" w:rsidRPr="00DF4F7A" w14:paraId="47A89B62" w14:textId="77777777" w:rsidTr="00C75504">
        <w:trPr>
          <w:gridAfter w:val="1"/>
          <w:cnfStyle w:val="100000000000" w:firstRow="1" w:lastRow="0" w:firstColumn="0" w:lastColumn="0" w:oddVBand="0" w:evenVBand="0" w:oddHBand="0"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0" w:type="auto"/>
            <w:hideMark/>
          </w:tcPr>
          <w:p w14:paraId="21079886" w14:textId="77777777" w:rsidR="00C75504" w:rsidRPr="00DF4F7A" w:rsidRDefault="00C75504" w:rsidP="00C75504">
            <w:pPr>
              <w:spacing w:line="375" w:lineRule="atLeast"/>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Low Level of Interest</w:t>
            </w:r>
          </w:p>
        </w:tc>
        <w:tc>
          <w:tcPr>
            <w:tcW w:w="0" w:type="auto"/>
            <w:hideMark/>
          </w:tcPr>
          <w:p w14:paraId="3B730C38" w14:textId="77777777" w:rsidR="00C75504" w:rsidRPr="00DF4F7A" w:rsidRDefault="00C75504" w:rsidP="00C75504">
            <w:pPr>
              <w:spacing w:line="375" w:lineRule="atLeast"/>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High Level of Interest</w:t>
            </w:r>
          </w:p>
        </w:tc>
      </w:tr>
      <w:tr w:rsidR="004A7118" w:rsidRPr="00DF4F7A" w14:paraId="26708DFA" w14:textId="77777777" w:rsidTr="00C75504">
        <w:trPr>
          <w:cnfStyle w:val="000000100000" w:firstRow="0" w:lastRow="0" w:firstColumn="0" w:lastColumn="0" w:oddVBand="0" w:evenVBand="0" w:oddHBand="1"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0" w:type="auto"/>
            <w:hideMark/>
          </w:tcPr>
          <w:p w14:paraId="2A5DCCAE" w14:textId="77777777" w:rsidR="00C75504" w:rsidRPr="00DF4F7A" w:rsidRDefault="00C75504" w:rsidP="00C75504">
            <w:pPr>
              <w:spacing w:line="375" w:lineRule="atLeast"/>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High Power</w:t>
            </w:r>
          </w:p>
        </w:tc>
        <w:tc>
          <w:tcPr>
            <w:tcW w:w="0" w:type="auto"/>
            <w:hideMark/>
          </w:tcPr>
          <w:p w14:paraId="6B81ED06" w14:textId="77777777" w:rsidR="00C75504" w:rsidRPr="00DF4F7A" w:rsidRDefault="00C75504" w:rsidP="00C75504">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b/>
                <w:bCs/>
                <w:color w:val="0F1115"/>
                <w:sz w:val="22"/>
                <w:lang w:eastAsia="en-US"/>
              </w:rPr>
              <w:t>Keep Satisfied</w:t>
            </w:r>
          </w:p>
        </w:tc>
        <w:tc>
          <w:tcPr>
            <w:tcW w:w="0" w:type="auto"/>
            <w:hideMark/>
          </w:tcPr>
          <w:p w14:paraId="726EF9C2" w14:textId="77777777" w:rsidR="00C75504" w:rsidRPr="00DF4F7A" w:rsidRDefault="00C75504" w:rsidP="00C75504">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b/>
                <w:bCs/>
                <w:color w:val="0F1115"/>
                <w:sz w:val="22"/>
                <w:lang w:eastAsia="en-US"/>
              </w:rPr>
              <w:t>Key Players</w:t>
            </w:r>
          </w:p>
        </w:tc>
      </w:tr>
      <w:tr w:rsidR="00C75504" w:rsidRPr="00DF4F7A" w14:paraId="159D10F4" w14:textId="77777777" w:rsidTr="00C75504">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47036518" w14:textId="77777777" w:rsidR="00C75504" w:rsidRPr="00DF4F7A" w:rsidRDefault="00C75504" w:rsidP="00C75504">
            <w:pPr>
              <w:spacing w:line="375" w:lineRule="atLeast"/>
              <w:jc w:val="left"/>
              <w:rPr>
                <w:rFonts w:ascii="Arial" w:eastAsia="Times New Roman" w:hAnsi="Arial" w:cs="Arial"/>
                <w:color w:val="0F1115"/>
                <w:sz w:val="22"/>
                <w:lang w:eastAsia="en-US"/>
              </w:rPr>
            </w:pPr>
          </w:p>
        </w:tc>
        <w:tc>
          <w:tcPr>
            <w:tcW w:w="0" w:type="auto"/>
            <w:hideMark/>
          </w:tcPr>
          <w:p w14:paraId="684A292D" w14:textId="77777777" w:rsidR="00C75504" w:rsidRPr="00DF4F7A" w:rsidRDefault="00C75504" w:rsidP="00C75504">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Regulatory bodies</w:t>
            </w:r>
          </w:p>
        </w:tc>
        <w:tc>
          <w:tcPr>
            <w:tcW w:w="0" w:type="auto"/>
            <w:hideMark/>
          </w:tcPr>
          <w:p w14:paraId="001A8CED" w14:textId="77777777" w:rsidR="00C75504" w:rsidRPr="00DF4F7A" w:rsidRDefault="00C75504" w:rsidP="00C75504">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Customers; Parent company; Major retailers</w:t>
            </w:r>
          </w:p>
        </w:tc>
      </w:tr>
      <w:tr w:rsidR="004A7118" w:rsidRPr="00DF4F7A" w14:paraId="2D92854C" w14:textId="77777777" w:rsidTr="00C75504">
        <w:trPr>
          <w:cnfStyle w:val="000000100000" w:firstRow="0" w:lastRow="0" w:firstColumn="0" w:lastColumn="0" w:oddVBand="0" w:evenVBand="0" w:oddHBand="1"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0" w:type="auto"/>
            <w:hideMark/>
          </w:tcPr>
          <w:p w14:paraId="45A0249A" w14:textId="77777777" w:rsidR="00C75504" w:rsidRPr="00DF4F7A" w:rsidRDefault="00C75504" w:rsidP="00C75504">
            <w:pPr>
              <w:spacing w:line="375" w:lineRule="atLeast"/>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Low Power</w:t>
            </w:r>
          </w:p>
        </w:tc>
        <w:tc>
          <w:tcPr>
            <w:tcW w:w="0" w:type="auto"/>
            <w:hideMark/>
          </w:tcPr>
          <w:p w14:paraId="2BA9067D" w14:textId="77777777" w:rsidR="00C75504" w:rsidRPr="00DF4F7A" w:rsidRDefault="00C75504" w:rsidP="00C75504">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b/>
                <w:bCs/>
                <w:color w:val="0F1115"/>
                <w:sz w:val="22"/>
                <w:lang w:eastAsia="en-US"/>
              </w:rPr>
              <w:t>Minimal Effort</w:t>
            </w:r>
          </w:p>
        </w:tc>
        <w:tc>
          <w:tcPr>
            <w:tcW w:w="0" w:type="auto"/>
            <w:hideMark/>
          </w:tcPr>
          <w:p w14:paraId="0E6AAD99" w14:textId="77777777" w:rsidR="00C75504" w:rsidRPr="00DF4F7A" w:rsidRDefault="00C75504" w:rsidP="00C75504">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b/>
                <w:bCs/>
                <w:color w:val="0F1115"/>
                <w:sz w:val="22"/>
                <w:lang w:eastAsia="en-US"/>
              </w:rPr>
              <w:t>Keep Informed</w:t>
            </w:r>
          </w:p>
        </w:tc>
      </w:tr>
      <w:tr w:rsidR="00C75504" w:rsidRPr="00DF4F7A" w14:paraId="57A42F4B" w14:textId="77777777" w:rsidTr="00C75504">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69108FB8" w14:textId="77777777" w:rsidR="00C75504" w:rsidRPr="00DF4F7A" w:rsidRDefault="00C75504" w:rsidP="00C75504">
            <w:pPr>
              <w:spacing w:line="375" w:lineRule="atLeast"/>
              <w:jc w:val="left"/>
              <w:rPr>
                <w:rFonts w:ascii="Arial" w:eastAsia="Times New Roman" w:hAnsi="Arial" w:cs="Arial"/>
                <w:color w:val="0F1115"/>
                <w:sz w:val="22"/>
                <w:lang w:eastAsia="en-US"/>
              </w:rPr>
            </w:pPr>
          </w:p>
        </w:tc>
        <w:tc>
          <w:tcPr>
            <w:tcW w:w="0" w:type="auto"/>
            <w:hideMark/>
          </w:tcPr>
          <w:p w14:paraId="3B668140" w14:textId="77777777" w:rsidR="00C75504" w:rsidRPr="00DF4F7A" w:rsidRDefault="00C75504" w:rsidP="00C75504">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General public; Competitors</w:t>
            </w:r>
          </w:p>
        </w:tc>
        <w:tc>
          <w:tcPr>
            <w:tcW w:w="0" w:type="auto"/>
            <w:hideMark/>
          </w:tcPr>
          <w:p w14:paraId="6679544E" w14:textId="77777777" w:rsidR="00C75504" w:rsidRPr="00DF4F7A" w:rsidRDefault="00C75504" w:rsidP="00C75504">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Employees; Suppliers; Ethical certification bodies</w:t>
            </w:r>
          </w:p>
        </w:tc>
      </w:tr>
    </w:tbl>
    <w:p w14:paraId="0A63CC5A" w14:textId="4820B8D4" w:rsidR="00C75504" w:rsidRPr="00DF4F7A" w:rsidRDefault="005A5341" w:rsidP="005A5341">
      <w:pPr>
        <w:pStyle w:val="Caption"/>
        <w:rPr>
          <w:rFonts w:ascii="Arial" w:hAnsi="Arial" w:cs="Arial"/>
          <w:sz w:val="22"/>
          <w:szCs w:val="22"/>
        </w:rPr>
      </w:pPr>
      <w:r w:rsidRPr="00DF4F7A">
        <w:rPr>
          <w:rFonts w:ascii="Arial" w:hAnsi="Arial" w:cs="Arial"/>
          <w:sz w:val="22"/>
          <w:szCs w:val="22"/>
        </w:rPr>
        <w:t xml:space="preserve">Table </w:t>
      </w:r>
      <w:r w:rsidRPr="00DF4F7A">
        <w:rPr>
          <w:rFonts w:ascii="Arial" w:hAnsi="Arial" w:cs="Arial"/>
          <w:sz w:val="22"/>
          <w:szCs w:val="22"/>
        </w:rPr>
        <w:fldChar w:fldCharType="begin"/>
      </w:r>
      <w:r w:rsidRPr="00DF4F7A">
        <w:rPr>
          <w:rFonts w:ascii="Arial" w:hAnsi="Arial" w:cs="Arial"/>
          <w:sz w:val="22"/>
          <w:szCs w:val="22"/>
        </w:rPr>
        <w:instrText xml:space="preserve"> SEQ Table \* ARABIC </w:instrText>
      </w:r>
      <w:r w:rsidRPr="00DF4F7A">
        <w:rPr>
          <w:rFonts w:ascii="Arial" w:hAnsi="Arial" w:cs="Arial"/>
          <w:sz w:val="22"/>
          <w:szCs w:val="22"/>
        </w:rPr>
        <w:fldChar w:fldCharType="separate"/>
      </w:r>
      <w:r w:rsidRPr="00DF4F7A">
        <w:rPr>
          <w:rFonts w:ascii="Arial" w:hAnsi="Arial" w:cs="Arial"/>
          <w:noProof/>
          <w:sz w:val="22"/>
          <w:szCs w:val="22"/>
        </w:rPr>
        <w:t>2</w:t>
      </w:r>
      <w:r w:rsidRPr="00DF4F7A">
        <w:rPr>
          <w:rFonts w:ascii="Arial" w:hAnsi="Arial" w:cs="Arial"/>
          <w:sz w:val="22"/>
          <w:szCs w:val="22"/>
        </w:rPr>
        <w:fldChar w:fldCharType="end"/>
      </w:r>
      <w:r w:rsidRPr="00DF4F7A">
        <w:rPr>
          <w:rFonts w:ascii="Arial" w:hAnsi="Arial" w:cs="Arial"/>
          <w:sz w:val="22"/>
          <w:szCs w:val="22"/>
        </w:rPr>
        <w:t>: Mendelow's Matrix for Innocent Drinks.</w:t>
      </w:r>
    </w:p>
    <w:p w14:paraId="4A22D5B1" w14:textId="336EEB72" w:rsidR="00510275" w:rsidRPr="00DF4F7A" w:rsidRDefault="00510275" w:rsidP="00510275">
      <w:pPr>
        <w:pStyle w:val="Heading1"/>
        <w:rPr>
          <w:rFonts w:ascii="Arial" w:hAnsi="Arial" w:cs="Arial"/>
          <w:sz w:val="22"/>
          <w:szCs w:val="22"/>
        </w:rPr>
      </w:pPr>
      <w:bookmarkStart w:id="13" w:name="_Toc224072919"/>
      <w:r w:rsidRPr="00DF4F7A">
        <w:rPr>
          <w:rFonts w:ascii="Arial" w:hAnsi="Arial" w:cs="Arial"/>
          <w:sz w:val="22"/>
          <w:szCs w:val="22"/>
        </w:rPr>
        <w:t>7.0 Implementation and Monitoring</w:t>
      </w:r>
      <w:bookmarkEnd w:id="13"/>
    </w:p>
    <w:p w14:paraId="414B5226" w14:textId="3E9F1FBF" w:rsidR="007756A8" w:rsidRPr="00DF4F7A" w:rsidRDefault="004A7118" w:rsidP="007756A8">
      <w:pPr>
        <w:rPr>
          <w:rFonts w:ascii="Arial" w:hAnsi="Arial" w:cs="Arial"/>
          <w:sz w:val="22"/>
        </w:rPr>
      </w:pPr>
      <w:r w:rsidRPr="00DF4F7A">
        <w:rPr>
          <w:rFonts w:ascii="Arial" w:hAnsi="Arial" w:cs="Arial"/>
          <w:sz w:val="22"/>
        </w:rPr>
        <w:t xml:space="preserve">The strategy has to be successfully implemented with a clear plan that has measurable goals and performance indicators. Strategic implementation requires that actions, deadlines, and tracking systems are aligned to help the process to progress (Atkinson, 2019). The product development will entail perfecting recipes, consumer testing, developing sustainable packaging, and phased retail launch between Q1 and Q3. Retailer alliances, marketing and promotion will </w:t>
      </w:r>
      <w:r w:rsidRPr="00DF4F7A">
        <w:rPr>
          <w:rFonts w:ascii="Arial" w:hAnsi="Arial" w:cs="Arial"/>
          <w:sz w:val="22"/>
        </w:rPr>
        <w:lastRenderedPageBreak/>
        <w:t xml:space="preserve">be used in market penetration to boost revenue and distribution after Q4. The communication channels, influencers and feedback systems will be utilized as brand engagement to enhance customer relationships. Environmental impact and responsible sourcing will be evaluated by sustainability validation. The constant tracking of KPIs allows making wise decisions and managing them in an adaptive manner to implement an efficient strategy (Franco-Santos and Otley, 2018). </w:t>
      </w:r>
      <w:r w:rsidRPr="00DF4F7A">
        <w:rPr>
          <w:rFonts w:ascii="Arial" w:hAnsi="Arial" w:cs="Arial"/>
          <w:color w:val="0F1115"/>
          <w:sz w:val="22"/>
          <w:shd w:val="clear" w:color="auto" w:fill="FFFFFF"/>
        </w:rPr>
        <w:t>The plan below outlines the first year post-launch.</w:t>
      </w:r>
    </w:p>
    <w:tbl>
      <w:tblPr>
        <w:tblStyle w:val="GridTable5DarkAccent6"/>
        <w:tblW w:w="0" w:type="auto"/>
        <w:tblLook w:val="04A0" w:firstRow="1" w:lastRow="0" w:firstColumn="1" w:lastColumn="0" w:noHBand="0" w:noVBand="1"/>
      </w:tblPr>
      <w:tblGrid>
        <w:gridCol w:w="1929"/>
        <w:gridCol w:w="3577"/>
        <w:gridCol w:w="2768"/>
        <w:gridCol w:w="1302"/>
      </w:tblGrid>
      <w:tr w:rsidR="00682AB3" w:rsidRPr="00DF4F7A" w14:paraId="7AE2824C" w14:textId="77777777" w:rsidTr="007756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87535E" w14:textId="77777777" w:rsidR="007756A8" w:rsidRPr="00DF4F7A" w:rsidRDefault="007756A8" w:rsidP="007756A8">
            <w:pPr>
              <w:spacing w:line="375" w:lineRule="atLeast"/>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Objective</w:t>
            </w:r>
          </w:p>
        </w:tc>
        <w:tc>
          <w:tcPr>
            <w:tcW w:w="0" w:type="auto"/>
            <w:hideMark/>
          </w:tcPr>
          <w:p w14:paraId="2A961B56" w14:textId="77777777" w:rsidR="007756A8" w:rsidRPr="00DF4F7A" w:rsidRDefault="007756A8" w:rsidP="007756A8">
            <w:pPr>
              <w:spacing w:line="375" w:lineRule="atLeast"/>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Actions Required</w:t>
            </w:r>
          </w:p>
        </w:tc>
        <w:tc>
          <w:tcPr>
            <w:tcW w:w="0" w:type="auto"/>
            <w:hideMark/>
          </w:tcPr>
          <w:p w14:paraId="5BA37214" w14:textId="77777777" w:rsidR="007756A8" w:rsidRPr="00DF4F7A" w:rsidRDefault="007756A8" w:rsidP="007756A8">
            <w:pPr>
              <w:spacing w:line="375" w:lineRule="atLeast"/>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Key Performance Indicators (KPIs)</w:t>
            </w:r>
          </w:p>
        </w:tc>
        <w:tc>
          <w:tcPr>
            <w:tcW w:w="0" w:type="auto"/>
            <w:hideMark/>
          </w:tcPr>
          <w:p w14:paraId="285C602E" w14:textId="77777777" w:rsidR="007756A8" w:rsidRPr="00DF4F7A" w:rsidRDefault="007756A8" w:rsidP="007756A8">
            <w:pPr>
              <w:spacing w:line="375" w:lineRule="atLeast"/>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Timeline</w:t>
            </w:r>
          </w:p>
        </w:tc>
      </w:tr>
      <w:tr w:rsidR="00682AB3" w:rsidRPr="00DF4F7A" w14:paraId="03221205" w14:textId="77777777" w:rsidTr="007756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ADA9A6" w14:textId="77777777" w:rsidR="007756A8" w:rsidRPr="00DF4F7A" w:rsidRDefault="007756A8" w:rsidP="007756A8">
            <w:pPr>
              <w:spacing w:line="375" w:lineRule="atLeast"/>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1. Product Development &amp; Launch</w:t>
            </w:r>
          </w:p>
        </w:tc>
        <w:tc>
          <w:tcPr>
            <w:tcW w:w="0" w:type="auto"/>
            <w:hideMark/>
          </w:tcPr>
          <w:p w14:paraId="475231E0" w14:textId="77777777" w:rsidR="007756A8" w:rsidRPr="00DF4F7A" w:rsidRDefault="007756A8" w:rsidP="007756A8">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Finalise 3-4 recipes; conduct extensive consumer testing; design sustainable packaging; secure supply chain for new ingredients; plan phased retail rollout.</w:t>
            </w:r>
          </w:p>
        </w:tc>
        <w:tc>
          <w:tcPr>
            <w:tcW w:w="0" w:type="auto"/>
            <w:hideMark/>
          </w:tcPr>
          <w:p w14:paraId="37503FC8" w14:textId="77777777" w:rsidR="007756A8" w:rsidRPr="00DF4F7A" w:rsidRDefault="007756A8" w:rsidP="007756A8">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Number of SKUs launched; consumer test satisfaction score (&gt;85%); packaging meets sustainability targets.</w:t>
            </w:r>
          </w:p>
        </w:tc>
        <w:tc>
          <w:tcPr>
            <w:tcW w:w="0" w:type="auto"/>
            <w:hideMark/>
          </w:tcPr>
          <w:p w14:paraId="1CABBA98" w14:textId="77777777" w:rsidR="007756A8" w:rsidRPr="00DF4F7A" w:rsidRDefault="007756A8" w:rsidP="007756A8">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Q1 - Q3</w:t>
            </w:r>
          </w:p>
        </w:tc>
      </w:tr>
      <w:tr w:rsidR="00682AB3" w:rsidRPr="00DF4F7A" w14:paraId="6B03B853" w14:textId="77777777" w:rsidTr="007756A8">
        <w:tc>
          <w:tcPr>
            <w:cnfStyle w:val="001000000000" w:firstRow="0" w:lastRow="0" w:firstColumn="1" w:lastColumn="0" w:oddVBand="0" w:evenVBand="0" w:oddHBand="0" w:evenHBand="0" w:firstRowFirstColumn="0" w:firstRowLastColumn="0" w:lastRowFirstColumn="0" w:lastRowLastColumn="0"/>
            <w:tcW w:w="0" w:type="auto"/>
            <w:hideMark/>
          </w:tcPr>
          <w:p w14:paraId="4D19F127" w14:textId="77777777" w:rsidR="007756A8" w:rsidRPr="00DF4F7A" w:rsidRDefault="007756A8" w:rsidP="007756A8">
            <w:pPr>
              <w:spacing w:line="375" w:lineRule="atLeast"/>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2. Market Penetration &amp; Revenue</w:t>
            </w:r>
          </w:p>
        </w:tc>
        <w:tc>
          <w:tcPr>
            <w:tcW w:w="0" w:type="auto"/>
            <w:hideMark/>
          </w:tcPr>
          <w:p w14:paraId="77454CDE" w14:textId="77777777" w:rsidR="007756A8" w:rsidRPr="00DF4F7A" w:rsidRDefault="007756A8" w:rsidP="007756A8">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Secure listings with major retailers; execute integrated marketing campaign; offer introductory promotions to drive trial.</w:t>
            </w:r>
          </w:p>
        </w:tc>
        <w:tc>
          <w:tcPr>
            <w:tcW w:w="0" w:type="auto"/>
            <w:hideMark/>
          </w:tcPr>
          <w:p w14:paraId="38A2E07A" w14:textId="77777777" w:rsidR="007756A8" w:rsidRPr="00DF4F7A" w:rsidRDefault="007756A8" w:rsidP="007756A8">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Total revenue from new range; market share in target category; distribution reach (% of target stores).</w:t>
            </w:r>
          </w:p>
        </w:tc>
        <w:tc>
          <w:tcPr>
            <w:tcW w:w="0" w:type="auto"/>
            <w:hideMark/>
          </w:tcPr>
          <w:p w14:paraId="5B8A7DAA" w14:textId="77777777" w:rsidR="007756A8" w:rsidRPr="00DF4F7A" w:rsidRDefault="007756A8" w:rsidP="007756A8">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Q4 (Launch) onwards</w:t>
            </w:r>
          </w:p>
        </w:tc>
      </w:tr>
      <w:tr w:rsidR="00682AB3" w:rsidRPr="00DF4F7A" w14:paraId="1BD75530" w14:textId="77777777" w:rsidTr="007756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C332A1" w14:textId="77777777" w:rsidR="007756A8" w:rsidRPr="00DF4F7A" w:rsidRDefault="007756A8" w:rsidP="007756A8">
            <w:pPr>
              <w:spacing w:line="375" w:lineRule="atLeast"/>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3. Brand &amp; Customer Engagement</w:t>
            </w:r>
          </w:p>
        </w:tc>
        <w:tc>
          <w:tcPr>
            <w:tcW w:w="0" w:type="auto"/>
            <w:hideMark/>
          </w:tcPr>
          <w:p w14:paraId="437A024F" w14:textId="77777777" w:rsidR="007756A8" w:rsidRPr="00DF4F7A" w:rsidRDefault="007756A8" w:rsidP="007756A8">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Launch dedicated communication channels explaining product benefits; partner with relevant influencers; collect and respond systematically to customer feedback.</w:t>
            </w:r>
          </w:p>
        </w:tc>
        <w:tc>
          <w:tcPr>
            <w:tcW w:w="0" w:type="auto"/>
            <w:hideMark/>
          </w:tcPr>
          <w:p w14:paraId="3AB776E7" w14:textId="77777777" w:rsidR="007756A8" w:rsidRPr="00DF4F7A" w:rsidRDefault="007756A8" w:rsidP="007756A8">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Brand awareness among target demographic; Net Promoter Score; customer ratings (target &gt;4.5/5).</w:t>
            </w:r>
          </w:p>
        </w:tc>
        <w:tc>
          <w:tcPr>
            <w:tcW w:w="0" w:type="auto"/>
            <w:hideMark/>
          </w:tcPr>
          <w:p w14:paraId="2B594C78" w14:textId="77777777" w:rsidR="007756A8" w:rsidRPr="00DF4F7A" w:rsidRDefault="007756A8" w:rsidP="007756A8">
            <w:pPr>
              <w:spacing w:line="375" w:lineRule="atLeast"/>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Ongoing from Q4</w:t>
            </w:r>
          </w:p>
        </w:tc>
      </w:tr>
      <w:tr w:rsidR="00682AB3" w:rsidRPr="00DF4F7A" w14:paraId="04F6F50B" w14:textId="77777777" w:rsidTr="007756A8">
        <w:tc>
          <w:tcPr>
            <w:cnfStyle w:val="001000000000" w:firstRow="0" w:lastRow="0" w:firstColumn="1" w:lastColumn="0" w:oddVBand="0" w:evenVBand="0" w:oddHBand="0" w:evenHBand="0" w:firstRowFirstColumn="0" w:firstRowLastColumn="0" w:lastRowFirstColumn="0" w:lastRowLastColumn="0"/>
            <w:tcW w:w="0" w:type="auto"/>
            <w:hideMark/>
          </w:tcPr>
          <w:p w14:paraId="2EEBD1C1" w14:textId="77777777" w:rsidR="007756A8" w:rsidRPr="00DF4F7A" w:rsidRDefault="007756A8" w:rsidP="007756A8">
            <w:pPr>
              <w:spacing w:line="375" w:lineRule="atLeast"/>
              <w:jc w:val="left"/>
              <w:rPr>
                <w:rFonts w:ascii="Arial" w:eastAsia="Times New Roman" w:hAnsi="Arial" w:cs="Arial"/>
                <w:color w:val="0F1115"/>
                <w:sz w:val="22"/>
                <w:lang w:eastAsia="en-US"/>
              </w:rPr>
            </w:pPr>
            <w:r w:rsidRPr="00DF4F7A">
              <w:rPr>
                <w:rFonts w:ascii="Arial" w:eastAsia="Times New Roman" w:hAnsi="Arial" w:cs="Arial"/>
                <w:color w:val="0F1115"/>
                <w:sz w:val="22"/>
                <w:lang w:eastAsia="en-US"/>
              </w:rPr>
              <w:t>4. Sustainability Validation</w:t>
            </w:r>
          </w:p>
        </w:tc>
        <w:tc>
          <w:tcPr>
            <w:tcW w:w="0" w:type="auto"/>
            <w:hideMark/>
          </w:tcPr>
          <w:p w14:paraId="27DA9F3F" w14:textId="77777777" w:rsidR="007756A8" w:rsidRPr="00DF4F7A" w:rsidRDefault="007756A8" w:rsidP="007756A8">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Conduct full lifecycle assessment of new products; publish data on sourcing and environmental footprint in annual sustainability report.</w:t>
            </w:r>
          </w:p>
        </w:tc>
        <w:tc>
          <w:tcPr>
            <w:tcW w:w="0" w:type="auto"/>
            <w:hideMark/>
          </w:tcPr>
          <w:p w14:paraId="091C0E54" w14:textId="77777777" w:rsidR="007756A8" w:rsidRPr="00DF4F7A" w:rsidRDefault="007756A8" w:rsidP="007756A8">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Carbon footprint per unit; percentage of ingredients sourced to recognised sustainability standards.</w:t>
            </w:r>
          </w:p>
        </w:tc>
        <w:tc>
          <w:tcPr>
            <w:tcW w:w="0" w:type="auto"/>
            <w:hideMark/>
          </w:tcPr>
          <w:p w14:paraId="145E6936" w14:textId="77777777" w:rsidR="007756A8" w:rsidRPr="00DF4F7A" w:rsidRDefault="007756A8" w:rsidP="007756A8">
            <w:pPr>
              <w:spacing w:line="375" w:lineRule="atLeast"/>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2"/>
                <w:lang w:eastAsia="en-US"/>
              </w:rPr>
            </w:pPr>
            <w:r w:rsidRPr="00DF4F7A">
              <w:rPr>
                <w:rFonts w:ascii="Arial" w:eastAsia="Times New Roman" w:hAnsi="Arial" w:cs="Arial"/>
                <w:color w:val="0F1115"/>
                <w:sz w:val="22"/>
                <w:lang w:eastAsia="en-US"/>
              </w:rPr>
              <w:t>Q4 - Following Y</w:t>
            </w:r>
          </w:p>
        </w:tc>
      </w:tr>
    </w:tbl>
    <w:p w14:paraId="3DB61FD5" w14:textId="77777777" w:rsidR="007756A8" w:rsidRPr="00DF4F7A" w:rsidRDefault="007756A8" w:rsidP="007756A8">
      <w:pPr>
        <w:rPr>
          <w:rFonts w:ascii="Arial" w:hAnsi="Arial" w:cs="Arial"/>
          <w:sz w:val="22"/>
        </w:rPr>
      </w:pPr>
    </w:p>
    <w:p w14:paraId="6D6212E5" w14:textId="329BD50A" w:rsidR="00AA79E7" w:rsidRPr="00DF4F7A" w:rsidRDefault="00AA79E7" w:rsidP="00AA79E7">
      <w:pPr>
        <w:pStyle w:val="Heading1"/>
        <w:rPr>
          <w:rFonts w:ascii="Arial" w:hAnsi="Arial" w:cs="Arial"/>
          <w:sz w:val="22"/>
          <w:szCs w:val="22"/>
          <w:lang w:eastAsia="en-US"/>
        </w:rPr>
      </w:pPr>
      <w:bookmarkStart w:id="14" w:name="_Toc224072920"/>
      <w:r w:rsidRPr="00DF4F7A">
        <w:rPr>
          <w:rFonts w:ascii="Arial" w:hAnsi="Arial" w:cs="Arial"/>
          <w:sz w:val="22"/>
          <w:szCs w:val="22"/>
        </w:rPr>
        <w:lastRenderedPageBreak/>
        <w:t>8.0 Conclusion</w:t>
      </w:r>
      <w:bookmarkEnd w:id="14"/>
    </w:p>
    <w:p w14:paraId="2AF8256E" w14:textId="1C12EB91" w:rsidR="008B1CA2" w:rsidRPr="00DF4F7A" w:rsidRDefault="008B1CA2" w:rsidP="008B1CA2">
      <w:pPr>
        <w:rPr>
          <w:rFonts w:ascii="Arial" w:hAnsi="Arial" w:cs="Arial"/>
          <w:sz w:val="22"/>
        </w:rPr>
      </w:pPr>
      <w:r w:rsidRPr="00DF4F7A">
        <w:rPr>
          <w:rFonts w:ascii="Arial" w:hAnsi="Arial" w:cs="Arial"/>
          <w:sz w:val="22"/>
        </w:rPr>
        <w:t>Innocent Drinks is in a good position, its ethical culture and market image give it a platform to make an ambitious strategic move, but in a genuine way. The discussion in this report proves that the external environment has become more compatible with the mission-driven approach adopted by the company, but without having to avoid some serious competition pressures. The suggested plan of introducing a collection of plant-based, functional health shots should be the next step and a rather rational one. It is no longer a break of the main ingredient of Innocent but expanding its mission to assist people to live well. Through product differentiation approach, Innocent stands to take advantage of one of the key consumer trends, solidify its brand equity, and establish a new, defendable revenue stream. The strategy has been strongly tested and proven to be appropriate, viable and acceptable with a clear implementation plan to help the implementation. Through the emphasis on innovation that remains faithful to its values, Innocent will be able to remain at the top of the market and deliver on its vision of leaving things better than they had been.</w:t>
      </w:r>
    </w:p>
    <w:p w14:paraId="32C628FD" w14:textId="77777777" w:rsidR="00F82D07" w:rsidRPr="00DF4F7A" w:rsidRDefault="00F82D07">
      <w:pPr>
        <w:spacing w:line="259" w:lineRule="auto"/>
        <w:jc w:val="left"/>
        <w:rPr>
          <w:rFonts w:ascii="Arial" w:eastAsiaTheme="majorEastAsia" w:hAnsi="Arial" w:cs="Arial"/>
          <w:b/>
          <w:sz w:val="22"/>
        </w:rPr>
      </w:pPr>
      <w:r w:rsidRPr="00DF4F7A">
        <w:rPr>
          <w:rFonts w:ascii="Arial" w:hAnsi="Arial" w:cs="Arial"/>
          <w:sz w:val="22"/>
        </w:rPr>
        <w:br w:type="page"/>
      </w:r>
    </w:p>
    <w:p w14:paraId="1CE3DFA9" w14:textId="7C5DBA6F" w:rsidR="00F82D07" w:rsidRPr="00DF4F7A" w:rsidRDefault="00F82D07" w:rsidP="00F82D07">
      <w:pPr>
        <w:pStyle w:val="Heading1"/>
        <w:rPr>
          <w:rFonts w:ascii="Arial" w:hAnsi="Arial" w:cs="Arial"/>
          <w:sz w:val="22"/>
          <w:szCs w:val="22"/>
        </w:rPr>
      </w:pPr>
      <w:r w:rsidRPr="00DF4F7A">
        <w:rPr>
          <w:rFonts w:ascii="Arial" w:hAnsi="Arial" w:cs="Arial"/>
          <w:sz w:val="22"/>
          <w:szCs w:val="22"/>
        </w:rPr>
        <w:lastRenderedPageBreak/>
        <w:t xml:space="preserve">References </w:t>
      </w:r>
    </w:p>
    <w:p w14:paraId="70D40B00"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Andrews, R., Beynon, M.J., McDermott, A.M. and Walker, R.M. (2022) 'Strategic fit in public organizations: Configurational approaches to understanding performance', </w:t>
      </w:r>
      <w:r w:rsidRPr="00DF4F7A">
        <w:rPr>
          <w:rStyle w:val="Emphasis"/>
          <w:rFonts w:ascii="Arial" w:eastAsiaTheme="majorEastAsia" w:hAnsi="Arial" w:cs="Arial"/>
          <w:color w:val="0F1115"/>
          <w:sz w:val="22"/>
          <w:szCs w:val="22"/>
          <w:lang w:val="en-GB"/>
        </w:rPr>
        <w:t>Public Management Review</w:t>
      </w:r>
      <w:r w:rsidRPr="00DF4F7A">
        <w:rPr>
          <w:rFonts w:ascii="Arial" w:hAnsi="Arial" w:cs="Arial"/>
          <w:color w:val="0F1115"/>
          <w:sz w:val="22"/>
          <w:szCs w:val="22"/>
          <w:lang w:val="en-GB"/>
        </w:rPr>
        <w:t>, 24(8), pp. 1235-1261.</w:t>
      </w:r>
    </w:p>
    <w:p w14:paraId="11B6FD55"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Ansoff, H.I., Kipley, D. and Lewis, A.O. (2019) </w:t>
      </w:r>
      <w:r w:rsidRPr="00DF4F7A">
        <w:rPr>
          <w:rStyle w:val="Emphasis"/>
          <w:rFonts w:ascii="Arial" w:eastAsiaTheme="majorEastAsia" w:hAnsi="Arial" w:cs="Arial"/>
          <w:color w:val="0F1115"/>
          <w:sz w:val="22"/>
          <w:szCs w:val="22"/>
          <w:lang w:val="en-GB"/>
        </w:rPr>
        <w:t>Implanting strategic management</w:t>
      </w:r>
      <w:r w:rsidRPr="00DF4F7A">
        <w:rPr>
          <w:rFonts w:ascii="Arial" w:hAnsi="Arial" w:cs="Arial"/>
          <w:color w:val="0F1115"/>
          <w:sz w:val="22"/>
          <w:szCs w:val="22"/>
          <w:lang w:val="en-GB"/>
        </w:rPr>
        <w:t>. 3rd edn. Cham: Palgrave Macmillan.</w:t>
      </w:r>
    </w:p>
    <w:p w14:paraId="342162F2"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Atkinson, M. (2019) 'Implementation of strategic initiatives: A framework for analysis', </w:t>
      </w:r>
      <w:r w:rsidRPr="00DF4F7A">
        <w:rPr>
          <w:rStyle w:val="Emphasis"/>
          <w:rFonts w:ascii="Arial" w:eastAsiaTheme="majorEastAsia" w:hAnsi="Arial" w:cs="Arial"/>
          <w:color w:val="0F1115"/>
          <w:sz w:val="22"/>
          <w:szCs w:val="22"/>
          <w:lang w:val="en-GB"/>
        </w:rPr>
        <w:t>Journal of Strategy and Management</w:t>
      </w:r>
      <w:r w:rsidRPr="00DF4F7A">
        <w:rPr>
          <w:rFonts w:ascii="Arial" w:hAnsi="Arial" w:cs="Arial"/>
          <w:color w:val="0F1115"/>
          <w:sz w:val="22"/>
          <w:szCs w:val="22"/>
          <w:lang w:val="en-GB"/>
        </w:rPr>
        <w:t>, 12(3), pp. 345-363.</w:t>
      </w:r>
    </w:p>
    <w:p w14:paraId="7FDDB92C"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Baker, M.T. (2023) 'Functional foods and consumer health: A review of market trends and regulatory considerations', </w:t>
      </w:r>
      <w:r w:rsidRPr="00DF4F7A">
        <w:rPr>
          <w:rStyle w:val="Emphasis"/>
          <w:rFonts w:ascii="Arial" w:eastAsiaTheme="majorEastAsia" w:hAnsi="Arial" w:cs="Arial"/>
          <w:color w:val="0F1115"/>
          <w:sz w:val="22"/>
          <w:szCs w:val="22"/>
          <w:lang w:val="en-GB"/>
        </w:rPr>
        <w:t>Trends in Food Science and Technology</w:t>
      </w:r>
      <w:r w:rsidRPr="00DF4F7A">
        <w:rPr>
          <w:rFonts w:ascii="Arial" w:hAnsi="Arial" w:cs="Arial"/>
          <w:color w:val="0F1115"/>
          <w:sz w:val="22"/>
          <w:szCs w:val="22"/>
          <w:lang w:val="en-GB"/>
        </w:rPr>
        <w:t>, 131, pp. 172-185.</w:t>
      </w:r>
    </w:p>
    <w:p w14:paraId="7815D653"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Banker, R.D., Mashruwala, R. and Tripathy, A. (2021) 'Does a differentiation strategy lead to more sustainable financial performance than a cost leadership strategy?', </w:t>
      </w:r>
      <w:r w:rsidRPr="00DF4F7A">
        <w:rPr>
          <w:rStyle w:val="Emphasis"/>
          <w:rFonts w:ascii="Arial" w:eastAsiaTheme="majorEastAsia" w:hAnsi="Arial" w:cs="Arial"/>
          <w:color w:val="0F1115"/>
          <w:sz w:val="22"/>
          <w:szCs w:val="22"/>
          <w:lang w:val="en-GB"/>
        </w:rPr>
        <w:t>Management Science</w:t>
      </w:r>
      <w:r w:rsidRPr="00DF4F7A">
        <w:rPr>
          <w:rFonts w:ascii="Arial" w:hAnsi="Arial" w:cs="Arial"/>
          <w:color w:val="0F1115"/>
          <w:sz w:val="22"/>
          <w:szCs w:val="22"/>
          <w:lang w:val="en-GB"/>
        </w:rPr>
        <w:t>, 67(6), pp. 3721-3741.</w:t>
      </w:r>
    </w:p>
    <w:p w14:paraId="78CC2C67"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Bezabih, M., Di Falco, S. and Mekonnen, A. (2021) 'Climate variability and agricultural productivity in developing economies', </w:t>
      </w:r>
      <w:r w:rsidRPr="00DF4F7A">
        <w:rPr>
          <w:rStyle w:val="Emphasis"/>
          <w:rFonts w:ascii="Arial" w:eastAsiaTheme="majorEastAsia" w:hAnsi="Arial" w:cs="Arial"/>
          <w:color w:val="0F1115"/>
          <w:sz w:val="22"/>
          <w:szCs w:val="22"/>
          <w:lang w:val="en-GB"/>
        </w:rPr>
        <w:t>Journal of Agricultural Economics</w:t>
      </w:r>
      <w:r w:rsidRPr="00DF4F7A">
        <w:rPr>
          <w:rFonts w:ascii="Arial" w:hAnsi="Arial" w:cs="Arial"/>
          <w:color w:val="0F1115"/>
          <w:sz w:val="22"/>
          <w:szCs w:val="22"/>
          <w:lang w:val="en-GB"/>
        </w:rPr>
        <w:t>, 72(3), pp. 678-695.</w:t>
      </w:r>
    </w:p>
    <w:p w14:paraId="4BD06E2B"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Brenes, E.R., Ciravegna, L. and Acuña, J.A. (2020) 'Product development and market expansion strategies in emerging markets', </w:t>
      </w:r>
      <w:r w:rsidRPr="00DF4F7A">
        <w:rPr>
          <w:rStyle w:val="Emphasis"/>
          <w:rFonts w:ascii="Arial" w:eastAsiaTheme="majorEastAsia" w:hAnsi="Arial" w:cs="Arial"/>
          <w:color w:val="0F1115"/>
          <w:sz w:val="22"/>
          <w:szCs w:val="22"/>
          <w:lang w:val="en-GB"/>
        </w:rPr>
        <w:t>Journal of Business Research</w:t>
      </w:r>
      <w:r w:rsidRPr="00DF4F7A">
        <w:rPr>
          <w:rFonts w:ascii="Arial" w:hAnsi="Arial" w:cs="Arial"/>
          <w:color w:val="0F1115"/>
          <w:sz w:val="22"/>
          <w:szCs w:val="22"/>
          <w:lang w:val="en-GB"/>
        </w:rPr>
        <w:t>, 113, pp. 401-410.</w:t>
      </w:r>
    </w:p>
    <w:p w14:paraId="161F401D"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Bublitz, M.G., Peracchio, L.A., Dadzie, C.A. and Eveland, V.B. (2019) 'Food well-being: A review and future research agenda', </w:t>
      </w:r>
      <w:r w:rsidRPr="00DF4F7A">
        <w:rPr>
          <w:rStyle w:val="Emphasis"/>
          <w:rFonts w:ascii="Arial" w:eastAsiaTheme="majorEastAsia" w:hAnsi="Arial" w:cs="Arial"/>
          <w:color w:val="0F1115"/>
          <w:sz w:val="22"/>
          <w:szCs w:val="22"/>
          <w:lang w:val="en-GB"/>
        </w:rPr>
        <w:t>Journal of Consumer Affairs</w:t>
      </w:r>
      <w:r w:rsidRPr="00DF4F7A">
        <w:rPr>
          <w:rFonts w:ascii="Arial" w:hAnsi="Arial" w:cs="Arial"/>
          <w:color w:val="0F1115"/>
          <w:sz w:val="22"/>
          <w:szCs w:val="22"/>
          <w:lang w:val="en-GB"/>
        </w:rPr>
        <w:t>, 53(4), pp. 1789-1822.</w:t>
      </w:r>
    </w:p>
    <w:p w14:paraId="47EB5FDE"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Calado, E.A., Leite, M.C., Silva, A.B. and Oliveira, M.C. (2022) 'Circular economy and packaging regulation: A systematic review', </w:t>
      </w:r>
      <w:r w:rsidRPr="00DF4F7A">
        <w:rPr>
          <w:rStyle w:val="Emphasis"/>
          <w:rFonts w:ascii="Arial" w:eastAsiaTheme="majorEastAsia" w:hAnsi="Arial" w:cs="Arial"/>
          <w:color w:val="0F1115"/>
          <w:sz w:val="22"/>
          <w:szCs w:val="22"/>
          <w:lang w:val="en-GB"/>
        </w:rPr>
        <w:t>Sustainable Production and Consumption</w:t>
      </w:r>
      <w:r w:rsidRPr="00DF4F7A">
        <w:rPr>
          <w:rFonts w:ascii="Arial" w:hAnsi="Arial" w:cs="Arial"/>
          <w:color w:val="0F1115"/>
          <w:sz w:val="22"/>
          <w:szCs w:val="22"/>
          <w:lang w:val="en-GB"/>
        </w:rPr>
        <w:t>, 30, pp. 789-802.</w:t>
      </w:r>
    </w:p>
    <w:p w14:paraId="2BC99E7E"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Carrington, M.J., Neville, B.A. and Whitwell, G.J. (2021) 'The conscious consumer: Taking a balanced view of ethical consumption', </w:t>
      </w:r>
      <w:r w:rsidRPr="00DF4F7A">
        <w:rPr>
          <w:rStyle w:val="Emphasis"/>
          <w:rFonts w:ascii="Arial" w:eastAsiaTheme="majorEastAsia" w:hAnsi="Arial" w:cs="Arial"/>
          <w:color w:val="0F1115"/>
          <w:sz w:val="22"/>
          <w:szCs w:val="22"/>
          <w:lang w:val="en-GB"/>
        </w:rPr>
        <w:t>Journal of Business Ethics</w:t>
      </w:r>
      <w:r w:rsidRPr="00DF4F7A">
        <w:rPr>
          <w:rFonts w:ascii="Arial" w:hAnsi="Arial" w:cs="Arial"/>
          <w:color w:val="0F1115"/>
          <w:sz w:val="22"/>
          <w:szCs w:val="22"/>
          <w:lang w:val="en-GB"/>
        </w:rPr>
        <w:t>, 168(4), pp. 715-731.</w:t>
      </w:r>
    </w:p>
    <w:p w14:paraId="70D20F41"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David, F.R., David, F.R. and David, M.E. (2017) </w:t>
      </w:r>
      <w:r w:rsidRPr="00DF4F7A">
        <w:rPr>
          <w:rStyle w:val="Emphasis"/>
          <w:rFonts w:ascii="Arial" w:eastAsiaTheme="majorEastAsia" w:hAnsi="Arial" w:cs="Arial"/>
          <w:color w:val="0F1115"/>
          <w:sz w:val="22"/>
          <w:szCs w:val="22"/>
          <w:lang w:val="en-GB"/>
        </w:rPr>
        <w:t>Strategic management: Concepts and cases</w:t>
      </w:r>
      <w:r w:rsidRPr="00DF4F7A">
        <w:rPr>
          <w:rFonts w:ascii="Arial" w:hAnsi="Arial" w:cs="Arial"/>
          <w:color w:val="0F1115"/>
          <w:sz w:val="22"/>
          <w:szCs w:val="22"/>
          <w:lang w:val="en-GB"/>
        </w:rPr>
        <w:t>. 16th edn. Harlow: Pearson Education.</w:t>
      </w:r>
    </w:p>
    <w:p w14:paraId="45A01564"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Dubey, R., Gunasekaran, A., Papadopoulos, T., Childe, S.J., Shibin, K.T. and Wamba, S.F. (2017) 'Sustainable supply chain management: Framework and future research directions', </w:t>
      </w:r>
      <w:r w:rsidRPr="00DF4F7A">
        <w:rPr>
          <w:rStyle w:val="Emphasis"/>
          <w:rFonts w:ascii="Arial" w:eastAsiaTheme="majorEastAsia" w:hAnsi="Arial" w:cs="Arial"/>
          <w:color w:val="0F1115"/>
          <w:sz w:val="22"/>
          <w:szCs w:val="22"/>
          <w:lang w:val="en-GB"/>
        </w:rPr>
        <w:t>Journal of Cleaner Production</w:t>
      </w:r>
      <w:r w:rsidRPr="00DF4F7A">
        <w:rPr>
          <w:rFonts w:ascii="Arial" w:hAnsi="Arial" w:cs="Arial"/>
          <w:color w:val="0F1115"/>
          <w:sz w:val="22"/>
          <w:szCs w:val="22"/>
          <w:lang w:val="en-GB"/>
        </w:rPr>
        <w:t>, 142, pp. 1119-1130.</w:t>
      </w:r>
    </w:p>
    <w:p w14:paraId="29618302"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Franco-Santos, M. and Otley, D. (2018) 'Reviewing and theorizing the unintended consequences of performance management systems', </w:t>
      </w:r>
      <w:r w:rsidRPr="00DF4F7A">
        <w:rPr>
          <w:rStyle w:val="Emphasis"/>
          <w:rFonts w:ascii="Arial" w:eastAsiaTheme="majorEastAsia" w:hAnsi="Arial" w:cs="Arial"/>
          <w:color w:val="0F1115"/>
          <w:sz w:val="22"/>
          <w:szCs w:val="22"/>
          <w:lang w:val="en-GB"/>
        </w:rPr>
        <w:t>International Journal of Management Reviews</w:t>
      </w:r>
      <w:r w:rsidRPr="00DF4F7A">
        <w:rPr>
          <w:rFonts w:ascii="Arial" w:hAnsi="Arial" w:cs="Arial"/>
          <w:color w:val="0F1115"/>
          <w:sz w:val="22"/>
          <w:szCs w:val="22"/>
          <w:lang w:val="en-GB"/>
        </w:rPr>
        <w:t>, 20(3), pp. 696-730.</w:t>
      </w:r>
    </w:p>
    <w:p w14:paraId="1CEBA9DD"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Freeman, R.E., Dmytriyev, S.D. and Phillips, R.A. (2021) 'Stakeholder theory and the resource-based view of the firm', </w:t>
      </w:r>
      <w:r w:rsidRPr="00DF4F7A">
        <w:rPr>
          <w:rStyle w:val="Emphasis"/>
          <w:rFonts w:ascii="Arial" w:eastAsiaTheme="majorEastAsia" w:hAnsi="Arial" w:cs="Arial"/>
          <w:color w:val="0F1115"/>
          <w:sz w:val="22"/>
          <w:szCs w:val="22"/>
          <w:lang w:val="en-GB"/>
        </w:rPr>
        <w:t>Journal of Management</w:t>
      </w:r>
      <w:r w:rsidRPr="00DF4F7A">
        <w:rPr>
          <w:rFonts w:ascii="Arial" w:hAnsi="Arial" w:cs="Arial"/>
          <w:color w:val="0F1115"/>
          <w:sz w:val="22"/>
          <w:szCs w:val="22"/>
          <w:lang w:val="en-GB"/>
        </w:rPr>
        <w:t>, 47(7), pp. 1757-1770.</w:t>
      </w:r>
    </w:p>
    <w:p w14:paraId="17E0375D"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lastRenderedPageBreak/>
        <w:t>Fritz, K., Schoenmueller, V. and Bruhn, M. (2017) 'Authenticity in branding: Exploring the effect of brand authenticity on consumer-brand relationships', </w:t>
      </w:r>
      <w:r w:rsidRPr="00DF4F7A">
        <w:rPr>
          <w:rStyle w:val="Emphasis"/>
          <w:rFonts w:ascii="Arial" w:eastAsiaTheme="majorEastAsia" w:hAnsi="Arial" w:cs="Arial"/>
          <w:color w:val="0F1115"/>
          <w:sz w:val="22"/>
          <w:szCs w:val="22"/>
          <w:lang w:val="en-GB"/>
        </w:rPr>
        <w:t>Journal of Business Research</w:t>
      </w:r>
      <w:r w:rsidRPr="00DF4F7A">
        <w:rPr>
          <w:rFonts w:ascii="Arial" w:hAnsi="Arial" w:cs="Arial"/>
          <w:color w:val="0F1115"/>
          <w:sz w:val="22"/>
          <w:szCs w:val="22"/>
          <w:lang w:val="en-GB"/>
        </w:rPr>
        <w:t>, 76, pp. 32-41.</w:t>
      </w:r>
    </w:p>
    <w:p w14:paraId="0FB8A77B"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Homburg, C., Jozić, D. and Kuehnl, C. (2017) 'Customer experience management: Toward implementing an evolving marketing concept', </w:t>
      </w:r>
      <w:r w:rsidRPr="00DF4F7A">
        <w:rPr>
          <w:rStyle w:val="Emphasis"/>
          <w:rFonts w:ascii="Arial" w:eastAsiaTheme="majorEastAsia" w:hAnsi="Arial" w:cs="Arial"/>
          <w:color w:val="0F1115"/>
          <w:sz w:val="22"/>
          <w:szCs w:val="22"/>
          <w:lang w:val="en-GB"/>
        </w:rPr>
        <w:t>Journal of the Academy of Marketing Science</w:t>
      </w:r>
      <w:r w:rsidRPr="00DF4F7A">
        <w:rPr>
          <w:rFonts w:ascii="Arial" w:hAnsi="Arial" w:cs="Arial"/>
          <w:color w:val="0F1115"/>
          <w:sz w:val="22"/>
          <w:szCs w:val="22"/>
          <w:lang w:val="en-GB"/>
        </w:rPr>
        <w:t>, 45(3), pp. 377-401.</w:t>
      </w:r>
    </w:p>
    <w:p w14:paraId="39FDD21B"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Hussain, S., Melewar, T.C., Priporas, C.V. and Foroudi, P. (2021) 'Market penetration strategies in emerging markets: A systematic literature review', </w:t>
      </w:r>
      <w:r w:rsidRPr="00DF4F7A">
        <w:rPr>
          <w:rStyle w:val="Emphasis"/>
          <w:rFonts w:ascii="Arial" w:eastAsiaTheme="majorEastAsia" w:hAnsi="Arial" w:cs="Arial"/>
          <w:color w:val="0F1115"/>
          <w:sz w:val="22"/>
          <w:szCs w:val="22"/>
          <w:lang w:val="en-GB"/>
        </w:rPr>
        <w:t>International Marketing Review</w:t>
      </w:r>
      <w:r w:rsidRPr="00DF4F7A">
        <w:rPr>
          <w:rFonts w:ascii="Arial" w:hAnsi="Arial" w:cs="Arial"/>
          <w:color w:val="0F1115"/>
          <w:sz w:val="22"/>
          <w:szCs w:val="22"/>
          <w:lang w:val="en-GB"/>
        </w:rPr>
        <w:t>, 38(5), pp. 1021-1050.</w:t>
      </w:r>
    </w:p>
    <w:p w14:paraId="59722708"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Ivanov, D. (2021) 'Supply chain viability and the COVID-19 pandemic: A conceptual and formal generalisation of four major adaptation strategies', </w:t>
      </w:r>
      <w:r w:rsidRPr="00DF4F7A">
        <w:rPr>
          <w:rStyle w:val="Emphasis"/>
          <w:rFonts w:ascii="Arial" w:eastAsiaTheme="majorEastAsia" w:hAnsi="Arial" w:cs="Arial"/>
          <w:color w:val="0F1115"/>
          <w:sz w:val="22"/>
          <w:szCs w:val="22"/>
          <w:lang w:val="en-GB"/>
        </w:rPr>
        <w:t>International Journal of Production Research</w:t>
      </w:r>
      <w:r w:rsidRPr="00DF4F7A">
        <w:rPr>
          <w:rFonts w:ascii="Arial" w:hAnsi="Arial" w:cs="Arial"/>
          <w:color w:val="0F1115"/>
          <w:sz w:val="22"/>
          <w:szCs w:val="22"/>
          <w:lang w:val="en-GB"/>
        </w:rPr>
        <w:t>, 59(12), pp. 3535-3552.</w:t>
      </w:r>
    </w:p>
    <w:p w14:paraId="0B5033DA"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Johnson, G., Whittington, R. and Scholes, K. (2017) </w:t>
      </w:r>
      <w:r w:rsidRPr="00DF4F7A">
        <w:rPr>
          <w:rStyle w:val="Emphasis"/>
          <w:rFonts w:ascii="Arial" w:eastAsiaTheme="majorEastAsia" w:hAnsi="Arial" w:cs="Arial"/>
          <w:color w:val="0F1115"/>
          <w:sz w:val="22"/>
          <w:szCs w:val="22"/>
          <w:lang w:val="en-GB"/>
        </w:rPr>
        <w:t>Exploring strategy: Text and cases</w:t>
      </w:r>
      <w:r w:rsidRPr="00DF4F7A">
        <w:rPr>
          <w:rFonts w:ascii="Arial" w:hAnsi="Arial" w:cs="Arial"/>
          <w:color w:val="0F1115"/>
          <w:sz w:val="22"/>
          <w:szCs w:val="22"/>
          <w:lang w:val="en-GB"/>
        </w:rPr>
        <w:t>. 11th edn. Harlow: Pearson Education.</w:t>
      </w:r>
    </w:p>
    <w:p w14:paraId="1EE1F2C9"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Jones, P., Hill, C. and Comfort, D. (2020) 'Sustainability and the competitive advantage of food and beverage companies', </w:t>
      </w:r>
      <w:r w:rsidRPr="00DF4F7A">
        <w:rPr>
          <w:rStyle w:val="Emphasis"/>
          <w:rFonts w:ascii="Arial" w:eastAsiaTheme="majorEastAsia" w:hAnsi="Arial" w:cs="Arial"/>
          <w:color w:val="0F1115"/>
          <w:sz w:val="22"/>
          <w:szCs w:val="22"/>
          <w:lang w:val="en-GB"/>
        </w:rPr>
        <w:t>British Food Journal</w:t>
      </w:r>
      <w:r w:rsidRPr="00DF4F7A">
        <w:rPr>
          <w:rFonts w:ascii="Arial" w:hAnsi="Arial" w:cs="Arial"/>
          <w:color w:val="0F1115"/>
          <w:sz w:val="22"/>
          <w:szCs w:val="22"/>
          <w:lang w:val="en-GB"/>
        </w:rPr>
        <w:t>, 122(8), pp. 2487-2501.</w:t>
      </w:r>
    </w:p>
    <w:p w14:paraId="5D2BD286"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Keller, K.L. (2020) 'Consumer research insights on brands and branding: A JCR curation', </w:t>
      </w:r>
      <w:r w:rsidRPr="00DF4F7A">
        <w:rPr>
          <w:rStyle w:val="Emphasis"/>
          <w:rFonts w:ascii="Arial" w:eastAsiaTheme="majorEastAsia" w:hAnsi="Arial" w:cs="Arial"/>
          <w:color w:val="0F1115"/>
          <w:sz w:val="22"/>
          <w:szCs w:val="22"/>
          <w:lang w:val="en-GB"/>
        </w:rPr>
        <w:t>Journal of Consumer Research</w:t>
      </w:r>
      <w:r w:rsidRPr="00DF4F7A">
        <w:rPr>
          <w:rFonts w:ascii="Arial" w:hAnsi="Arial" w:cs="Arial"/>
          <w:color w:val="0F1115"/>
          <w:sz w:val="22"/>
          <w:szCs w:val="22"/>
          <w:lang w:val="en-GB"/>
        </w:rPr>
        <w:t>, 46(5), pp. 995-1001.</w:t>
      </w:r>
    </w:p>
    <w:p w14:paraId="75383FC9"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Kshetri, N. (2018) 'Blockchain and supply chain management: The role of trust and transparency', </w:t>
      </w:r>
      <w:r w:rsidRPr="00DF4F7A">
        <w:rPr>
          <w:rStyle w:val="Emphasis"/>
          <w:rFonts w:ascii="Arial" w:eastAsiaTheme="majorEastAsia" w:hAnsi="Arial" w:cs="Arial"/>
          <w:color w:val="0F1115"/>
          <w:sz w:val="22"/>
          <w:szCs w:val="22"/>
          <w:lang w:val="en-GB"/>
        </w:rPr>
        <w:t>IEEE Engineering Management Review</w:t>
      </w:r>
      <w:r w:rsidRPr="00DF4F7A">
        <w:rPr>
          <w:rFonts w:ascii="Arial" w:hAnsi="Arial" w:cs="Arial"/>
          <w:color w:val="0F1115"/>
          <w:sz w:val="22"/>
          <w:szCs w:val="22"/>
          <w:lang w:val="en-GB"/>
        </w:rPr>
        <w:t>, 46(4), pp. 86-93.</w:t>
      </w:r>
    </w:p>
    <w:p w14:paraId="09F3EB73"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Lee, G.K. and Lieberman, M.B. (2020) 'Acquisition versus internal development as modes of market entry', </w:t>
      </w:r>
      <w:r w:rsidRPr="00DF4F7A">
        <w:rPr>
          <w:rStyle w:val="Emphasis"/>
          <w:rFonts w:ascii="Arial" w:eastAsiaTheme="majorEastAsia" w:hAnsi="Arial" w:cs="Arial"/>
          <w:color w:val="0F1115"/>
          <w:sz w:val="22"/>
          <w:szCs w:val="22"/>
          <w:lang w:val="en-GB"/>
        </w:rPr>
        <w:t>Strategic Management Journal</w:t>
      </w:r>
      <w:r w:rsidRPr="00DF4F7A">
        <w:rPr>
          <w:rFonts w:ascii="Arial" w:hAnsi="Arial" w:cs="Arial"/>
          <w:color w:val="0F1115"/>
          <w:sz w:val="22"/>
          <w:szCs w:val="22"/>
          <w:lang w:val="en-GB"/>
        </w:rPr>
        <w:t>, 41(8), pp. 1445-1475.</w:t>
      </w:r>
    </w:p>
    <w:p w14:paraId="6D9C3DC4"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Martínez-Ferrero, J. and García-Sánchez, I.M. (2017) 'Sustainability assurance and assurance providers: Corporate governance determinants in stakeholder-oriented countries', </w:t>
      </w:r>
      <w:r w:rsidRPr="00DF4F7A">
        <w:rPr>
          <w:rStyle w:val="Emphasis"/>
          <w:rFonts w:ascii="Arial" w:eastAsiaTheme="majorEastAsia" w:hAnsi="Arial" w:cs="Arial"/>
          <w:color w:val="0F1115"/>
          <w:sz w:val="22"/>
          <w:szCs w:val="22"/>
          <w:lang w:val="en-GB"/>
        </w:rPr>
        <w:t>Journal of Management and Organization</w:t>
      </w:r>
      <w:r w:rsidRPr="00DF4F7A">
        <w:rPr>
          <w:rFonts w:ascii="Arial" w:hAnsi="Arial" w:cs="Arial"/>
          <w:color w:val="0F1115"/>
          <w:sz w:val="22"/>
          <w:szCs w:val="22"/>
          <w:lang w:val="en-GB"/>
        </w:rPr>
        <w:t>, 23(5), pp. 647-670.</w:t>
      </w:r>
    </w:p>
    <w:p w14:paraId="1DFA81BD"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McDonald, H., Dunn, A., Sharp, B. and Trinh, G. (2021) 'Consumer switching behaviour: A comprehensive review and future research directions', </w:t>
      </w:r>
      <w:r w:rsidRPr="00DF4F7A">
        <w:rPr>
          <w:rStyle w:val="Emphasis"/>
          <w:rFonts w:ascii="Arial" w:eastAsiaTheme="majorEastAsia" w:hAnsi="Arial" w:cs="Arial"/>
          <w:color w:val="0F1115"/>
          <w:sz w:val="22"/>
          <w:szCs w:val="22"/>
          <w:lang w:val="en-GB"/>
        </w:rPr>
        <w:t>Journal of Retailing and Consumer Services</w:t>
      </w:r>
      <w:r w:rsidRPr="00DF4F7A">
        <w:rPr>
          <w:rFonts w:ascii="Arial" w:hAnsi="Arial" w:cs="Arial"/>
          <w:color w:val="0F1115"/>
          <w:sz w:val="22"/>
          <w:szCs w:val="22"/>
          <w:lang w:val="en-GB"/>
        </w:rPr>
        <w:t>, 62, 102642.</w:t>
      </w:r>
    </w:p>
    <w:p w14:paraId="2E4FFB1D"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Moroz, P.W., Branzei, O. and Parker, S.C. (2018) 'Imprinting with purpose: Prosocial opportunities and B Corp certification', </w:t>
      </w:r>
      <w:r w:rsidRPr="00DF4F7A">
        <w:rPr>
          <w:rStyle w:val="Emphasis"/>
          <w:rFonts w:ascii="Arial" w:eastAsiaTheme="majorEastAsia" w:hAnsi="Arial" w:cs="Arial"/>
          <w:color w:val="0F1115"/>
          <w:sz w:val="22"/>
          <w:szCs w:val="22"/>
          <w:lang w:val="en-GB"/>
        </w:rPr>
        <w:t>Journal of Business Venturing</w:t>
      </w:r>
      <w:r w:rsidRPr="00DF4F7A">
        <w:rPr>
          <w:rFonts w:ascii="Arial" w:hAnsi="Arial" w:cs="Arial"/>
          <w:color w:val="0F1115"/>
          <w:sz w:val="22"/>
          <w:szCs w:val="22"/>
          <w:lang w:val="en-GB"/>
        </w:rPr>
        <w:t>, 33(2), pp. 117-129.</w:t>
      </w:r>
    </w:p>
    <w:p w14:paraId="4D615E00"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Pacheco, D.F., Dean, T.J. and Payne, D.S. (2017) 'Escaping the green prison: Entrepreneurship and the creation of opportunities for sustainable development', </w:t>
      </w:r>
      <w:r w:rsidRPr="00DF4F7A">
        <w:rPr>
          <w:rStyle w:val="Emphasis"/>
          <w:rFonts w:ascii="Arial" w:eastAsiaTheme="majorEastAsia" w:hAnsi="Arial" w:cs="Arial"/>
          <w:color w:val="0F1115"/>
          <w:sz w:val="22"/>
          <w:szCs w:val="22"/>
          <w:lang w:val="en-GB"/>
        </w:rPr>
        <w:t>Journal of Business Venturing</w:t>
      </w:r>
      <w:r w:rsidRPr="00DF4F7A">
        <w:rPr>
          <w:rFonts w:ascii="Arial" w:hAnsi="Arial" w:cs="Arial"/>
          <w:color w:val="0F1115"/>
          <w:sz w:val="22"/>
          <w:szCs w:val="22"/>
          <w:lang w:val="en-GB"/>
        </w:rPr>
        <w:t>, 32(4), pp. 463-480.</w:t>
      </w:r>
    </w:p>
    <w:p w14:paraId="2B60175E"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Panzone, L.A., Lemke, F. and Petersen, H.L. (2016) 'Biases in consumers' assessment of environmentally friendly food', </w:t>
      </w:r>
      <w:r w:rsidRPr="00DF4F7A">
        <w:rPr>
          <w:rStyle w:val="Emphasis"/>
          <w:rFonts w:ascii="Arial" w:eastAsiaTheme="majorEastAsia" w:hAnsi="Arial" w:cs="Arial"/>
          <w:color w:val="0F1115"/>
          <w:sz w:val="22"/>
          <w:szCs w:val="22"/>
          <w:lang w:val="en-GB"/>
        </w:rPr>
        <w:t>Journal of Cleaner Production</w:t>
      </w:r>
      <w:r w:rsidRPr="00DF4F7A">
        <w:rPr>
          <w:rFonts w:ascii="Arial" w:hAnsi="Arial" w:cs="Arial"/>
          <w:color w:val="0F1115"/>
          <w:sz w:val="22"/>
          <w:szCs w:val="22"/>
          <w:lang w:val="en-GB"/>
        </w:rPr>
        <w:t>, 135, pp. 101-110.</w:t>
      </w:r>
    </w:p>
    <w:p w14:paraId="206D442C"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lastRenderedPageBreak/>
        <w:t>Paunescu, C. (2022) 'B Corp certification and its impact on consumer trust and willingness to pay premium prices', </w:t>
      </w:r>
      <w:r w:rsidRPr="00DF4F7A">
        <w:rPr>
          <w:rStyle w:val="Emphasis"/>
          <w:rFonts w:ascii="Arial" w:eastAsiaTheme="majorEastAsia" w:hAnsi="Arial" w:cs="Arial"/>
          <w:color w:val="0F1115"/>
          <w:sz w:val="22"/>
          <w:szCs w:val="22"/>
          <w:lang w:val="en-GB"/>
        </w:rPr>
        <w:t>Sustainability</w:t>
      </w:r>
      <w:r w:rsidRPr="00DF4F7A">
        <w:rPr>
          <w:rFonts w:ascii="Arial" w:hAnsi="Arial" w:cs="Arial"/>
          <w:color w:val="0F1115"/>
          <w:sz w:val="22"/>
          <w:szCs w:val="22"/>
          <w:lang w:val="en-GB"/>
        </w:rPr>
        <w:t>, 14(8), 4567.</w:t>
      </w:r>
    </w:p>
    <w:p w14:paraId="1ADD095A"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Porter, M.E. (2008) 'The five competitive forces that shape strategy', </w:t>
      </w:r>
      <w:r w:rsidRPr="00DF4F7A">
        <w:rPr>
          <w:rStyle w:val="Emphasis"/>
          <w:rFonts w:ascii="Arial" w:eastAsiaTheme="majorEastAsia" w:hAnsi="Arial" w:cs="Arial"/>
          <w:color w:val="0F1115"/>
          <w:sz w:val="22"/>
          <w:szCs w:val="22"/>
          <w:lang w:val="en-GB"/>
        </w:rPr>
        <w:t>Harvard Business Review</w:t>
      </w:r>
      <w:r w:rsidRPr="00DF4F7A">
        <w:rPr>
          <w:rFonts w:ascii="Arial" w:hAnsi="Arial" w:cs="Arial"/>
          <w:color w:val="0F1115"/>
          <w:sz w:val="22"/>
          <w:szCs w:val="22"/>
          <w:lang w:val="en-GB"/>
        </w:rPr>
        <w:t>, 86(1), pp. 78-93.</w:t>
      </w:r>
    </w:p>
    <w:p w14:paraId="2CBC9278"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Rey, C., Bastons, M. and Sotok, P. (2019) 'Purpose-driven organizations: Management ideas for a better world', </w:t>
      </w:r>
      <w:r w:rsidRPr="00DF4F7A">
        <w:rPr>
          <w:rStyle w:val="Emphasis"/>
          <w:rFonts w:ascii="Arial" w:eastAsiaTheme="majorEastAsia" w:hAnsi="Arial" w:cs="Arial"/>
          <w:color w:val="0F1115"/>
          <w:sz w:val="22"/>
          <w:szCs w:val="22"/>
          <w:lang w:val="en-GB"/>
        </w:rPr>
        <w:t>Journal of Business Ethics</w:t>
      </w:r>
      <w:r w:rsidRPr="00DF4F7A">
        <w:rPr>
          <w:rFonts w:ascii="Arial" w:hAnsi="Arial" w:cs="Arial"/>
          <w:color w:val="0F1115"/>
          <w:sz w:val="22"/>
          <w:szCs w:val="22"/>
          <w:lang w:val="en-GB"/>
        </w:rPr>
        <w:t>, 156(3), pp. 615-630.</w:t>
      </w:r>
    </w:p>
    <w:p w14:paraId="594BD817"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Seele, P. and Schultz, M.D. (2022) 'From greenwashing to greenbleaching: Green communication and the risk of corporate hypocrisy', </w:t>
      </w:r>
      <w:r w:rsidRPr="00DF4F7A">
        <w:rPr>
          <w:rStyle w:val="Emphasis"/>
          <w:rFonts w:ascii="Arial" w:eastAsiaTheme="majorEastAsia" w:hAnsi="Arial" w:cs="Arial"/>
          <w:color w:val="0F1115"/>
          <w:sz w:val="22"/>
          <w:szCs w:val="22"/>
          <w:lang w:val="en-GB"/>
        </w:rPr>
        <w:t>Journal of Business Ethics</w:t>
      </w:r>
      <w:r w:rsidRPr="00DF4F7A">
        <w:rPr>
          <w:rFonts w:ascii="Arial" w:hAnsi="Arial" w:cs="Arial"/>
          <w:color w:val="0F1115"/>
          <w:sz w:val="22"/>
          <w:szCs w:val="22"/>
          <w:lang w:val="en-GB"/>
        </w:rPr>
        <w:t>, 177(2), pp. 327-345.</w:t>
      </w:r>
    </w:p>
    <w:p w14:paraId="4DADC3AB"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Teece, D.J. (2018) 'Business models and dynamic capabilities', </w:t>
      </w:r>
      <w:r w:rsidRPr="00DF4F7A">
        <w:rPr>
          <w:rStyle w:val="Emphasis"/>
          <w:rFonts w:ascii="Arial" w:eastAsiaTheme="majorEastAsia" w:hAnsi="Arial" w:cs="Arial"/>
          <w:color w:val="0F1115"/>
          <w:sz w:val="22"/>
          <w:szCs w:val="22"/>
          <w:lang w:val="en-GB"/>
        </w:rPr>
        <w:t>Long Range Planning</w:t>
      </w:r>
      <w:r w:rsidRPr="00DF4F7A">
        <w:rPr>
          <w:rFonts w:ascii="Arial" w:hAnsi="Arial" w:cs="Arial"/>
          <w:color w:val="0F1115"/>
          <w:sz w:val="22"/>
          <w:szCs w:val="22"/>
          <w:lang w:val="en-GB"/>
        </w:rPr>
        <w:t>, 51(1), pp. 40-49.</w:t>
      </w:r>
    </w:p>
    <w:p w14:paraId="1E3864BE"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Touboulic, A. and Walker, H. (2016) 'A relational, transformative and engaged approach to sustainable supply chain management: The potential of action research', </w:t>
      </w:r>
      <w:r w:rsidRPr="00DF4F7A">
        <w:rPr>
          <w:rStyle w:val="Emphasis"/>
          <w:rFonts w:ascii="Arial" w:eastAsiaTheme="majorEastAsia" w:hAnsi="Arial" w:cs="Arial"/>
          <w:color w:val="0F1115"/>
          <w:sz w:val="22"/>
          <w:szCs w:val="22"/>
          <w:lang w:val="en-GB"/>
        </w:rPr>
        <w:t>Human Relations</w:t>
      </w:r>
      <w:r w:rsidRPr="00DF4F7A">
        <w:rPr>
          <w:rFonts w:ascii="Arial" w:hAnsi="Arial" w:cs="Arial"/>
          <w:color w:val="0F1115"/>
          <w:sz w:val="22"/>
          <w:szCs w:val="22"/>
          <w:lang w:val="en-GB"/>
        </w:rPr>
        <w:t>, 69(2), pp. 301-329.</w:t>
      </w:r>
    </w:p>
    <w:p w14:paraId="747D9CE5" w14:textId="77777777" w:rsidR="00F82D07" w:rsidRPr="00DF4F7A" w:rsidRDefault="00F82D07" w:rsidP="00F82D07">
      <w:pPr>
        <w:pStyle w:val="ds-markdown-paragraph"/>
        <w:shd w:val="clear" w:color="auto" w:fill="FFFFFF"/>
        <w:spacing w:before="240" w:beforeAutospacing="0" w:after="240" w:after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Vicentini, F., Liberatore, L. and Mastroberardino, P. (2021) 'Functional foods: A systematic literature review and future research agenda', </w:t>
      </w:r>
      <w:r w:rsidRPr="00DF4F7A">
        <w:rPr>
          <w:rStyle w:val="Emphasis"/>
          <w:rFonts w:ascii="Arial" w:eastAsiaTheme="majorEastAsia" w:hAnsi="Arial" w:cs="Arial"/>
          <w:color w:val="0F1115"/>
          <w:sz w:val="22"/>
          <w:szCs w:val="22"/>
          <w:lang w:val="en-GB"/>
        </w:rPr>
        <w:t>British Food Journal</w:t>
      </w:r>
      <w:r w:rsidRPr="00DF4F7A">
        <w:rPr>
          <w:rFonts w:ascii="Arial" w:hAnsi="Arial" w:cs="Arial"/>
          <w:color w:val="0F1115"/>
          <w:sz w:val="22"/>
          <w:szCs w:val="22"/>
          <w:lang w:val="en-GB"/>
        </w:rPr>
        <w:t>, 123(11), pp. 3675-3698.</w:t>
      </w:r>
    </w:p>
    <w:p w14:paraId="11F8EF29" w14:textId="77777777" w:rsidR="00F82D07" w:rsidRPr="00DF4F7A" w:rsidRDefault="00F82D07" w:rsidP="00F82D07">
      <w:pPr>
        <w:pStyle w:val="ds-markdown-paragraph"/>
        <w:shd w:val="clear" w:color="auto" w:fill="FFFFFF"/>
        <w:spacing w:before="240" w:beforeAutospacing="0"/>
        <w:ind w:left="720" w:hanging="720"/>
        <w:rPr>
          <w:rFonts w:ascii="Arial" w:hAnsi="Arial" w:cs="Arial"/>
          <w:color w:val="0F1115"/>
          <w:sz w:val="22"/>
          <w:szCs w:val="22"/>
          <w:lang w:val="en-GB"/>
        </w:rPr>
      </w:pPr>
      <w:r w:rsidRPr="00DF4F7A">
        <w:rPr>
          <w:rFonts w:ascii="Arial" w:hAnsi="Arial" w:cs="Arial"/>
          <w:color w:val="0F1115"/>
          <w:sz w:val="22"/>
          <w:szCs w:val="22"/>
          <w:lang w:val="en-GB"/>
        </w:rPr>
        <w:t>Vollero, A., Siano, A. and Palazzo, M. (2020) 'Sustainability communication and corporate reputation: A systematic literature review', </w:t>
      </w:r>
      <w:r w:rsidRPr="00DF4F7A">
        <w:rPr>
          <w:rStyle w:val="Emphasis"/>
          <w:rFonts w:ascii="Arial" w:eastAsiaTheme="majorEastAsia" w:hAnsi="Arial" w:cs="Arial"/>
          <w:color w:val="0F1115"/>
          <w:sz w:val="22"/>
          <w:szCs w:val="22"/>
          <w:lang w:val="en-GB"/>
        </w:rPr>
        <w:t>Corporate Social Responsibility and Environmental Management</w:t>
      </w:r>
      <w:r w:rsidRPr="00DF4F7A">
        <w:rPr>
          <w:rFonts w:ascii="Arial" w:hAnsi="Arial" w:cs="Arial"/>
          <w:color w:val="0F1115"/>
          <w:sz w:val="22"/>
          <w:szCs w:val="22"/>
          <w:lang w:val="en-GB"/>
        </w:rPr>
        <w:t>, 27(3), pp. 1145-1157.</w:t>
      </w:r>
    </w:p>
    <w:p w14:paraId="15FBB603" w14:textId="77777777" w:rsidR="00F82D07" w:rsidRPr="00DF4F7A" w:rsidRDefault="00F82D07" w:rsidP="00F82D07">
      <w:pPr>
        <w:ind w:left="720" w:hanging="720"/>
        <w:rPr>
          <w:rFonts w:ascii="Arial" w:hAnsi="Arial" w:cs="Arial"/>
          <w:sz w:val="22"/>
        </w:rPr>
      </w:pPr>
    </w:p>
    <w:p w14:paraId="6AC05D9C" w14:textId="77777777" w:rsidR="00F82D07" w:rsidRPr="00DF4F7A" w:rsidRDefault="00F82D07" w:rsidP="008B1CA2">
      <w:pPr>
        <w:rPr>
          <w:rFonts w:ascii="Arial" w:hAnsi="Arial" w:cs="Arial"/>
          <w:sz w:val="22"/>
        </w:rPr>
      </w:pPr>
    </w:p>
    <w:p w14:paraId="30E5AAB3" w14:textId="77777777" w:rsidR="00AA79E7" w:rsidRPr="00DF4F7A" w:rsidRDefault="00AA79E7" w:rsidP="00AA79E7">
      <w:pPr>
        <w:rPr>
          <w:rFonts w:ascii="Arial" w:hAnsi="Arial" w:cs="Arial"/>
          <w:sz w:val="22"/>
        </w:rPr>
      </w:pPr>
    </w:p>
    <w:p w14:paraId="53F7B985" w14:textId="77777777" w:rsidR="005D7E09" w:rsidRPr="00DF4F7A" w:rsidRDefault="005D7E09" w:rsidP="005D7E09">
      <w:pPr>
        <w:rPr>
          <w:rFonts w:ascii="Arial" w:hAnsi="Arial" w:cs="Arial"/>
          <w:sz w:val="22"/>
        </w:rPr>
      </w:pPr>
    </w:p>
    <w:p w14:paraId="46BAA8AD" w14:textId="77777777" w:rsidR="003A2A81" w:rsidRPr="00DF4F7A" w:rsidRDefault="003A2A81" w:rsidP="003A2A81">
      <w:pPr>
        <w:rPr>
          <w:rFonts w:ascii="Arial" w:hAnsi="Arial" w:cs="Arial"/>
          <w:sz w:val="22"/>
        </w:rPr>
      </w:pPr>
    </w:p>
    <w:p w14:paraId="363DDBFA" w14:textId="77777777" w:rsidR="003A2A81" w:rsidRPr="00DF4F7A" w:rsidRDefault="003A2A81" w:rsidP="003A2A81">
      <w:pPr>
        <w:rPr>
          <w:rFonts w:ascii="Arial" w:hAnsi="Arial" w:cs="Arial"/>
          <w:sz w:val="22"/>
        </w:rPr>
      </w:pPr>
    </w:p>
    <w:p w14:paraId="554ACFBA" w14:textId="77777777" w:rsidR="00C7446A" w:rsidRPr="00DF4F7A" w:rsidRDefault="00C7446A" w:rsidP="00C7446A">
      <w:pPr>
        <w:rPr>
          <w:rFonts w:ascii="Arial" w:hAnsi="Arial" w:cs="Arial"/>
          <w:sz w:val="22"/>
        </w:rPr>
      </w:pPr>
    </w:p>
    <w:p w14:paraId="727CB3AC" w14:textId="77777777" w:rsidR="00167669" w:rsidRPr="00DF4F7A" w:rsidRDefault="00167669" w:rsidP="00167669">
      <w:pPr>
        <w:rPr>
          <w:rFonts w:ascii="Arial" w:hAnsi="Arial" w:cs="Arial"/>
          <w:sz w:val="22"/>
        </w:rPr>
      </w:pPr>
    </w:p>
    <w:p w14:paraId="5DF46EDF" w14:textId="77777777" w:rsidR="00167669" w:rsidRPr="00DF4F7A" w:rsidRDefault="00167669" w:rsidP="00167669">
      <w:pPr>
        <w:rPr>
          <w:rFonts w:ascii="Arial" w:hAnsi="Arial" w:cs="Arial"/>
          <w:sz w:val="22"/>
          <w:lang w:eastAsia="en-US"/>
        </w:rPr>
      </w:pPr>
    </w:p>
    <w:p w14:paraId="53E8F6E0" w14:textId="77777777" w:rsidR="00061FAD" w:rsidRPr="00DF4F7A" w:rsidRDefault="00061FAD" w:rsidP="00061FAD">
      <w:pPr>
        <w:rPr>
          <w:rFonts w:ascii="Arial" w:hAnsi="Arial" w:cs="Arial"/>
          <w:sz w:val="22"/>
          <w:lang w:eastAsia="en-US"/>
        </w:rPr>
      </w:pPr>
    </w:p>
    <w:p w14:paraId="66100234" w14:textId="77777777" w:rsidR="00061FAD" w:rsidRPr="00DF4F7A" w:rsidRDefault="00061FAD">
      <w:pPr>
        <w:rPr>
          <w:rFonts w:ascii="Arial" w:hAnsi="Arial" w:cs="Arial"/>
          <w:sz w:val="22"/>
        </w:rPr>
      </w:pPr>
    </w:p>
    <w:sectPr w:rsidR="00061FAD" w:rsidRPr="00DF4F7A" w:rsidSect="005E7B2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F895E8" w14:textId="77777777" w:rsidR="0031542F" w:rsidRDefault="0031542F" w:rsidP="008079AC">
      <w:pPr>
        <w:spacing w:after="0" w:line="240" w:lineRule="auto"/>
      </w:pPr>
      <w:r>
        <w:separator/>
      </w:r>
    </w:p>
  </w:endnote>
  <w:endnote w:type="continuationSeparator" w:id="0">
    <w:p w14:paraId="6550564F" w14:textId="77777777" w:rsidR="0031542F" w:rsidRDefault="0031542F" w:rsidP="00807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9432D" w14:textId="77777777" w:rsidR="008079AC" w:rsidRDefault="008079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00087" w14:textId="77777777" w:rsidR="008079AC" w:rsidRDefault="008079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D4EB35" w14:textId="77777777" w:rsidR="008079AC" w:rsidRDefault="008079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84476C" w14:textId="77777777" w:rsidR="0031542F" w:rsidRDefault="0031542F" w:rsidP="008079AC">
      <w:pPr>
        <w:spacing w:after="0" w:line="240" w:lineRule="auto"/>
      </w:pPr>
      <w:r>
        <w:separator/>
      </w:r>
    </w:p>
  </w:footnote>
  <w:footnote w:type="continuationSeparator" w:id="0">
    <w:p w14:paraId="5255C44D" w14:textId="77777777" w:rsidR="0031542F" w:rsidRDefault="0031542F" w:rsidP="008079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42F82D" w14:textId="77777777" w:rsidR="008079AC" w:rsidRDefault="008079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48D7F" w14:textId="77777777" w:rsidR="008079AC" w:rsidRDefault="008079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2A507" w14:textId="77777777" w:rsidR="008079AC" w:rsidRDefault="008079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80520"/>
    <w:multiLevelType w:val="hybridMultilevel"/>
    <w:tmpl w:val="11924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F05748"/>
    <w:multiLevelType w:val="multilevel"/>
    <w:tmpl w:val="B96875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734A3B5E"/>
    <w:multiLevelType w:val="hybridMultilevel"/>
    <w:tmpl w:val="6EEA72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2D0C6D"/>
    <w:multiLevelType w:val="hybridMultilevel"/>
    <w:tmpl w:val="1FF41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NDczsjA2NrcwNjMwMzRR0lEKTi0uzszPAykwrAUAwI6ZUSwAAAA="/>
  </w:docVars>
  <w:rsids>
    <w:rsidRoot w:val="00E8481B"/>
    <w:rsid w:val="00061FAD"/>
    <w:rsid w:val="000A233E"/>
    <w:rsid w:val="001216F4"/>
    <w:rsid w:val="00167669"/>
    <w:rsid w:val="001E0681"/>
    <w:rsid w:val="001F357F"/>
    <w:rsid w:val="0031542F"/>
    <w:rsid w:val="00325DB7"/>
    <w:rsid w:val="003368B6"/>
    <w:rsid w:val="003A2A81"/>
    <w:rsid w:val="00412550"/>
    <w:rsid w:val="004A7118"/>
    <w:rsid w:val="00510275"/>
    <w:rsid w:val="005A5341"/>
    <w:rsid w:val="005D7E09"/>
    <w:rsid w:val="005E7B2A"/>
    <w:rsid w:val="00682AB3"/>
    <w:rsid w:val="00690060"/>
    <w:rsid w:val="00753110"/>
    <w:rsid w:val="007756A8"/>
    <w:rsid w:val="007F2785"/>
    <w:rsid w:val="008079AC"/>
    <w:rsid w:val="008B1CA2"/>
    <w:rsid w:val="009317E1"/>
    <w:rsid w:val="009414AD"/>
    <w:rsid w:val="00960FFF"/>
    <w:rsid w:val="009D1DAF"/>
    <w:rsid w:val="009D2CD2"/>
    <w:rsid w:val="00A069BD"/>
    <w:rsid w:val="00AA79E7"/>
    <w:rsid w:val="00B8407C"/>
    <w:rsid w:val="00BD7C4E"/>
    <w:rsid w:val="00BE6628"/>
    <w:rsid w:val="00C7446A"/>
    <w:rsid w:val="00C75504"/>
    <w:rsid w:val="00CF32F5"/>
    <w:rsid w:val="00D14F95"/>
    <w:rsid w:val="00D73F7F"/>
    <w:rsid w:val="00D84017"/>
    <w:rsid w:val="00DE3D3F"/>
    <w:rsid w:val="00DF4F7A"/>
    <w:rsid w:val="00E52CE6"/>
    <w:rsid w:val="00E8481B"/>
    <w:rsid w:val="00EA59DF"/>
    <w:rsid w:val="00EF36C3"/>
    <w:rsid w:val="00F41FCF"/>
    <w:rsid w:val="00F82D07"/>
    <w:rsid w:val="00F92BEE"/>
    <w:rsid w:val="00FA1595"/>
    <w:rsid w:val="00FC424C"/>
    <w:rsid w:val="00FF6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75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FCF"/>
    <w:pPr>
      <w:spacing w:line="360" w:lineRule="auto"/>
      <w:jc w:val="both"/>
    </w:pPr>
    <w:rPr>
      <w:rFonts w:ascii="Times New Roman" w:hAnsi="Times New Roman" w:cs="Calibri"/>
      <w:color w:val="000000"/>
      <w:sz w:val="24"/>
      <w:lang w:val="en-GB" w:eastAsia="en-GB"/>
    </w:rPr>
  </w:style>
  <w:style w:type="paragraph" w:styleId="Heading1">
    <w:name w:val="heading 1"/>
    <w:basedOn w:val="Normal"/>
    <w:next w:val="Normal"/>
    <w:link w:val="Heading1Char"/>
    <w:uiPriority w:val="9"/>
    <w:qFormat/>
    <w:rsid w:val="00690060"/>
    <w:pPr>
      <w:keepNext/>
      <w:keepLines/>
      <w:spacing w:before="240" w:after="0" w:line="24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90060"/>
    <w:pPr>
      <w:keepNext/>
      <w:keepLines/>
      <w:spacing w:before="40" w:after="0" w:line="240" w:lineRule="auto"/>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53110"/>
    <w:pPr>
      <w:keepNext/>
      <w:keepLines/>
      <w:spacing w:before="40" w:after="0" w:line="240" w:lineRule="auto"/>
      <w:outlineLvl w:val="2"/>
    </w:pPr>
    <w:rPr>
      <w:rFonts w:eastAsiaTheme="majorEastAsia" w:cstheme="majorBidi"/>
      <w:b/>
      <w:i/>
      <w:color w:val="1F3763" w:themeColor="accent1" w:themeShade="7F"/>
      <w:szCs w:val="24"/>
    </w:rPr>
  </w:style>
  <w:style w:type="paragraph" w:styleId="Heading4">
    <w:name w:val="heading 4"/>
    <w:basedOn w:val="Normal"/>
    <w:link w:val="Heading4Char"/>
    <w:uiPriority w:val="9"/>
    <w:qFormat/>
    <w:rsid w:val="00061FAD"/>
    <w:pPr>
      <w:spacing w:before="100" w:beforeAutospacing="1" w:after="100" w:afterAutospacing="1" w:line="240" w:lineRule="auto"/>
      <w:jc w:val="left"/>
      <w:outlineLvl w:val="3"/>
    </w:pPr>
    <w:rPr>
      <w:rFonts w:eastAsia="Times New Roman" w:cs="Times New Roman"/>
      <w:b/>
      <w:bCs/>
      <w:color w:val="auto"/>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060"/>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690060"/>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753110"/>
    <w:rPr>
      <w:rFonts w:ascii="Times New Roman" w:eastAsiaTheme="majorEastAsia" w:hAnsi="Times New Roman" w:cstheme="majorBidi"/>
      <w:b/>
      <w:i/>
      <w:color w:val="1F3763" w:themeColor="accent1" w:themeShade="7F"/>
      <w:sz w:val="24"/>
      <w:szCs w:val="24"/>
    </w:rPr>
  </w:style>
  <w:style w:type="character" w:customStyle="1" w:styleId="Heading4Char">
    <w:name w:val="Heading 4 Char"/>
    <w:basedOn w:val="DefaultParagraphFont"/>
    <w:link w:val="Heading4"/>
    <w:uiPriority w:val="9"/>
    <w:rsid w:val="00061FAD"/>
    <w:rPr>
      <w:rFonts w:ascii="Times New Roman" w:eastAsia="Times New Roman" w:hAnsi="Times New Roman" w:cs="Times New Roman"/>
      <w:b/>
      <w:bCs/>
      <w:sz w:val="24"/>
      <w:szCs w:val="24"/>
    </w:rPr>
  </w:style>
  <w:style w:type="paragraph" w:styleId="ListParagraph">
    <w:name w:val="List Paragraph"/>
    <w:basedOn w:val="Normal"/>
    <w:uiPriority w:val="34"/>
    <w:qFormat/>
    <w:rsid w:val="00B8407C"/>
    <w:pPr>
      <w:ind w:left="720"/>
      <w:contextualSpacing/>
    </w:pPr>
  </w:style>
  <w:style w:type="character" w:styleId="Strong">
    <w:name w:val="Strong"/>
    <w:basedOn w:val="DefaultParagraphFont"/>
    <w:uiPriority w:val="22"/>
    <w:qFormat/>
    <w:rsid w:val="00FF6358"/>
    <w:rPr>
      <w:b/>
      <w:bCs/>
    </w:rPr>
  </w:style>
  <w:style w:type="table" w:customStyle="1" w:styleId="GridTable4Accent5">
    <w:name w:val="Grid Table 4 Accent 5"/>
    <w:basedOn w:val="TableNormal"/>
    <w:uiPriority w:val="49"/>
    <w:rsid w:val="00FF6358"/>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FF63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6">
    <w:name w:val="Grid Table 2 Accent 6"/>
    <w:basedOn w:val="TableNormal"/>
    <w:uiPriority w:val="47"/>
    <w:rsid w:val="00C75504"/>
    <w:pPr>
      <w:spacing w:after="0" w:line="240" w:lineRule="auto"/>
    </w:pPr>
    <w:tblPr>
      <w:tblStyleRowBandSize w:val="1"/>
      <w:tblStyleColBandSize w:val="1"/>
      <w:tblInd w:w="0" w:type="dxa"/>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CellMar>
        <w:top w:w="0" w:type="dxa"/>
        <w:left w:w="108" w:type="dxa"/>
        <w:bottom w:w="0" w:type="dxa"/>
        <w:right w:w="108" w:type="dxa"/>
      </w:tblCellMar>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6">
    <w:name w:val="Grid Table 4 Accent 6"/>
    <w:basedOn w:val="TableNormal"/>
    <w:uiPriority w:val="49"/>
    <w:rsid w:val="00C75504"/>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5DarkAccent6">
    <w:name w:val="Grid Table 5 Dark Accent 6"/>
    <w:basedOn w:val="TableNormal"/>
    <w:uiPriority w:val="50"/>
    <w:rsid w:val="007756A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rmalWeb">
    <w:name w:val="Normal (Web)"/>
    <w:basedOn w:val="Normal"/>
    <w:uiPriority w:val="99"/>
    <w:semiHidden/>
    <w:unhideWhenUsed/>
    <w:rsid w:val="00FA1595"/>
    <w:pPr>
      <w:spacing w:before="100" w:beforeAutospacing="1" w:after="100" w:afterAutospacing="1" w:line="240" w:lineRule="auto"/>
      <w:jc w:val="left"/>
    </w:pPr>
    <w:rPr>
      <w:rFonts w:eastAsia="Times New Roman" w:cs="Times New Roman"/>
      <w:color w:val="auto"/>
      <w:szCs w:val="24"/>
      <w:lang w:val="en-US" w:eastAsia="en-US"/>
    </w:rPr>
  </w:style>
  <w:style w:type="paragraph" w:styleId="TOCHeading">
    <w:name w:val="TOC Heading"/>
    <w:basedOn w:val="Heading1"/>
    <w:next w:val="Normal"/>
    <w:uiPriority w:val="39"/>
    <w:unhideWhenUsed/>
    <w:qFormat/>
    <w:rsid w:val="005A5341"/>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5A5341"/>
    <w:pPr>
      <w:spacing w:after="100"/>
    </w:pPr>
  </w:style>
  <w:style w:type="paragraph" w:styleId="TOC2">
    <w:name w:val="toc 2"/>
    <w:basedOn w:val="Normal"/>
    <w:next w:val="Normal"/>
    <w:autoRedefine/>
    <w:uiPriority w:val="39"/>
    <w:unhideWhenUsed/>
    <w:rsid w:val="005A5341"/>
    <w:pPr>
      <w:spacing w:after="100"/>
      <w:ind w:left="240"/>
    </w:pPr>
  </w:style>
  <w:style w:type="character" w:styleId="Hyperlink">
    <w:name w:val="Hyperlink"/>
    <w:basedOn w:val="DefaultParagraphFont"/>
    <w:uiPriority w:val="99"/>
    <w:unhideWhenUsed/>
    <w:rsid w:val="005A5341"/>
    <w:rPr>
      <w:color w:val="0563C1" w:themeColor="hyperlink"/>
      <w:u w:val="single"/>
    </w:rPr>
  </w:style>
  <w:style w:type="paragraph" w:styleId="Caption">
    <w:name w:val="caption"/>
    <w:basedOn w:val="Normal"/>
    <w:next w:val="Normal"/>
    <w:uiPriority w:val="35"/>
    <w:unhideWhenUsed/>
    <w:qFormat/>
    <w:rsid w:val="005A5341"/>
    <w:pPr>
      <w:spacing w:after="200" w:line="240" w:lineRule="auto"/>
    </w:pPr>
    <w:rPr>
      <w:i/>
      <w:iCs/>
      <w:color w:val="44546A" w:themeColor="text2"/>
      <w:sz w:val="18"/>
      <w:szCs w:val="18"/>
    </w:rPr>
  </w:style>
  <w:style w:type="paragraph" w:customStyle="1" w:styleId="ds-markdown-paragraph">
    <w:name w:val="ds-markdown-paragraph"/>
    <w:basedOn w:val="Normal"/>
    <w:rsid w:val="00F82D07"/>
    <w:pPr>
      <w:spacing w:before="100" w:beforeAutospacing="1" w:after="100" w:afterAutospacing="1" w:line="240" w:lineRule="auto"/>
      <w:jc w:val="left"/>
    </w:pPr>
    <w:rPr>
      <w:rFonts w:eastAsia="Times New Roman" w:cs="Times New Roman"/>
      <w:color w:val="auto"/>
      <w:szCs w:val="24"/>
      <w:lang w:val="en-US" w:eastAsia="en-US"/>
    </w:rPr>
  </w:style>
  <w:style w:type="character" w:styleId="Emphasis">
    <w:name w:val="Emphasis"/>
    <w:basedOn w:val="DefaultParagraphFont"/>
    <w:uiPriority w:val="20"/>
    <w:qFormat/>
    <w:rsid w:val="00F82D07"/>
    <w:rPr>
      <w:i/>
      <w:iCs/>
    </w:rPr>
  </w:style>
  <w:style w:type="paragraph" w:styleId="BalloonText">
    <w:name w:val="Balloon Text"/>
    <w:basedOn w:val="Normal"/>
    <w:link w:val="BalloonTextChar"/>
    <w:uiPriority w:val="99"/>
    <w:semiHidden/>
    <w:unhideWhenUsed/>
    <w:rsid w:val="00DF4F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F7A"/>
    <w:rPr>
      <w:rFonts w:ascii="Tahoma" w:hAnsi="Tahoma" w:cs="Tahoma"/>
      <w:color w:val="000000"/>
      <w:sz w:val="16"/>
      <w:szCs w:val="16"/>
      <w:lang w:val="en-GB" w:eastAsia="en-GB"/>
    </w:rPr>
  </w:style>
  <w:style w:type="paragraph" w:styleId="Header">
    <w:name w:val="header"/>
    <w:basedOn w:val="Normal"/>
    <w:link w:val="HeaderChar"/>
    <w:uiPriority w:val="99"/>
    <w:unhideWhenUsed/>
    <w:rsid w:val="008079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79AC"/>
    <w:rPr>
      <w:rFonts w:ascii="Times New Roman" w:hAnsi="Times New Roman" w:cs="Calibri"/>
      <w:color w:val="000000"/>
      <w:sz w:val="24"/>
      <w:lang w:val="en-GB" w:eastAsia="en-GB"/>
    </w:rPr>
  </w:style>
  <w:style w:type="paragraph" w:styleId="Footer">
    <w:name w:val="footer"/>
    <w:basedOn w:val="Normal"/>
    <w:link w:val="FooterChar"/>
    <w:uiPriority w:val="99"/>
    <w:unhideWhenUsed/>
    <w:rsid w:val="008079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9AC"/>
    <w:rPr>
      <w:rFonts w:ascii="Times New Roman" w:hAnsi="Times New Roman" w:cs="Calibri"/>
      <w:color w:val="000000"/>
      <w:sz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FCF"/>
    <w:pPr>
      <w:spacing w:line="360" w:lineRule="auto"/>
      <w:jc w:val="both"/>
    </w:pPr>
    <w:rPr>
      <w:rFonts w:ascii="Times New Roman" w:hAnsi="Times New Roman" w:cs="Calibri"/>
      <w:color w:val="000000"/>
      <w:sz w:val="24"/>
      <w:lang w:val="en-GB" w:eastAsia="en-GB"/>
    </w:rPr>
  </w:style>
  <w:style w:type="paragraph" w:styleId="Heading1">
    <w:name w:val="heading 1"/>
    <w:basedOn w:val="Normal"/>
    <w:next w:val="Normal"/>
    <w:link w:val="Heading1Char"/>
    <w:uiPriority w:val="9"/>
    <w:qFormat/>
    <w:rsid w:val="00690060"/>
    <w:pPr>
      <w:keepNext/>
      <w:keepLines/>
      <w:spacing w:before="240" w:after="0" w:line="24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90060"/>
    <w:pPr>
      <w:keepNext/>
      <w:keepLines/>
      <w:spacing w:before="40" w:after="0" w:line="240" w:lineRule="auto"/>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53110"/>
    <w:pPr>
      <w:keepNext/>
      <w:keepLines/>
      <w:spacing w:before="40" w:after="0" w:line="240" w:lineRule="auto"/>
      <w:outlineLvl w:val="2"/>
    </w:pPr>
    <w:rPr>
      <w:rFonts w:eastAsiaTheme="majorEastAsia" w:cstheme="majorBidi"/>
      <w:b/>
      <w:i/>
      <w:color w:val="1F3763" w:themeColor="accent1" w:themeShade="7F"/>
      <w:szCs w:val="24"/>
    </w:rPr>
  </w:style>
  <w:style w:type="paragraph" w:styleId="Heading4">
    <w:name w:val="heading 4"/>
    <w:basedOn w:val="Normal"/>
    <w:link w:val="Heading4Char"/>
    <w:uiPriority w:val="9"/>
    <w:qFormat/>
    <w:rsid w:val="00061FAD"/>
    <w:pPr>
      <w:spacing w:before="100" w:beforeAutospacing="1" w:after="100" w:afterAutospacing="1" w:line="240" w:lineRule="auto"/>
      <w:jc w:val="left"/>
      <w:outlineLvl w:val="3"/>
    </w:pPr>
    <w:rPr>
      <w:rFonts w:eastAsia="Times New Roman" w:cs="Times New Roman"/>
      <w:b/>
      <w:bCs/>
      <w:color w:val="auto"/>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060"/>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690060"/>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753110"/>
    <w:rPr>
      <w:rFonts w:ascii="Times New Roman" w:eastAsiaTheme="majorEastAsia" w:hAnsi="Times New Roman" w:cstheme="majorBidi"/>
      <w:b/>
      <w:i/>
      <w:color w:val="1F3763" w:themeColor="accent1" w:themeShade="7F"/>
      <w:sz w:val="24"/>
      <w:szCs w:val="24"/>
    </w:rPr>
  </w:style>
  <w:style w:type="character" w:customStyle="1" w:styleId="Heading4Char">
    <w:name w:val="Heading 4 Char"/>
    <w:basedOn w:val="DefaultParagraphFont"/>
    <w:link w:val="Heading4"/>
    <w:uiPriority w:val="9"/>
    <w:rsid w:val="00061FAD"/>
    <w:rPr>
      <w:rFonts w:ascii="Times New Roman" w:eastAsia="Times New Roman" w:hAnsi="Times New Roman" w:cs="Times New Roman"/>
      <w:b/>
      <w:bCs/>
      <w:sz w:val="24"/>
      <w:szCs w:val="24"/>
    </w:rPr>
  </w:style>
  <w:style w:type="paragraph" w:styleId="ListParagraph">
    <w:name w:val="List Paragraph"/>
    <w:basedOn w:val="Normal"/>
    <w:uiPriority w:val="34"/>
    <w:qFormat/>
    <w:rsid w:val="00B8407C"/>
    <w:pPr>
      <w:ind w:left="720"/>
      <w:contextualSpacing/>
    </w:pPr>
  </w:style>
  <w:style w:type="character" w:styleId="Strong">
    <w:name w:val="Strong"/>
    <w:basedOn w:val="DefaultParagraphFont"/>
    <w:uiPriority w:val="22"/>
    <w:qFormat/>
    <w:rsid w:val="00FF6358"/>
    <w:rPr>
      <w:b/>
      <w:bCs/>
    </w:rPr>
  </w:style>
  <w:style w:type="table" w:customStyle="1" w:styleId="GridTable4Accent5">
    <w:name w:val="Grid Table 4 Accent 5"/>
    <w:basedOn w:val="TableNormal"/>
    <w:uiPriority w:val="49"/>
    <w:rsid w:val="00FF6358"/>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FF63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6">
    <w:name w:val="Grid Table 2 Accent 6"/>
    <w:basedOn w:val="TableNormal"/>
    <w:uiPriority w:val="47"/>
    <w:rsid w:val="00C75504"/>
    <w:pPr>
      <w:spacing w:after="0" w:line="240" w:lineRule="auto"/>
    </w:pPr>
    <w:tblPr>
      <w:tblStyleRowBandSize w:val="1"/>
      <w:tblStyleColBandSize w:val="1"/>
      <w:tblInd w:w="0" w:type="dxa"/>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CellMar>
        <w:top w:w="0" w:type="dxa"/>
        <w:left w:w="108" w:type="dxa"/>
        <w:bottom w:w="0" w:type="dxa"/>
        <w:right w:w="108" w:type="dxa"/>
      </w:tblCellMar>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6">
    <w:name w:val="Grid Table 4 Accent 6"/>
    <w:basedOn w:val="TableNormal"/>
    <w:uiPriority w:val="49"/>
    <w:rsid w:val="00C75504"/>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5DarkAccent6">
    <w:name w:val="Grid Table 5 Dark Accent 6"/>
    <w:basedOn w:val="TableNormal"/>
    <w:uiPriority w:val="50"/>
    <w:rsid w:val="007756A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rmalWeb">
    <w:name w:val="Normal (Web)"/>
    <w:basedOn w:val="Normal"/>
    <w:uiPriority w:val="99"/>
    <w:semiHidden/>
    <w:unhideWhenUsed/>
    <w:rsid w:val="00FA1595"/>
    <w:pPr>
      <w:spacing w:before="100" w:beforeAutospacing="1" w:after="100" w:afterAutospacing="1" w:line="240" w:lineRule="auto"/>
      <w:jc w:val="left"/>
    </w:pPr>
    <w:rPr>
      <w:rFonts w:eastAsia="Times New Roman" w:cs="Times New Roman"/>
      <w:color w:val="auto"/>
      <w:szCs w:val="24"/>
      <w:lang w:val="en-US" w:eastAsia="en-US"/>
    </w:rPr>
  </w:style>
  <w:style w:type="paragraph" w:styleId="TOCHeading">
    <w:name w:val="TOC Heading"/>
    <w:basedOn w:val="Heading1"/>
    <w:next w:val="Normal"/>
    <w:uiPriority w:val="39"/>
    <w:unhideWhenUsed/>
    <w:qFormat/>
    <w:rsid w:val="005A5341"/>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5A5341"/>
    <w:pPr>
      <w:spacing w:after="100"/>
    </w:pPr>
  </w:style>
  <w:style w:type="paragraph" w:styleId="TOC2">
    <w:name w:val="toc 2"/>
    <w:basedOn w:val="Normal"/>
    <w:next w:val="Normal"/>
    <w:autoRedefine/>
    <w:uiPriority w:val="39"/>
    <w:unhideWhenUsed/>
    <w:rsid w:val="005A5341"/>
    <w:pPr>
      <w:spacing w:after="100"/>
      <w:ind w:left="240"/>
    </w:pPr>
  </w:style>
  <w:style w:type="character" w:styleId="Hyperlink">
    <w:name w:val="Hyperlink"/>
    <w:basedOn w:val="DefaultParagraphFont"/>
    <w:uiPriority w:val="99"/>
    <w:unhideWhenUsed/>
    <w:rsid w:val="005A5341"/>
    <w:rPr>
      <w:color w:val="0563C1" w:themeColor="hyperlink"/>
      <w:u w:val="single"/>
    </w:rPr>
  </w:style>
  <w:style w:type="paragraph" w:styleId="Caption">
    <w:name w:val="caption"/>
    <w:basedOn w:val="Normal"/>
    <w:next w:val="Normal"/>
    <w:uiPriority w:val="35"/>
    <w:unhideWhenUsed/>
    <w:qFormat/>
    <w:rsid w:val="005A5341"/>
    <w:pPr>
      <w:spacing w:after="200" w:line="240" w:lineRule="auto"/>
    </w:pPr>
    <w:rPr>
      <w:i/>
      <w:iCs/>
      <w:color w:val="44546A" w:themeColor="text2"/>
      <w:sz w:val="18"/>
      <w:szCs w:val="18"/>
    </w:rPr>
  </w:style>
  <w:style w:type="paragraph" w:customStyle="1" w:styleId="ds-markdown-paragraph">
    <w:name w:val="ds-markdown-paragraph"/>
    <w:basedOn w:val="Normal"/>
    <w:rsid w:val="00F82D07"/>
    <w:pPr>
      <w:spacing w:before="100" w:beforeAutospacing="1" w:after="100" w:afterAutospacing="1" w:line="240" w:lineRule="auto"/>
      <w:jc w:val="left"/>
    </w:pPr>
    <w:rPr>
      <w:rFonts w:eastAsia="Times New Roman" w:cs="Times New Roman"/>
      <w:color w:val="auto"/>
      <w:szCs w:val="24"/>
      <w:lang w:val="en-US" w:eastAsia="en-US"/>
    </w:rPr>
  </w:style>
  <w:style w:type="character" w:styleId="Emphasis">
    <w:name w:val="Emphasis"/>
    <w:basedOn w:val="DefaultParagraphFont"/>
    <w:uiPriority w:val="20"/>
    <w:qFormat/>
    <w:rsid w:val="00F82D07"/>
    <w:rPr>
      <w:i/>
      <w:iCs/>
    </w:rPr>
  </w:style>
  <w:style w:type="paragraph" w:styleId="BalloonText">
    <w:name w:val="Balloon Text"/>
    <w:basedOn w:val="Normal"/>
    <w:link w:val="BalloonTextChar"/>
    <w:uiPriority w:val="99"/>
    <w:semiHidden/>
    <w:unhideWhenUsed/>
    <w:rsid w:val="00DF4F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F7A"/>
    <w:rPr>
      <w:rFonts w:ascii="Tahoma" w:hAnsi="Tahoma" w:cs="Tahoma"/>
      <w:color w:val="000000"/>
      <w:sz w:val="16"/>
      <w:szCs w:val="16"/>
      <w:lang w:val="en-GB" w:eastAsia="en-GB"/>
    </w:rPr>
  </w:style>
  <w:style w:type="paragraph" w:styleId="Header">
    <w:name w:val="header"/>
    <w:basedOn w:val="Normal"/>
    <w:link w:val="HeaderChar"/>
    <w:uiPriority w:val="99"/>
    <w:unhideWhenUsed/>
    <w:rsid w:val="008079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79AC"/>
    <w:rPr>
      <w:rFonts w:ascii="Times New Roman" w:hAnsi="Times New Roman" w:cs="Calibri"/>
      <w:color w:val="000000"/>
      <w:sz w:val="24"/>
      <w:lang w:val="en-GB" w:eastAsia="en-GB"/>
    </w:rPr>
  </w:style>
  <w:style w:type="paragraph" w:styleId="Footer">
    <w:name w:val="footer"/>
    <w:basedOn w:val="Normal"/>
    <w:link w:val="FooterChar"/>
    <w:uiPriority w:val="99"/>
    <w:unhideWhenUsed/>
    <w:rsid w:val="008079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9AC"/>
    <w:rPr>
      <w:rFonts w:ascii="Times New Roman" w:hAnsi="Times New Roman" w:cs="Calibri"/>
      <w:color w:val="00000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03898">
      <w:bodyDiv w:val="1"/>
      <w:marLeft w:val="0"/>
      <w:marRight w:val="0"/>
      <w:marTop w:val="0"/>
      <w:marBottom w:val="0"/>
      <w:divBdr>
        <w:top w:val="none" w:sz="0" w:space="0" w:color="auto"/>
        <w:left w:val="none" w:sz="0" w:space="0" w:color="auto"/>
        <w:bottom w:val="none" w:sz="0" w:space="0" w:color="auto"/>
        <w:right w:val="none" w:sz="0" w:space="0" w:color="auto"/>
      </w:divBdr>
    </w:div>
    <w:div w:id="69547127">
      <w:bodyDiv w:val="1"/>
      <w:marLeft w:val="0"/>
      <w:marRight w:val="0"/>
      <w:marTop w:val="0"/>
      <w:marBottom w:val="0"/>
      <w:divBdr>
        <w:top w:val="none" w:sz="0" w:space="0" w:color="auto"/>
        <w:left w:val="none" w:sz="0" w:space="0" w:color="auto"/>
        <w:bottom w:val="none" w:sz="0" w:space="0" w:color="auto"/>
        <w:right w:val="none" w:sz="0" w:space="0" w:color="auto"/>
      </w:divBdr>
    </w:div>
    <w:div w:id="84302504">
      <w:bodyDiv w:val="1"/>
      <w:marLeft w:val="0"/>
      <w:marRight w:val="0"/>
      <w:marTop w:val="0"/>
      <w:marBottom w:val="0"/>
      <w:divBdr>
        <w:top w:val="none" w:sz="0" w:space="0" w:color="auto"/>
        <w:left w:val="none" w:sz="0" w:space="0" w:color="auto"/>
        <w:bottom w:val="none" w:sz="0" w:space="0" w:color="auto"/>
        <w:right w:val="none" w:sz="0" w:space="0" w:color="auto"/>
      </w:divBdr>
    </w:div>
    <w:div w:id="213473706">
      <w:bodyDiv w:val="1"/>
      <w:marLeft w:val="0"/>
      <w:marRight w:val="0"/>
      <w:marTop w:val="0"/>
      <w:marBottom w:val="0"/>
      <w:divBdr>
        <w:top w:val="none" w:sz="0" w:space="0" w:color="auto"/>
        <w:left w:val="none" w:sz="0" w:space="0" w:color="auto"/>
        <w:bottom w:val="none" w:sz="0" w:space="0" w:color="auto"/>
        <w:right w:val="none" w:sz="0" w:space="0" w:color="auto"/>
      </w:divBdr>
    </w:div>
    <w:div w:id="371928425">
      <w:bodyDiv w:val="1"/>
      <w:marLeft w:val="0"/>
      <w:marRight w:val="0"/>
      <w:marTop w:val="0"/>
      <w:marBottom w:val="0"/>
      <w:divBdr>
        <w:top w:val="none" w:sz="0" w:space="0" w:color="auto"/>
        <w:left w:val="none" w:sz="0" w:space="0" w:color="auto"/>
        <w:bottom w:val="none" w:sz="0" w:space="0" w:color="auto"/>
        <w:right w:val="none" w:sz="0" w:space="0" w:color="auto"/>
      </w:divBdr>
    </w:div>
    <w:div w:id="383066360">
      <w:bodyDiv w:val="1"/>
      <w:marLeft w:val="0"/>
      <w:marRight w:val="0"/>
      <w:marTop w:val="0"/>
      <w:marBottom w:val="0"/>
      <w:divBdr>
        <w:top w:val="none" w:sz="0" w:space="0" w:color="auto"/>
        <w:left w:val="none" w:sz="0" w:space="0" w:color="auto"/>
        <w:bottom w:val="none" w:sz="0" w:space="0" w:color="auto"/>
        <w:right w:val="none" w:sz="0" w:space="0" w:color="auto"/>
      </w:divBdr>
    </w:div>
    <w:div w:id="901604284">
      <w:bodyDiv w:val="1"/>
      <w:marLeft w:val="0"/>
      <w:marRight w:val="0"/>
      <w:marTop w:val="0"/>
      <w:marBottom w:val="0"/>
      <w:divBdr>
        <w:top w:val="none" w:sz="0" w:space="0" w:color="auto"/>
        <w:left w:val="none" w:sz="0" w:space="0" w:color="auto"/>
        <w:bottom w:val="none" w:sz="0" w:space="0" w:color="auto"/>
        <w:right w:val="none" w:sz="0" w:space="0" w:color="auto"/>
      </w:divBdr>
    </w:div>
    <w:div w:id="1006707876">
      <w:bodyDiv w:val="1"/>
      <w:marLeft w:val="0"/>
      <w:marRight w:val="0"/>
      <w:marTop w:val="0"/>
      <w:marBottom w:val="0"/>
      <w:divBdr>
        <w:top w:val="none" w:sz="0" w:space="0" w:color="auto"/>
        <w:left w:val="none" w:sz="0" w:space="0" w:color="auto"/>
        <w:bottom w:val="none" w:sz="0" w:space="0" w:color="auto"/>
        <w:right w:val="none" w:sz="0" w:space="0" w:color="auto"/>
      </w:divBdr>
    </w:div>
    <w:div w:id="1262177330">
      <w:bodyDiv w:val="1"/>
      <w:marLeft w:val="0"/>
      <w:marRight w:val="0"/>
      <w:marTop w:val="0"/>
      <w:marBottom w:val="0"/>
      <w:divBdr>
        <w:top w:val="none" w:sz="0" w:space="0" w:color="auto"/>
        <w:left w:val="none" w:sz="0" w:space="0" w:color="auto"/>
        <w:bottom w:val="none" w:sz="0" w:space="0" w:color="auto"/>
        <w:right w:val="none" w:sz="0" w:space="0" w:color="auto"/>
      </w:divBdr>
    </w:div>
    <w:div w:id="1418554008">
      <w:bodyDiv w:val="1"/>
      <w:marLeft w:val="0"/>
      <w:marRight w:val="0"/>
      <w:marTop w:val="0"/>
      <w:marBottom w:val="0"/>
      <w:divBdr>
        <w:top w:val="none" w:sz="0" w:space="0" w:color="auto"/>
        <w:left w:val="none" w:sz="0" w:space="0" w:color="auto"/>
        <w:bottom w:val="none" w:sz="0" w:space="0" w:color="auto"/>
        <w:right w:val="none" w:sz="0" w:space="0" w:color="auto"/>
      </w:divBdr>
    </w:div>
    <w:div w:id="1466773317">
      <w:bodyDiv w:val="1"/>
      <w:marLeft w:val="0"/>
      <w:marRight w:val="0"/>
      <w:marTop w:val="0"/>
      <w:marBottom w:val="0"/>
      <w:divBdr>
        <w:top w:val="none" w:sz="0" w:space="0" w:color="auto"/>
        <w:left w:val="none" w:sz="0" w:space="0" w:color="auto"/>
        <w:bottom w:val="none" w:sz="0" w:space="0" w:color="auto"/>
        <w:right w:val="none" w:sz="0" w:space="0" w:color="auto"/>
      </w:divBdr>
    </w:div>
    <w:div w:id="1617057821">
      <w:bodyDiv w:val="1"/>
      <w:marLeft w:val="0"/>
      <w:marRight w:val="0"/>
      <w:marTop w:val="0"/>
      <w:marBottom w:val="0"/>
      <w:divBdr>
        <w:top w:val="none" w:sz="0" w:space="0" w:color="auto"/>
        <w:left w:val="none" w:sz="0" w:space="0" w:color="auto"/>
        <w:bottom w:val="none" w:sz="0" w:space="0" w:color="auto"/>
        <w:right w:val="none" w:sz="0" w:space="0" w:color="auto"/>
      </w:divBdr>
    </w:div>
    <w:div w:id="1756392720">
      <w:bodyDiv w:val="1"/>
      <w:marLeft w:val="0"/>
      <w:marRight w:val="0"/>
      <w:marTop w:val="0"/>
      <w:marBottom w:val="0"/>
      <w:divBdr>
        <w:top w:val="none" w:sz="0" w:space="0" w:color="auto"/>
        <w:left w:val="none" w:sz="0" w:space="0" w:color="auto"/>
        <w:bottom w:val="none" w:sz="0" w:space="0" w:color="auto"/>
        <w:right w:val="none" w:sz="0" w:space="0" w:color="auto"/>
      </w:divBdr>
    </w:div>
    <w:div w:id="1780100556">
      <w:bodyDiv w:val="1"/>
      <w:marLeft w:val="0"/>
      <w:marRight w:val="0"/>
      <w:marTop w:val="0"/>
      <w:marBottom w:val="0"/>
      <w:divBdr>
        <w:top w:val="none" w:sz="0" w:space="0" w:color="auto"/>
        <w:left w:val="none" w:sz="0" w:space="0" w:color="auto"/>
        <w:bottom w:val="none" w:sz="0" w:space="0" w:color="auto"/>
        <w:right w:val="none" w:sz="0" w:space="0" w:color="auto"/>
      </w:divBdr>
    </w:div>
    <w:div w:id="1854370876">
      <w:bodyDiv w:val="1"/>
      <w:marLeft w:val="0"/>
      <w:marRight w:val="0"/>
      <w:marTop w:val="0"/>
      <w:marBottom w:val="0"/>
      <w:divBdr>
        <w:top w:val="none" w:sz="0" w:space="0" w:color="auto"/>
        <w:left w:val="none" w:sz="0" w:space="0" w:color="auto"/>
        <w:bottom w:val="none" w:sz="0" w:space="0" w:color="auto"/>
        <w:right w:val="none" w:sz="0" w:space="0" w:color="auto"/>
      </w:divBdr>
    </w:div>
    <w:div w:id="1866401612">
      <w:bodyDiv w:val="1"/>
      <w:marLeft w:val="0"/>
      <w:marRight w:val="0"/>
      <w:marTop w:val="0"/>
      <w:marBottom w:val="0"/>
      <w:divBdr>
        <w:top w:val="none" w:sz="0" w:space="0" w:color="auto"/>
        <w:left w:val="none" w:sz="0" w:space="0" w:color="auto"/>
        <w:bottom w:val="none" w:sz="0" w:space="0" w:color="auto"/>
        <w:right w:val="none" w:sz="0" w:space="0" w:color="auto"/>
      </w:divBdr>
    </w:div>
    <w:div w:id="202173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A6B0F-BE63-43C9-A6D9-3D96B55F8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4667</Words>
  <Characters>26607</Characters>
  <Application>Microsoft Office Word</Application>
  <DocSecurity>0</DocSecurity>
  <Lines>221</Lines>
  <Paragraphs>62</Paragraphs>
  <ScaleCrop>false</ScaleCrop>
  <LinksUpToDate>false</LinksUpToDate>
  <CharactersWithSpaces>31212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2026-03-11T08:02:00Z</dcterms:created>
  <dcterms:modified xsi:type="dcterms:W3CDTF">2026-03-11T08:05:00Z</dcterms:modified>
</cp:coreProperties>
</file>