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DD79C2" w14:textId="77777777" w:rsidR="00CE0861" w:rsidRPr="00233A80" w:rsidRDefault="00CE0861">
      <w:pPr>
        <w:spacing w:before="480" w:after="0" w:line="240" w:lineRule="auto"/>
        <w:rPr>
          <w:rFonts w:ascii="Times New Roman" w:hAnsi="Times New Roman" w:cs="Times New Roman"/>
          <w:b/>
          <w:bCs/>
        </w:rPr>
      </w:pPr>
    </w:p>
    <w:tbl>
      <w:tblPr>
        <w:tblStyle w:val="a"/>
        <w:tblW w:w="22341" w:type="dxa"/>
        <w:tblInd w:w="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400" w:firstRow="0" w:lastRow="0" w:firstColumn="0" w:lastColumn="0" w:noHBand="0" w:noVBand="1"/>
      </w:tblPr>
      <w:tblGrid>
        <w:gridCol w:w="3726"/>
        <w:gridCol w:w="2574"/>
        <w:gridCol w:w="2453"/>
        <w:gridCol w:w="3141"/>
        <w:gridCol w:w="2717"/>
        <w:gridCol w:w="2475"/>
        <w:gridCol w:w="2936"/>
        <w:gridCol w:w="2319"/>
      </w:tblGrid>
      <w:tr w:rsidR="00CE0861" w:rsidRPr="00233A80" w14:paraId="16E5435D" w14:textId="77777777">
        <w:tc>
          <w:tcPr>
            <w:tcW w:w="22341" w:type="dxa"/>
            <w:gridSpan w:val="8"/>
            <w:tcMar>
              <w:top w:w="0" w:type="dxa"/>
              <w:left w:w="108" w:type="dxa"/>
              <w:bottom w:w="0" w:type="dxa"/>
              <w:right w:w="108" w:type="dxa"/>
            </w:tcMar>
          </w:tcPr>
          <w:p w14:paraId="0594BB68" w14:textId="77777777" w:rsidR="00CE0861" w:rsidRPr="00233A80" w:rsidRDefault="00CE0861">
            <w:pPr>
              <w:spacing w:after="0" w:line="240" w:lineRule="auto"/>
              <w:rPr>
                <w:rFonts w:ascii="Times New Roman" w:hAnsi="Times New Roman" w:cs="Times New Roman"/>
                <w:color w:val="000000"/>
              </w:rPr>
            </w:pPr>
          </w:p>
          <w:p w14:paraId="35E6338A" w14:textId="77777777" w:rsidR="00CE0861" w:rsidRPr="00233A80" w:rsidRDefault="00000000">
            <w:pPr>
              <w:shd w:val="clear" w:color="auto" w:fill="E7E200"/>
              <w:spacing w:before="480" w:after="0" w:line="240" w:lineRule="auto"/>
              <w:jc w:val="center"/>
              <w:rPr>
                <w:rFonts w:ascii="Times New Roman" w:eastAsia="Biome" w:hAnsi="Times New Roman" w:cs="Times New Roman"/>
                <w:b/>
                <w:bCs/>
                <w:sz w:val="48"/>
                <w:szCs w:val="48"/>
              </w:rPr>
            </w:pPr>
            <w:r w:rsidRPr="00233A80">
              <w:rPr>
                <w:rFonts w:ascii="Times New Roman" w:eastAsia="Biome" w:hAnsi="Times New Roman" w:cs="Times New Roman"/>
                <w:b/>
                <w:bCs/>
                <w:sz w:val="48"/>
                <w:szCs w:val="48"/>
                <w:highlight w:val="yellow"/>
              </w:rPr>
              <w:t>THE DR CAROLINE JAWAD TABLE 2026</w:t>
            </w:r>
            <w:r w:rsidRPr="00233A80">
              <w:rPr>
                <w:rFonts w:ascii="Times New Roman" w:eastAsia="Biome" w:hAnsi="Times New Roman" w:cs="Times New Roman"/>
                <w:b/>
                <w:bCs/>
                <w:sz w:val="48"/>
                <w:szCs w:val="48"/>
                <w:highlight w:val="yellow"/>
              </w:rPr>
              <w:br/>
              <w:t>SUPER FANTASTIC EVERYTHING-IN-ONE-PLACE</w:t>
            </w:r>
            <w:r w:rsidRPr="00233A80">
              <w:rPr>
                <w:rFonts w:ascii="Times New Roman" w:eastAsia="Biome" w:hAnsi="Times New Roman" w:cs="Times New Roman"/>
                <w:b/>
                <w:bCs/>
                <w:sz w:val="48"/>
                <w:szCs w:val="48"/>
                <w:highlight w:val="yellow"/>
              </w:rPr>
              <w:br/>
              <w:t>RESEARCH PHILOSOPHY</w:t>
            </w:r>
          </w:p>
          <w:p w14:paraId="5B540CCA" w14:textId="77777777" w:rsidR="00CE0861" w:rsidRPr="00233A80" w:rsidRDefault="00CE0861">
            <w:pPr>
              <w:shd w:val="clear" w:color="auto" w:fill="E7E200"/>
              <w:spacing w:after="0" w:line="240" w:lineRule="auto"/>
              <w:rPr>
                <w:rFonts w:ascii="Times New Roman" w:hAnsi="Times New Roman" w:cs="Times New Roman"/>
                <w:color w:val="000000"/>
              </w:rPr>
            </w:pPr>
          </w:p>
          <w:p w14:paraId="427B7FDE" w14:textId="77777777" w:rsidR="00CE0861" w:rsidRPr="00233A80" w:rsidRDefault="00CE0861">
            <w:pPr>
              <w:spacing w:after="0" w:line="240" w:lineRule="auto"/>
              <w:rPr>
                <w:rFonts w:ascii="Times New Roman" w:hAnsi="Times New Roman" w:cs="Times New Roman"/>
                <w:color w:val="000000"/>
              </w:rPr>
            </w:pPr>
          </w:p>
        </w:tc>
      </w:tr>
      <w:tr w:rsidR="00CE0861" w:rsidRPr="00233A80" w14:paraId="0BBD2CA7" w14:textId="77777777">
        <w:tc>
          <w:tcPr>
            <w:tcW w:w="3726" w:type="dxa"/>
            <w:tcMar>
              <w:top w:w="0" w:type="dxa"/>
              <w:left w:w="108" w:type="dxa"/>
              <w:bottom w:w="0" w:type="dxa"/>
              <w:right w:w="108" w:type="dxa"/>
            </w:tcMar>
          </w:tcPr>
          <w:p w14:paraId="745606D9" w14:textId="77777777" w:rsidR="00CE0861" w:rsidRPr="00233A80" w:rsidRDefault="00CE0861">
            <w:pPr>
              <w:spacing w:after="0" w:line="240" w:lineRule="auto"/>
              <w:rPr>
                <w:rFonts w:ascii="Times New Roman" w:hAnsi="Times New Roman" w:cs="Times New Roman"/>
                <w:b/>
                <w:bCs/>
                <w:color w:val="000000"/>
              </w:rPr>
            </w:pPr>
          </w:p>
          <w:p w14:paraId="23519849" w14:textId="77777777" w:rsidR="00CE0861" w:rsidRPr="00233A80" w:rsidRDefault="00000000">
            <w:pPr>
              <w:spacing w:after="0" w:line="240" w:lineRule="auto"/>
              <w:rPr>
                <w:rFonts w:ascii="Times New Roman" w:hAnsi="Times New Roman" w:cs="Times New Roman"/>
                <w:b/>
                <w:bCs/>
                <w:color w:val="000000"/>
              </w:rPr>
            </w:pPr>
            <w:r w:rsidRPr="00233A80">
              <w:rPr>
                <w:rFonts w:ascii="Times New Roman" w:hAnsi="Times New Roman" w:cs="Times New Roman"/>
                <w:b/>
                <w:bCs/>
                <w:color w:val="000000"/>
              </w:rPr>
              <w:t>Dimension</w:t>
            </w:r>
          </w:p>
          <w:p w14:paraId="0C4C0044" w14:textId="77777777" w:rsidR="00CE0861" w:rsidRPr="00233A80" w:rsidRDefault="00CE0861">
            <w:pPr>
              <w:spacing w:after="0" w:line="240" w:lineRule="auto"/>
              <w:rPr>
                <w:rFonts w:ascii="Times New Roman" w:hAnsi="Times New Roman" w:cs="Times New Roman"/>
                <w:b/>
                <w:bCs/>
              </w:rPr>
            </w:pPr>
          </w:p>
        </w:tc>
        <w:tc>
          <w:tcPr>
            <w:tcW w:w="2574" w:type="dxa"/>
            <w:shd w:val="clear" w:color="auto" w:fill="99CCFF"/>
            <w:tcMar>
              <w:top w:w="0" w:type="dxa"/>
              <w:left w:w="108" w:type="dxa"/>
              <w:bottom w:w="0" w:type="dxa"/>
              <w:right w:w="108" w:type="dxa"/>
            </w:tcMar>
          </w:tcPr>
          <w:p w14:paraId="5AB2D8B7" w14:textId="77777777" w:rsidR="00CE0861" w:rsidRPr="00233A80" w:rsidRDefault="00CE0861">
            <w:pPr>
              <w:spacing w:after="0" w:line="240" w:lineRule="auto"/>
              <w:rPr>
                <w:rFonts w:ascii="Times New Roman" w:hAnsi="Times New Roman" w:cs="Times New Roman"/>
                <w:b/>
                <w:bCs/>
                <w:color w:val="000000"/>
              </w:rPr>
            </w:pPr>
          </w:p>
          <w:p w14:paraId="1A30BE2C"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t>Positivism</w:t>
            </w:r>
          </w:p>
        </w:tc>
        <w:tc>
          <w:tcPr>
            <w:tcW w:w="2453" w:type="dxa"/>
            <w:shd w:val="clear" w:color="auto" w:fill="66FFFF"/>
            <w:tcMar>
              <w:top w:w="0" w:type="dxa"/>
              <w:left w:w="108" w:type="dxa"/>
              <w:bottom w:w="0" w:type="dxa"/>
              <w:right w:w="108" w:type="dxa"/>
            </w:tcMar>
          </w:tcPr>
          <w:p w14:paraId="5AFC61B8" w14:textId="77777777" w:rsidR="00CE0861" w:rsidRPr="00233A80" w:rsidRDefault="00CE0861">
            <w:pPr>
              <w:spacing w:after="0" w:line="240" w:lineRule="auto"/>
              <w:rPr>
                <w:rFonts w:ascii="Times New Roman" w:hAnsi="Times New Roman" w:cs="Times New Roman"/>
                <w:b/>
                <w:bCs/>
                <w:color w:val="000000"/>
              </w:rPr>
            </w:pPr>
          </w:p>
          <w:p w14:paraId="1F3DB17A"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t>Postpositivism</w:t>
            </w:r>
          </w:p>
        </w:tc>
        <w:tc>
          <w:tcPr>
            <w:tcW w:w="3141" w:type="dxa"/>
            <w:shd w:val="clear" w:color="auto" w:fill="CCFF99"/>
            <w:tcMar>
              <w:top w:w="0" w:type="dxa"/>
              <w:left w:w="108" w:type="dxa"/>
              <w:bottom w:w="0" w:type="dxa"/>
              <w:right w:w="108" w:type="dxa"/>
            </w:tcMar>
          </w:tcPr>
          <w:p w14:paraId="1CCE62CC" w14:textId="77777777" w:rsidR="00CE0861" w:rsidRPr="00233A80" w:rsidRDefault="00CE0861">
            <w:pPr>
              <w:spacing w:after="0" w:line="240" w:lineRule="auto"/>
              <w:rPr>
                <w:rFonts w:ascii="Times New Roman" w:hAnsi="Times New Roman" w:cs="Times New Roman"/>
                <w:b/>
                <w:bCs/>
                <w:color w:val="000000"/>
              </w:rPr>
            </w:pPr>
          </w:p>
          <w:p w14:paraId="34B0FEE8"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t>Interpretivism</w:t>
            </w:r>
          </w:p>
        </w:tc>
        <w:tc>
          <w:tcPr>
            <w:tcW w:w="2717" w:type="dxa"/>
            <w:tcMar>
              <w:top w:w="0" w:type="dxa"/>
              <w:left w:w="108" w:type="dxa"/>
              <w:bottom w:w="0" w:type="dxa"/>
              <w:right w:w="108" w:type="dxa"/>
            </w:tcMar>
          </w:tcPr>
          <w:p w14:paraId="052FD91C" w14:textId="77777777" w:rsidR="00CE0861" w:rsidRPr="00233A80" w:rsidRDefault="00CE0861">
            <w:pPr>
              <w:spacing w:after="0" w:line="240" w:lineRule="auto"/>
              <w:rPr>
                <w:rFonts w:ascii="Times New Roman" w:hAnsi="Times New Roman" w:cs="Times New Roman"/>
                <w:b/>
                <w:bCs/>
                <w:color w:val="000000"/>
              </w:rPr>
            </w:pPr>
          </w:p>
          <w:p w14:paraId="17A8BDF2"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t>Constructivism</w:t>
            </w:r>
          </w:p>
        </w:tc>
        <w:tc>
          <w:tcPr>
            <w:tcW w:w="2475" w:type="dxa"/>
            <w:shd w:val="clear" w:color="auto" w:fill="FFCC00"/>
            <w:tcMar>
              <w:top w:w="0" w:type="dxa"/>
              <w:left w:w="108" w:type="dxa"/>
              <w:bottom w:w="0" w:type="dxa"/>
              <w:right w:w="108" w:type="dxa"/>
            </w:tcMar>
          </w:tcPr>
          <w:p w14:paraId="3F8BBE49" w14:textId="77777777" w:rsidR="00CE0861" w:rsidRPr="00233A80" w:rsidRDefault="00CE0861">
            <w:pPr>
              <w:spacing w:after="0" w:line="240" w:lineRule="auto"/>
              <w:rPr>
                <w:rFonts w:ascii="Times New Roman" w:hAnsi="Times New Roman" w:cs="Times New Roman"/>
                <w:b/>
                <w:bCs/>
                <w:color w:val="000000"/>
              </w:rPr>
            </w:pPr>
          </w:p>
          <w:p w14:paraId="6F0FDA65" w14:textId="77777777" w:rsidR="00CE0861" w:rsidRPr="00233A80" w:rsidRDefault="00000000">
            <w:pPr>
              <w:spacing w:after="0" w:line="240" w:lineRule="auto"/>
              <w:rPr>
                <w:rFonts w:ascii="Times New Roman" w:hAnsi="Times New Roman" w:cs="Times New Roman"/>
                <w:b/>
                <w:bCs/>
                <w:color w:val="000000"/>
              </w:rPr>
            </w:pPr>
            <w:r w:rsidRPr="00233A80">
              <w:rPr>
                <w:rFonts w:ascii="Times New Roman" w:hAnsi="Times New Roman" w:cs="Times New Roman"/>
                <w:b/>
                <w:bCs/>
                <w:color w:val="000000"/>
              </w:rPr>
              <w:t>Social Constructionism</w:t>
            </w:r>
          </w:p>
          <w:p w14:paraId="4E3A59C3" w14:textId="77777777" w:rsidR="00CE0861" w:rsidRPr="00233A80" w:rsidRDefault="00CE0861">
            <w:pPr>
              <w:spacing w:after="0" w:line="240" w:lineRule="auto"/>
              <w:rPr>
                <w:rFonts w:ascii="Times New Roman" w:hAnsi="Times New Roman" w:cs="Times New Roman"/>
                <w:b/>
                <w:bCs/>
                <w:color w:val="000000"/>
              </w:rPr>
            </w:pPr>
          </w:p>
          <w:p w14:paraId="2F927E75" w14:textId="77777777" w:rsidR="00CE0861" w:rsidRPr="00233A80" w:rsidRDefault="00CE0861">
            <w:pPr>
              <w:spacing w:after="0" w:line="240" w:lineRule="auto"/>
              <w:rPr>
                <w:rFonts w:ascii="Times New Roman" w:hAnsi="Times New Roman" w:cs="Times New Roman"/>
                <w:b/>
                <w:bCs/>
              </w:rPr>
            </w:pPr>
          </w:p>
        </w:tc>
        <w:tc>
          <w:tcPr>
            <w:tcW w:w="2936" w:type="dxa"/>
            <w:shd w:val="clear" w:color="auto" w:fill="FFCCFF"/>
            <w:tcMar>
              <w:top w:w="0" w:type="dxa"/>
              <w:left w:w="108" w:type="dxa"/>
              <w:bottom w:w="0" w:type="dxa"/>
              <w:right w:w="108" w:type="dxa"/>
            </w:tcMar>
          </w:tcPr>
          <w:p w14:paraId="220A2892" w14:textId="77777777" w:rsidR="00CE0861" w:rsidRPr="00233A80" w:rsidRDefault="00CE0861">
            <w:pPr>
              <w:spacing w:after="0" w:line="240" w:lineRule="auto"/>
              <w:rPr>
                <w:rFonts w:ascii="Times New Roman" w:hAnsi="Times New Roman" w:cs="Times New Roman"/>
                <w:b/>
                <w:bCs/>
                <w:color w:val="000000"/>
              </w:rPr>
            </w:pPr>
          </w:p>
          <w:p w14:paraId="7AC32940"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t>Critical Theory</w:t>
            </w:r>
          </w:p>
        </w:tc>
        <w:tc>
          <w:tcPr>
            <w:tcW w:w="2319" w:type="dxa"/>
            <w:shd w:val="clear" w:color="auto" w:fill="FFFF99"/>
            <w:tcMar>
              <w:top w:w="0" w:type="dxa"/>
              <w:left w:w="108" w:type="dxa"/>
              <w:bottom w:w="0" w:type="dxa"/>
              <w:right w:w="108" w:type="dxa"/>
            </w:tcMar>
          </w:tcPr>
          <w:p w14:paraId="2C126FA4" w14:textId="77777777" w:rsidR="00CE0861" w:rsidRPr="00233A80" w:rsidRDefault="00CE0861">
            <w:pPr>
              <w:spacing w:after="0" w:line="240" w:lineRule="auto"/>
              <w:rPr>
                <w:rFonts w:ascii="Times New Roman" w:hAnsi="Times New Roman" w:cs="Times New Roman"/>
                <w:b/>
                <w:bCs/>
                <w:color w:val="000000"/>
              </w:rPr>
            </w:pPr>
          </w:p>
          <w:p w14:paraId="5A51B5ED"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t>Pragmatism</w:t>
            </w:r>
          </w:p>
        </w:tc>
      </w:tr>
      <w:tr w:rsidR="00CE0861" w:rsidRPr="00233A80" w14:paraId="5B85C99A" w14:textId="77777777">
        <w:tc>
          <w:tcPr>
            <w:tcW w:w="3726" w:type="dxa"/>
            <w:tcMar>
              <w:top w:w="0" w:type="dxa"/>
              <w:left w:w="108" w:type="dxa"/>
              <w:bottom w:w="0" w:type="dxa"/>
              <w:right w:w="108" w:type="dxa"/>
            </w:tcMar>
          </w:tcPr>
          <w:p w14:paraId="7366B731"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t>When to use</w:t>
            </w:r>
          </w:p>
        </w:tc>
        <w:tc>
          <w:tcPr>
            <w:tcW w:w="2574" w:type="dxa"/>
            <w:shd w:val="clear" w:color="auto" w:fill="99CCFF"/>
            <w:tcMar>
              <w:top w:w="0" w:type="dxa"/>
              <w:left w:w="108" w:type="dxa"/>
              <w:bottom w:w="0" w:type="dxa"/>
              <w:right w:w="108" w:type="dxa"/>
            </w:tcMar>
          </w:tcPr>
          <w:p w14:paraId="468EB94D"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Test hypotheses, establish cause-and-effect relationships, generate generalisable findings in controlled setting</w:t>
            </w:r>
          </w:p>
        </w:tc>
        <w:tc>
          <w:tcPr>
            <w:tcW w:w="2453" w:type="dxa"/>
            <w:shd w:val="clear" w:color="auto" w:fill="66FFFF"/>
            <w:tcMar>
              <w:top w:w="0" w:type="dxa"/>
              <w:left w:w="108" w:type="dxa"/>
              <w:bottom w:w="0" w:type="dxa"/>
              <w:right w:w="108" w:type="dxa"/>
            </w:tcMar>
          </w:tcPr>
          <w:p w14:paraId="6C67AB64"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Approximate objective reality while acknowledging limitations of human understanding and potential for researcher bias</w:t>
            </w:r>
          </w:p>
        </w:tc>
        <w:tc>
          <w:tcPr>
            <w:tcW w:w="3141" w:type="dxa"/>
            <w:shd w:val="clear" w:color="auto" w:fill="CCFF99"/>
            <w:tcMar>
              <w:top w:w="0" w:type="dxa"/>
              <w:left w:w="108" w:type="dxa"/>
              <w:bottom w:w="0" w:type="dxa"/>
              <w:right w:w="108" w:type="dxa"/>
            </w:tcMar>
          </w:tcPr>
          <w:p w14:paraId="60271529"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Gain deep understanding of individual experiences, perspectives and meanings people assign to social phenomena</w:t>
            </w:r>
          </w:p>
        </w:tc>
        <w:tc>
          <w:tcPr>
            <w:tcW w:w="2717" w:type="dxa"/>
            <w:tcMar>
              <w:top w:w="0" w:type="dxa"/>
              <w:left w:w="108" w:type="dxa"/>
              <w:bottom w:w="0" w:type="dxa"/>
              <w:right w:w="108" w:type="dxa"/>
            </w:tcMar>
          </w:tcPr>
          <w:p w14:paraId="5663AD38"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Understand how individuals and groups construct their realities through social interaction and individual sense-making. Understand how individuals and groups actively construct their realities through interaction (Note: Rooted in Vygotsky's work - primarily used in psychology and education, not commonly used in business/management research)</w:t>
            </w:r>
          </w:p>
        </w:tc>
        <w:tc>
          <w:tcPr>
            <w:tcW w:w="2475" w:type="dxa"/>
            <w:shd w:val="clear" w:color="auto" w:fill="FFCC00"/>
            <w:tcMar>
              <w:top w:w="0" w:type="dxa"/>
              <w:left w:w="108" w:type="dxa"/>
              <w:bottom w:w="0" w:type="dxa"/>
              <w:right w:w="108" w:type="dxa"/>
            </w:tcMar>
          </w:tcPr>
          <w:p w14:paraId="48F929B1"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Compare how different groups (departments, professions, cultures, teams) construct the same phenomenon differently in organisations. Understand multiple stakeholder perspectives and why groups see things differently</w:t>
            </w:r>
          </w:p>
        </w:tc>
        <w:tc>
          <w:tcPr>
            <w:tcW w:w="2936" w:type="dxa"/>
            <w:shd w:val="clear" w:color="auto" w:fill="FFCCFF"/>
            <w:tcMar>
              <w:top w:w="0" w:type="dxa"/>
              <w:left w:w="108" w:type="dxa"/>
              <w:bottom w:w="0" w:type="dxa"/>
              <w:right w:w="108" w:type="dxa"/>
            </w:tcMar>
          </w:tcPr>
          <w:p w14:paraId="19C137CE"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Uncover and challenge oppressive structures, promote social justice, facilitate emancipatory change</w:t>
            </w:r>
          </w:p>
        </w:tc>
        <w:tc>
          <w:tcPr>
            <w:tcW w:w="2319" w:type="dxa"/>
            <w:shd w:val="clear" w:color="auto" w:fill="FFFF99"/>
            <w:tcMar>
              <w:top w:w="0" w:type="dxa"/>
              <w:left w:w="108" w:type="dxa"/>
              <w:bottom w:w="0" w:type="dxa"/>
              <w:right w:w="108" w:type="dxa"/>
            </w:tcMar>
          </w:tcPr>
          <w:p w14:paraId="24869EC6"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Use when your research questions are genuinely plural in nature and cannot be fully answered by a single methodological approach. When understanding the phenomenon completely requires both the depth of qualitative inquiry and the breadth or comparability of quantitative data, and when neither alone would adequately answer what the research needs to know. Also appropriate when finding practical solutions to real-world problems requires drawing on multiple forms of evidence.</w:t>
            </w:r>
          </w:p>
        </w:tc>
      </w:tr>
      <w:tr w:rsidR="00CE0861" w:rsidRPr="00233A80" w14:paraId="4A44B5D1" w14:textId="77777777">
        <w:tc>
          <w:tcPr>
            <w:tcW w:w="3726" w:type="dxa"/>
            <w:tcMar>
              <w:top w:w="0" w:type="dxa"/>
              <w:left w:w="108" w:type="dxa"/>
              <w:bottom w:w="0" w:type="dxa"/>
              <w:right w:w="108" w:type="dxa"/>
            </w:tcMar>
          </w:tcPr>
          <w:p w14:paraId="3693F136" w14:textId="77777777" w:rsidR="00CE0861" w:rsidRPr="00233A80" w:rsidRDefault="00000000">
            <w:pPr>
              <w:spacing w:after="0" w:line="240" w:lineRule="auto"/>
              <w:rPr>
                <w:rFonts w:ascii="Times New Roman" w:hAnsi="Times New Roman" w:cs="Times New Roman"/>
                <w:b/>
                <w:bCs/>
                <w:color w:val="000000"/>
              </w:rPr>
            </w:pPr>
            <w:r w:rsidRPr="00233A80">
              <w:rPr>
                <w:rFonts w:ascii="Times New Roman" w:hAnsi="Times New Roman" w:cs="Times New Roman"/>
                <w:b/>
                <w:bCs/>
                <w:color w:val="000000"/>
              </w:rPr>
              <w:t>Research question type</w:t>
            </w:r>
          </w:p>
        </w:tc>
        <w:tc>
          <w:tcPr>
            <w:tcW w:w="2574" w:type="dxa"/>
            <w:shd w:val="clear" w:color="auto" w:fill="99CCFF"/>
            <w:tcMar>
              <w:top w:w="0" w:type="dxa"/>
              <w:left w:w="108" w:type="dxa"/>
              <w:bottom w:w="0" w:type="dxa"/>
              <w:right w:w="108" w:type="dxa"/>
            </w:tcMar>
          </w:tcPr>
          <w:p w14:paraId="64997D68"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 xml:space="preserve">Questions that test hypotheses, establish causal relationships or measure the prevalence of phenomena across populations. Typically: </w:t>
            </w:r>
            <w:r w:rsidRPr="00233A80">
              <w:rPr>
                <w:rFonts w:ascii="Times New Roman" w:hAnsi="Times New Roman" w:cs="Times New Roman"/>
                <w:color w:val="000000"/>
              </w:rPr>
              <w:lastRenderedPageBreak/>
              <w:t>does X cause Y? How many? To what extent? What predicts Z? The question is formulated before data collection and remains fixed. Example: To what extent does board diversity predict financial performance in FTSE 100 companies?</w:t>
            </w:r>
          </w:p>
        </w:tc>
        <w:tc>
          <w:tcPr>
            <w:tcW w:w="2453" w:type="dxa"/>
            <w:shd w:val="clear" w:color="auto" w:fill="66FFFF"/>
            <w:tcMar>
              <w:top w:w="0" w:type="dxa"/>
              <w:left w:w="108" w:type="dxa"/>
              <w:bottom w:w="0" w:type="dxa"/>
              <w:right w:w="108" w:type="dxa"/>
            </w:tcMar>
          </w:tcPr>
          <w:p w14:paraId="6F6CE1FC"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 xml:space="preserve">Questions that examine complex phenomena through multiple lenses where no single measure is sufficient. Often: what </w:t>
            </w:r>
            <w:r w:rsidRPr="00233A80">
              <w:rPr>
                <w:rFonts w:ascii="Times New Roman" w:hAnsi="Times New Roman" w:cs="Times New Roman"/>
                <w:color w:val="000000"/>
              </w:rPr>
              <w:lastRenderedPageBreak/>
              <w:t>are the relationships between X and Y? How do different sources of evidence converge or diverge on this question? The question acknowledges complexity and uncertainty while still seeking patterns. Example: How do small business owners understand and respond to digital banking adoption, drawing on survey data, transaction records and follow-up interviews?</w:t>
            </w:r>
          </w:p>
        </w:tc>
        <w:tc>
          <w:tcPr>
            <w:tcW w:w="3141" w:type="dxa"/>
            <w:shd w:val="clear" w:color="auto" w:fill="CCFF99"/>
            <w:tcMar>
              <w:top w:w="0" w:type="dxa"/>
              <w:left w:w="108" w:type="dxa"/>
              <w:bottom w:w="0" w:type="dxa"/>
              <w:right w:w="108" w:type="dxa"/>
            </w:tcMar>
          </w:tcPr>
          <w:p w14:paraId="3F266D45"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 xml:space="preserve">Questions that seek to understand meaning, experience and interpretation from the perspective of those living it. Typically beginning with how or what: how do </w:t>
            </w:r>
            <w:r w:rsidRPr="00233A80">
              <w:rPr>
                <w:rFonts w:ascii="Times New Roman" w:hAnsi="Times New Roman" w:cs="Times New Roman"/>
                <w:color w:val="000000"/>
              </w:rPr>
              <w:lastRenderedPageBreak/>
              <w:t>people experience X? What does X mean to people in this context? What is it like to be Y? The question is open and may evolve as understanding deepens. Example: How do experienced nurses make sense of ethical dilemmas in end-of-life care?</w:t>
            </w:r>
          </w:p>
        </w:tc>
        <w:tc>
          <w:tcPr>
            <w:tcW w:w="2717" w:type="dxa"/>
            <w:tcMar>
              <w:top w:w="0" w:type="dxa"/>
              <w:left w:w="108" w:type="dxa"/>
              <w:bottom w:w="0" w:type="dxa"/>
              <w:right w:w="108" w:type="dxa"/>
            </w:tcMar>
          </w:tcPr>
          <w:p w14:paraId="403AB91F"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 xml:space="preserve">Questions that examine how understanding is built and rebuilt over time through interaction and experience. How does someone come to </w:t>
            </w:r>
            <w:r w:rsidRPr="00233A80">
              <w:rPr>
                <w:rFonts w:ascii="Times New Roman" w:hAnsi="Times New Roman" w:cs="Times New Roman"/>
                <w:color w:val="000000"/>
              </w:rPr>
              <w:lastRenderedPageBreak/>
              <w:t>understand X? How is professional identity constructed through the process of Y? Questions focus on process, development and the relational construction of meaning. Example: How do new managers construct their understanding of leadership through their first year of practice?</w:t>
            </w:r>
          </w:p>
        </w:tc>
        <w:tc>
          <w:tcPr>
            <w:tcW w:w="2475" w:type="dxa"/>
            <w:shd w:val="clear" w:color="auto" w:fill="FFCC00"/>
            <w:tcMar>
              <w:top w:w="0" w:type="dxa"/>
              <w:left w:w="108" w:type="dxa"/>
              <w:bottom w:w="0" w:type="dxa"/>
              <w:right w:w="108" w:type="dxa"/>
            </w:tcMar>
          </w:tcPr>
          <w:p w14:paraId="27DCB7ED"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 xml:space="preserve">Questions that examine how groups collectively construct versions of reality through language, discourse and shared </w:t>
            </w:r>
            <w:r w:rsidRPr="00233A80">
              <w:rPr>
                <w:rFonts w:ascii="Times New Roman" w:hAnsi="Times New Roman" w:cs="Times New Roman"/>
                <w:color w:val="000000"/>
              </w:rPr>
              <w:lastRenderedPageBreak/>
              <w:t>practice. How is X constructed differently across groups? What does the discourse around Y reveal about power and legitimacy? How do different communities construct what counts as Z? Example: How is the concept of performance constructed differently across clinical and managerial communities in NHS trusts?</w:t>
            </w:r>
          </w:p>
        </w:tc>
        <w:tc>
          <w:tcPr>
            <w:tcW w:w="2936" w:type="dxa"/>
            <w:shd w:val="clear" w:color="auto" w:fill="FFCCFF"/>
            <w:tcMar>
              <w:top w:w="0" w:type="dxa"/>
              <w:left w:w="108" w:type="dxa"/>
              <w:bottom w:w="0" w:type="dxa"/>
              <w:right w:w="108" w:type="dxa"/>
            </w:tcMar>
          </w:tcPr>
          <w:p w14:paraId="5988B485"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 xml:space="preserve">Questions that examine power, inequality and the interests served by existing arrangements. Whose interests does X serve? Who is made invisible by </w:t>
            </w:r>
            <w:r w:rsidRPr="00233A80">
              <w:rPr>
                <w:rFonts w:ascii="Times New Roman" w:hAnsi="Times New Roman" w:cs="Times New Roman"/>
                <w:color w:val="000000"/>
              </w:rPr>
              <w:lastRenderedPageBreak/>
              <w:t>Y? How does Z reproduce structural inequality? What would need to change for W to become possible? Questions are explicitly value-committed and oriented toward challenge and change. Example: How do racialised promotion patterns in financial services perpetuate structural inequality, and what do affected employees understand about the mechanisms involved?</w:t>
            </w:r>
          </w:p>
          <w:p w14:paraId="6C823FB6" w14:textId="77777777" w:rsidR="00CE0861" w:rsidRPr="00233A80" w:rsidRDefault="00CE0861">
            <w:pPr>
              <w:spacing w:after="0" w:line="240" w:lineRule="auto"/>
              <w:rPr>
                <w:rFonts w:ascii="Times New Roman" w:hAnsi="Times New Roman" w:cs="Times New Roman"/>
                <w:color w:val="000000"/>
              </w:rPr>
            </w:pPr>
          </w:p>
        </w:tc>
        <w:tc>
          <w:tcPr>
            <w:tcW w:w="2319" w:type="dxa"/>
            <w:shd w:val="clear" w:color="auto" w:fill="FFFF99"/>
            <w:tcMar>
              <w:top w:w="0" w:type="dxa"/>
              <w:left w:w="108" w:type="dxa"/>
              <w:bottom w:w="0" w:type="dxa"/>
              <w:right w:w="108" w:type="dxa"/>
            </w:tcMar>
          </w:tcPr>
          <w:p w14:paraId="5BD30A73"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 xml:space="preserve">Questions that are genuinely dual or plural in nature, where different aspects of the research problem </w:t>
            </w:r>
            <w:r w:rsidRPr="00233A80">
              <w:rPr>
                <w:rFonts w:ascii="Times New Roman" w:hAnsi="Times New Roman" w:cs="Times New Roman"/>
                <w:color w:val="000000"/>
              </w:rPr>
              <w:lastRenderedPageBreak/>
              <w:t>require different kinds of evidence. The hallmark of a defensible pragmatist research question set is that each strand answers something the other cannot. Not: the same question approached from two angles. But: two or more distinct questions whose combined answers produce knowledge neither could generate alone. Example from responsible gambling research: What did problem gamblers identify as factors that would have helped them exit gambling (qualitative, narrative, interpretive) alongside what do gamblers think about the effectiveness of responsible gambling tools (comparative, evaluative, quantitative or mixed). Each question stands alone and requires its own approach. Together they produce a fuller understanding of the problem than either alone could achieve.</w:t>
            </w:r>
          </w:p>
        </w:tc>
      </w:tr>
      <w:tr w:rsidR="00CE0861" w:rsidRPr="00233A80" w14:paraId="2A60A16B" w14:textId="77777777">
        <w:tc>
          <w:tcPr>
            <w:tcW w:w="3726" w:type="dxa"/>
            <w:tcBorders>
              <w:top w:val="single" w:sz="12" w:space="0" w:color="000000"/>
              <w:left w:val="single" w:sz="12" w:space="0" w:color="000000"/>
              <w:bottom w:val="single" w:sz="12" w:space="0" w:color="000000"/>
              <w:right w:val="single" w:sz="12" w:space="0" w:color="000000"/>
            </w:tcBorders>
            <w:tcMar>
              <w:top w:w="0" w:type="dxa"/>
              <w:left w:w="108" w:type="dxa"/>
              <w:bottom w:w="0" w:type="dxa"/>
              <w:right w:w="108" w:type="dxa"/>
            </w:tcMar>
          </w:tcPr>
          <w:p w14:paraId="48FFFD2D" w14:textId="77777777" w:rsidR="00CE0861" w:rsidRPr="00233A80" w:rsidRDefault="00000000">
            <w:pPr>
              <w:spacing w:after="0" w:line="240" w:lineRule="auto"/>
              <w:rPr>
                <w:rFonts w:ascii="Times New Roman" w:hAnsi="Times New Roman" w:cs="Times New Roman"/>
                <w:b/>
                <w:bCs/>
                <w:color w:val="000000"/>
              </w:rPr>
            </w:pPr>
            <w:r w:rsidRPr="00233A80">
              <w:rPr>
                <w:rFonts w:ascii="Times New Roman" w:hAnsi="Times New Roman" w:cs="Times New Roman"/>
                <w:b/>
                <w:bCs/>
                <w:color w:val="000000"/>
              </w:rPr>
              <w:lastRenderedPageBreak/>
              <w:t>Key Assumptions Summary</w:t>
            </w:r>
          </w:p>
        </w:tc>
        <w:tc>
          <w:tcPr>
            <w:tcW w:w="2574" w:type="dxa"/>
            <w:tcBorders>
              <w:top w:val="single" w:sz="12" w:space="0" w:color="000000"/>
              <w:left w:val="single" w:sz="12" w:space="0" w:color="000000"/>
              <w:bottom w:val="single" w:sz="12" w:space="0" w:color="000000"/>
              <w:right w:val="single" w:sz="12" w:space="0" w:color="000000"/>
            </w:tcBorders>
            <w:shd w:val="clear" w:color="auto" w:fill="99CCFF"/>
            <w:tcMar>
              <w:top w:w="0" w:type="dxa"/>
              <w:left w:w="108" w:type="dxa"/>
              <w:bottom w:w="0" w:type="dxa"/>
              <w:right w:w="108" w:type="dxa"/>
            </w:tcMar>
          </w:tcPr>
          <w:p w14:paraId="1FA0708E"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1. Reality exists independently of human perception</w:t>
            </w:r>
            <w:r w:rsidRPr="00233A80">
              <w:rPr>
                <w:rFonts w:ascii="Times New Roman" w:hAnsi="Times New Roman" w:cs="Times New Roman"/>
                <w:color w:val="000000"/>
              </w:rPr>
              <w:br/>
              <w:t>2. Knowledge comes from objective observation</w:t>
            </w:r>
            <w:r w:rsidRPr="00233A80">
              <w:rPr>
                <w:rFonts w:ascii="Times New Roman" w:hAnsi="Times New Roman" w:cs="Times New Roman"/>
                <w:color w:val="000000"/>
              </w:rPr>
              <w:br/>
              <w:t>3. Research can and should be value-free</w:t>
            </w:r>
            <w:r w:rsidRPr="00233A80">
              <w:rPr>
                <w:rFonts w:ascii="Times New Roman" w:hAnsi="Times New Roman" w:cs="Times New Roman"/>
                <w:color w:val="000000"/>
              </w:rPr>
              <w:br/>
              <w:t xml:space="preserve">4. Universal laws can be </w:t>
            </w:r>
            <w:r w:rsidRPr="00233A80">
              <w:rPr>
                <w:rFonts w:ascii="Times New Roman" w:hAnsi="Times New Roman" w:cs="Times New Roman"/>
                <w:color w:val="000000"/>
              </w:rPr>
              <w:lastRenderedPageBreak/>
              <w:t>discovered through scientific method</w:t>
            </w:r>
          </w:p>
        </w:tc>
        <w:tc>
          <w:tcPr>
            <w:tcW w:w="2453" w:type="dxa"/>
            <w:tcBorders>
              <w:top w:val="single" w:sz="12" w:space="0" w:color="000000"/>
              <w:left w:val="single" w:sz="12" w:space="0" w:color="000000"/>
              <w:bottom w:val="single" w:sz="12" w:space="0" w:color="000000"/>
              <w:right w:val="single" w:sz="12" w:space="0" w:color="000000"/>
            </w:tcBorders>
            <w:shd w:val="clear" w:color="auto" w:fill="66FFFF"/>
            <w:tcMar>
              <w:top w:w="0" w:type="dxa"/>
              <w:left w:w="108" w:type="dxa"/>
              <w:bottom w:w="0" w:type="dxa"/>
              <w:right w:w="108" w:type="dxa"/>
            </w:tcMar>
          </w:tcPr>
          <w:p w14:paraId="690ABCD1"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1. Reality exists but can never be fully known</w:t>
            </w:r>
            <w:r w:rsidRPr="00233A80">
              <w:rPr>
                <w:rFonts w:ascii="Times New Roman" w:hAnsi="Times New Roman" w:cs="Times New Roman"/>
                <w:color w:val="000000"/>
              </w:rPr>
              <w:br/>
              <w:t>2. Knowledge is probabilistic and fallible</w:t>
            </w:r>
            <w:r w:rsidRPr="00233A80">
              <w:rPr>
                <w:rFonts w:ascii="Times New Roman" w:hAnsi="Times New Roman" w:cs="Times New Roman"/>
                <w:color w:val="000000"/>
              </w:rPr>
              <w:br/>
              <w:t>3. Complete objectivity is impossible but striving for it is important</w:t>
            </w:r>
            <w:r w:rsidRPr="00233A80">
              <w:rPr>
                <w:rFonts w:ascii="Times New Roman" w:hAnsi="Times New Roman" w:cs="Times New Roman"/>
                <w:color w:val="000000"/>
              </w:rPr>
              <w:br/>
            </w:r>
            <w:r w:rsidRPr="00233A80">
              <w:rPr>
                <w:rFonts w:ascii="Times New Roman" w:hAnsi="Times New Roman" w:cs="Times New Roman"/>
                <w:color w:val="000000"/>
              </w:rPr>
              <w:lastRenderedPageBreak/>
              <w:t>4. Multiple methods improve understanding</w:t>
            </w:r>
          </w:p>
        </w:tc>
        <w:tc>
          <w:tcPr>
            <w:tcW w:w="3141" w:type="dxa"/>
            <w:tcBorders>
              <w:top w:val="single" w:sz="12" w:space="0" w:color="000000"/>
              <w:left w:val="single" w:sz="12" w:space="0" w:color="000000"/>
              <w:bottom w:val="single" w:sz="12" w:space="0" w:color="000000"/>
              <w:right w:val="single" w:sz="12" w:space="0" w:color="000000"/>
            </w:tcBorders>
            <w:shd w:val="clear" w:color="auto" w:fill="CCFF99"/>
            <w:tcMar>
              <w:top w:w="0" w:type="dxa"/>
              <w:left w:w="108" w:type="dxa"/>
              <w:bottom w:w="0" w:type="dxa"/>
              <w:right w:w="108" w:type="dxa"/>
            </w:tcMar>
          </w:tcPr>
          <w:p w14:paraId="5BFA97D5"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1. Reality is subjective and multiple</w:t>
            </w:r>
            <w:r w:rsidRPr="00233A80">
              <w:rPr>
                <w:rFonts w:ascii="Times New Roman" w:hAnsi="Times New Roman" w:cs="Times New Roman"/>
                <w:color w:val="000000"/>
              </w:rPr>
              <w:br/>
              <w:t>2. Knowledge comes from understanding meanings</w:t>
            </w:r>
            <w:r w:rsidRPr="00233A80">
              <w:rPr>
                <w:rFonts w:ascii="Times New Roman" w:hAnsi="Times New Roman" w:cs="Times New Roman"/>
                <w:color w:val="000000"/>
              </w:rPr>
              <w:br/>
              <w:t>3. Researcher values and interpretations are integral</w:t>
            </w:r>
            <w:r w:rsidRPr="00233A80">
              <w:rPr>
                <w:rFonts w:ascii="Times New Roman" w:hAnsi="Times New Roman" w:cs="Times New Roman"/>
                <w:color w:val="000000"/>
              </w:rPr>
              <w:br/>
              <w:t>4. Context is essential to understanding</w:t>
            </w:r>
          </w:p>
        </w:tc>
        <w:tc>
          <w:tcPr>
            <w:tcW w:w="2717" w:type="dxa"/>
            <w:tcBorders>
              <w:top w:val="single" w:sz="12" w:space="0" w:color="000000"/>
              <w:left w:val="single" w:sz="12" w:space="0" w:color="000000"/>
              <w:bottom w:val="single" w:sz="12" w:space="0" w:color="000000"/>
              <w:right w:val="single" w:sz="12" w:space="0" w:color="000000"/>
            </w:tcBorders>
            <w:tcMar>
              <w:top w:w="0" w:type="dxa"/>
              <w:left w:w="108" w:type="dxa"/>
              <w:bottom w:w="0" w:type="dxa"/>
              <w:right w:w="108" w:type="dxa"/>
            </w:tcMar>
          </w:tcPr>
          <w:p w14:paraId="379FB486"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1. Reality is co-constructed through interaction</w:t>
            </w:r>
            <w:r w:rsidRPr="00233A80">
              <w:rPr>
                <w:rFonts w:ascii="Times New Roman" w:hAnsi="Times New Roman" w:cs="Times New Roman"/>
                <w:color w:val="000000"/>
              </w:rPr>
              <w:br/>
              <w:t>2. Knowledge emerges through dialogue</w:t>
            </w:r>
            <w:r w:rsidRPr="00233A80">
              <w:rPr>
                <w:rFonts w:ascii="Times New Roman" w:hAnsi="Times New Roman" w:cs="Times New Roman"/>
                <w:color w:val="000000"/>
              </w:rPr>
              <w:br/>
              <w:t>3. Researcher and participants mutually shape inquiry</w:t>
            </w:r>
            <w:r w:rsidRPr="00233A80">
              <w:rPr>
                <w:rFonts w:ascii="Times New Roman" w:hAnsi="Times New Roman" w:cs="Times New Roman"/>
                <w:color w:val="000000"/>
              </w:rPr>
              <w:br/>
              <w:t xml:space="preserve">4. Multiple constructed </w:t>
            </w:r>
            <w:r w:rsidRPr="00233A80">
              <w:rPr>
                <w:rFonts w:ascii="Times New Roman" w:hAnsi="Times New Roman" w:cs="Times New Roman"/>
                <w:color w:val="000000"/>
              </w:rPr>
              <w:lastRenderedPageBreak/>
              <w:t>realities exist simultaneously</w:t>
            </w:r>
          </w:p>
        </w:tc>
        <w:tc>
          <w:tcPr>
            <w:tcW w:w="2475" w:type="dxa"/>
            <w:tcBorders>
              <w:top w:val="single" w:sz="12" w:space="0" w:color="000000"/>
              <w:left w:val="single" w:sz="12" w:space="0" w:color="000000"/>
              <w:bottom w:val="single" w:sz="12" w:space="0" w:color="000000"/>
              <w:right w:val="single" w:sz="12" w:space="0" w:color="000000"/>
            </w:tcBorders>
            <w:shd w:val="clear" w:color="auto" w:fill="FFCC00"/>
            <w:tcMar>
              <w:top w:w="0" w:type="dxa"/>
              <w:left w:w="108" w:type="dxa"/>
              <w:bottom w:w="0" w:type="dxa"/>
              <w:right w:w="108" w:type="dxa"/>
            </w:tcMar>
          </w:tcPr>
          <w:p w14:paraId="04DD52F9"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1. Social groups construct shared realities through collective processes</w:t>
            </w:r>
            <w:r w:rsidRPr="00233A80">
              <w:rPr>
                <w:rFonts w:ascii="Times New Roman" w:hAnsi="Times New Roman" w:cs="Times New Roman"/>
                <w:color w:val="000000"/>
              </w:rPr>
              <w:br/>
              <w:t>2. Different groups construct phenomena differently</w:t>
            </w:r>
            <w:r w:rsidRPr="00233A80">
              <w:rPr>
                <w:rFonts w:ascii="Times New Roman" w:hAnsi="Times New Roman" w:cs="Times New Roman"/>
                <w:color w:val="000000"/>
              </w:rPr>
              <w:br/>
              <w:t>3. Reality is maintained through social agreements</w:t>
            </w:r>
            <w:r w:rsidRPr="00233A80">
              <w:rPr>
                <w:rFonts w:ascii="Times New Roman" w:hAnsi="Times New Roman" w:cs="Times New Roman"/>
                <w:color w:val="000000"/>
              </w:rPr>
              <w:br/>
            </w:r>
            <w:r w:rsidRPr="00233A80">
              <w:rPr>
                <w:rFonts w:ascii="Times New Roman" w:hAnsi="Times New Roman" w:cs="Times New Roman"/>
                <w:color w:val="000000"/>
              </w:rPr>
              <w:lastRenderedPageBreak/>
              <w:t>4. Understanding multiple constructions reveals organisational dynamics</w:t>
            </w:r>
          </w:p>
        </w:tc>
        <w:tc>
          <w:tcPr>
            <w:tcW w:w="2936" w:type="dxa"/>
            <w:tcBorders>
              <w:top w:val="single" w:sz="12" w:space="0" w:color="000000"/>
              <w:left w:val="single" w:sz="12" w:space="0" w:color="000000"/>
              <w:bottom w:val="single" w:sz="12" w:space="0" w:color="000000"/>
              <w:right w:val="single" w:sz="12" w:space="0" w:color="000000"/>
            </w:tcBorders>
            <w:shd w:val="clear" w:color="auto" w:fill="FFCCFF"/>
            <w:tcMar>
              <w:top w:w="0" w:type="dxa"/>
              <w:left w:w="108" w:type="dxa"/>
              <w:bottom w:w="0" w:type="dxa"/>
              <w:right w:w="108" w:type="dxa"/>
            </w:tcMar>
          </w:tcPr>
          <w:p w14:paraId="39C4C937"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1. Reality is shaped by power structures and historical oppression</w:t>
            </w:r>
            <w:r w:rsidRPr="00233A80">
              <w:rPr>
                <w:rFonts w:ascii="Times New Roman" w:hAnsi="Times New Roman" w:cs="Times New Roman"/>
                <w:color w:val="000000"/>
              </w:rPr>
              <w:br/>
              <w:t>2. Knowledge is ideologically mediated</w:t>
            </w:r>
            <w:r w:rsidRPr="00233A80">
              <w:rPr>
                <w:rFonts w:ascii="Times New Roman" w:hAnsi="Times New Roman" w:cs="Times New Roman"/>
                <w:color w:val="000000"/>
              </w:rPr>
              <w:br/>
              <w:t>3. Research should challenge injustice and promote change</w:t>
            </w:r>
            <w:r w:rsidRPr="00233A80">
              <w:rPr>
                <w:rFonts w:ascii="Times New Roman" w:hAnsi="Times New Roman" w:cs="Times New Roman"/>
                <w:color w:val="000000"/>
              </w:rPr>
              <w:br/>
              <w:t xml:space="preserve">4. All research is political; </w:t>
            </w:r>
            <w:r w:rsidRPr="00233A80">
              <w:rPr>
                <w:rFonts w:ascii="Times New Roman" w:hAnsi="Times New Roman" w:cs="Times New Roman"/>
                <w:color w:val="000000"/>
              </w:rPr>
              <w:lastRenderedPageBreak/>
              <w:t>critical research is explicitly so</w:t>
            </w:r>
          </w:p>
        </w:tc>
        <w:tc>
          <w:tcPr>
            <w:tcW w:w="2319" w:type="dxa"/>
            <w:tcBorders>
              <w:top w:val="single" w:sz="12" w:space="0" w:color="000000"/>
              <w:left w:val="single" w:sz="12" w:space="0" w:color="000000"/>
              <w:bottom w:val="single" w:sz="12" w:space="0" w:color="000000"/>
              <w:right w:val="single" w:sz="12" w:space="0" w:color="000000"/>
            </w:tcBorders>
            <w:shd w:val="clear" w:color="auto" w:fill="FFFF99"/>
            <w:tcMar>
              <w:top w:w="0" w:type="dxa"/>
              <w:left w:w="108" w:type="dxa"/>
              <w:bottom w:w="0" w:type="dxa"/>
              <w:right w:w="108" w:type="dxa"/>
            </w:tcMar>
          </w:tcPr>
          <w:p w14:paraId="4D6803A5"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 xml:space="preserve">Use when your research questions are genuinely plural in nature and cannot be fully answered by a single methodological approach. When understanding the phenomenon </w:t>
            </w:r>
            <w:r w:rsidRPr="00233A80">
              <w:rPr>
                <w:rFonts w:ascii="Times New Roman" w:hAnsi="Times New Roman" w:cs="Times New Roman"/>
                <w:color w:val="000000"/>
              </w:rPr>
              <w:lastRenderedPageBreak/>
              <w:t>completely requires both the depth of qualitative inquiry and the breadth or comparability of quantitative data, and when neither alone would adequately answer what the research needs to know. Also appropriate when finding practical solutions to real-world problems requires drawing on multiple forms of evidence.</w:t>
            </w:r>
          </w:p>
        </w:tc>
      </w:tr>
      <w:tr w:rsidR="00CE0861" w:rsidRPr="00233A80" w14:paraId="362A5920" w14:textId="77777777">
        <w:tc>
          <w:tcPr>
            <w:tcW w:w="3726" w:type="dxa"/>
            <w:tcMar>
              <w:top w:w="0" w:type="dxa"/>
              <w:left w:w="108" w:type="dxa"/>
              <w:bottom w:w="0" w:type="dxa"/>
              <w:right w:w="108" w:type="dxa"/>
            </w:tcMar>
          </w:tcPr>
          <w:p w14:paraId="581D3C7E" w14:textId="77777777" w:rsidR="00CE0861" w:rsidRPr="00233A80" w:rsidRDefault="00000000">
            <w:pPr>
              <w:spacing w:after="0" w:line="240" w:lineRule="auto"/>
              <w:rPr>
                <w:rFonts w:ascii="Times New Roman" w:hAnsi="Times New Roman" w:cs="Times New Roman"/>
                <w:b/>
                <w:bCs/>
                <w:color w:val="000000"/>
              </w:rPr>
            </w:pPr>
            <w:r w:rsidRPr="00233A80">
              <w:rPr>
                <w:rFonts w:ascii="Times New Roman" w:hAnsi="Times New Roman" w:cs="Times New Roman"/>
                <w:b/>
                <w:bCs/>
                <w:color w:val="000000"/>
              </w:rPr>
              <w:lastRenderedPageBreak/>
              <w:t>Limitations</w:t>
            </w:r>
          </w:p>
          <w:p w14:paraId="74A69792" w14:textId="77777777" w:rsidR="00CE0861" w:rsidRPr="00233A80" w:rsidRDefault="00CE0861">
            <w:pPr>
              <w:spacing w:after="0" w:line="240" w:lineRule="auto"/>
              <w:rPr>
                <w:rFonts w:ascii="Times New Roman" w:hAnsi="Times New Roman" w:cs="Times New Roman"/>
                <w:b/>
                <w:bCs/>
                <w:color w:val="000000"/>
              </w:rPr>
            </w:pPr>
          </w:p>
        </w:tc>
        <w:tc>
          <w:tcPr>
            <w:tcW w:w="2574" w:type="dxa"/>
            <w:shd w:val="clear" w:color="auto" w:fill="99CCFF"/>
            <w:tcMar>
              <w:top w:w="0" w:type="dxa"/>
              <w:left w:w="108" w:type="dxa"/>
              <w:bottom w:w="0" w:type="dxa"/>
              <w:right w:w="108" w:type="dxa"/>
            </w:tcMar>
          </w:tcPr>
          <w:p w14:paraId="3611A829"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Oversimplifies complex human phenomena, strips context, cannot capture subjective meaning, reductionist. Inappropriate when: exploring meanings, studying unique cases, researching contexts that cannot be controlled, examining lived experiences, investigating socially constructed phenomena, studying topics requiring researcher-participant relationships.</w:t>
            </w:r>
          </w:p>
        </w:tc>
        <w:tc>
          <w:tcPr>
            <w:tcW w:w="2453" w:type="dxa"/>
            <w:shd w:val="clear" w:color="auto" w:fill="66FFFF"/>
            <w:tcMar>
              <w:top w:w="0" w:type="dxa"/>
              <w:left w:w="108" w:type="dxa"/>
              <w:bottom w:w="0" w:type="dxa"/>
              <w:right w:w="108" w:type="dxa"/>
            </w:tcMar>
          </w:tcPr>
          <w:p w14:paraId="5E6D0AEE"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Still privileges researcher's interpretive frame, assumes measurable reality exists, may not capture radical difference. Inappropriate when: participants need equal voice in knowledge creation, studying phenomena that are entirely socially constructed, research requires political advocacy, complete objectivity would distance researcher from meaningful engagement.</w:t>
            </w:r>
          </w:p>
        </w:tc>
        <w:tc>
          <w:tcPr>
            <w:tcW w:w="3141" w:type="dxa"/>
            <w:shd w:val="clear" w:color="auto" w:fill="CCFF99"/>
            <w:tcMar>
              <w:top w:w="0" w:type="dxa"/>
              <w:left w:w="108" w:type="dxa"/>
              <w:bottom w:w="0" w:type="dxa"/>
              <w:right w:w="108" w:type="dxa"/>
            </w:tcMar>
          </w:tcPr>
          <w:p w14:paraId="184924BB"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Findings highly context-specific, limited generalisability, intensive time/resources, dependent on researcher's interpretive skill. Inappropriate when: need to generalise to populations, testing causal hypotheses, large-scale measurement needed, time/resources very limited, studying phenomena requiring objective measurement, funders require quantitative outcomes.</w:t>
            </w:r>
          </w:p>
        </w:tc>
        <w:tc>
          <w:tcPr>
            <w:tcW w:w="2717" w:type="dxa"/>
            <w:tcMar>
              <w:top w:w="0" w:type="dxa"/>
              <w:left w:w="108" w:type="dxa"/>
              <w:bottom w:w="0" w:type="dxa"/>
              <w:right w:w="108" w:type="dxa"/>
            </w:tcMar>
          </w:tcPr>
          <w:p w14:paraId="4912CC5C"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Blurred researcher-participant roles may complicate ethics, very time-intensive, difficult to achieve genuine collaboration, findings extremely context-bound. Inappropriate when: power imbalances cannot be addressed, participants cannot commit time, funders require predetermined outcomes, rapid results needed, studying topics where expertise differential is necessary.</w:t>
            </w:r>
          </w:p>
        </w:tc>
        <w:tc>
          <w:tcPr>
            <w:tcW w:w="2475" w:type="dxa"/>
            <w:shd w:val="clear" w:color="auto" w:fill="FFCC00"/>
            <w:tcMar>
              <w:top w:w="0" w:type="dxa"/>
              <w:left w:w="108" w:type="dxa"/>
              <w:bottom w:w="0" w:type="dxa"/>
              <w:right w:w="108" w:type="dxa"/>
            </w:tcMar>
          </w:tcPr>
          <w:p w14:paraId="7136C8A0"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May appear relativistic without addressing ‘which construction is more valid?’, doesn't prescribe solutions, requires access to multiple groups. Inappropriate when: only one stakeholder group accessible, need definitive answers rather than multiple perspectives, immediate action needed without comparative analysis, single case study design, limited time for comparative work.</w:t>
            </w:r>
          </w:p>
        </w:tc>
        <w:tc>
          <w:tcPr>
            <w:tcW w:w="2936" w:type="dxa"/>
            <w:shd w:val="clear" w:color="auto" w:fill="FFCCFF"/>
            <w:tcMar>
              <w:top w:w="0" w:type="dxa"/>
              <w:left w:w="108" w:type="dxa"/>
              <w:bottom w:w="0" w:type="dxa"/>
              <w:right w:w="108" w:type="dxa"/>
            </w:tcMar>
          </w:tcPr>
          <w:p w14:paraId="5DBB8ED8"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Explicitly political stance may compromise perceived objectivity, focused on specific injustices may limit broader applicability, activist role may strain relationships. Inappropriate when: researcher cannot maintain activist commitment, participants don't share critical goals, organisation/funder requires neutrality, researcher lacks lived experience of oppression being studied.</w:t>
            </w:r>
          </w:p>
        </w:tc>
        <w:tc>
          <w:tcPr>
            <w:tcW w:w="2319" w:type="dxa"/>
            <w:shd w:val="clear" w:color="auto" w:fill="FFFF99"/>
            <w:tcMar>
              <w:top w:w="0" w:type="dxa"/>
              <w:left w:w="108" w:type="dxa"/>
              <w:bottom w:w="0" w:type="dxa"/>
              <w:right w:w="108" w:type="dxa"/>
            </w:tcMar>
          </w:tcPr>
          <w:p w14:paraId="7F63E3E2"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1. Theoretical depth may be sacrificed for practicality. 2. ‘What works’ can risk reinforcing the status quo if practical utility is defined without examining whose interests are served by current arrangements. Pragmatist researchers should examine who defines ‘what works" and for whom 3. Flexibility makes quality evaluation difficult. Inappropriate when: theoretical development is primary goal, need paradigmatic coherence for philosophical examination, research requires explicit ontological stance, studying phenomena requiring deep interpretive work beyond problem-solving.</w:t>
            </w:r>
          </w:p>
        </w:tc>
      </w:tr>
      <w:tr w:rsidR="00CE0861" w:rsidRPr="00233A80" w14:paraId="1BCDD39B" w14:textId="77777777">
        <w:tc>
          <w:tcPr>
            <w:tcW w:w="3726" w:type="dxa"/>
            <w:tcMar>
              <w:top w:w="0" w:type="dxa"/>
              <w:left w:w="108" w:type="dxa"/>
              <w:bottom w:w="0" w:type="dxa"/>
              <w:right w:w="108" w:type="dxa"/>
            </w:tcMar>
          </w:tcPr>
          <w:p w14:paraId="11A9FC91" w14:textId="77777777" w:rsidR="00CE0861" w:rsidRPr="00233A80" w:rsidRDefault="00000000">
            <w:pPr>
              <w:spacing w:after="0" w:line="240" w:lineRule="auto"/>
              <w:rPr>
                <w:rFonts w:ascii="Times New Roman" w:hAnsi="Times New Roman" w:cs="Times New Roman"/>
                <w:b/>
                <w:bCs/>
                <w:color w:val="000000"/>
              </w:rPr>
            </w:pPr>
            <w:r w:rsidRPr="00233A80">
              <w:rPr>
                <w:rFonts w:ascii="Times New Roman" w:hAnsi="Times New Roman" w:cs="Times New Roman"/>
                <w:b/>
                <w:bCs/>
                <w:color w:val="000000"/>
              </w:rPr>
              <w:t>Common Misconceptions</w:t>
            </w:r>
          </w:p>
        </w:tc>
        <w:tc>
          <w:tcPr>
            <w:tcW w:w="2574" w:type="dxa"/>
            <w:shd w:val="clear" w:color="auto" w:fill="99CCFF"/>
            <w:tcMar>
              <w:top w:w="0" w:type="dxa"/>
              <w:left w:w="108" w:type="dxa"/>
              <w:bottom w:w="0" w:type="dxa"/>
              <w:right w:w="108" w:type="dxa"/>
            </w:tcMar>
          </w:tcPr>
          <w:p w14:paraId="414AF548"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 xml:space="preserve">‘This is the only truly scientific approach’, </w:t>
            </w:r>
            <w:r w:rsidRPr="00233A80">
              <w:rPr>
                <w:rFonts w:ascii="Times New Roman" w:hAnsi="Times New Roman" w:cs="Times New Roman"/>
                <w:color w:val="000000"/>
              </w:rPr>
              <w:lastRenderedPageBreak/>
              <w:t>‘Complete objectivity is achievable’, ‘Social sciences should copy natural sciences exactly’, ‘Numbers are always more rigorous than words’, ‘Positivism means positive/optimistic’. REALITY: One of multiple legitimate paradigms; complete objectivity is impossible; social phenomena differ from natural phenomena; rigour exists in all paradigms; positivism refers to positive (observable) facts.</w:t>
            </w:r>
          </w:p>
        </w:tc>
        <w:tc>
          <w:tcPr>
            <w:tcW w:w="2453" w:type="dxa"/>
            <w:shd w:val="clear" w:color="auto" w:fill="66FFFF"/>
            <w:tcMar>
              <w:top w:w="0" w:type="dxa"/>
              <w:left w:w="108" w:type="dxa"/>
              <w:bottom w:w="0" w:type="dxa"/>
              <w:right w:w="108" w:type="dxa"/>
            </w:tcMar>
          </w:tcPr>
          <w:p w14:paraId="73B0A43E"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 xml:space="preserve">‘This is just positivism with a disclaimer’, ‘It's </w:t>
            </w:r>
            <w:r w:rsidRPr="00233A80">
              <w:rPr>
                <w:rFonts w:ascii="Times New Roman" w:hAnsi="Times New Roman" w:cs="Times New Roman"/>
                <w:color w:val="000000"/>
              </w:rPr>
              <w:lastRenderedPageBreak/>
              <w:t>for when you can't do real science’, ‘Mixed methods is always postpositivist’. REALITY: Genuine paradigmatic position acknowledging fallibility of knowledge; equally rigorous with different assumptions; mixed methods can align with multiple paradigms depending on integration approach and underlying assumptions.</w:t>
            </w:r>
          </w:p>
        </w:tc>
        <w:tc>
          <w:tcPr>
            <w:tcW w:w="3141" w:type="dxa"/>
            <w:shd w:val="clear" w:color="auto" w:fill="CCFF99"/>
            <w:tcMar>
              <w:top w:w="0" w:type="dxa"/>
              <w:left w:w="108" w:type="dxa"/>
              <w:bottom w:w="0" w:type="dxa"/>
              <w:right w:w="108" w:type="dxa"/>
            </w:tcMar>
          </w:tcPr>
          <w:p w14:paraId="5A99DD9A"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 xml:space="preserve">‘Anything goes/no standards’, ‘It's just opinion’, ‘It's easier </w:t>
            </w:r>
            <w:r w:rsidRPr="00233A80">
              <w:rPr>
                <w:rFonts w:ascii="Times New Roman" w:hAnsi="Times New Roman" w:cs="Times New Roman"/>
                <w:color w:val="000000"/>
              </w:rPr>
              <w:lastRenderedPageBreak/>
              <w:t>than quantitative research’, ‘Can't be generalised so isn't useful’, ‘The researcher just makes it up’. REALITY: Has rigorous quality criteria; seeks systematic understanding of subjective meanings; extremely time-intensive and demanding; transferability to similar contexts; interpretation must be grounded in data with clear audit trail.</w:t>
            </w:r>
          </w:p>
        </w:tc>
        <w:tc>
          <w:tcPr>
            <w:tcW w:w="2717" w:type="dxa"/>
            <w:tcMar>
              <w:top w:w="0" w:type="dxa"/>
              <w:left w:w="108" w:type="dxa"/>
              <w:bottom w:w="0" w:type="dxa"/>
              <w:right w:w="108" w:type="dxa"/>
            </w:tcMar>
          </w:tcPr>
          <w:p w14:paraId="5BD7392E"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 xml:space="preserve">‘Same as interpretivism’, ‘Means everything is </w:t>
            </w:r>
            <w:r w:rsidRPr="00233A80">
              <w:rPr>
                <w:rFonts w:ascii="Times New Roman" w:hAnsi="Times New Roman" w:cs="Times New Roman"/>
                <w:color w:val="000000"/>
              </w:rPr>
              <w:lastRenderedPageBreak/>
              <w:t>relative’, ‘No reality exists’, ‘Participants are co-authors’, ‘There are no wrong interpretations’. REALITY: Emphasises social interaction in knowledge creation beyond individual interpretation; realities are constructed but consequential; material world exists but meaning is socially created; participants shape process but researcher typically authors; interpretations must be warranted by evidence.</w:t>
            </w:r>
          </w:p>
        </w:tc>
        <w:tc>
          <w:tcPr>
            <w:tcW w:w="2475" w:type="dxa"/>
            <w:shd w:val="clear" w:color="auto" w:fill="FFCC00"/>
            <w:tcMar>
              <w:top w:w="0" w:type="dxa"/>
              <w:left w:w="108" w:type="dxa"/>
              <w:bottom w:w="0" w:type="dxa"/>
              <w:right w:w="108" w:type="dxa"/>
            </w:tcMar>
          </w:tcPr>
          <w:p w14:paraId="6AB98A8D"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 xml:space="preserve">‘Same as constructivism’, ‘All </w:t>
            </w:r>
            <w:r w:rsidRPr="00233A80">
              <w:rPr>
                <w:rFonts w:ascii="Times New Roman" w:hAnsi="Times New Roman" w:cs="Times New Roman"/>
                <w:color w:val="000000"/>
              </w:rPr>
              <w:lastRenderedPageBreak/>
              <w:t>constructions are equally valid’, ‘Can't make recommendations because everything is constructed’. REALITY: Focus is on group-level rather than individual constructions; different constructions can be compared and evaluated for consequences; understanding multiple constructions enables better organisational practice and cross-group collaboration.</w:t>
            </w:r>
          </w:p>
        </w:tc>
        <w:tc>
          <w:tcPr>
            <w:tcW w:w="2936" w:type="dxa"/>
            <w:shd w:val="clear" w:color="auto" w:fill="FFCCFF"/>
            <w:tcMar>
              <w:top w:w="0" w:type="dxa"/>
              <w:left w:w="108" w:type="dxa"/>
              <w:bottom w:w="0" w:type="dxa"/>
              <w:right w:w="108" w:type="dxa"/>
            </w:tcMar>
          </w:tcPr>
          <w:p w14:paraId="6B053230"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 xml:space="preserve">‘Too political for academic research’, ‘Researchers </w:t>
            </w:r>
            <w:r w:rsidRPr="00233A80">
              <w:rPr>
                <w:rFonts w:ascii="Times New Roman" w:hAnsi="Times New Roman" w:cs="Times New Roman"/>
                <w:color w:val="000000"/>
              </w:rPr>
              <w:lastRenderedPageBreak/>
              <w:t>impose their views’, ‘Can't be objective so isn't rigorous’, ‘Only for researchers from marginalised groups’, ‘Activism is incompatible with research’. REALITY: Explicitly acknowledges all research is value-laden; aims to give voice to marginalised rather than impose; has rigorous critical standards; researchers with privilege can do critical work with reflexivity; research can catalyse change while maintaining rigour.</w:t>
            </w:r>
          </w:p>
        </w:tc>
        <w:tc>
          <w:tcPr>
            <w:tcW w:w="2319" w:type="dxa"/>
            <w:shd w:val="clear" w:color="auto" w:fill="FFFF99"/>
            <w:tcMar>
              <w:top w:w="0" w:type="dxa"/>
              <w:left w:w="108" w:type="dxa"/>
              <w:bottom w:w="0" w:type="dxa"/>
              <w:right w:w="108" w:type="dxa"/>
            </w:tcMar>
          </w:tcPr>
          <w:p w14:paraId="41635C04"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 xml:space="preserve">‘Pragmatism has no philosophical </w:t>
            </w:r>
            <w:r w:rsidRPr="00233A80">
              <w:rPr>
                <w:rFonts w:ascii="Times New Roman" w:hAnsi="Times New Roman" w:cs="Times New Roman"/>
                <w:color w:val="000000"/>
              </w:rPr>
              <w:lastRenderedPageBreak/>
              <w:t>foundations’, ‘Anything goes’, ‘Just mixing methods randomly’, ‘Theoretically unsophisticated’, ‘Can't be criticised for paradigmatic incoherence’. REALITY: Has clear philosophical foundations (Dewey, James, Peirce); requires justification for choices; mixed methods needs integration rationale; focuses on consequences and workability; must explain how mixing serves problem-solving goals.</w:t>
            </w:r>
          </w:p>
        </w:tc>
      </w:tr>
      <w:tr w:rsidR="00CE0861" w:rsidRPr="00233A80" w14:paraId="560A93E5" w14:textId="77777777">
        <w:tc>
          <w:tcPr>
            <w:tcW w:w="3726" w:type="dxa"/>
            <w:tcMar>
              <w:top w:w="0" w:type="dxa"/>
              <w:left w:w="108" w:type="dxa"/>
              <w:bottom w:w="0" w:type="dxa"/>
              <w:right w:w="108" w:type="dxa"/>
            </w:tcMar>
          </w:tcPr>
          <w:p w14:paraId="423BA618"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lastRenderedPageBreak/>
              <w:t>Ontology (Reality)</w:t>
            </w:r>
          </w:p>
        </w:tc>
        <w:tc>
          <w:tcPr>
            <w:tcW w:w="2574" w:type="dxa"/>
            <w:shd w:val="clear" w:color="auto" w:fill="99CCFF"/>
            <w:tcMar>
              <w:top w:w="0" w:type="dxa"/>
              <w:left w:w="108" w:type="dxa"/>
              <w:bottom w:w="0" w:type="dxa"/>
              <w:right w:w="108" w:type="dxa"/>
            </w:tcMar>
          </w:tcPr>
          <w:p w14:paraId="055FB6D2"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Reality is objective, singular and exists independently of human perception or beliefs. There is one true reality 'out there' that can be discovered through systematic observation and measurement. Universal laws govern phenomena and these laws are waiting to be uncovered through rigorous scientific inquiry</w:t>
            </w:r>
          </w:p>
        </w:tc>
        <w:tc>
          <w:tcPr>
            <w:tcW w:w="2453" w:type="dxa"/>
            <w:shd w:val="clear" w:color="auto" w:fill="66FFFF"/>
            <w:tcMar>
              <w:top w:w="0" w:type="dxa"/>
              <w:left w:w="108" w:type="dxa"/>
              <w:bottom w:w="0" w:type="dxa"/>
              <w:right w:w="108" w:type="dxa"/>
            </w:tcMar>
          </w:tcPr>
          <w:p w14:paraId="43F5506F"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Reality is objective but can never be fully known with absolute certainty. One true reality exists independently, but our knowledge of it is fallible and shaped by limitations of measurement and human perception. Multiple approximations of reality are possible, each getting closer to truth through increasingly rigorous inquiry</w:t>
            </w:r>
          </w:p>
        </w:tc>
        <w:tc>
          <w:tcPr>
            <w:tcW w:w="3141" w:type="dxa"/>
            <w:shd w:val="clear" w:color="auto" w:fill="CCFF99"/>
            <w:tcMar>
              <w:top w:w="0" w:type="dxa"/>
              <w:left w:w="108" w:type="dxa"/>
              <w:bottom w:w="0" w:type="dxa"/>
              <w:right w:w="108" w:type="dxa"/>
            </w:tcMar>
          </w:tcPr>
          <w:p w14:paraId="351B8A5E"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Reality is subjective and multiple; each individual experiences and interprets reality differently based on their unique perspectives, experiences and contexts. There is no single objective reality, instead, there are multiple realities constructed through individual meaning-making. What is 'real' for one person may differ from another's reality</w:t>
            </w:r>
          </w:p>
        </w:tc>
        <w:tc>
          <w:tcPr>
            <w:tcW w:w="2717" w:type="dxa"/>
            <w:tcMar>
              <w:top w:w="0" w:type="dxa"/>
              <w:left w:w="108" w:type="dxa"/>
              <w:bottom w:w="0" w:type="dxa"/>
              <w:right w:w="108" w:type="dxa"/>
            </w:tcMar>
          </w:tcPr>
          <w:p w14:paraId="7C97FC08"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Reality is intersubjective and co-constructed through social interaction and relationships. Reality emerges through dialogue and shared meaning-making between people. There is no reality independent of human interaction, it is continuously constructed and reconstructed through ongoing social processes. Different relationships create different realities</w:t>
            </w:r>
          </w:p>
        </w:tc>
        <w:tc>
          <w:tcPr>
            <w:tcW w:w="2475" w:type="dxa"/>
            <w:shd w:val="clear" w:color="auto" w:fill="FFCC00"/>
            <w:tcMar>
              <w:top w:w="0" w:type="dxa"/>
              <w:left w:w="108" w:type="dxa"/>
              <w:bottom w:w="0" w:type="dxa"/>
              <w:right w:w="108" w:type="dxa"/>
            </w:tcMar>
          </w:tcPr>
          <w:p w14:paraId="6DACAE79"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Reality is constructed by groups through ongoing social processes and shared agreements about what counts as 'real'. Different social groups (cultures, professions, communities) construct different collective realities through their shared practices, language and institutions. Multiple group-level realities coexist, each valid within its own social context</w:t>
            </w:r>
          </w:p>
        </w:tc>
        <w:tc>
          <w:tcPr>
            <w:tcW w:w="2936" w:type="dxa"/>
            <w:shd w:val="clear" w:color="auto" w:fill="FFCCFF"/>
            <w:tcMar>
              <w:top w:w="0" w:type="dxa"/>
              <w:left w:w="108" w:type="dxa"/>
              <w:bottom w:w="0" w:type="dxa"/>
              <w:right w:w="108" w:type="dxa"/>
            </w:tcMar>
          </w:tcPr>
          <w:p w14:paraId="14AE43A2"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Reality is shaped by power structures, historical oppression and material conditions. Whilst some aspects of reality are materially real (poverty, violence, discrimination exist), how we understand and respond to these realities is shaped by dominant ideologies that serve certain interests. Reality is both material and socially constructed through power relations</w:t>
            </w:r>
          </w:p>
        </w:tc>
        <w:tc>
          <w:tcPr>
            <w:tcW w:w="2319" w:type="dxa"/>
            <w:shd w:val="clear" w:color="auto" w:fill="FFFF99"/>
            <w:tcMar>
              <w:top w:w="0" w:type="dxa"/>
              <w:left w:w="108" w:type="dxa"/>
              <w:bottom w:w="0" w:type="dxa"/>
              <w:right w:w="108" w:type="dxa"/>
            </w:tcMar>
          </w:tcPr>
          <w:p w14:paraId="7C655213"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Reality is pragmatic and contextual, what is 'real' is what has practical consequences and works in specific situations. Reality is neither purely objective nor purely constructed; it is what we can act upon and what acts upon us. Focus is on practical utility and workability rather than abstract debates about the nature of reality</w:t>
            </w:r>
          </w:p>
        </w:tc>
      </w:tr>
      <w:tr w:rsidR="00CE0861" w:rsidRPr="00233A80" w14:paraId="65429782" w14:textId="77777777">
        <w:tc>
          <w:tcPr>
            <w:tcW w:w="3726" w:type="dxa"/>
            <w:tcMar>
              <w:top w:w="0" w:type="dxa"/>
              <w:left w:w="108" w:type="dxa"/>
              <w:bottom w:w="0" w:type="dxa"/>
              <w:right w:w="108" w:type="dxa"/>
            </w:tcMar>
          </w:tcPr>
          <w:p w14:paraId="6ED88EBB"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t>Epistemology</w:t>
            </w:r>
            <w:r w:rsidRPr="00233A80">
              <w:rPr>
                <w:rFonts w:ascii="Times New Roman" w:hAnsi="Times New Roman" w:cs="Times New Roman"/>
                <w:b/>
                <w:bCs/>
                <w:color w:val="000000"/>
              </w:rPr>
              <w:br/>
              <w:t>(Knowledge)</w:t>
            </w:r>
          </w:p>
        </w:tc>
        <w:tc>
          <w:tcPr>
            <w:tcW w:w="2574" w:type="dxa"/>
            <w:shd w:val="clear" w:color="auto" w:fill="99CCFF"/>
            <w:tcMar>
              <w:top w:w="0" w:type="dxa"/>
              <w:left w:w="108" w:type="dxa"/>
              <w:bottom w:w="0" w:type="dxa"/>
              <w:right w:w="108" w:type="dxa"/>
            </w:tcMar>
          </w:tcPr>
          <w:p w14:paraId="04E89446"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xml:space="preserve">Knowledge is objective, verifiable and discovered through systematic observation and measurement. True knowledge is obtained when hypotheses are confirmed through empirical testing. Researcher and researched are independent, the </w:t>
            </w:r>
            <w:r w:rsidRPr="00233A80">
              <w:rPr>
                <w:rFonts w:ascii="Times New Roman" w:hAnsi="Times New Roman" w:cs="Times New Roman"/>
                <w:color w:val="000000"/>
              </w:rPr>
              <w:lastRenderedPageBreak/>
              <w:t>knower can observe without influencing what is known. Knowledge accumulates through replication and builds towards universal laws</w:t>
            </w:r>
          </w:p>
        </w:tc>
        <w:tc>
          <w:tcPr>
            <w:tcW w:w="2453" w:type="dxa"/>
            <w:shd w:val="clear" w:color="auto" w:fill="66FFFF"/>
            <w:tcMar>
              <w:top w:w="0" w:type="dxa"/>
              <w:left w:w="108" w:type="dxa"/>
              <w:bottom w:w="0" w:type="dxa"/>
              <w:right w:w="108" w:type="dxa"/>
            </w:tcMar>
          </w:tcPr>
          <w:p w14:paraId="698CEA1D"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 xml:space="preserve">Knowledge is probabilistic and based on empirical evidence, but never absolutely certain. Researchers strive for objectivity whilst acknowledging that complete objectivity is impossible. Multiple methods and triangulation increase </w:t>
            </w:r>
            <w:r w:rsidRPr="00233A80">
              <w:rPr>
                <w:rFonts w:ascii="Times New Roman" w:hAnsi="Times New Roman" w:cs="Times New Roman"/>
                <w:color w:val="000000"/>
              </w:rPr>
              <w:lastRenderedPageBreak/>
              <w:t>confidence in findings. Knowledge is refined through critical scrutiny, with theories held tentatively until evidence suggests revision</w:t>
            </w:r>
          </w:p>
        </w:tc>
        <w:tc>
          <w:tcPr>
            <w:tcW w:w="3141" w:type="dxa"/>
            <w:shd w:val="clear" w:color="auto" w:fill="CCFF99"/>
            <w:tcMar>
              <w:top w:w="0" w:type="dxa"/>
              <w:left w:w="108" w:type="dxa"/>
              <w:bottom w:w="0" w:type="dxa"/>
              <w:right w:w="108" w:type="dxa"/>
            </w:tcMar>
          </w:tcPr>
          <w:p w14:paraId="5DFE4C93"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 xml:space="preserve">Knowledge is gained through understanding individual experiences, meanings and interpretations. Researcher and participant interact; knowledge emerges through interpretation of participants' subjective realities. The researcher's understanding is shaped by their own experiences and perspectives. Knowledge is contextual, </w:t>
            </w:r>
            <w:r w:rsidRPr="00233A80">
              <w:rPr>
                <w:rFonts w:ascii="Times New Roman" w:hAnsi="Times New Roman" w:cs="Times New Roman"/>
                <w:color w:val="000000"/>
              </w:rPr>
              <w:lastRenderedPageBreak/>
              <w:t>idiographic and emphasises depth over breadth</w:t>
            </w:r>
          </w:p>
        </w:tc>
        <w:tc>
          <w:tcPr>
            <w:tcW w:w="2717" w:type="dxa"/>
            <w:tcMar>
              <w:top w:w="0" w:type="dxa"/>
              <w:left w:w="108" w:type="dxa"/>
              <w:bottom w:w="0" w:type="dxa"/>
              <w:right w:w="108" w:type="dxa"/>
            </w:tcMar>
          </w:tcPr>
          <w:p w14:paraId="7FCC8EC5"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 xml:space="preserve">Knowledge is co-created through interaction between researcher and participants; neither exists independently. Understanding emerges through dialogue and mutual engagement. The knower and the known are inseparable and mutually shaping. Knowledge is relational, </w:t>
            </w:r>
            <w:r w:rsidRPr="00233A80">
              <w:rPr>
                <w:rFonts w:ascii="Times New Roman" w:hAnsi="Times New Roman" w:cs="Times New Roman"/>
                <w:color w:val="000000"/>
              </w:rPr>
              <w:lastRenderedPageBreak/>
              <w:t>negotiated and constructed together. Multiple valid interpretations can coexist from different relational perspectives</w:t>
            </w:r>
          </w:p>
        </w:tc>
        <w:tc>
          <w:tcPr>
            <w:tcW w:w="2475" w:type="dxa"/>
            <w:shd w:val="clear" w:color="auto" w:fill="FFCC00"/>
            <w:tcMar>
              <w:top w:w="0" w:type="dxa"/>
              <w:left w:w="108" w:type="dxa"/>
              <w:bottom w:w="0" w:type="dxa"/>
              <w:right w:w="108" w:type="dxa"/>
            </w:tcMar>
          </w:tcPr>
          <w:p w14:paraId="658E26EE"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 xml:space="preserve">Knowledge is socially constructed by groups through collective sense-making and maintained through shared agreements within those groups. What counts as knowledge varies across different social groups, cultures and contexts. Researcher </w:t>
            </w:r>
            <w:r w:rsidRPr="00233A80">
              <w:rPr>
                <w:rFonts w:ascii="Times New Roman" w:hAnsi="Times New Roman" w:cs="Times New Roman"/>
                <w:color w:val="000000"/>
              </w:rPr>
              <w:lastRenderedPageBreak/>
              <w:t>examines how different groups construct and validate knowledge differently. Understanding requires engaging with multiple group perspectives</w:t>
            </w:r>
          </w:p>
        </w:tc>
        <w:tc>
          <w:tcPr>
            <w:tcW w:w="2936" w:type="dxa"/>
            <w:shd w:val="clear" w:color="auto" w:fill="FFCCFF"/>
            <w:tcMar>
              <w:top w:w="0" w:type="dxa"/>
              <w:left w:w="108" w:type="dxa"/>
              <w:bottom w:w="0" w:type="dxa"/>
              <w:right w:w="108" w:type="dxa"/>
            </w:tcMar>
          </w:tcPr>
          <w:p w14:paraId="197872F9"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 xml:space="preserve">Knowledge is ideologically mediated and shaped by power relations. What counts as 'legitimate knowledge' reflects dominant interests. Researcher uses critical theories to uncover hidden assumptions and power structures. Knowledge aims to reveal inequities and support transformative </w:t>
            </w:r>
            <w:r w:rsidRPr="00233A80">
              <w:rPr>
                <w:rFonts w:ascii="Times New Roman" w:hAnsi="Times New Roman" w:cs="Times New Roman"/>
                <w:color w:val="000000"/>
              </w:rPr>
              <w:lastRenderedPageBreak/>
              <w:t>action. Emancipatory knowledge challenges taken-for-granted beliefs that perpetuate oppression</w:t>
            </w:r>
          </w:p>
        </w:tc>
        <w:tc>
          <w:tcPr>
            <w:tcW w:w="2319" w:type="dxa"/>
            <w:shd w:val="clear" w:color="auto" w:fill="FFFF99"/>
            <w:tcMar>
              <w:top w:w="0" w:type="dxa"/>
              <w:left w:w="108" w:type="dxa"/>
              <w:bottom w:w="0" w:type="dxa"/>
              <w:right w:w="108" w:type="dxa"/>
            </w:tcMar>
          </w:tcPr>
          <w:p w14:paraId="3CDF6D42"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 xml:space="preserve">Knowledge is warranted assertibility: claims that have been tested through inquiry and have proven reliable for addressing the problem at hand (Peirce 1878). Knowledge is judged by its consequences and its capacity to </w:t>
            </w:r>
            <w:r w:rsidRPr="00233A80">
              <w:rPr>
                <w:rFonts w:ascii="Times New Roman" w:hAnsi="Times New Roman" w:cs="Times New Roman"/>
                <w:color w:val="000000"/>
              </w:rPr>
              <w:lastRenderedPageBreak/>
              <w:t>resolve genuine uncertainty rather than by correspondence to an external reality. Both qualitative and quantitative knowledge are valid when rigorously generated and when each contributes something the other cannot to answering the research questions. Knowledge is transactional: it emerges from the interaction between the inquirer and the situation being investigated (Dewey 1938).</w:t>
            </w:r>
          </w:p>
          <w:p w14:paraId="626F5CA9"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xml:space="preserve">Knowledge is what works in practice and leads to desired outcomes. </w:t>
            </w:r>
          </w:p>
        </w:tc>
      </w:tr>
      <w:tr w:rsidR="00CE0861" w:rsidRPr="00233A80" w14:paraId="5073680A" w14:textId="77777777">
        <w:tc>
          <w:tcPr>
            <w:tcW w:w="3726" w:type="dxa"/>
            <w:tcMar>
              <w:top w:w="0" w:type="dxa"/>
              <w:left w:w="108" w:type="dxa"/>
              <w:bottom w:w="0" w:type="dxa"/>
              <w:right w:w="108" w:type="dxa"/>
            </w:tcMar>
          </w:tcPr>
          <w:p w14:paraId="46BB4771"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t>Axiology</w:t>
            </w:r>
          </w:p>
        </w:tc>
        <w:tc>
          <w:tcPr>
            <w:tcW w:w="2574" w:type="dxa"/>
            <w:shd w:val="clear" w:color="auto" w:fill="99CCFF"/>
            <w:tcMar>
              <w:top w:w="0" w:type="dxa"/>
              <w:left w:w="108" w:type="dxa"/>
              <w:bottom w:w="0" w:type="dxa"/>
              <w:right w:w="108" w:type="dxa"/>
            </w:tcMar>
          </w:tcPr>
          <w:p w14:paraId="19B0A580"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Research must be value-free and objective. Researcher's personal values, beliefs and biases must be eliminated to avoid contaminating findings. The goal is neutrality, to observe and report reality without allowing values to influence what is seen or interpreted. Value intrusion threatens validity</w:t>
            </w:r>
          </w:p>
        </w:tc>
        <w:tc>
          <w:tcPr>
            <w:tcW w:w="2453" w:type="dxa"/>
            <w:shd w:val="clear" w:color="auto" w:fill="66FFFF"/>
            <w:tcMar>
              <w:top w:w="0" w:type="dxa"/>
              <w:left w:w="108" w:type="dxa"/>
              <w:bottom w:w="0" w:type="dxa"/>
              <w:right w:w="108" w:type="dxa"/>
            </w:tcMar>
          </w:tcPr>
          <w:p w14:paraId="28C9E51C"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Whilst complete value-freedom is impossible, researchers must acknowledge and control value influences. Researcher explicitly states their values and potential biases, then uses rigorous methods to minimise their impact. Values are recognised but bracketed. Transparency about researcher values helps readers assess potential influence on findings</w:t>
            </w:r>
          </w:p>
        </w:tc>
        <w:tc>
          <w:tcPr>
            <w:tcW w:w="3141" w:type="dxa"/>
            <w:shd w:val="clear" w:color="auto" w:fill="CCFF99"/>
            <w:tcMar>
              <w:top w:w="0" w:type="dxa"/>
              <w:left w:w="108" w:type="dxa"/>
              <w:bottom w:w="0" w:type="dxa"/>
              <w:right w:w="108" w:type="dxa"/>
            </w:tcMar>
          </w:tcPr>
          <w:p w14:paraId="64673332"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Researcher's values and biases are integral to the research process and inevitable in interpretation. Rather than eliminating values, researcher reflexively examines how their values, beliefs and experiences shape their understanding. Values are acknowledged as part of meaning-making. Researcher brings their 'whole self' to interpretation whilst remaining aware of value influences</w:t>
            </w:r>
          </w:p>
        </w:tc>
        <w:tc>
          <w:tcPr>
            <w:tcW w:w="2717" w:type="dxa"/>
            <w:tcMar>
              <w:top w:w="0" w:type="dxa"/>
              <w:left w:w="108" w:type="dxa"/>
              <w:bottom w:w="0" w:type="dxa"/>
              <w:right w:w="108" w:type="dxa"/>
            </w:tcMar>
          </w:tcPr>
          <w:p w14:paraId="6623DEB4"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Values are co-created through the research relationship. Both researcher and participant values shape the emerging understanding. Research is explicitly value-laden and these values are openly negotiated. The relationship itself creates a value context for knowledge construction. Researcher embraces value engagement as essential to collaborative meaning-making</w:t>
            </w:r>
          </w:p>
        </w:tc>
        <w:tc>
          <w:tcPr>
            <w:tcW w:w="2475" w:type="dxa"/>
            <w:shd w:val="clear" w:color="auto" w:fill="FFCC00"/>
            <w:tcMar>
              <w:top w:w="0" w:type="dxa"/>
              <w:left w:w="108" w:type="dxa"/>
              <w:bottom w:w="0" w:type="dxa"/>
              <w:right w:w="108" w:type="dxa"/>
            </w:tcMar>
          </w:tcPr>
          <w:p w14:paraId="09237B8E"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Research examines how values are constructed within groups; researcher reflects on how group membership shapes values. Different groups hold different values based on their social contexts. Researcher recognises their own values as socially constructed whilst studying how other groups construct values differently. Multiple value systems are acknowledged as valid within their contexts</w:t>
            </w:r>
          </w:p>
        </w:tc>
        <w:tc>
          <w:tcPr>
            <w:tcW w:w="2936" w:type="dxa"/>
            <w:shd w:val="clear" w:color="auto" w:fill="FFCCFF"/>
            <w:tcMar>
              <w:top w:w="0" w:type="dxa"/>
              <w:left w:w="108" w:type="dxa"/>
              <w:bottom w:w="0" w:type="dxa"/>
              <w:right w:w="108" w:type="dxa"/>
            </w:tcMar>
          </w:tcPr>
          <w:p w14:paraId="3147BA19"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Research is explicitly value-committed to social justice, equity and challenging oppression. Researcher openly advocates for marginalised groups and works to transform unjust systems. Values are political and ethical commitments, not biases to control. Research should benefit those studied and contribute to emancipation. Neutrality is neither possible nor desirable</w:t>
            </w:r>
          </w:p>
        </w:tc>
        <w:tc>
          <w:tcPr>
            <w:tcW w:w="2319" w:type="dxa"/>
            <w:shd w:val="clear" w:color="auto" w:fill="FFFF99"/>
            <w:tcMar>
              <w:top w:w="0" w:type="dxa"/>
              <w:left w:w="108" w:type="dxa"/>
              <w:bottom w:w="0" w:type="dxa"/>
              <w:right w:w="108" w:type="dxa"/>
            </w:tcMar>
          </w:tcPr>
          <w:p w14:paraId="27BB1DCF"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xml:space="preserve">Values are acknowledged based on their practical relevance to problem-solving. Researcher is transparent about values when they affect stakeholder trust or solution acceptability. Focus on shared values that support collaboration and action. Values are examined for their practical consequences and their role in shaping what counts as a good solution. Dewey (1939) argued that ethical questions deserve the same rigorous inquiry as empirical questions: what works for </w:t>
            </w:r>
            <w:r w:rsidRPr="00233A80">
              <w:rPr>
                <w:rFonts w:ascii="Times New Roman" w:hAnsi="Times New Roman" w:cs="Times New Roman"/>
                <w:color w:val="000000"/>
              </w:rPr>
              <w:lastRenderedPageBreak/>
              <w:t>whom, under what conditions and at what cost.</w:t>
            </w:r>
          </w:p>
        </w:tc>
      </w:tr>
      <w:tr w:rsidR="00CE0861" w:rsidRPr="00233A80" w14:paraId="3140D1B7" w14:textId="77777777">
        <w:tc>
          <w:tcPr>
            <w:tcW w:w="3726" w:type="dxa"/>
            <w:tcMar>
              <w:top w:w="0" w:type="dxa"/>
              <w:left w:w="108" w:type="dxa"/>
              <w:bottom w:w="0" w:type="dxa"/>
              <w:right w:w="108" w:type="dxa"/>
            </w:tcMar>
          </w:tcPr>
          <w:p w14:paraId="766B194D"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lastRenderedPageBreak/>
              <w:t>Time Orientation</w:t>
            </w:r>
          </w:p>
        </w:tc>
        <w:tc>
          <w:tcPr>
            <w:tcW w:w="2574" w:type="dxa"/>
            <w:shd w:val="clear" w:color="auto" w:fill="99CCFF"/>
            <w:tcMar>
              <w:top w:w="0" w:type="dxa"/>
              <w:left w:w="108" w:type="dxa"/>
              <w:bottom w:w="0" w:type="dxa"/>
              <w:right w:w="108" w:type="dxa"/>
            </w:tcMar>
          </w:tcPr>
          <w:p w14:paraId="05B69EBB"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Atemporal/predictive: Seeks timeless laws and universal principles that predict future outcomes. Time is linear and objective; past, present and future follow orderly patterns</w:t>
            </w:r>
          </w:p>
        </w:tc>
        <w:tc>
          <w:tcPr>
            <w:tcW w:w="2453" w:type="dxa"/>
            <w:shd w:val="clear" w:color="auto" w:fill="66FFFF"/>
            <w:tcMar>
              <w:top w:w="0" w:type="dxa"/>
              <w:left w:w="108" w:type="dxa"/>
              <w:bottom w:w="0" w:type="dxa"/>
              <w:right w:w="108" w:type="dxa"/>
            </w:tcMar>
          </w:tcPr>
          <w:p w14:paraId="49F413DF"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Primarily present, acknowledging context: Focuses on current state whilst acknowledging historical and contextual factors. Recognises that relationships may change over time but seeks current understanding</w:t>
            </w:r>
          </w:p>
        </w:tc>
        <w:tc>
          <w:tcPr>
            <w:tcW w:w="3141" w:type="dxa"/>
            <w:shd w:val="clear" w:color="auto" w:fill="CCFF99"/>
            <w:tcMar>
              <w:top w:w="0" w:type="dxa"/>
              <w:left w:w="108" w:type="dxa"/>
              <w:bottom w:w="0" w:type="dxa"/>
              <w:right w:w="108" w:type="dxa"/>
            </w:tcMar>
          </w:tcPr>
          <w:p w14:paraId="33AB24BC"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Present experience: Emphasises participants' current lived experiences and present meanings. Past experiences matter only as they shape current interpretations and sense-making</w:t>
            </w:r>
          </w:p>
        </w:tc>
        <w:tc>
          <w:tcPr>
            <w:tcW w:w="2717" w:type="dxa"/>
            <w:tcMar>
              <w:top w:w="0" w:type="dxa"/>
              <w:left w:w="108" w:type="dxa"/>
              <w:bottom w:w="0" w:type="dxa"/>
              <w:right w:w="108" w:type="dxa"/>
            </w:tcMar>
          </w:tcPr>
          <w:p w14:paraId="47AD0827"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Emergent present: Reality is continuously constructed in the present moment through ongoing interactions. Past and future exist only through present co-construction</w:t>
            </w:r>
          </w:p>
        </w:tc>
        <w:tc>
          <w:tcPr>
            <w:tcW w:w="2475" w:type="dxa"/>
            <w:shd w:val="clear" w:color="auto" w:fill="FFCC00"/>
            <w:tcMar>
              <w:top w:w="0" w:type="dxa"/>
              <w:left w:w="108" w:type="dxa"/>
              <w:bottom w:w="0" w:type="dxa"/>
              <w:right w:w="108" w:type="dxa"/>
            </w:tcMar>
          </w:tcPr>
          <w:p w14:paraId="541EA16D"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Present and comparative: Examines how different groups currently construct meanings and how these constructions differ across groups. Interested in variation across groups in the present</w:t>
            </w:r>
          </w:p>
        </w:tc>
        <w:tc>
          <w:tcPr>
            <w:tcW w:w="2936" w:type="dxa"/>
            <w:shd w:val="clear" w:color="auto" w:fill="FFCCFF"/>
            <w:tcMar>
              <w:top w:w="0" w:type="dxa"/>
              <w:left w:w="108" w:type="dxa"/>
              <w:bottom w:w="0" w:type="dxa"/>
              <w:right w:w="108" w:type="dxa"/>
            </w:tcMar>
          </w:tcPr>
          <w:p w14:paraId="3623A399"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Historical-political: Examines how current oppression is rooted in historical power structures. Past injustices shape present inequities. Focus on historical consciousness to imagine transformed futures</w:t>
            </w:r>
          </w:p>
        </w:tc>
        <w:tc>
          <w:tcPr>
            <w:tcW w:w="2319" w:type="dxa"/>
            <w:shd w:val="clear" w:color="auto" w:fill="FFFF99"/>
            <w:tcMar>
              <w:top w:w="0" w:type="dxa"/>
              <w:left w:w="108" w:type="dxa"/>
              <w:bottom w:w="0" w:type="dxa"/>
              <w:right w:w="108" w:type="dxa"/>
            </w:tcMar>
          </w:tcPr>
          <w:p w14:paraId="1047E59F"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Future-oriented: Emphasises forward-looking problem-solving and consequences. Past informs, present is the site of action, future outcomes guide decisions. Focuses on 'what could be' rather than 'what was'</w:t>
            </w:r>
          </w:p>
        </w:tc>
      </w:tr>
      <w:tr w:rsidR="00CE0861" w:rsidRPr="00233A80" w14:paraId="7C07EB77" w14:textId="77777777">
        <w:tc>
          <w:tcPr>
            <w:tcW w:w="3726" w:type="dxa"/>
            <w:tcMar>
              <w:top w:w="0" w:type="dxa"/>
              <w:left w:w="108" w:type="dxa"/>
              <w:bottom w:w="0" w:type="dxa"/>
              <w:right w:w="108" w:type="dxa"/>
            </w:tcMar>
          </w:tcPr>
          <w:p w14:paraId="1EBA21DD"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t>What it seeks to do</w:t>
            </w:r>
          </w:p>
        </w:tc>
        <w:tc>
          <w:tcPr>
            <w:tcW w:w="2574" w:type="dxa"/>
            <w:shd w:val="clear" w:color="auto" w:fill="99CCFF"/>
            <w:tcMar>
              <w:top w:w="0" w:type="dxa"/>
              <w:left w:w="108" w:type="dxa"/>
              <w:bottom w:w="0" w:type="dxa"/>
              <w:right w:w="108" w:type="dxa"/>
            </w:tcMar>
          </w:tcPr>
          <w:p w14:paraId="65B1E098"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Explains and predicts phenomena through objective, empirical observation and testing</w:t>
            </w:r>
          </w:p>
        </w:tc>
        <w:tc>
          <w:tcPr>
            <w:tcW w:w="2453" w:type="dxa"/>
            <w:shd w:val="clear" w:color="auto" w:fill="66FFFF"/>
            <w:tcMar>
              <w:top w:w="0" w:type="dxa"/>
              <w:left w:w="108" w:type="dxa"/>
              <w:bottom w:w="0" w:type="dxa"/>
              <w:right w:w="108" w:type="dxa"/>
            </w:tcMar>
          </w:tcPr>
          <w:p w14:paraId="740201BB"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Aims to approximate reality while acknowledging human limitations</w:t>
            </w:r>
          </w:p>
        </w:tc>
        <w:tc>
          <w:tcPr>
            <w:tcW w:w="3141" w:type="dxa"/>
            <w:shd w:val="clear" w:color="auto" w:fill="CCFF99"/>
            <w:tcMar>
              <w:top w:w="0" w:type="dxa"/>
              <w:left w:w="108" w:type="dxa"/>
              <w:bottom w:w="0" w:type="dxa"/>
              <w:right w:w="108" w:type="dxa"/>
            </w:tcMar>
          </w:tcPr>
          <w:p w14:paraId="0C094CF6"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Seeks to understand social phenomena through the meanings individuals assign to them</w:t>
            </w:r>
          </w:p>
        </w:tc>
        <w:tc>
          <w:tcPr>
            <w:tcW w:w="2717" w:type="dxa"/>
            <w:tcMar>
              <w:top w:w="0" w:type="dxa"/>
              <w:left w:w="108" w:type="dxa"/>
              <w:bottom w:w="0" w:type="dxa"/>
              <w:right w:w="108" w:type="dxa"/>
            </w:tcMar>
          </w:tcPr>
          <w:p w14:paraId="5BDA2DBE"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Aims to understand how individuals and groups construct their realities through interaction</w:t>
            </w:r>
          </w:p>
        </w:tc>
        <w:tc>
          <w:tcPr>
            <w:tcW w:w="2475" w:type="dxa"/>
            <w:shd w:val="clear" w:color="auto" w:fill="FFCC00"/>
            <w:tcMar>
              <w:top w:w="0" w:type="dxa"/>
              <w:left w:w="108" w:type="dxa"/>
              <w:bottom w:w="0" w:type="dxa"/>
              <w:right w:w="108" w:type="dxa"/>
            </w:tcMar>
          </w:tcPr>
          <w:p w14:paraId="5C19AA96"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Understand how different groups (professions, departments, cultures) currently construct the same phenomena in different ways and what this means for organisational practice</w:t>
            </w:r>
          </w:p>
        </w:tc>
        <w:tc>
          <w:tcPr>
            <w:tcW w:w="2936" w:type="dxa"/>
            <w:shd w:val="clear" w:color="auto" w:fill="FFCCFF"/>
            <w:tcMar>
              <w:top w:w="0" w:type="dxa"/>
              <w:left w:w="108" w:type="dxa"/>
              <w:bottom w:w="0" w:type="dxa"/>
              <w:right w:w="108" w:type="dxa"/>
            </w:tcMar>
          </w:tcPr>
          <w:p w14:paraId="5FB23127"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Seeks to critique and transform oppressive social structures and power relations</w:t>
            </w:r>
          </w:p>
        </w:tc>
        <w:tc>
          <w:tcPr>
            <w:tcW w:w="2319" w:type="dxa"/>
            <w:shd w:val="clear" w:color="auto" w:fill="FFFF99"/>
            <w:tcMar>
              <w:top w:w="0" w:type="dxa"/>
              <w:left w:w="108" w:type="dxa"/>
              <w:bottom w:w="0" w:type="dxa"/>
              <w:right w:w="108" w:type="dxa"/>
            </w:tcMar>
          </w:tcPr>
          <w:p w14:paraId="52149E40"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Focuses on finding practical solutions to real-world problems</w:t>
            </w:r>
          </w:p>
        </w:tc>
      </w:tr>
      <w:tr w:rsidR="00CE0861" w:rsidRPr="00233A80" w14:paraId="31D4081B" w14:textId="77777777">
        <w:tc>
          <w:tcPr>
            <w:tcW w:w="3726" w:type="dxa"/>
            <w:tcMar>
              <w:top w:w="0" w:type="dxa"/>
              <w:left w:w="108" w:type="dxa"/>
              <w:bottom w:w="0" w:type="dxa"/>
              <w:right w:w="108" w:type="dxa"/>
            </w:tcMar>
          </w:tcPr>
          <w:p w14:paraId="56E13BDA"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t>Rationale</w:t>
            </w:r>
          </w:p>
        </w:tc>
        <w:tc>
          <w:tcPr>
            <w:tcW w:w="2574" w:type="dxa"/>
            <w:shd w:val="clear" w:color="auto" w:fill="99CCFF"/>
            <w:tcMar>
              <w:top w:w="0" w:type="dxa"/>
              <w:left w:w="108" w:type="dxa"/>
              <w:bottom w:w="0" w:type="dxa"/>
              <w:right w:w="108" w:type="dxa"/>
            </w:tcMar>
          </w:tcPr>
          <w:p w14:paraId="19C1EB58"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The world operates according to fixed, discoverable laws that can be measured and verified</w:t>
            </w:r>
          </w:p>
        </w:tc>
        <w:tc>
          <w:tcPr>
            <w:tcW w:w="2453" w:type="dxa"/>
            <w:shd w:val="clear" w:color="auto" w:fill="66FFFF"/>
            <w:tcMar>
              <w:top w:w="0" w:type="dxa"/>
              <w:left w:w="108" w:type="dxa"/>
              <w:bottom w:w="0" w:type="dxa"/>
              <w:right w:w="108" w:type="dxa"/>
            </w:tcMar>
          </w:tcPr>
          <w:p w14:paraId="3F6E5DF2"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Objectivity is an ideal, but researchers must be critical of biases</w:t>
            </w:r>
          </w:p>
        </w:tc>
        <w:tc>
          <w:tcPr>
            <w:tcW w:w="3141" w:type="dxa"/>
            <w:shd w:val="clear" w:color="auto" w:fill="CCFF99"/>
            <w:tcMar>
              <w:top w:w="0" w:type="dxa"/>
              <w:left w:w="108" w:type="dxa"/>
              <w:bottom w:w="0" w:type="dxa"/>
              <w:right w:w="108" w:type="dxa"/>
            </w:tcMar>
          </w:tcPr>
          <w:p w14:paraId="0816D1A1"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Reality is subjective and can only be understood through participants' eyes</w:t>
            </w:r>
          </w:p>
        </w:tc>
        <w:tc>
          <w:tcPr>
            <w:tcW w:w="2717" w:type="dxa"/>
            <w:tcMar>
              <w:top w:w="0" w:type="dxa"/>
              <w:left w:w="108" w:type="dxa"/>
              <w:bottom w:w="0" w:type="dxa"/>
              <w:right w:w="108" w:type="dxa"/>
            </w:tcMar>
          </w:tcPr>
          <w:p w14:paraId="6E74B041"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Knowledge is constructed through social interaction and individual sense-making</w:t>
            </w:r>
          </w:p>
        </w:tc>
        <w:tc>
          <w:tcPr>
            <w:tcW w:w="2475" w:type="dxa"/>
            <w:shd w:val="clear" w:color="auto" w:fill="FFCC00"/>
            <w:tcMar>
              <w:top w:w="0" w:type="dxa"/>
              <w:left w:w="108" w:type="dxa"/>
              <w:bottom w:w="0" w:type="dxa"/>
              <w:right w:w="108" w:type="dxa"/>
            </w:tcMar>
          </w:tcPr>
          <w:p w14:paraId="0D9A923F"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Different groups in organisations construct different realities; understanding these multiple constructions is essential for effective management, communication and collaboration across groups</w:t>
            </w:r>
          </w:p>
        </w:tc>
        <w:tc>
          <w:tcPr>
            <w:tcW w:w="2936" w:type="dxa"/>
            <w:shd w:val="clear" w:color="auto" w:fill="FFCCFF"/>
            <w:tcMar>
              <w:top w:w="0" w:type="dxa"/>
              <w:left w:w="108" w:type="dxa"/>
              <w:bottom w:w="0" w:type="dxa"/>
              <w:right w:w="108" w:type="dxa"/>
            </w:tcMar>
          </w:tcPr>
          <w:p w14:paraId="7DE92C43"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Reality is shaped by historical, social, political, economic, ethnic and gender structures</w:t>
            </w:r>
          </w:p>
        </w:tc>
        <w:tc>
          <w:tcPr>
            <w:tcW w:w="2319" w:type="dxa"/>
            <w:shd w:val="clear" w:color="auto" w:fill="FFFF99"/>
            <w:tcMar>
              <w:top w:w="0" w:type="dxa"/>
              <w:left w:w="108" w:type="dxa"/>
              <w:bottom w:w="0" w:type="dxa"/>
              <w:right w:w="108" w:type="dxa"/>
            </w:tcMar>
          </w:tcPr>
          <w:p w14:paraId="7553FB13"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Truth is what works in practice and knowledge is valued for its practical consequences</w:t>
            </w:r>
          </w:p>
        </w:tc>
      </w:tr>
      <w:tr w:rsidR="00CE0861" w:rsidRPr="00233A80" w14:paraId="60A38D84" w14:textId="77777777">
        <w:tc>
          <w:tcPr>
            <w:tcW w:w="3726" w:type="dxa"/>
            <w:tcBorders>
              <w:top w:val="single" w:sz="12" w:space="0" w:color="000000"/>
              <w:left w:val="single" w:sz="12" w:space="0" w:color="000000"/>
              <w:bottom w:val="single" w:sz="12" w:space="0" w:color="000000"/>
              <w:right w:val="single" w:sz="12" w:space="0" w:color="000000"/>
            </w:tcBorders>
            <w:tcMar>
              <w:top w:w="0" w:type="dxa"/>
              <w:left w:w="108" w:type="dxa"/>
              <w:bottom w:w="0" w:type="dxa"/>
              <w:right w:w="108" w:type="dxa"/>
            </w:tcMar>
          </w:tcPr>
          <w:p w14:paraId="2E47C58F" w14:textId="77777777" w:rsidR="00CE0861" w:rsidRPr="00233A80" w:rsidRDefault="00000000">
            <w:pPr>
              <w:spacing w:after="0" w:line="240" w:lineRule="auto"/>
              <w:rPr>
                <w:rFonts w:ascii="Times New Roman" w:hAnsi="Times New Roman" w:cs="Times New Roman"/>
                <w:b/>
                <w:bCs/>
                <w:color w:val="000000"/>
              </w:rPr>
            </w:pPr>
            <w:r w:rsidRPr="00233A80">
              <w:rPr>
                <w:rFonts w:ascii="Times New Roman" w:hAnsi="Times New Roman" w:cs="Times New Roman"/>
                <w:b/>
                <w:bCs/>
                <w:color w:val="000000"/>
              </w:rPr>
              <w:t>Philosophical Traditions Within Paradigms</w:t>
            </w:r>
          </w:p>
        </w:tc>
        <w:tc>
          <w:tcPr>
            <w:tcW w:w="2574" w:type="dxa"/>
            <w:tcBorders>
              <w:top w:val="single" w:sz="12" w:space="0" w:color="000000"/>
              <w:left w:val="single" w:sz="12" w:space="0" w:color="000000"/>
              <w:bottom w:val="single" w:sz="12" w:space="0" w:color="000000"/>
              <w:right w:val="single" w:sz="12" w:space="0" w:color="000000"/>
            </w:tcBorders>
            <w:shd w:val="clear" w:color="auto" w:fill="99CCFF"/>
            <w:tcMar>
              <w:top w:w="0" w:type="dxa"/>
              <w:left w:w="108" w:type="dxa"/>
              <w:bottom w:w="0" w:type="dxa"/>
              <w:right w:w="108" w:type="dxa"/>
            </w:tcMar>
          </w:tcPr>
          <w:p w14:paraId="1272B8F2"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Not typically divided into traditions. Uses established quantitative research designs and methods from natural sciences.</w:t>
            </w:r>
          </w:p>
        </w:tc>
        <w:tc>
          <w:tcPr>
            <w:tcW w:w="2453" w:type="dxa"/>
            <w:tcBorders>
              <w:top w:val="single" w:sz="12" w:space="0" w:color="000000"/>
              <w:left w:val="single" w:sz="12" w:space="0" w:color="000000"/>
              <w:bottom w:val="single" w:sz="12" w:space="0" w:color="000000"/>
              <w:right w:val="single" w:sz="12" w:space="0" w:color="000000"/>
            </w:tcBorders>
            <w:shd w:val="clear" w:color="auto" w:fill="66FFFF"/>
            <w:tcMar>
              <w:top w:w="0" w:type="dxa"/>
              <w:left w:w="108" w:type="dxa"/>
              <w:bottom w:w="0" w:type="dxa"/>
              <w:right w:w="108" w:type="dxa"/>
            </w:tcMar>
          </w:tcPr>
          <w:p w14:paraId="562DE604"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Not typically divided into traditions. Uses mixed methods research designs combining quantitative and qualitative approaches.</w:t>
            </w:r>
          </w:p>
        </w:tc>
        <w:tc>
          <w:tcPr>
            <w:tcW w:w="3141" w:type="dxa"/>
            <w:tcBorders>
              <w:top w:val="single" w:sz="12" w:space="0" w:color="000000"/>
              <w:left w:val="single" w:sz="12" w:space="0" w:color="000000"/>
              <w:bottom w:val="single" w:sz="12" w:space="0" w:color="000000"/>
              <w:right w:val="single" w:sz="12" w:space="0" w:color="000000"/>
            </w:tcBorders>
            <w:shd w:val="clear" w:color="auto" w:fill="CCFF99"/>
            <w:tcMar>
              <w:top w:w="0" w:type="dxa"/>
              <w:left w:w="108" w:type="dxa"/>
              <w:bottom w:w="0" w:type="dxa"/>
              <w:right w:w="108" w:type="dxa"/>
            </w:tcMar>
          </w:tcPr>
          <w:p w14:paraId="39DE19F2"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THREE PHILOSOPHICAL TRADITIONS within interpretivism (developed independently but all share interpretivist assumptions):</w:t>
            </w:r>
          </w:p>
          <w:p w14:paraId="1896215F" w14:textId="77777777" w:rsidR="00CE0861" w:rsidRPr="00233A80" w:rsidRDefault="00CE0861">
            <w:pPr>
              <w:spacing w:after="0" w:line="240" w:lineRule="auto"/>
              <w:rPr>
                <w:rFonts w:ascii="Times New Roman" w:hAnsi="Times New Roman" w:cs="Times New Roman"/>
                <w:color w:val="000000"/>
              </w:rPr>
            </w:pPr>
          </w:p>
          <w:p w14:paraId="528B05CA"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1. PHENOMENOLOGY (German, 1900s)</w:t>
            </w:r>
          </w:p>
          <w:p w14:paraId="3A69ECC7"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 Founders: Edmund Husserl (1859-1938), Martin Heidegger (1889-1976)</w:t>
            </w:r>
          </w:p>
          <w:p w14:paraId="0CAD5255"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 Question: What is it like to experience this phenomenon?</w:t>
            </w:r>
          </w:p>
          <w:p w14:paraId="703C37A8"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 Focus: Consciousness, lived experience, essence of phenomena</w:t>
            </w:r>
          </w:p>
          <w:p w14:paraId="51300B63"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 xml:space="preserve">• Types: Descriptive (Husserl - bracketing preconceptions) or Interpretive/Hermeneutic </w:t>
            </w:r>
            <w:r w:rsidRPr="00233A80">
              <w:rPr>
                <w:rFonts w:ascii="Times New Roman" w:hAnsi="Times New Roman" w:cs="Times New Roman"/>
                <w:color w:val="000000"/>
                <w:highlight w:val="yellow"/>
              </w:rPr>
              <w:lastRenderedPageBreak/>
              <w:t>(Heidegger - interpretation fundamental)</w:t>
            </w:r>
          </w:p>
          <w:p w14:paraId="3B31A969"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 Methods: Small samples (5-15), in-depth interviews, phenomenological analysis</w:t>
            </w:r>
          </w:p>
          <w:p w14:paraId="7B3CEFD1"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 Example: What is the lived experience of whistleblowing? How do entrepreneurs experience business failure?</w:t>
            </w:r>
          </w:p>
          <w:p w14:paraId="6BC91A7C" w14:textId="77777777" w:rsidR="00CE0861" w:rsidRPr="00233A80" w:rsidRDefault="00CE0861">
            <w:pPr>
              <w:spacing w:after="0" w:line="240" w:lineRule="auto"/>
              <w:rPr>
                <w:rFonts w:ascii="Times New Roman" w:hAnsi="Times New Roman" w:cs="Times New Roman"/>
                <w:color w:val="000000"/>
              </w:rPr>
            </w:pPr>
          </w:p>
          <w:p w14:paraId="1D0A071A"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2. HERMENEUTICS (German, 1800s-1900s)</w:t>
            </w:r>
          </w:p>
          <w:p w14:paraId="24BF3442"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 Founders: Wilhelm Dilthey, Hans-Georg Gadamer (1900-2002)</w:t>
            </w:r>
          </w:p>
          <w:p w14:paraId="56448A36"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 Question: How do we interpret and understand meanings?</w:t>
            </w:r>
          </w:p>
          <w:p w14:paraId="1E772956"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 Focus: Interpretation, understanding texts and meanings, dialogue</w:t>
            </w:r>
          </w:p>
          <w:p w14:paraId="5C799B69"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 Key concepts: Hermeneutic circle (parts-whole iteration), prejudice as productive, fusion of horizons</w:t>
            </w:r>
          </w:p>
          <w:p w14:paraId="404BFCD0"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 Methods: Texts, narratives, documents, iterative interpretation</w:t>
            </w:r>
          </w:p>
          <w:p w14:paraId="3E2E8018"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 Example: How do executives make sense of strategic ambiguity? How is CSR interpreted differently across stakeholder groups?</w:t>
            </w:r>
          </w:p>
          <w:p w14:paraId="18F4EBF7" w14:textId="77777777" w:rsidR="00CE0861" w:rsidRPr="00233A80" w:rsidRDefault="00CE0861">
            <w:pPr>
              <w:spacing w:after="0" w:line="240" w:lineRule="auto"/>
              <w:rPr>
                <w:rFonts w:ascii="Times New Roman" w:hAnsi="Times New Roman" w:cs="Times New Roman"/>
                <w:color w:val="000000"/>
              </w:rPr>
            </w:pPr>
          </w:p>
          <w:p w14:paraId="070D3501"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b/>
                <w:bCs/>
                <w:color w:val="000000"/>
                <w:highlight w:val="yellow"/>
              </w:rPr>
              <w:t>WHERE PHENOMENOLOGY AND HERMENEUTICS MEET IN PRACTICE: INTERPRETATIVE PHENOMENOLOGICAL ANALYSIS (IPA)</w:t>
            </w:r>
          </w:p>
          <w:p w14:paraId="20B72BC6"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 Developed by: Jonathan Smith (1996), with Paul Flowers and Michael Larkin</w:t>
            </w:r>
          </w:p>
          <w:p w14:paraId="2E171E8D"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 Draws on: Heideggerian phenomenology, hermeneutics and idiography</w:t>
            </w:r>
          </w:p>
          <w:p w14:paraId="47FBD5F9"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 Question: How do particular people, in a particular context, make sense of a significant experience?</w:t>
            </w:r>
          </w:p>
          <w:p w14:paraId="234C87A0"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lastRenderedPageBreak/>
              <w:t>• Key concept: The double hermeneutic. The researcher is making sense of the participant making sense of their own experience</w:t>
            </w:r>
          </w:p>
          <w:p w14:paraId="49FBDA9E"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 Methods: Small, fairly homogeneous purposive samples; semi-structured interviews; each case analysed in depth before looking for patterns across cases</w:t>
            </w:r>
          </w:p>
          <w:p w14:paraId="5DFEC2E7"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 Example: How do first-time founders make sense of closing their business? How do senior nurses experience moving into management?</w:t>
            </w:r>
          </w:p>
          <w:p w14:paraId="1187FA27"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 Note: IPA is a methodology, not a separate philosophical tradition. It originated in health psychology but is increasingly used in business and management research</w:t>
            </w:r>
          </w:p>
          <w:p w14:paraId="289462AA" w14:textId="77777777" w:rsidR="00CE0861" w:rsidRPr="00233A80" w:rsidRDefault="00CE0861">
            <w:pPr>
              <w:spacing w:after="0" w:line="240" w:lineRule="auto"/>
              <w:rPr>
                <w:rFonts w:ascii="Times New Roman" w:hAnsi="Times New Roman" w:cs="Times New Roman"/>
                <w:color w:val="000000"/>
              </w:rPr>
            </w:pPr>
          </w:p>
          <w:p w14:paraId="5F99EBF2"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3. SYMBOLIC INTERACTIONISM (American, 1930s-1960s)</w:t>
            </w:r>
          </w:p>
          <w:p w14:paraId="2EFD9B1A"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 Founders: George Herbert Mead (1863-1931), Herbert Blumer (1900-1987)</w:t>
            </w:r>
          </w:p>
          <w:p w14:paraId="5233F568"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 Question: How do people create meanings through social interaction?</w:t>
            </w:r>
          </w:p>
          <w:p w14:paraId="2E5A8321"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 Focus: Social processes, symbols, negotiated meanings, identity construction</w:t>
            </w:r>
          </w:p>
          <w:p w14:paraId="6165557D"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 Key concepts: Definition of situation, self as social object, joint action</w:t>
            </w:r>
          </w:p>
          <w:p w14:paraId="078D87B6"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 Methods: Participant observation, focus on interaction and process</w:t>
            </w:r>
          </w:p>
          <w:p w14:paraId="5B9C08CA"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 Example: How do entrepreneurs construct identity? How do professionals learn 'what counts' in organisations?</w:t>
            </w:r>
          </w:p>
          <w:p w14:paraId="0C0A05A7" w14:textId="77777777" w:rsidR="00CE0861" w:rsidRPr="00233A80" w:rsidRDefault="00CE0861">
            <w:pPr>
              <w:spacing w:after="0" w:line="240" w:lineRule="auto"/>
              <w:rPr>
                <w:rFonts w:ascii="Times New Roman" w:hAnsi="Times New Roman" w:cs="Times New Roman"/>
                <w:color w:val="000000"/>
              </w:rPr>
            </w:pPr>
          </w:p>
          <w:p w14:paraId="77878A17"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 xml:space="preserve">All three share: reality is subjective and multiple, meanings matter, understanding requires </w:t>
            </w:r>
            <w:r w:rsidRPr="00233A80">
              <w:rPr>
                <w:rFonts w:ascii="Times New Roman" w:hAnsi="Times New Roman" w:cs="Times New Roman"/>
                <w:color w:val="000000"/>
                <w:highlight w:val="yellow"/>
              </w:rPr>
              <w:lastRenderedPageBreak/>
              <w:t>interpretation, context is essential.</w:t>
            </w:r>
          </w:p>
          <w:p w14:paraId="25C99DED" w14:textId="77777777" w:rsidR="00CE0861" w:rsidRPr="00233A80" w:rsidRDefault="00CE0861">
            <w:pPr>
              <w:spacing w:after="0" w:line="240" w:lineRule="auto"/>
              <w:rPr>
                <w:rFonts w:ascii="Times New Roman" w:hAnsi="Times New Roman" w:cs="Times New Roman"/>
                <w:color w:val="000000"/>
              </w:rPr>
            </w:pPr>
          </w:p>
          <w:p w14:paraId="42BC5375"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These are NOT divisions OF interpretivism - they're different philosophical traditions that all HAPPEN TO BE interpretivist because they developed independently asking different questions but arrived at similar ontological and epistemological positions.</w:t>
            </w:r>
          </w:p>
        </w:tc>
        <w:tc>
          <w:tcPr>
            <w:tcW w:w="2717" w:type="dxa"/>
            <w:tcBorders>
              <w:top w:val="single" w:sz="12" w:space="0" w:color="000000"/>
              <w:left w:val="single" w:sz="12" w:space="0" w:color="000000"/>
              <w:bottom w:val="single" w:sz="12" w:space="0" w:color="000000"/>
              <w:right w:val="single" w:sz="12" w:space="0" w:color="000000"/>
            </w:tcBorders>
            <w:tcMar>
              <w:top w:w="0" w:type="dxa"/>
              <w:left w:w="108" w:type="dxa"/>
              <w:bottom w:w="0" w:type="dxa"/>
              <w:right w:w="108" w:type="dxa"/>
            </w:tcMar>
          </w:tcPr>
          <w:p w14:paraId="4DDA787C"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Similar philosophical traditions as interpretivism (phenomenology, hermeneutics, symbolic interactionism) can be used. Constructivism emphasises the co-construction aspect more strongly than traditional interpretivism, focusing on how researcher and participants jointly create knowledge through interaction.</w:t>
            </w:r>
          </w:p>
        </w:tc>
        <w:tc>
          <w:tcPr>
            <w:tcW w:w="2475" w:type="dxa"/>
            <w:tcBorders>
              <w:top w:val="single" w:sz="12" w:space="0" w:color="000000"/>
              <w:left w:val="single" w:sz="12" w:space="0" w:color="000000"/>
              <w:bottom w:val="single" w:sz="12" w:space="0" w:color="000000"/>
              <w:right w:val="single" w:sz="12" w:space="0" w:color="000000"/>
            </w:tcBorders>
            <w:shd w:val="clear" w:color="auto" w:fill="FFCC00"/>
            <w:tcMar>
              <w:top w:w="0" w:type="dxa"/>
              <w:left w:w="108" w:type="dxa"/>
              <w:bottom w:w="0" w:type="dxa"/>
              <w:right w:w="108" w:type="dxa"/>
            </w:tcMar>
          </w:tcPr>
          <w:p w14:paraId="514D03BD"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Focuses on group-level constructions rather than individual philosophical traditions. May use similar qualitative approaches but analyses how different social groups (professions, departments, cultures) collectively construct meanings differently. Examines shared realities maintained through social processes.</w:t>
            </w:r>
          </w:p>
        </w:tc>
        <w:tc>
          <w:tcPr>
            <w:tcW w:w="2936" w:type="dxa"/>
            <w:tcBorders>
              <w:top w:val="single" w:sz="12" w:space="0" w:color="000000"/>
              <w:left w:val="single" w:sz="12" w:space="0" w:color="000000"/>
              <w:bottom w:val="single" w:sz="12" w:space="0" w:color="000000"/>
              <w:right w:val="single" w:sz="12" w:space="0" w:color="000000"/>
            </w:tcBorders>
            <w:shd w:val="clear" w:color="auto" w:fill="FFCCFF"/>
            <w:tcMar>
              <w:top w:w="0" w:type="dxa"/>
              <w:left w:w="108" w:type="dxa"/>
              <w:bottom w:w="0" w:type="dxa"/>
              <w:right w:w="108" w:type="dxa"/>
            </w:tcMar>
          </w:tcPr>
          <w:p w14:paraId="12954992"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Uses CRITICAL TRADITIONS to guide analysis:</w:t>
            </w:r>
            <w:r w:rsidRPr="00233A80">
              <w:rPr>
                <w:rFonts w:ascii="Times New Roman" w:hAnsi="Times New Roman" w:cs="Times New Roman"/>
                <w:color w:val="000000"/>
              </w:rPr>
              <w:br/>
              <w:t>• Feminist theory - examining gender and patriarchy</w:t>
            </w:r>
            <w:r w:rsidRPr="00233A80">
              <w:rPr>
                <w:rFonts w:ascii="Times New Roman" w:hAnsi="Times New Roman" w:cs="Times New Roman"/>
                <w:color w:val="000000"/>
              </w:rPr>
              <w:br/>
              <w:t>• Postcolonial theory - examining colonial legacies and power</w:t>
            </w:r>
            <w:r w:rsidRPr="00233A80">
              <w:rPr>
                <w:rFonts w:ascii="Times New Roman" w:hAnsi="Times New Roman" w:cs="Times New Roman"/>
                <w:color w:val="000000"/>
              </w:rPr>
              <w:br/>
              <w:t>• Marxist theory - examining class and economic structures</w:t>
            </w:r>
            <w:r w:rsidRPr="00233A80">
              <w:rPr>
                <w:rFonts w:ascii="Times New Roman" w:hAnsi="Times New Roman" w:cs="Times New Roman"/>
                <w:color w:val="000000"/>
              </w:rPr>
              <w:br/>
              <w:t xml:space="preserve">• Critical race theory - examining race and systemic racism  </w:t>
            </w:r>
            <w:r w:rsidRPr="00233A80">
              <w:rPr>
                <w:rFonts w:ascii="Times New Roman" w:hAnsi="Times New Roman" w:cs="Times New Roman"/>
                <w:color w:val="000000"/>
              </w:rPr>
              <w:br/>
              <w:t>• Queer theory - examining heteronormativity and sexuality</w:t>
            </w:r>
            <w:r w:rsidRPr="00233A80">
              <w:rPr>
                <w:rFonts w:ascii="Times New Roman" w:hAnsi="Times New Roman" w:cs="Times New Roman"/>
                <w:color w:val="000000"/>
              </w:rPr>
              <w:br/>
            </w:r>
            <w:r w:rsidRPr="00233A80">
              <w:rPr>
                <w:rFonts w:ascii="Times New Roman" w:hAnsi="Times New Roman" w:cs="Times New Roman"/>
                <w:color w:val="000000"/>
              </w:rPr>
              <w:br/>
            </w:r>
            <w:r w:rsidRPr="00233A80">
              <w:rPr>
                <w:rFonts w:ascii="Times New Roman" w:hAnsi="Times New Roman" w:cs="Times New Roman"/>
                <w:color w:val="000000"/>
              </w:rPr>
              <w:t>These provide theoretical lenses for examining power structures, oppression and marginalisation.</w:t>
            </w:r>
          </w:p>
        </w:tc>
        <w:tc>
          <w:tcPr>
            <w:tcW w:w="2319" w:type="dxa"/>
            <w:tcBorders>
              <w:top w:val="single" w:sz="12" w:space="0" w:color="000000"/>
              <w:left w:val="single" w:sz="12" w:space="0" w:color="000000"/>
              <w:bottom w:val="single" w:sz="12" w:space="0" w:color="000000"/>
              <w:right w:val="single" w:sz="12" w:space="0" w:color="000000"/>
            </w:tcBorders>
            <w:shd w:val="clear" w:color="auto" w:fill="FFFF99"/>
            <w:tcMar>
              <w:top w:w="0" w:type="dxa"/>
              <w:left w:w="108" w:type="dxa"/>
              <w:bottom w:w="0" w:type="dxa"/>
              <w:right w:w="108" w:type="dxa"/>
            </w:tcMar>
          </w:tcPr>
          <w:p w14:paraId="04342CB3"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Not tied to specific traditions. Pragmatically selects from any philosophical tradition, theory, or research approach that helps solve the practical problem at hand. Judges approaches by utility and consequences rather than paradigmatic consistency.</w:t>
            </w:r>
          </w:p>
        </w:tc>
      </w:tr>
      <w:tr w:rsidR="00CE0861" w:rsidRPr="00233A80" w14:paraId="29C19212" w14:textId="77777777">
        <w:tc>
          <w:tcPr>
            <w:tcW w:w="3726" w:type="dxa"/>
            <w:tcMar>
              <w:top w:w="0" w:type="dxa"/>
              <w:left w:w="108" w:type="dxa"/>
              <w:bottom w:w="0" w:type="dxa"/>
              <w:right w:w="108" w:type="dxa"/>
            </w:tcMar>
          </w:tcPr>
          <w:p w14:paraId="7D78ED85" w14:textId="77777777" w:rsidR="00CE0861" w:rsidRPr="00233A80" w:rsidRDefault="00000000">
            <w:pPr>
              <w:spacing w:after="0" w:line="240" w:lineRule="auto"/>
              <w:rPr>
                <w:rFonts w:ascii="Times New Roman" w:hAnsi="Times New Roman" w:cs="Times New Roman"/>
                <w:b/>
                <w:bCs/>
                <w:color w:val="000000"/>
              </w:rPr>
            </w:pPr>
            <w:r w:rsidRPr="00233A80">
              <w:rPr>
                <w:rFonts w:ascii="Times New Roman" w:hAnsi="Times New Roman" w:cs="Times New Roman"/>
                <w:b/>
                <w:bCs/>
                <w:color w:val="000000"/>
              </w:rPr>
              <w:lastRenderedPageBreak/>
              <w:t>Purpose of Literature Review</w:t>
            </w:r>
          </w:p>
        </w:tc>
        <w:tc>
          <w:tcPr>
            <w:tcW w:w="2574" w:type="dxa"/>
            <w:shd w:val="clear" w:color="auto" w:fill="99CCFF"/>
            <w:tcMar>
              <w:top w:w="0" w:type="dxa"/>
              <w:left w:w="108" w:type="dxa"/>
              <w:bottom w:w="0" w:type="dxa"/>
              <w:right w:w="108" w:type="dxa"/>
            </w:tcMar>
          </w:tcPr>
          <w:p w14:paraId="233D0F17"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To identify gaps in existing knowledge, establish theoretical framework, identify and define key constructs/variables and justify hypotheses through systematic review of empirical studies. Literature maps relationships between variables, provides foundation for deductive testing and informs development of measurement instruments.</w:t>
            </w:r>
          </w:p>
        </w:tc>
        <w:tc>
          <w:tcPr>
            <w:tcW w:w="2453" w:type="dxa"/>
            <w:shd w:val="clear" w:color="auto" w:fill="66FFFF"/>
            <w:tcMar>
              <w:top w:w="0" w:type="dxa"/>
              <w:left w:w="108" w:type="dxa"/>
              <w:bottom w:w="0" w:type="dxa"/>
              <w:right w:w="108" w:type="dxa"/>
            </w:tcMar>
          </w:tcPr>
          <w:p w14:paraId="78789DEC"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To critically review existing research, identify gaps whilst acknowledging limitations and alternative interpretations. Literature identifies key constructs/variables and their relationships, establishes what is known (and unknown), recognises potential biases and informs development of research instruments and questions.</w:t>
            </w:r>
          </w:p>
        </w:tc>
        <w:tc>
          <w:tcPr>
            <w:tcW w:w="3141" w:type="dxa"/>
            <w:shd w:val="clear" w:color="auto" w:fill="CCFF99"/>
            <w:tcMar>
              <w:top w:w="0" w:type="dxa"/>
              <w:left w:w="108" w:type="dxa"/>
              <w:bottom w:w="0" w:type="dxa"/>
              <w:right w:w="108" w:type="dxa"/>
            </w:tcMar>
          </w:tcPr>
          <w:p w14:paraId="464F6C42"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To identify gaps in understanding of how phenomena are experienced and interpreted. Literature provides sensitising concepts to help refine research questions and develop initial interview questions/topic guides. Reveals what meanings have been explored and identifies whose experiences/interpretations are missing, helping focus the inquiry whilst remaining open to emergent themes.</w:t>
            </w:r>
          </w:p>
        </w:tc>
        <w:tc>
          <w:tcPr>
            <w:tcW w:w="2717" w:type="dxa"/>
            <w:tcMar>
              <w:top w:w="0" w:type="dxa"/>
              <w:left w:w="108" w:type="dxa"/>
              <w:bottom w:w="0" w:type="dxa"/>
              <w:right w:w="108" w:type="dxa"/>
            </w:tcMar>
          </w:tcPr>
          <w:p w14:paraId="6FF8EDD3"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To identify gaps in understanding of how knowledge has been co-constructed and explore collaborative methodologies used. Literature serves as dialogue partner to help refine research questions and develop initial questions for participatory inquiry. Reveals whose voices have been included in co-construction and identifies gaps in participatory approaches, informing the collaborative research design.</w:t>
            </w:r>
          </w:p>
        </w:tc>
        <w:tc>
          <w:tcPr>
            <w:tcW w:w="2475" w:type="dxa"/>
            <w:shd w:val="clear" w:color="auto" w:fill="FFCC00"/>
            <w:tcMar>
              <w:top w:w="0" w:type="dxa"/>
              <w:left w:w="108" w:type="dxa"/>
              <w:bottom w:w="0" w:type="dxa"/>
              <w:right w:w="108" w:type="dxa"/>
            </w:tcMar>
          </w:tcPr>
          <w:p w14:paraId="3BC8AD4A"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To identify gaps in understanding how different groups construct phenomena. Literature reveals what constructions have been studied and which group perspectives are missing. Helps refine research questions about group-level differences in meaning-making and informs development of comparative interview/focus group protocols</w:t>
            </w:r>
          </w:p>
        </w:tc>
        <w:tc>
          <w:tcPr>
            <w:tcW w:w="2936" w:type="dxa"/>
            <w:shd w:val="clear" w:color="auto" w:fill="FFCCFF"/>
            <w:tcMar>
              <w:top w:w="0" w:type="dxa"/>
              <w:left w:w="108" w:type="dxa"/>
              <w:bottom w:w="0" w:type="dxa"/>
              <w:right w:w="108" w:type="dxa"/>
            </w:tcMar>
          </w:tcPr>
          <w:p w14:paraId="1CACD09E"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To identify gaps in critical examination of power structures and whose voices have been marginalised or silenced. Literature reveals ideological assumptions and power relations, helping refine critical research questions. Highlights gaps in emancipatory approaches and informs development of questions that centre marginalised voices and challenge oppressive structures</w:t>
            </w:r>
          </w:p>
        </w:tc>
        <w:tc>
          <w:tcPr>
            <w:tcW w:w="2319" w:type="dxa"/>
            <w:shd w:val="clear" w:color="auto" w:fill="FFFF99"/>
            <w:tcMar>
              <w:top w:w="0" w:type="dxa"/>
              <w:left w:w="108" w:type="dxa"/>
              <w:bottom w:w="0" w:type="dxa"/>
              <w:right w:w="108" w:type="dxa"/>
            </w:tcMar>
          </w:tcPr>
          <w:p w14:paraId="2CCC03FB"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To identify gaps in practical solutions across different contexts. Literature provides evidence of what has worked (and what hasn't), helping refine research questions focused on practical problems. Reveals gaps in actionable insights for specific contexts and informs development of questions that elicit practical, solution-oriented responses from participants.</w:t>
            </w:r>
          </w:p>
        </w:tc>
      </w:tr>
      <w:tr w:rsidR="00CE0861" w:rsidRPr="00233A80" w14:paraId="576D67C4" w14:textId="77777777">
        <w:tc>
          <w:tcPr>
            <w:tcW w:w="3726" w:type="dxa"/>
            <w:tcMar>
              <w:top w:w="0" w:type="dxa"/>
              <w:left w:w="108" w:type="dxa"/>
              <w:bottom w:w="0" w:type="dxa"/>
              <w:right w:w="108" w:type="dxa"/>
            </w:tcMar>
          </w:tcPr>
          <w:p w14:paraId="020D86DF" w14:textId="77777777" w:rsidR="00CE0861" w:rsidRPr="00233A80" w:rsidRDefault="00000000">
            <w:pPr>
              <w:spacing w:after="0" w:line="240" w:lineRule="auto"/>
              <w:rPr>
                <w:rFonts w:ascii="Times New Roman" w:eastAsia="Arial" w:hAnsi="Times New Roman" w:cs="Times New Roman"/>
                <w:b/>
                <w:bCs/>
              </w:rPr>
            </w:pPr>
            <w:r w:rsidRPr="00233A80">
              <w:rPr>
                <w:rFonts w:ascii="Times New Roman" w:eastAsia="Arial" w:hAnsi="Times New Roman" w:cs="Times New Roman"/>
                <w:b/>
                <w:bCs/>
                <w:color w:val="000000"/>
              </w:rPr>
              <w:t>Theoretical Framework</w:t>
            </w:r>
          </w:p>
        </w:tc>
        <w:tc>
          <w:tcPr>
            <w:tcW w:w="2574" w:type="dxa"/>
            <w:shd w:val="clear" w:color="auto" w:fill="99CCFF"/>
            <w:tcMar>
              <w:top w:w="0" w:type="dxa"/>
              <w:left w:w="108" w:type="dxa"/>
              <w:bottom w:w="0" w:type="dxa"/>
              <w:right w:w="108" w:type="dxa"/>
            </w:tcMar>
          </w:tcPr>
          <w:p w14:paraId="5BFBD3AE" w14:textId="77777777" w:rsidR="00CE0861" w:rsidRPr="00233A80" w:rsidRDefault="00000000">
            <w:pPr>
              <w:spacing w:after="0" w:line="240" w:lineRule="auto"/>
              <w:rPr>
                <w:rFonts w:ascii="Times New Roman" w:eastAsia="Arial" w:hAnsi="Times New Roman" w:cs="Times New Roman"/>
              </w:rPr>
            </w:pPr>
            <w:r w:rsidRPr="00233A80">
              <w:rPr>
                <w:rFonts w:ascii="Times New Roman" w:eastAsia="Arial" w:hAnsi="Times New Roman" w:cs="Times New Roman"/>
                <w:color w:val="000000"/>
              </w:rPr>
              <w:t xml:space="preserve">A logically developed and connected set of concepts and premises, developed from one or more theories, that a researcher creates to scaffold a study. Requires the researcher to define concepts and theories that provide the grounding of the research, unite them through logical connections, and relate these concepts to the study. Reflects the work the researcher engages in to use a theory in a given study. Explains how a theory (or </w:t>
            </w:r>
            <w:r w:rsidRPr="00233A80">
              <w:rPr>
                <w:rFonts w:ascii="Times New Roman" w:eastAsia="Arial" w:hAnsi="Times New Roman" w:cs="Times New Roman"/>
                <w:color w:val="000000"/>
              </w:rPr>
              <w:lastRenderedPageBreak/>
              <w:t>theories) shaped the study</w:t>
            </w:r>
          </w:p>
        </w:tc>
        <w:tc>
          <w:tcPr>
            <w:tcW w:w="2453" w:type="dxa"/>
            <w:shd w:val="clear" w:color="auto" w:fill="66FFFF"/>
            <w:tcMar>
              <w:top w:w="0" w:type="dxa"/>
              <w:left w:w="108" w:type="dxa"/>
              <w:bottom w:w="0" w:type="dxa"/>
              <w:right w:w="108" w:type="dxa"/>
            </w:tcMar>
          </w:tcPr>
          <w:p w14:paraId="66F49CAB" w14:textId="77777777" w:rsidR="00CE0861" w:rsidRPr="00233A80" w:rsidRDefault="00000000">
            <w:pPr>
              <w:spacing w:after="0" w:line="240" w:lineRule="auto"/>
              <w:rPr>
                <w:rFonts w:ascii="Times New Roman" w:eastAsia="Arial" w:hAnsi="Times New Roman" w:cs="Times New Roman"/>
              </w:rPr>
            </w:pPr>
            <w:r w:rsidRPr="00233A80">
              <w:rPr>
                <w:rFonts w:ascii="Times New Roman" w:eastAsia="Arial" w:hAnsi="Times New Roman" w:cs="Times New Roman"/>
                <w:color w:val="000000"/>
              </w:rPr>
              <w:lastRenderedPageBreak/>
              <w:t xml:space="preserve">A logically developed and connected set of concepts and premises, developed from one or more theories, that a researcher creates to scaffold a study. Requires the researcher to define concepts and theories that provide the grounding of the research, unite them through logical connections, and relate these concepts to the study. Reflects the work the researcher engages in to use a theory in a given study. Explains how a </w:t>
            </w:r>
            <w:r w:rsidRPr="00233A80">
              <w:rPr>
                <w:rFonts w:ascii="Times New Roman" w:eastAsia="Arial" w:hAnsi="Times New Roman" w:cs="Times New Roman"/>
                <w:color w:val="000000"/>
              </w:rPr>
              <w:lastRenderedPageBreak/>
              <w:t>theory (or theories) shaped the study</w:t>
            </w:r>
          </w:p>
        </w:tc>
        <w:tc>
          <w:tcPr>
            <w:tcW w:w="3141" w:type="dxa"/>
            <w:shd w:val="clear" w:color="auto" w:fill="CCFF99"/>
            <w:tcMar>
              <w:top w:w="0" w:type="dxa"/>
              <w:left w:w="108" w:type="dxa"/>
              <w:bottom w:w="0" w:type="dxa"/>
              <w:right w:w="108" w:type="dxa"/>
            </w:tcMar>
          </w:tcPr>
          <w:p w14:paraId="512B3086" w14:textId="77777777" w:rsidR="00CE0861" w:rsidRPr="00233A80" w:rsidRDefault="00000000">
            <w:pPr>
              <w:spacing w:after="0" w:line="240" w:lineRule="auto"/>
              <w:rPr>
                <w:rFonts w:ascii="Times New Roman" w:eastAsia="Arial" w:hAnsi="Times New Roman" w:cs="Times New Roman"/>
              </w:rPr>
            </w:pPr>
            <w:r w:rsidRPr="00233A80">
              <w:rPr>
                <w:rFonts w:ascii="Times New Roman" w:eastAsia="Arial" w:hAnsi="Times New Roman" w:cs="Times New Roman"/>
                <w:color w:val="000000"/>
              </w:rPr>
              <w:lastRenderedPageBreak/>
              <w:t>A logically developed and connected set of concepts and premises, developed from one or more theories, that a researcher creates to scaffold a study. Requires the researcher to define concepts and theories that provide the grounding of the research, unite them through logical connections, and relate these concepts to the study. Reflects the work the researcher engages in to use a theory in a given study. Explains how a theory (or theories) shaped the study</w:t>
            </w:r>
          </w:p>
        </w:tc>
        <w:tc>
          <w:tcPr>
            <w:tcW w:w="2717" w:type="dxa"/>
            <w:tcMar>
              <w:top w:w="0" w:type="dxa"/>
              <w:left w:w="108" w:type="dxa"/>
              <w:bottom w:w="0" w:type="dxa"/>
              <w:right w:w="108" w:type="dxa"/>
            </w:tcMar>
          </w:tcPr>
          <w:p w14:paraId="00F16DCF" w14:textId="77777777" w:rsidR="00CE0861" w:rsidRPr="00233A80" w:rsidRDefault="00000000">
            <w:pPr>
              <w:spacing w:after="0" w:line="240" w:lineRule="auto"/>
              <w:rPr>
                <w:rFonts w:ascii="Times New Roman" w:eastAsia="Arial" w:hAnsi="Times New Roman" w:cs="Times New Roman"/>
              </w:rPr>
            </w:pPr>
            <w:r w:rsidRPr="00233A80">
              <w:rPr>
                <w:rFonts w:ascii="Times New Roman" w:eastAsia="Arial" w:hAnsi="Times New Roman" w:cs="Times New Roman"/>
                <w:color w:val="000000"/>
              </w:rPr>
              <w:t>A logically developed and connected set of concepts and premises, developed from one or more theories, that a researcher creates to scaffold a study. Requires the researcher to define concepts and theories that provide the grounding of the research, unite them through logical connections, and relate these concepts to the study. Reflects the work the researcher engages in to use a theory in a given study. Explains how a theory (or theories) shaped the study</w:t>
            </w:r>
          </w:p>
        </w:tc>
        <w:tc>
          <w:tcPr>
            <w:tcW w:w="2475" w:type="dxa"/>
            <w:shd w:val="clear" w:color="auto" w:fill="FFCC00"/>
            <w:tcMar>
              <w:top w:w="0" w:type="dxa"/>
              <w:left w:w="108" w:type="dxa"/>
              <w:bottom w:w="0" w:type="dxa"/>
              <w:right w:w="108" w:type="dxa"/>
            </w:tcMar>
          </w:tcPr>
          <w:p w14:paraId="490E4B9B" w14:textId="77777777" w:rsidR="00CE0861" w:rsidRPr="00233A80" w:rsidRDefault="00000000">
            <w:pPr>
              <w:spacing w:after="0" w:line="240" w:lineRule="auto"/>
              <w:rPr>
                <w:rFonts w:ascii="Times New Roman" w:eastAsia="Arial" w:hAnsi="Times New Roman" w:cs="Times New Roman"/>
              </w:rPr>
            </w:pPr>
            <w:r w:rsidRPr="00233A80">
              <w:rPr>
                <w:rFonts w:ascii="Times New Roman" w:eastAsia="Arial" w:hAnsi="Times New Roman" w:cs="Times New Roman"/>
                <w:color w:val="000000"/>
              </w:rPr>
              <w:t xml:space="preserve">A logically developed and connected set of concepts and premises, developed from one or more theories, that a researcher creates to scaffold a study. Requires the researcher to define concepts and theories that provide the grounding of the research, unite them through logical connections, and relate these concepts to the study. Reflects the work the researcher engages in to use a theory in a given study. Explains how a </w:t>
            </w:r>
            <w:r w:rsidRPr="00233A80">
              <w:rPr>
                <w:rFonts w:ascii="Times New Roman" w:eastAsia="Arial" w:hAnsi="Times New Roman" w:cs="Times New Roman"/>
                <w:color w:val="000000"/>
              </w:rPr>
              <w:lastRenderedPageBreak/>
              <w:t>theory (or theories) shaped the study</w:t>
            </w:r>
          </w:p>
        </w:tc>
        <w:tc>
          <w:tcPr>
            <w:tcW w:w="2936" w:type="dxa"/>
            <w:shd w:val="clear" w:color="auto" w:fill="FFCCFF"/>
            <w:tcMar>
              <w:top w:w="0" w:type="dxa"/>
              <w:left w:w="108" w:type="dxa"/>
              <w:bottom w:w="0" w:type="dxa"/>
              <w:right w:w="108" w:type="dxa"/>
            </w:tcMar>
          </w:tcPr>
          <w:p w14:paraId="447755FF" w14:textId="77777777" w:rsidR="00CE0861" w:rsidRPr="00233A80" w:rsidRDefault="00000000">
            <w:pPr>
              <w:spacing w:after="0" w:line="240" w:lineRule="auto"/>
              <w:rPr>
                <w:rFonts w:ascii="Times New Roman" w:eastAsia="Arial" w:hAnsi="Times New Roman" w:cs="Times New Roman"/>
              </w:rPr>
            </w:pPr>
            <w:r w:rsidRPr="00233A80">
              <w:rPr>
                <w:rFonts w:ascii="Times New Roman" w:eastAsia="Arial" w:hAnsi="Times New Roman" w:cs="Times New Roman"/>
                <w:color w:val="000000"/>
              </w:rPr>
              <w:lastRenderedPageBreak/>
              <w:t>A logically developed and connected set of concepts and premises, developed from one or more theories, that a researcher creates to scaffold a study. Requires the researcher to define concepts and theories that provide the grounding of the research, unite them through logical connections, and relate these concepts to the study. Reflects the work the researcher engages in to use a theory in a given study. Explains how a theory (or theories) shaped the study</w:t>
            </w:r>
          </w:p>
        </w:tc>
        <w:tc>
          <w:tcPr>
            <w:tcW w:w="2319" w:type="dxa"/>
            <w:shd w:val="clear" w:color="auto" w:fill="FFFF99"/>
            <w:tcMar>
              <w:top w:w="0" w:type="dxa"/>
              <w:left w:w="108" w:type="dxa"/>
              <w:bottom w:w="0" w:type="dxa"/>
              <w:right w:w="108" w:type="dxa"/>
            </w:tcMar>
          </w:tcPr>
          <w:p w14:paraId="312AF107" w14:textId="77777777" w:rsidR="00CE0861" w:rsidRPr="00233A80" w:rsidRDefault="00000000">
            <w:pPr>
              <w:spacing w:after="0" w:line="240" w:lineRule="auto"/>
              <w:rPr>
                <w:rFonts w:ascii="Times New Roman" w:eastAsia="Arial" w:hAnsi="Times New Roman" w:cs="Times New Roman"/>
              </w:rPr>
            </w:pPr>
            <w:r w:rsidRPr="00233A80">
              <w:rPr>
                <w:rFonts w:ascii="Times New Roman" w:eastAsia="Arial" w:hAnsi="Times New Roman" w:cs="Times New Roman"/>
                <w:color w:val="000000"/>
              </w:rPr>
              <w:t xml:space="preserve">A logically developed and connected set of concepts and premises, developed from one or more theories, that a researcher creates to scaffold a study. Requires the researcher to define concepts and theories that provide the grounding of the research, unite them through logical connections, and relate these concepts to the study. Reflects the work the researcher engages in </w:t>
            </w:r>
            <w:r w:rsidRPr="00233A80">
              <w:rPr>
                <w:rFonts w:ascii="Times New Roman" w:eastAsia="Arial" w:hAnsi="Times New Roman" w:cs="Times New Roman"/>
                <w:color w:val="000000"/>
              </w:rPr>
              <w:lastRenderedPageBreak/>
              <w:t>to use a theory in a given study. Explains how a theory (or theories) shaped the study</w:t>
            </w:r>
          </w:p>
        </w:tc>
      </w:tr>
      <w:tr w:rsidR="00CE0861" w:rsidRPr="00233A80" w14:paraId="0B4E6EF8" w14:textId="77777777">
        <w:tc>
          <w:tcPr>
            <w:tcW w:w="3726" w:type="dxa"/>
            <w:tcMar>
              <w:top w:w="0" w:type="dxa"/>
              <w:left w:w="108" w:type="dxa"/>
              <w:bottom w:w="0" w:type="dxa"/>
              <w:right w:w="108" w:type="dxa"/>
            </w:tcMar>
          </w:tcPr>
          <w:p w14:paraId="1B32BC52" w14:textId="77777777" w:rsidR="00CE0861" w:rsidRPr="00233A80" w:rsidRDefault="00000000">
            <w:pPr>
              <w:spacing w:after="0" w:line="240" w:lineRule="auto"/>
              <w:rPr>
                <w:rFonts w:ascii="Times New Roman" w:hAnsi="Times New Roman" w:cs="Times New Roman"/>
                <w:b/>
                <w:bCs/>
                <w:color w:val="000000"/>
              </w:rPr>
            </w:pPr>
            <w:r w:rsidRPr="00233A80">
              <w:rPr>
                <w:rFonts w:ascii="Times New Roman" w:hAnsi="Times New Roman" w:cs="Times New Roman"/>
                <w:b/>
                <w:bCs/>
                <w:color w:val="000000"/>
              </w:rPr>
              <w:t>Theory-Data Relationship</w:t>
            </w:r>
          </w:p>
        </w:tc>
        <w:tc>
          <w:tcPr>
            <w:tcW w:w="2574" w:type="dxa"/>
            <w:shd w:val="clear" w:color="auto" w:fill="99CCFF"/>
            <w:tcMar>
              <w:top w:w="0" w:type="dxa"/>
              <w:left w:w="108" w:type="dxa"/>
              <w:bottom w:w="0" w:type="dxa"/>
              <w:right w:w="108" w:type="dxa"/>
            </w:tcMar>
          </w:tcPr>
          <w:p w14:paraId="046F61C5"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Theory-driven: Theory provides hypotheses tested through data collection. Existing theoretical frameworks guide what variables to measure and what relationships to test. Data confirms or refutes theory. Theory precedes and directs data collection. Grand theories generate specific testable propositions.</w:t>
            </w:r>
          </w:p>
        </w:tc>
        <w:tc>
          <w:tcPr>
            <w:tcW w:w="2453" w:type="dxa"/>
            <w:shd w:val="clear" w:color="auto" w:fill="66FFFF"/>
            <w:tcMar>
              <w:top w:w="0" w:type="dxa"/>
              <w:left w:w="108" w:type="dxa"/>
              <w:bottom w:w="0" w:type="dxa"/>
              <w:right w:w="108" w:type="dxa"/>
            </w:tcMar>
          </w:tcPr>
          <w:p w14:paraId="40067D16"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Theory-guided with empirical refinement: Theory provides initial framework but remains open to revision based on empirical evidence. Existing theories guide inquiry but are critically examined and modified when data suggests limitations. Iterative movement between theory and data with theory having primacy.</w:t>
            </w:r>
          </w:p>
        </w:tc>
        <w:tc>
          <w:tcPr>
            <w:tcW w:w="3141" w:type="dxa"/>
            <w:shd w:val="clear" w:color="auto" w:fill="CCFF99"/>
            <w:tcMar>
              <w:top w:w="0" w:type="dxa"/>
              <w:left w:w="108" w:type="dxa"/>
              <w:bottom w:w="0" w:type="dxa"/>
              <w:right w:w="108" w:type="dxa"/>
            </w:tcMar>
          </w:tcPr>
          <w:p w14:paraId="53F98983"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b/>
                <w:bCs/>
                <w:color w:val="000000"/>
                <w:highlight w:val="yellow"/>
              </w:rPr>
              <w:t>Theory developed from data:</w:t>
            </w:r>
            <w:r w:rsidRPr="00233A80">
              <w:rPr>
                <w:rFonts w:ascii="Times New Roman" w:hAnsi="Times New Roman" w:cs="Times New Roman"/>
                <w:color w:val="000000"/>
                <w:highlight w:val="yellow"/>
              </w:rPr>
              <w:t xml:space="preserve"> Theory is built from immersion in data rather than directing it. Minimal predetermined theoretical framework; instead sensitising concepts loosely guide inquiry. Data collection precedes theorising. The researcher develops concepts and themes inductively from patterns, themes and meanings in participants' accounts, often moving back and forth between the data and their developing interpretation (the hermeneutic circle). Themes and theory do not simply 'emerge' from the data; they are actively constructed by the researcher.</w:t>
            </w:r>
          </w:p>
          <w:p w14:paraId="271D3C3C" w14:textId="77777777" w:rsidR="00CE0861" w:rsidRPr="00233A80" w:rsidRDefault="00CE0861">
            <w:pPr>
              <w:spacing w:after="0" w:line="240" w:lineRule="auto"/>
              <w:rPr>
                <w:rFonts w:ascii="Times New Roman" w:hAnsi="Times New Roman" w:cs="Times New Roman"/>
                <w:color w:val="000000"/>
              </w:rPr>
            </w:pPr>
          </w:p>
          <w:p w14:paraId="279C94E0"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b/>
                <w:bCs/>
                <w:color w:val="000000"/>
                <w:highlight w:val="yellow"/>
              </w:rPr>
              <w:t>IPA:</w:t>
            </w:r>
            <w:r w:rsidRPr="00233A80">
              <w:rPr>
                <w:rFonts w:ascii="Times New Roman" w:hAnsi="Times New Roman" w:cs="Times New Roman"/>
                <w:color w:val="000000"/>
                <w:highlight w:val="yellow"/>
              </w:rPr>
              <w:t xml:space="preserve"> Existing theory is kept in the background during analysis so the focus stays on participants' own sense-making. It is then brought in at the discussion stage to interpret and situate the findings.</w:t>
            </w:r>
          </w:p>
        </w:tc>
        <w:tc>
          <w:tcPr>
            <w:tcW w:w="2717" w:type="dxa"/>
            <w:tcMar>
              <w:top w:w="0" w:type="dxa"/>
              <w:left w:w="108" w:type="dxa"/>
              <w:bottom w:w="0" w:type="dxa"/>
              <w:right w:w="108" w:type="dxa"/>
            </w:tcMar>
          </w:tcPr>
          <w:p w14:paraId="3D082F5D"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Theory co-constructed through dialogue: Theory emerges collaboratively through researcher-participant interaction. Neither pre-exists the research relationship. Knowledge is created in the space between researcher and researched. Theory represents shared, negotiated understanding rather than researcher's interpretation alone.</w:t>
            </w:r>
          </w:p>
        </w:tc>
        <w:tc>
          <w:tcPr>
            <w:tcW w:w="2475" w:type="dxa"/>
            <w:shd w:val="clear" w:color="auto" w:fill="FFCC00"/>
            <w:tcMar>
              <w:top w:w="0" w:type="dxa"/>
              <w:left w:w="108" w:type="dxa"/>
              <w:bottom w:w="0" w:type="dxa"/>
              <w:right w:w="108" w:type="dxa"/>
            </w:tcMar>
          </w:tcPr>
          <w:p w14:paraId="7E0DE264"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Theory explains group-level constructions: Theory emerges from comparing how different groups construct phenomena differently. Existing theories about social construction processes (identity, discourse, practice) sensitise analysis. Theory explains why and how groups develop different shared understandings.</w:t>
            </w:r>
          </w:p>
        </w:tc>
        <w:tc>
          <w:tcPr>
            <w:tcW w:w="2936" w:type="dxa"/>
            <w:shd w:val="clear" w:color="auto" w:fill="FFCCFF"/>
            <w:tcMar>
              <w:top w:w="0" w:type="dxa"/>
              <w:left w:w="108" w:type="dxa"/>
              <w:bottom w:w="0" w:type="dxa"/>
              <w:right w:w="108" w:type="dxa"/>
            </w:tcMar>
          </w:tcPr>
          <w:p w14:paraId="75B30DD6"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Critical theories guide emancipatory analysis: Critical theories (feminist, postcolonial, Marxist, queer, critical race theory) provide a lens for examining power. Data reveals how power operates while theory explains structural patterns. Dialectical, abductive relationship: theory illuminates data, and data that does not fit sends the researcher back to theory, which is then refined, extended or challenged. This back-and-forth continues in repeated cycles.</w:t>
            </w:r>
          </w:p>
        </w:tc>
        <w:tc>
          <w:tcPr>
            <w:tcW w:w="2319" w:type="dxa"/>
            <w:shd w:val="clear" w:color="auto" w:fill="FFFF99"/>
            <w:tcMar>
              <w:top w:w="0" w:type="dxa"/>
              <w:left w:w="108" w:type="dxa"/>
              <w:bottom w:w="0" w:type="dxa"/>
              <w:right w:w="108" w:type="dxa"/>
            </w:tcMar>
          </w:tcPr>
          <w:p w14:paraId="7126C027"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Theory serves pragmatic needs: Whatever theoretical framework helps solve the problem is appropriate. May draw eclectically from multiple theories. Theory judged by practical utility not paradigmatic purity. Theory provides actionable insights.</w:t>
            </w:r>
          </w:p>
          <w:p w14:paraId="76A68A48" w14:textId="77777777" w:rsidR="00CE0861" w:rsidRPr="00233A80" w:rsidRDefault="00CE0861">
            <w:pPr>
              <w:spacing w:after="0" w:line="240" w:lineRule="auto"/>
              <w:rPr>
                <w:rFonts w:ascii="Times New Roman" w:hAnsi="Times New Roman" w:cs="Times New Roman"/>
                <w:color w:val="000000"/>
              </w:rPr>
            </w:pPr>
          </w:p>
          <w:p w14:paraId="6E13DE92"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b/>
                <w:bCs/>
                <w:color w:val="000000"/>
                <w:highlight w:val="yellow"/>
              </w:rPr>
              <w:t>Abductive relationship:</w:t>
            </w:r>
            <w:r w:rsidRPr="00233A80">
              <w:rPr>
                <w:rFonts w:ascii="Times New Roman" w:hAnsi="Times New Roman" w:cs="Times New Roman"/>
                <w:color w:val="000000"/>
                <w:highlight w:val="yellow"/>
              </w:rPr>
              <w:t xml:space="preserve"> The researcher moves back and forth between theory and data, using inductive phases to generate explanations and deductive phases to test them, until the explanation that works best for the problem is found. Useful sources: Dubois and Gadde (2002) 'Systematic combining: an abductive approach to case research'; Timmermans and Tavory (2012) 'Theory construction in qualitative research: from grounded theory to abductive analysis'.</w:t>
            </w:r>
          </w:p>
        </w:tc>
      </w:tr>
      <w:tr w:rsidR="00CE0861" w:rsidRPr="00233A80" w14:paraId="161B49B8" w14:textId="77777777">
        <w:tc>
          <w:tcPr>
            <w:tcW w:w="3726" w:type="dxa"/>
            <w:tcMar>
              <w:top w:w="0" w:type="dxa"/>
              <w:left w:w="108" w:type="dxa"/>
              <w:bottom w:w="0" w:type="dxa"/>
              <w:right w:w="108" w:type="dxa"/>
            </w:tcMar>
          </w:tcPr>
          <w:p w14:paraId="5B03D12C" w14:textId="77777777" w:rsidR="00CE0861" w:rsidRPr="00233A80" w:rsidRDefault="00000000">
            <w:pPr>
              <w:spacing w:after="0" w:line="240" w:lineRule="auto"/>
              <w:rPr>
                <w:rFonts w:ascii="Times New Roman" w:eastAsia="Arial" w:hAnsi="Times New Roman" w:cs="Times New Roman"/>
                <w:b/>
                <w:bCs/>
              </w:rPr>
            </w:pPr>
            <w:r w:rsidRPr="00233A80">
              <w:rPr>
                <w:rFonts w:ascii="Times New Roman" w:eastAsia="Arial" w:hAnsi="Times New Roman" w:cs="Times New Roman"/>
                <w:b/>
                <w:bCs/>
                <w:color w:val="000000"/>
              </w:rPr>
              <w:t>Conceptual Framework/Conceptual Model</w:t>
            </w:r>
          </w:p>
        </w:tc>
        <w:tc>
          <w:tcPr>
            <w:tcW w:w="2574" w:type="dxa"/>
            <w:shd w:val="clear" w:color="auto" w:fill="99CCFF"/>
            <w:tcMar>
              <w:top w:w="0" w:type="dxa"/>
              <w:left w:w="108" w:type="dxa"/>
              <w:bottom w:w="0" w:type="dxa"/>
              <w:right w:w="108" w:type="dxa"/>
            </w:tcMar>
          </w:tcPr>
          <w:p w14:paraId="3C7C5DDA" w14:textId="77777777" w:rsidR="00CE0861" w:rsidRPr="00233A80" w:rsidRDefault="00000000">
            <w:pPr>
              <w:spacing w:after="0" w:line="240" w:lineRule="auto"/>
              <w:rPr>
                <w:rFonts w:ascii="Times New Roman" w:eastAsia="Arial" w:hAnsi="Times New Roman" w:cs="Times New Roman"/>
              </w:rPr>
            </w:pPr>
            <w:r w:rsidRPr="00233A80">
              <w:rPr>
                <w:rFonts w:ascii="Times New Roman" w:eastAsia="Arial" w:hAnsi="Times New Roman" w:cs="Times New Roman"/>
                <w:color w:val="000000"/>
              </w:rPr>
              <w:t xml:space="preserve">BEFORE: A coherent argument about why the topic you wish to study matters and why your research methodology is appropriate. Justifies all aspects of the research: </w:t>
            </w:r>
            <w:r w:rsidRPr="00233A80">
              <w:rPr>
                <w:rFonts w:ascii="Times New Roman" w:eastAsia="Arial" w:hAnsi="Times New Roman" w:cs="Times New Roman"/>
                <w:color w:val="000000"/>
              </w:rPr>
              <w:lastRenderedPageBreak/>
              <w:t>why it is important and why methodology is appropriate. Encompasses both REASON (why the topic matters) and RIGOR (why the methodology is appropriate). Can be initially constructed prior to a study. AFTER: May evolve during the research process as new information and ideas emerge that strengthen the previous framework</w:t>
            </w:r>
          </w:p>
        </w:tc>
        <w:tc>
          <w:tcPr>
            <w:tcW w:w="2453" w:type="dxa"/>
            <w:shd w:val="clear" w:color="auto" w:fill="66FFFF"/>
            <w:tcMar>
              <w:top w:w="0" w:type="dxa"/>
              <w:left w:w="108" w:type="dxa"/>
              <w:bottom w:w="0" w:type="dxa"/>
              <w:right w:w="108" w:type="dxa"/>
            </w:tcMar>
          </w:tcPr>
          <w:p w14:paraId="0A293802" w14:textId="77777777" w:rsidR="00CE0861" w:rsidRPr="00233A80" w:rsidRDefault="00000000">
            <w:pPr>
              <w:spacing w:after="0" w:line="240" w:lineRule="auto"/>
              <w:rPr>
                <w:rFonts w:ascii="Times New Roman" w:eastAsia="Arial" w:hAnsi="Times New Roman" w:cs="Times New Roman"/>
              </w:rPr>
            </w:pPr>
            <w:r w:rsidRPr="00233A80">
              <w:rPr>
                <w:rFonts w:ascii="Times New Roman" w:eastAsia="Arial" w:hAnsi="Times New Roman" w:cs="Times New Roman"/>
                <w:color w:val="000000"/>
              </w:rPr>
              <w:lastRenderedPageBreak/>
              <w:t xml:space="preserve">BEFORE: A coherent argument about why the topic you wish to study matters and why your research methodology is appropriate. Justifies </w:t>
            </w:r>
            <w:r w:rsidRPr="00233A80">
              <w:rPr>
                <w:rFonts w:ascii="Times New Roman" w:eastAsia="Arial" w:hAnsi="Times New Roman" w:cs="Times New Roman"/>
                <w:color w:val="000000"/>
              </w:rPr>
              <w:lastRenderedPageBreak/>
              <w:t>all aspects of the research: why it is important and why methodology is appropriate. Encompasses both REASON (why the topic matters) and RIGOR (why the methodology is appropriate). Can be initially constructed prior to a study. AFTER: May evolve during the research process as new information and ideas emerge that strengthen the previous framework</w:t>
            </w:r>
          </w:p>
        </w:tc>
        <w:tc>
          <w:tcPr>
            <w:tcW w:w="3141" w:type="dxa"/>
            <w:shd w:val="clear" w:color="auto" w:fill="CCFF99"/>
            <w:tcMar>
              <w:top w:w="0" w:type="dxa"/>
              <w:left w:w="108" w:type="dxa"/>
              <w:bottom w:w="0" w:type="dxa"/>
              <w:right w:w="108" w:type="dxa"/>
            </w:tcMar>
          </w:tcPr>
          <w:p w14:paraId="6A5666F6" w14:textId="77777777" w:rsidR="00CE0861" w:rsidRPr="00233A80" w:rsidRDefault="00000000">
            <w:pPr>
              <w:spacing w:after="0" w:line="240" w:lineRule="auto"/>
              <w:rPr>
                <w:rFonts w:ascii="Times New Roman" w:eastAsia="Arial" w:hAnsi="Times New Roman" w:cs="Times New Roman"/>
              </w:rPr>
            </w:pPr>
            <w:r w:rsidRPr="00233A80">
              <w:rPr>
                <w:rFonts w:ascii="Times New Roman" w:eastAsia="Arial" w:hAnsi="Times New Roman" w:cs="Times New Roman"/>
                <w:color w:val="000000"/>
              </w:rPr>
              <w:lastRenderedPageBreak/>
              <w:t xml:space="preserve">BEFORE: A coherent argument about why the topic you wish to study matters and why your research methodology is appropriate. Justifies all aspects of the research: why it is important </w:t>
            </w:r>
            <w:r w:rsidRPr="00233A80">
              <w:rPr>
                <w:rFonts w:ascii="Times New Roman" w:eastAsia="Arial" w:hAnsi="Times New Roman" w:cs="Times New Roman"/>
                <w:color w:val="000000"/>
              </w:rPr>
              <w:lastRenderedPageBreak/>
              <w:t>and why methodology is appropriate. Encompasses both REASON (why the topic matters) and RIGOR (why the methodology is appropriate). Can be initially constructed prior to a study. AFTER: May evolve during the research process as new information and ideas emerge that strengthen the previous framework</w:t>
            </w:r>
          </w:p>
        </w:tc>
        <w:tc>
          <w:tcPr>
            <w:tcW w:w="2717" w:type="dxa"/>
            <w:tcMar>
              <w:top w:w="0" w:type="dxa"/>
              <w:left w:w="108" w:type="dxa"/>
              <w:bottom w:w="0" w:type="dxa"/>
              <w:right w:w="108" w:type="dxa"/>
            </w:tcMar>
          </w:tcPr>
          <w:p w14:paraId="0FB8DB17" w14:textId="77777777" w:rsidR="00CE0861" w:rsidRPr="00233A80" w:rsidRDefault="00000000">
            <w:pPr>
              <w:spacing w:after="0" w:line="240" w:lineRule="auto"/>
              <w:rPr>
                <w:rFonts w:ascii="Times New Roman" w:eastAsia="Arial" w:hAnsi="Times New Roman" w:cs="Times New Roman"/>
              </w:rPr>
            </w:pPr>
            <w:r w:rsidRPr="00233A80">
              <w:rPr>
                <w:rFonts w:ascii="Times New Roman" w:eastAsia="Arial" w:hAnsi="Times New Roman" w:cs="Times New Roman"/>
                <w:color w:val="000000"/>
              </w:rPr>
              <w:lastRenderedPageBreak/>
              <w:t xml:space="preserve">BEFORE: A coherent argument about why the topic you wish to study matters and why your research methodology is appropriate. Justifies all aspects of the research: </w:t>
            </w:r>
            <w:r w:rsidRPr="00233A80">
              <w:rPr>
                <w:rFonts w:ascii="Times New Roman" w:eastAsia="Arial" w:hAnsi="Times New Roman" w:cs="Times New Roman"/>
                <w:color w:val="000000"/>
              </w:rPr>
              <w:lastRenderedPageBreak/>
              <w:t>why it is important and why methodology is appropriate. Encompasses both REASON (why the topic matters) and RIGOR (why the methodology is appropriate). Can be initially constructed prior to a study. AFTER: May evolve during the research process as new information and ideas emerge that strengthen the previous framework</w:t>
            </w:r>
          </w:p>
        </w:tc>
        <w:tc>
          <w:tcPr>
            <w:tcW w:w="2475" w:type="dxa"/>
            <w:shd w:val="clear" w:color="auto" w:fill="FFCC00"/>
            <w:tcMar>
              <w:top w:w="0" w:type="dxa"/>
              <w:left w:w="108" w:type="dxa"/>
              <w:bottom w:w="0" w:type="dxa"/>
              <w:right w:w="108" w:type="dxa"/>
            </w:tcMar>
          </w:tcPr>
          <w:p w14:paraId="41B9AE2A" w14:textId="77777777" w:rsidR="00CE0861" w:rsidRPr="00233A80" w:rsidRDefault="00000000">
            <w:pPr>
              <w:spacing w:after="0" w:line="240" w:lineRule="auto"/>
              <w:rPr>
                <w:rFonts w:ascii="Times New Roman" w:eastAsia="Arial" w:hAnsi="Times New Roman" w:cs="Times New Roman"/>
              </w:rPr>
            </w:pPr>
            <w:r w:rsidRPr="00233A80">
              <w:rPr>
                <w:rFonts w:ascii="Times New Roman" w:eastAsia="Arial" w:hAnsi="Times New Roman" w:cs="Times New Roman"/>
                <w:color w:val="000000"/>
              </w:rPr>
              <w:lastRenderedPageBreak/>
              <w:t xml:space="preserve">BEFORE: A coherent argument about why the topic you wish to study matters and why your research methodology is appropriate. Justifies </w:t>
            </w:r>
            <w:r w:rsidRPr="00233A80">
              <w:rPr>
                <w:rFonts w:ascii="Times New Roman" w:eastAsia="Arial" w:hAnsi="Times New Roman" w:cs="Times New Roman"/>
                <w:color w:val="000000"/>
              </w:rPr>
              <w:lastRenderedPageBreak/>
              <w:t>all aspects of the research: why it is important and why methodology is appropriate. Encompasses both REASON (why the topic matters) and RIGOR (why the methodology is appropriate). Can be initially constructed prior to a study. AFTER: May evolve during the research process as new information and ideas emerge that strengthen the previous framework</w:t>
            </w:r>
          </w:p>
        </w:tc>
        <w:tc>
          <w:tcPr>
            <w:tcW w:w="2936" w:type="dxa"/>
            <w:shd w:val="clear" w:color="auto" w:fill="FFCCFF"/>
            <w:tcMar>
              <w:top w:w="0" w:type="dxa"/>
              <w:left w:w="108" w:type="dxa"/>
              <w:bottom w:w="0" w:type="dxa"/>
              <w:right w:w="108" w:type="dxa"/>
            </w:tcMar>
          </w:tcPr>
          <w:p w14:paraId="0B5B4C90" w14:textId="77777777" w:rsidR="00CE0861" w:rsidRPr="00233A80" w:rsidRDefault="00000000">
            <w:pPr>
              <w:spacing w:after="0" w:line="240" w:lineRule="auto"/>
              <w:rPr>
                <w:rFonts w:ascii="Times New Roman" w:eastAsia="Arial" w:hAnsi="Times New Roman" w:cs="Times New Roman"/>
              </w:rPr>
            </w:pPr>
            <w:r w:rsidRPr="00233A80">
              <w:rPr>
                <w:rFonts w:ascii="Times New Roman" w:eastAsia="Arial" w:hAnsi="Times New Roman" w:cs="Times New Roman"/>
                <w:color w:val="000000"/>
              </w:rPr>
              <w:lastRenderedPageBreak/>
              <w:t xml:space="preserve">BEFORE: A coherent argument about why the topic you wish to study matters and why your research methodology is appropriate. Justifies all aspects of the research: why </w:t>
            </w:r>
            <w:r w:rsidRPr="00233A80">
              <w:rPr>
                <w:rFonts w:ascii="Times New Roman" w:eastAsia="Arial" w:hAnsi="Times New Roman" w:cs="Times New Roman"/>
                <w:color w:val="000000"/>
              </w:rPr>
              <w:lastRenderedPageBreak/>
              <w:t>it is important and why methodology is appropriate. Encompasses both REASON (why the topic matters) and RIGOR (why the methodology is appropriate). Can be initially constructed prior to a study. AFTER: May evolve during the research process as new information and ideas emerge that strengthen the previous framework</w:t>
            </w:r>
          </w:p>
        </w:tc>
        <w:tc>
          <w:tcPr>
            <w:tcW w:w="2319" w:type="dxa"/>
            <w:shd w:val="clear" w:color="auto" w:fill="FFFF99"/>
            <w:tcMar>
              <w:top w:w="0" w:type="dxa"/>
              <w:left w:w="108" w:type="dxa"/>
              <w:bottom w:w="0" w:type="dxa"/>
              <w:right w:w="108" w:type="dxa"/>
            </w:tcMar>
          </w:tcPr>
          <w:p w14:paraId="4894F8D8" w14:textId="77777777" w:rsidR="00CE0861" w:rsidRPr="00233A80" w:rsidRDefault="00000000">
            <w:pPr>
              <w:spacing w:after="0" w:line="240" w:lineRule="auto"/>
              <w:rPr>
                <w:rFonts w:ascii="Times New Roman" w:eastAsia="Arial" w:hAnsi="Times New Roman" w:cs="Times New Roman"/>
              </w:rPr>
            </w:pPr>
            <w:r w:rsidRPr="00233A80">
              <w:rPr>
                <w:rFonts w:ascii="Times New Roman" w:eastAsia="Arial" w:hAnsi="Times New Roman" w:cs="Times New Roman"/>
                <w:color w:val="000000"/>
              </w:rPr>
              <w:lastRenderedPageBreak/>
              <w:t xml:space="preserve">BEFORE: A coherent argument about why the topic you wish to study matters and why your research methodology is </w:t>
            </w:r>
            <w:r w:rsidRPr="00233A80">
              <w:rPr>
                <w:rFonts w:ascii="Times New Roman" w:eastAsia="Arial" w:hAnsi="Times New Roman" w:cs="Times New Roman"/>
                <w:color w:val="000000"/>
              </w:rPr>
              <w:lastRenderedPageBreak/>
              <w:t>appropriate. Justifies all aspects of the research: why it is important and why methodology is appropriate. Encompasses both REASON (why the topic matters) and RIGOR (why the methodology is appropriate). Can be initially constructed prior to a study. AFTER: May evolve during the research process as new information and ideas emerge that strengthen the previous framework</w:t>
            </w:r>
          </w:p>
        </w:tc>
      </w:tr>
      <w:tr w:rsidR="00CE0861" w:rsidRPr="00233A80" w14:paraId="29D2C9D2" w14:textId="77777777">
        <w:tc>
          <w:tcPr>
            <w:tcW w:w="3726" w:type="dxa"/>
            <w:tcMar>
              <w:top w:w="0" w:type="dxa"/>
              <w:left w:w="108" w:type="dxa"/>
              <w:bottom w:w="0" w:type="dxa"/>
              <w:right w:w="108" w:type="dxa"/>
            </w:tcMar>
          </w:tcPr>
          <w:p w14:paraId="2FE7C3C1" w14:textId="77777777" w:rsidR="00CE0861" w:rsidRPr="00233A80" w:rsidRDefault="00000000">
            <w:pPr>
              <w:spacing w:after="0" w:line="240" w:lineRule="auto"/>
              <w:rPr>
                <w:rFonts w:ascii="Times New Roman" w:hAnsi="Times New Roman" w:cs="Times New Roman"/>
                <w:b/>
                <w:bCs/>
                <w:color w:val="000000"/>
              </w:rPr>
            </w:pPr>
            <w:r w:rsidRPr="00233A80">
              <w:rPr>
                <w:rFonts w:ascii="Times New Roman" w:hAnsi="Times New Roman" w:cs="Times New Roman"/>
                <w:b/>
                <w:bCs/>
                <w:color w:val="000000"/>
              </w:rPr>
              <w:lastRenderedPageBreak/>
              <w:t xml:space="preserve">Research Design </w:t>
            </w:r>
          </w:p>
        </w:tc>
        <w:tc>
          <w:tcPr>
            <w:tcW w:w="2574" w:type="dxa"/>
            <w:shd w:val="clear" w:color="auto" w:fill="99CCFF"/>
            <w:tcMar>
              <w:top w:w="0" w:type="dxa"/>
              <w:left w:w="108" w:type="dxa"/>
              <w:bottom w:w="0" w:type="dxa"/>
              <w:right w:w="108" w:type="dxa"/>
            </w:tcMar>
          </w:tcPr>
          <w:p w14:paraId="694D8785"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Experimental or quasi-experimental designs with clear independent and dependent variables. Pretest+post-test control group designs, randomised controlled trials, longitudinal panel studies. Emphasis on control, manipulation and measurement. Design established before data collection and remains fixed.</w:t>
            </w:r>
          </w:p>
        </w:tc>
        <w:tc>
          <w:tcPr>
            <w:tcW w:w="2453" w:type="dxa"/>
            <w:shd w:val="clear" w:color="auto" w:fill="66FFFF"/>
            <w:tcMar>
              <w:top w:w="0" w:type="dxa"/>
              <w:left w:w="108" w:type="dxa"/>
              <w:bottom w:w="0" w:type="dxa"/>
              <w:right w:w="108" w:type="dxa"/>
            </w:tcMar>
          </w:tcPr>
          <w:p w14:paraId="5E54F34C"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Primarily experimental or correlational designs but with acknowledgment of confounding variables and contextual factors. May use quasi-experimental designs when randomisation is not feasible. Design allows for some modification based on preliminary findings. Mixed methods designs combining quantitative and qualitative phases.</w:t>
            </w:r>
          </w:p>
        </w:tc>
        <w:tc>
          <w:tcPr>
            <w:tcW w:w="3141" w:type="dxa"/>
            <w:shd w:val="clear" w:color="auto" w:fill="CCFF99"/>
            <w:tcMar>
              <w:top w:w="0" w:type="dxa"/>
              <w:left w:w="108" w:type="dxa"/>
              <w:bottom w:w="0" w:type="dxa"/>
              <w:right w:w="108" w:type="dxa"/>
            </w:tcMar>
          </w:tcPr>
          <w:p w14:paraId="7C069FB8"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Flexible, emergent designs that evolve during research. Case study designs, phenomenological designs, narrative inquiry designs. Design allows themes and questions to emerge from data. Purposive selection of information-rich cases. Design decisions documented and justified throughout the study.</w:t>
            </w:r>
          </w:p>
        </w:tc>
        <w:tc>
          <w:tcPr>
            <w:tcW w:w="2717" w:type="dxa"/>
            <w:tcMar>
              <w:top w:w="0" w:type="dxa"/>
              <w:left w:w="108" w:type="dxa"/>
              <w:bottom w:w="0" w:type="dxa"/>
              <w:right w:w="108" w:type="dxa"/>
            </w:tcMar>
          </w:tcPr>
          <w:p w14:paraId="252A5260"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Collaborative, co-designed research architecture developed in partnership with participants. Design emerges through dialogue and evolves based on shared insights. Participatory action research designs, co-operative inquiry designs. Research questions and methods negotiated and renegotiated throughout.</w:t>
            </w:r>
          </w:p>
        </w:tc>
        <w:tc>
          <w:tcPr>
            <w:tcW w:w="2475" w:type="dxa"/>
            <w:shd w:val="clear" w:color="auto" w:fill="FFCC00"/>
            <w:tcMar>
              <w:top w:w="0" w:type="dxa"/>
              <w:left w:w="108" w:type="dxa"/>
              <w:bottom w:w="0" w:type="dxa"/>
              <w:right w:w="108" w:type="dxa"/>
            </w:tcMar>
          </w:tcPr>
          <w:p w14:paraId="63A70284"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Comparative design enabling analysis across different stakeholder groups. Multiple group case studies, comparative ethnographies. Design ensures systematic data collection from different groups using consistent protocols. Sampling strategy ensures adequate representation from each group for meaningful comparison.</w:t>
            </w:r>
          </w:p>
        </w:tc>
        <w:tc>
          <w:tcPr>
            <w:tcW w:w="2936" w:type="dxa"/>
            <w:shd w:val="clear" w:color="auto" w:fill="FFCCFF"/>
            <w:tcMar>
              <w:top w:w="0" w:type="dxa"/>
              <w:left w:w="108" w:type="dxa"/>
              <w:bottom w:w="0" w:type="dxa"/>
              <w:right w:w="108" w:type="dxa"/>
            </w:tcMar>
          </w:tcPr>
          <w:p w14:paraId="19187366"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Transformative designs explicitly addressing power imbalances and promoting social change. Participatory action research with emancipatory intent, critical ethnography, feminist research designs. Design includes action/intervention components. Research architecture challenges rather than accepts existing structures.</w:t>
            </w:r>
          </w:p>
        </w:tc>
        <w:tc>
          <w:tcPr>
            <w:tcW w:w="2319" w:type="dxa"/>
            <w:shd w:val="clear" w:color="auto" w:fill="FFFF99"/>
            <w:tcMar>
              <w:top w:w="0" w:type="dxa"/>
              <w:left w:w="108" w:type="dxa"/>
              <w:bottom w:w="0" w:type="dxa"/>
              <w:right w:w="108" w:type="dxa"/>
            </w:tcMar>
          </w:tcPr>
          <w:p w14:paraId="5A0FC3AE"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Flexible, adaptive designs driven by practical problems. Design follows the ‘what works’ principle. May use experimental, case study, survey or mixed methods depending on the problem. Iterative cycles of action and reflection. Design pragmatically adjusts based on what is learned and what proves effective.</w:t>
            </w:r>
          </w:p>
        </w:tc>
      </w:tr>
      <w:tr w:rsidR="00CE0861" w:rsidRPr="00233A80" w14:paraId="23DD7990" w14:textId="77777777">
        <w:tc>
          <w:tcPr>
            <w:tcW w:w="3726" w:type="dxa"/>
            <w:tcMar>
              <w:top w:w="0" w:type="dxa"/>
              <w:left w:w="108" w:type="dxa"/>
              <w:bottom w:w="0" w:type="dxa"/>
              <w:right w:w="108" w:type="dxa"/>
            </w:tcMar>
          </w:tcPr>
          <w:p w14:paraId="16954E70"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t>Research Questions/Hypothesis Format</w:t>
            </w:r>
          </w:p>
        </w:tc>
        <w:tc>
          <w:tcPr>
            <w:tcW w:w="2574" w:type="dxa"/>
            <w:shd w:val="clear" w:color="auto" w:fill="99CCFF"/>
            <w:tcMar>
              <w:top w:w="0" w:type="dxa"/>
              <w:left w:w="108" w:type="dxa"/>
              <w:bottom w:w="0" w:type="dxa"/>
              <w:right w:w="108" w:type="dxa"/>
            </w:tcMar>
          </w:tcPr>
          <w:p w14:paraId="78EEEDA9"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Hypotheses: Precise, testable predictions derived from theory, typically stating expected relationships between variables (eg 'H1: Variable X positively correlates with Variable Y')</w:t>
            </w:r>
          </w:p>
        </w:tc>
        <w:tc>
          <w:tcPr>
            <w:tcW w:w="2453" w:type="dxa"/>
            <w:shd w:val="clear" w:color="auto" w:fill="66FFFF"/>
            <w:tcMar>
              <w:top w:w="0" w:type="dxa"/>
              <w:left w:w="108" w:type="dxa"/>
              <w:bottom w:w="0" w:type="dxa"/>
              <w:right w:w="108" w:type="dxa"/>
            </w:tcMar>
          </w:tcPr>
          <w:p w14:paraId="01205779"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Hypotheses and questions: Primarily uses hypotheses, but may also pose research questions when relationships are less certain. Hypotheses are refined based on evidence</w:t>
            </w:r>
          </w:p>
        </w:tc>
        <w:tc>
          <w:tcPr>
            <w:tcW w:w="3141" w:type="dxa"/>
            <w:shd w:val="clear" w:color="auto" w:fill="CCFF99"/>
            <w:tcMar>
              <w:top w:w="0" w:type="dxa"/>
              <w:left w:w="108" w:type="dxa"/>
              <w:bottom w:w="0" w:type="dxa"/>
              <w:right w:w="108" w:type="dxa"/>
            </w:tcMar>
          </w:tcPr>
          <w:p w14:paraId="50C85FCC"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Open research questions: Broad, exploratory questions focusing on understanding meaning and experience (eg 'How do individuals experience...?', 'What meanings do participants ascribe to...?')</w:t>
            </w:r>
          </w:p>
        </w:tc>
        <w:tc>
          <w:tcPr>
            <w:tcW w:w="2717" w:type="dxa"/>
            <w:tcMar>
              <w:top w:w="0" w:type="dxa"/>
              <w:left w:w="108" w:type="dxa"/>
              <w:bottom w:w="0" w:type="dxa"/>
              <w:right w:w="108" w:type="dxa"/>
            </w:tcMar>
          </w:tcPr>
          <w:p w14:paraId="321000B5"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Emergent, collaborative questions: Initial questions are broad and evolve through dialogue with participants. Questions focus on co-creating understanding (eg 'How might we together understand...?')</w:t>
            </w:r>
          </w:p>
        </w:tc>
        <w:tc>
          <w:tcPr>
            <w:tcW w:w="2475" w:type="dxa"/>
            <w:shd w:val="clear" w:color="auto" w:fill="FFCC00"/>
            <w:tcMar>
              <w:top w:w="0" w:type="dxa"/>
              <w:left w:w="108" w:type="dxa"/>
              <w:bottom w:w="0" w:type="dxa"/>
              <w:right w:w="108" w:type="dxa"/>
            </w:tcMar>
          </w:tcPr>
          <w:p w14:paraId="2AF7FEC4"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Questions about current group constructions: Focus on how different groups currently construct social realities (e.g., How do engineers versus marketers construct innovation?, What differences exist in how frontline staff versus managers construct quality?)</w:t>
            </w:r>
          </w:p>
        </w:tc>
        <w:tc>
          <w:tcPr>
            <w:tcW w:w="2936" w:type="dxa"/>
            <w:shd w:val="clear" w:color="auto" w:fill="FFCCFF"/>
            <w:tcMar>
              <w:top w:w="0" w:type="dxa"/>
              <w:left w:w="108" w:type="dxa"/>
              <w:bottom w:w="0" w:type="dxa"/>
              <w:right w:w="108" w:type="dxa"/>
            </w:tcMar>
          </w:tcPr>
          <w:p w14:paraId="06F564F9"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Critical questions: Questions explicitly examine power, oppression and social justice (eg 'How do power structures shape...?', 'Whose interests are served by...?', 'How can we transform...?')</w:t>
            </w:r>
          </w:p>
        </w:tc>
        <w:tc>
          <w:tcPr>
            <w:tcW w:w="2319" w:type="dxa"/>
            <w:shd w:val="clear" w:color="auto" w:fill="FFFF99"/>
            <w:tcMar>
              <w:top w:w="0" w:type="dxa"/>
              <w:left w:w="108" w:type="dxa"/>
              <w:bottom w:w="0" w:type="dxa"/>
              <w:right w:w="108" w:type="dxa"/>
            </w:tcMar>
          </w:tcPr>
          <w:p w14:paraId="0F2F47AD"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xml:space="preserve">Problem-oriented questions that are genuinely plural in nature: where understanding the problem fully requires asking different kinds of questions that different methods are best placed to answer. For example: What did problem gamblers identify as factors that would </w:t>
            </w:r>
            <w:r w:rsidRPr="00233A80">
              <w:rPr>
                <w:rFonts w:ascii="Times New Roman" w:hAnsi="Times New Roman" w:cs="Times New Roman"/>
                <w:color w:val="000000"/>
              </w:rPr>
              <w:lastRenderedPageBreak/>
              <w:t>have helped them exit gambling earlier? (qualitative, life history, interpretive) and How effective do gamblers rate a range of responsible gambling tools? (quantitative or comparative, evaluative). The key is that the two questions are not the same question asked twice: they are different questions whose answers together produce knowledge that neither alone could generate. Questions may also focus on: What works? How can we improve this? What are the consequences of different approaches? For whom does this work and under what conditions?</w:t>
            </w:r>
          </w:p>
        </w:tc>
      </w:tr>
      <w:tr w:rsidR="00CE0861" w:rsidRPr="00233A80" w14:paraId="51E7B3D7" w14:textId="77777777">
        <w:tc>
          <w:tcPr>
            <w:tcW w:w="22341" w:type="dxa"/>
            <w:gridSpan w:val="8"/>
            <w:tcMar>
              <w:top w:w="0" w:type="dxa"/>
              <w:left w:w="108" w:type="dxa"/>
              <w:bottom w:w="0" w:type="dxa"/>
              <w:right w:w="108" w:type="dxa"/>
            </w:tcMar>
          </w:tcPr>
          <w:p w14:paraId="028D4842" w14:textId="77777777" w:rsidR="00CE0861" w:rsidRPr="00233A80" w:rsidRDefault="00000000">
            <w:pPr>
              <w:spacing w:after="0" w:line="240" w:lineRule="auto"/>
              <w:rPr>
                <w:rFonts w:ascii="Times New Roman" w:hAnsi="Times New Roman" w:cs="Times New Roman"/>
                <w:b/>
                <w:bCs/>
                <w:color w:val="000000"/>
              </w:rPr>
            </w:pPr>
            <w:r w:rsidRPr="00233A80">
              <w:rPr>
                <w:rFonts w:ascii="Times New Roman" w:hAnsi="Times New Roman" w:cs="Times New Roman"/>
                <w:b/>
                <w:bCs/>
                <w:color w:val="000000"/>
                <w:highlight w:val="yellow"/>
              </w:rPr>
              <w:lastRenderedPageBreak/>
              <w:t xml:space="preserve">POSITIONALITY, REFLECTION AND REFLEXIVITY IN THIS ORDER </w:t>
            </w:r>
          </w:p>
          <w:p w14:paraId="0119AF46"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Positionality</w:t>
            </w:r>
          </w:p>
          <w:p w14:paraId="5165B2C0"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Once a student understands when to use the paradigm, what question it generates and why it produces the knowledge it does, they are ready to ask: and where do I stand in relation to all of this? Positionality is the bridge between the philosophical and the personal. It belongs after the intellectual case has been made.</w:t>
            </w:r>
          </w:p>
          <w:p w14:paraId="45874191"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Reflection</w:t>
            </w:r>
          </w:p>
          <w:p w14:paraId="70EB2BE4"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You cannot reflect meaningfully until you know where you are standing. Positionality establishes the ground. Reflection is the first analytical practice that builds on it.</w:t>
            </w:r>
          </w:p>
          <w:p w14:paraId="08FFD054"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Reflexivity</w:t>
            </w:r>
          </w:p>
          <w:p w14:paraId="58E7DBCA"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Reflexivity goes further than reflection and depends on it. The sequence is earned: positionality, then reflection, then reflexivity. Each prepares the student for the next.</w:t>
            </w:r>
          </w:p>
        </w:tc>
      </w:tr>
      <w:tr w:rsidR="00CE0861" w:rsidRPr="00233A80" w14:paraId="1548262B" w14:textId="77777777">
        <w:tc>
          <w:tcPr>
            <w:tcW w:w="3726" w:type="dxa"/>
            <w:tcMar>
              <w:top w:w="0" w:type="dxa"/>
              <w:left w:w="108" w:type="dxa"/>
              <w:bottom w:w="0" w:type="dxa"/>
              <w:right w:w="108" w:type="dxa"/>
            </w:tcMar>
          </w:tcPr>
          <w:p w14:paraId="40EB28AE"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t>Positionality</w:t>
            </w:r>
          </w:p>
        </w:tc>
        <w:tc>
          <w:tcPr>
            <w:tcW w:w="2574" w:type="dxa"/>
            <w:shd w:val="clear" w:color="auto" w:fill="99CCFF"/>
            <w:tcMar>
              <w:top w:w="0" w:type="dxa"/>
              <w:left w:w="108" w:type="dxa"/>
              <w:bottom w:w="0" w:type="dxa"/>
              <w:right w:w="108" w:type="dxa"/>
            </w:tcMar>
          </w:tcPr>
          <w:p w14:paraId="1884726E"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xml:space="preserve">Irrelevant to objective knowledge: Researcher's gender, race, class, age, cultural background, personal experiences and beliefs should have no bearing on findings. Standardised methods and instruments ensure that any researcher following the same protocol would obtain identical results. The </w:t>
            </w:r>
            <w:r w:rsidRPr="00233A80">
              <w:rPr>
                <w:rFonts w:ascii="Times New Roman" w:hAnsi="Times New Roman" w:cs="Times New Roman"/>
                <w:color w:val="000000"/>
              </w:rPr>
              <w:lastRenderedPageBreak/>
              <w:t>goal is interchangeable researchers producing observer-independent truth</w:t>
            </w:r>
          </w:p>
        </w:tc>
        <w:tc>
          <w:tcPr>
            <w:tcW w:w="2453" w:type="dxa"/>
            <w:shd w:val="clear" w:color="auto" w:fill="66FFFF"/>
            <w:tcMar>
              <w:top w:w="0" w:type="dxa"/>
              <w:left w:w="108" w:type="dxa"/>
              <w:bottom w:w="0" w:type="dxa"/>
              <w:right w:w="108" w:type="dxa"/>
            </w:tcMar>
          </w:tcPr>
          <w:p w14:paraId="2C26A9EC"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 xml:space="preserve">Acknowledged but bracketed through rigorous method: Researcher explicitly states their background (eg 'I am a white, middle-class woman with 10 years' industry experience') and recognises potential biases this creates. However, careful research design, validated instruments </w:t>
            </w:r>
            <w:r w:rsidRPr="00233A80">
              <w:rPr>
                <w:rFonts w:ascii="Times New Roman" w:hAnsi="Times New Roman" w:cs="Times New Roman"/>
                <w:color w:val="000000"/>
              </w:rPr>
              <w:lastRenderedPageBreak/>
              <w:t>and triangulation methods are used to control and minimise the influence of researcher positionality. Acknowledges influence exists but works systematically to contain it</w:t>
            </w:r>
          </w:p>
        </w:tc>
        <w:tc>
          <w:tcPr>
            <w:tcW w:w="3141" w:type="dxa"/>
            <w:shd w:val="clear" w:color="auto" w:fill="CCFF99"/>
            <w:tcMar>
              <w:top w:w="0" w:type="dxa"/>
              <w:left w:w="108" w:type="dxa"/>
              <w:bottom w:w="0" w:type="dxa"/>
              <w:right w:w="108" w:type="dxa"/>
            </w:tcMar>
          </w:tcPr>
          <w:p w14:paraId="625192E8"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 xml:space="preserve">Central to interpretation, researcher as instrument: Researcher's life experiences, cultural background, professional training and personal values fundamentally shape what they notice, how they interpret meanings and which themes they emphasise. A researcher who has experienced illness will understand patient narratives differently than one who </w:t>
            </w:r>
            <w:r w:rsidRPr="00233A80">
              <w:rPr>
                <w:rFonts w:ascii="Times New Roman" w:hAnsi="Times New Roman" w:cs="Times New Roman"/>
                <w:color w:val="000000"/>
              </w:rPr>
              <w:lastRenderedPageBreak/>
              <w:t>hasn't. Position is not a limitation but the lens through which interpretation occurs. Detailed positionality statement explains how researcher's standpoint influences understanding</w:t>
            </w:r>
          </w:p>
        </w:tc>
        <w:tc>
          <w:tcPr>
            <w:tcW w:w="2717" w:type="dxa"/>
            <w:tcMar>
              <w:top w:w="0" w:type="dxa"/>
              <w:left w:w="108" w:type="dxa"/>
              <w:bottom w:w="0" w:type="dxa"/>
              <w:right w:w="108" w:type="dxa"/>
            </w:tcMar>
          </w:tcPr>
          <w:p w14:paraId="6E7DB5C1"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 xml:space="preserve">Co-constitutive of knowledge, mutual transformation: Researcher's identity and social position aren't fixed but evolve through relationships with participants. A privileged academic working with marginalised communities may find their worldview fundamentally challenged and changed. The </w:t>
            </w:r>
            <w:r w:rsidRPr="00233A80">
              <w:rPr>
                <w:rFonts w:ascii="Times New Roman" w:hAnsi="Times New Roman" w:cs="Times New Roman"/>
                <w:color w:val="000000"/>
              </w:rPr>
              <w:lastRenderedPageBreak/>
              <w:t>knowledge created depends on who the researcher is, who participants are and the specific relationship formed between them. Different researcher-participant combinations would co-create different knowledge</w:t>
            </w:r>
          </w:p>
        </w:tc>
        <w:tc>
          <w:tcPr>
            <w:tcW w:w="2475" w:type="dxa"/>
            <w:shd w:val="clear" w:color="auto" w:fill="FFCC00"/>
            <w:tcMar>
              <w:top w:w="0" w:type="dxa"/>
              <w:left w:w="108" w:type="dxa"/>
              <w:bottom w:w="0" w:type="dxa"/>
              <w:right w:w="108" w:type="dxa"/>
            </w:tcMar>
          </w:tcPr>
          <w:p w14:paraId="67B2A765"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 xml:space="preserve">Multiple group memberships shape interpretation of others' realities: Researcher reflects on their membership in various social groups (professional, cultural, generational, organisational) and how these shape their understanding of how other groups construct meaning. For example, </w:t>
            </w:r>
            <w:r w:rsidRPr="00233A80">
              <w:rPr>
                <w:rFonts w:ascii="Times New Roman" w:hAnsi="Times New Roman" w:cs="Times New Roman"/>
                <w:color w:val="000000"/>
              </w:rPr>
              <w:lastRenderedPageBreak/>
              <w:t>as an academic, I interpret how corporate managers construct 'innovation' differently than how grassroots activists construct it. My own construction is one among many. Understanding requires recognising how my group standpoints enable and limit what I can see</w:t>
            </w:r>
          </w:p>
        </w:tc>
        <w:tc>
          <w:tcPr>
            <w:tcW w:w="2936" w:type="dxa"/>
            <w:shd w:val="clear" w:color="auto" w:fill="FFCCFF"/>
            <w:tcMar>
              <w:top w:w="0" w:type="dxa"/>
              <w:left w:w="108" w:type="dxa"/>
              <w:bottom w:w="0" w:type="dxa"/>
              <w:right w:w="108" w:type="dxa"/>
            </w:tcMar>
          </w:tcPr>
          <w:p w14:paraId="4BCCB850"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 xml:space="preserve">Political standpoint explicitly acknowledged and leveraged: Researcher clearly states their social location within power structures (eg 'As a Black woman researching workplace discrimination' or 'As a queer person studying heteronormative policies') and how this positions them relative to participants. Rather than pretending neutrality, </w:t>
            </w:r>
            <w:r w:rsidRPr="00233A80">
              <w:rPr>
                <w:rFonts w:ascii="Times New Roman" w:hAnsi="Times New Roman" w:cs="Times New Roman"/>
                <w:color w:val="000000"/>
              </w:rPr>
              <w:lastRenderedPageBreak/>
              <w:t>researcher's shared experiences of marginalisation or proximity to oppression are recognised as providing critical insight and building solidarity with participants</w:t>
            </w:r>
          </w:p>
        </w:tc>
        <w:tc>
          <w:tcPr>
            <w:tcW w:w="2319" w:type="dxa"/>
            <w:shd w:val="clear" w:color="auto" w:fill="FFFF99"/>
            <w:tcMar>
              <w:top w:w="0" w:type="dxa"/>
              <w:left w:w="108" w:type="dxa"/>
              <w:bottom w:w="0" w:type="dxa"/>
              <w:right w:w="108" w:type="dxa"/>
            </w:tcMar>
          </w:tcPr>
          <w:p w14:paraId="07C7C11D"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 xml:space="preserve">Pragmatically relevant when it affects problem-solving: Researcher's professional background, industry experience and practical knowledge matter when they influence ability to understand the problem, gain stakeholder trust, or develop workable </w:t>
            </w:r>
            <w:r w:rsidRPr="00233A80">
              <w:rPr>
                <w:rFonts w:ascii="Times New Roman" w:hAnsi="Times New Roman" w:cs="Times New Roman"/>
                <w:color w:val="000000"/>
              </w:rPr>
              <w:lastRenderedPageBreak/>
              <w:t>solutions. Insider/outsider status is acknowledged when relevant. For example, an engineer researching engineering practices brings domain expertise that shapes problem definition and solution design. Transparency about relevant expertise and blind spots. The pragmatist researcher also examines how their own position shapes their definition of the problem itself: whose problem is it, whose interests are served by the proposed solutions and whether any stakeholders are systematically absent from the inquiry. Practical relevance does not exempt the researcher from examining the limits of their own vantage point.</w:t>
            </w:r>
          </w:p>
        </w:tc>
      </w:tr>
      <w:tr w:rsidR="00CE0861" w:rsidRPr="00233A80" w14:paraId="36BB32F7" w14:textId="77777777">
        <w:tc>
          <w:tcPr>
            <w:tcW w:w="3726" w:type="dxa"/>
            <w:tcMar>
              <w:top w:w="0" w:type="dxa"/>
              <w:left w:w="108" w:type="dxa"/>
              <w:bottom w:w="0" w:type="dxa"/>
              <w:right w:w="108" w:type="dxa"/>
            </w:tcMar>
          </w:tcPr>
          <w:p w14:paraId="0BECEEAE"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lastRenderedPageBreak/>
              <w:t>Reflection</w:t>
            </w:r>
          </w:p>
        </w:tc>
        <w:tc>
          <w:tcPr>
            <w:tcW w:w="2574" w:type="dxa"/>
            <w:shd w:val="clear" w:color="auto" w:fill="99CCFF"/>
            <w:tcMar>
              <w:top w:w="0" w:type="dxa"/>
              <w:left w:w="108" w:type="dxa"/>
              <w:bottom w:w="0" w:type="dxa"/>
              <w:right w:w="108" w:type="dxa"/>
            </w:tcMar>
          </w:tcPr>
          <w:p w14:paraId="1B8D3F63"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Limited to methodological rigour: Reflection focuses on whether procedures were followed correctly, instruments calibrated properly and protocols adhered to. Documents technical decisions (eg 'Why did we use this statistical test?') rather than personal insights or subjective experience</w:t>
            </w:r>
          </w:p>
        </w:tc>
        <w:tc>
          <w:tcPr>
            <w:tcW w:w="2453" w:type="dxa"/>
            <w:shd w:val="clear" w:color="auto" w:fill="66FFFF"/>
            <w:tcMar>
              <w:top w:w="0" w:type="dxa"/>
              <w:left w:w="108" w:type="dxa"/>
              <w:bottom w:w="0" w:type="dxa"/>
              <w:right w:w="108" w:type="dxa"/>
            </w:tcMar>
          </w:tcPr>
          <w:p w14:paraId="14C578F5"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Methodological and analytical reflection: Researcher maintains detailed research diary documenting key decisions and their rationale (eg 'Why did we modify the interview protocol?', 'What alternative explanations exist for this pattern?'). Reflects on potential sources of bias and steps taken to minimise influence. Supports audit trail and transparency</w:t>
            </w:r>
          </w:p>
        </w:tc>
        <w:tc>
          <w:tcPr>
            <w:tcW w:w="3141" w:type="dxa"/>
            <w:shd w:val="clear" w:color="auto" w:fill="CCFF99"/>
            <w:tcMar>
              <w:top w:w="0" w:type="dxa"/>
              <w:left w:w="108" w:type="dxa"/>
              <w:bottom w:w="0" w:type="dxa"/>
              <w:right w:w="108" w:type="dxa"/>
            </w:tcMar>
          </w:tcPr>
          <w:p w14:paraId="76BE071F"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xml:space="preserve">Ongoing and iterative reflection throughout research journey: After each interview or observation, researcher writes reflective memos asking 'What surprised me?', 'What assumptions did I bring?', 'What new questions emerged?', 'How did this interaction affect my understanding?'. These reflections directly inform subsequent data collection, reveal evolving insights and deepen interpretation. For example, reflecting 'This participant described the experience completely </w:t>
            </w:r>
            <w:r w:rsidRPr="00233A80">
              <w:rPr>
                <w:rFonts w:ascii="Times New Roman" w:hAnsi="Times New Roman" w:cs="Times New Roman"/>
                <w:color w:val="000000"/>
              </w:rPr>
              <w:lastRenderedPageBreak/>
              <w:t>differently than others, why?' leads to exploring new themes</w:t>
            </w:r>
          </w:p>
        </w:tc>
        <w:tc>
          <w:tcPr>
            <w:tcW w:w="2717" w:type="dxa"/>
            <w:tcMar>
              <w:top w:w="0" w:type="dxa"/>
              <w:left w:w="108" w:type="dxa"/>
              <w:bottom w:w="0" w:type="dxa"/>
              <w:right w:w="108" w:type="dxa"/>
            </w:tcMar>
          </w:tcPr>
          <w:p w14:paraId="73243256"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 xml:space="preserve">Collaborative and dialogic reflection as knowledge creation: Reflection happens in conversation with participants through member checking and reflexive dialogue. Researcher and participants together reflect on emerging interpretations: 'Does this resonate?', 'What did we learn through this process?', 'How has the research changed us?'. May hold reflection sessions where </w:t>
            </w:r>
            <w:r w:rsidRPr="00233A80">
              <w:rPr>
                <w:rFonts w:ascii="Times New Roman" w:hAnsi="Times New Roman" w:cs="Times New Roman"/>
                <w:color w:val="000000"/>
              </w:rPr>
              <w:lastRenderedPageBreak/>
              <w:t>participants discuss the research experience and co-create insights about what the process revealed</w:t>
            </w:r>
          </w:p>
        </w:tc>
        <w:tc>
          <w:tcPr>
            <w:tcW w:w="2475" w:type="dxa"/>
            <w:shd w:val="clear" w:color="auto" w:fill="FFCC00"/>
            <w:tcMar>
              <w:top w:w="0" w:type="dxa"/>
              <w:left w:w="108" w:type="dxa"/>
              <w:bottom w:w="0" w:type="dxa"/>
              <w:right w:w="108" w:type="dxa"/>
            </w:tcMar>
          </w:tcPr>
          <w:p w14:paraId="4EABF3AB"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 xml:space="preserve">Comparative reflection across different groups' perspectives: Researcher systematically reflects on how different stakeholder groups responded to similar questions, noting patterns and contradictions. For example: 'Group A constructs this issue as X whilst Group B sees it as Y, what social processes create these different realities?', 'My assumptions from </w:t>
            </w:r>
            <w:r w:rsidRPr="00233A80">
              <w:rPr>
                <w:rFonts w:ascii="Times New Roman" w:hAnsi="Times New Roman" w:cs="Times New Roman"/>
                <w:color w:val="000000"/>
              </w:rPr>
              <w:lastRenderedPageBreak/>
              <w:t>my professional group were challenged when I encountered how this community group thinks about it', 'How did my interpretation shift as I moved between these different social worlds?'</w:t>
            </w:r>
          </w:p>
        </w:tc>
        <w:tc>
          <w:tcPr>
            <w:tcW w:w="2936" w:type="dxa"/>
            <w:shd w:val="clear" w:color="auto" w:fill="FFCCFF"/>
            <w:tcMar>
              <w:top w:w="0" w:type="dxa"/>
              <w:left w:w="108" w:type="dxa"/>
              <w:bottom w:w="0" w:type="dxa"/>
              <w:right w:w="108" w:type="dxa"/>
            </w:tcMar>
          </w:tcPr>
          <w:p w14:paraId="35AFCCA6"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 xml:space="preserve">Critical and transformative reflection on power and emotion: Researcher reflects on uncomfortable moments revealing power imbalances ('Why did I feel defensive when they challenged my privilege?'), ethical tensions ('How do I navigate my dual role as researcher and advocate?') and emotional responses to injustice ('My anger at this story revealed my values, how does this shape my analysis?'). Reflection documents personal transformation and growing </w:t>
            </w:r>
            <w:r w:rsidRPr="00233A80">
              <w:rPr>
                <w:rFonts w:ascii="Times New Roman" w:hAnsi="Times New Roman" w:cs="Times New Roman"/>
                <w:color w:val="000000"/>
              </w:rPr>
              <w:lastRenderedPageBreak/>
              <w:t>critical consciousness throughout research</w:t>
            </w:r>
          </w:p>
        </w:tc>
        <w:tc>
          <w:tcPr>
            <w:tcW w:w="2319" w:type="dxa"/>
            <w:shd w:val="clear" w:color="auto" w:fill="FFFF99"/>
            <w:tcMar>
              <w:top w:w="0" w:type="dxa"/>
              <w:left w:w="108" w:type="dxa"/>
              <w:bottom w:w="0" w:type="dxa"/>
              <w:right w:w="108" w:type="dxa"/>
            </w:tcMar>
          </w:tcPr>
          <w:p w14:paraId="344ADADD"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 xml:space="preserve">Action-oriented reflection for continuous improvement: After each research activity or intervention, researcher reflects: 'What worked?', 'What didn't work?', 'Why?', 'What should we try differently?'. Focuses on practical learning rather than theory. For example: 'Stakeholder meeting format didn't engage frontline staff, next time try smaller </w:t>
            </w:r>
            <w:r w:rsidRPr="00233A80">
              <w:rPr>
                <w:rFonts w:ascii="Times New Roman" w:hAnsi="Times New Roman" w:cs="Times New Roman"/>
                <w:color w:val="000000"/>
              </w:rPr>
              <w:lastRenderedPageBreak/>
              <w:t>breakout groups first'. Reflection directly informs iterative refinement of approach to solve the problem more effectively</w:t>
            </w:r>
          </w:p>
        </w:tc>
      </w:tr>
      <w:tr w:rsidR="00CE0861" w:rsidRPr="00233A80" w14:paraId="17352667" w14:textId="77777777">
        <w:tc>
          <w:tcPr>
            <w:tcW w:w="3726" w:type="dxa"/>
            <w:tcMar>
              <w:top w:w="0" w:type="dxa"/>
              <w:left w:w="108" w:type="dxa"/>
              <w:bottom w:w="0" w:type="dxa"/>
              <w:right w:w="108" w:type="dxa"/>
            </w:tcMar>
          </w:tcPr>
          <w:p w14:paraId="469F1009"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lastRenderedPageBreak/>
              <w:t>Reflexivity</w:t>
            </w:r>
          </w:p>
        </w:tc>
        <w:tc>
          <w:tcPr>
            <w:tcW w:w="2574" w:type="dxa"/>
            <w:shd w:val="clear" w:color="auto" w:fill="99CCFF"/>
            <w:tcMar>
              <w:top w:w="0" w:type="dxa"/>
              <w:left w:w="108" w:type="dxa"/>
              <w:bottom w:w="0" w:type="dxa"/>
              <w:right w:w="108" w:type="dxa"/>
            </w:tcMar>
          </w:tcPr>
          <w:p w14:paraId="5F370F18"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Not emphasised, method eliminates researcher: Focus is entirely on methodological rigour and standardised procedures. Assumes that if correct protocols are followed (randomisation, validated instruments, statistical controls), the researcher's characteristics, assumptions, or worldview have no impact on findings. Reflexivity would be seen as unnecessary subjectivity that compromises objectivity</w:t>
            </w:r>
          </w:p>
        </w:tc>
        <w:tc>
          <w:tcPr>
            <w:tcW w:w="2453" w:type="dxa"/>
            <w:shd w:val="clear" w:color="auto" w:fill="66FFFF"/>
            <w:tcMar>
              <w:top w:w="0" w:type="dxa"/>
              <w:left w:w="108" w:type="dxa"/>
              <w:bottom w:w="0" w:type="dxa"/>
              <w:right w:w="108" w:type="dxa"/>
            </w:tcMar>
          </w:tcPr>
          <w:p w14:paraId="5E4B0626"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Limited reflexivity, brief acknowledgement of potential bias: Researcher includes a short reflexivity statement acknowledging potential biases (eg 'As someone trained in economics, I may overemphasise financial factors'). However, primary reliance is on triangulation, inter-rater reliability and methodological safeguards to control influence. Reflexivity is a box to tick rather than ongoing critical practice. May include brief discussion of limitations in final chapter</w:t>
            </w:r>
          </w:p>
        </w:tc>
        <w:tc>
          <w:tcPr>
            <w:tcW w:w="3141" w:type="dxa"/>
            <w:shd w:val="clear" w:color="auto" w:fill="CCFF99"/>
            <w:tcMar>
              <w:top w:w="0" w:type="dxa"/>
              <w:left w:w="108" w:type="dxa"/>
              <w:bottom w:w="0" w:type="dxa"/>
              <w:right w:w="108" w:type="dxa"/>
            </w:tcMar>
          </w:tcPr>
          <w:p w14:paraId="7F37D85C"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Essential, ongoing and deeply integrated throughout: Researcher continuously and critically examines how their assumptions, theoretical preferences, emotional responses and power dynamics with participants shape every decision, from question formulation ('Why am I asking this and not that?'), to data collection ('How did my gender affect what this participant shared?'), to analysis ('Am I imposing my categories or truly hearing theirs?'). Keeps detailed reflexive journal examining moments of surprise, discomfort, or resonance. For example: 'When this participant cried, I stopped recording, but was that ethical care or my discomfort with emotion? How did my decision shape the data?' Reflexivity ensures methodological integrity</w:t>
            </w:r>
          </w:p>
        </w:tc>
        <w:tc>
          <w:tcPr>
            <w:tcW w:w="2717" w:type="dxa"/>
            <w:tcMar>
              <w:top w:w="0" w:type="dxa"/>
              <w:left w:w="108" w:type="dxa"/>
              <w:bottom w:w="0" w:type="dxa"/>
              <w:right w:w="108" w:type="dxa"/>
            </w:tcMar>
          </w:tcPr>
          <w:p w14:paraId="1C744B98"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Deeply embedded, mutual and transformative for all: Researcher critically examines not only how they shape participants' responses but how participants are changing them. Reflexivity is practised openly and sometimes collaboratively: 'How is my middle-class background shaping this conversation?', 'How are you experiencing me as researcher?', 'How am I different because of our work together?'. Acknowledges that researcher cannot step outside the co-creation to objectively analyse it, they are fundamentally part of what is being studied. This mutual transformation is documented as part of the research</w:t>
            </w:r>
          </w:p>
        </w:tc>
        <w:tc>
          <w:tcPr>
            <w:tcW w:w="2475" w:type="dxa"/>
            <w:shd w:val="clear" w:color="auto" w:fill="FFCC00"/>
            <w:tcMar>
              <w:top w:w="0" w:type="dxa"/>
              <w:left w:w="108" w:type="dxa"/>
              <w:bottom w:w="0" w:type="dxa"/>
              <w:right w:w="108" w:type="dxa"/>
            </w:tcMar>
          </w:tcPr>
          <w:p w14:paraId="3484B799"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Multi-layered analysis across multiple constructed realities: Researcher critically examines their own socially constructed assumptions about what is normal or real whilst studying how different groups construct divergent realities. For example: initially interpreting Group A's response as resistance because of management training, then recognising that framing itself as a construction, they construct it as protecting professional autonomy. Questions like 'How do my own professional group's taken-for-granted assumptions blind me to other valid constructions?' ensure awareness that researcher's interpretations are themselves socially constructed and one perspective among many</w:t>
            </w:r>
          </w:p>
        </w:tc>
        <w:tc>
          <w:tcPr>
            <w:tcW w:w="2936" w:type="dxa"/>
            <w:shd w:val="clear" w:color="auto" w:fill="FFCCFF"/>
            <w:tcMar>
              <w:top w:w="0" w:type="dxa"/>
              <w:left w:w="108" w:type="dxa"/>
              <w:bottom w:w="0" w:type="dxa"/>
              <w:right w:w="108" w:type="dxa"/>
            </w:tcMar>
          </w:tcPr>
          <w:p w14:paraId="628436F5"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Political, ethical and continuously interrogated: Researcher constantly examines their privilege, complicity in oppressive systems and power dynamics in research relationships. Asks: 'How does my whiteness affect participants of colour?', 'Am I extracting knowledge or building solidarity?', 'Whose interests does my analysis serve?', 'How am I reproducing or challenging power structures through my research choices?'. Reflexivity as ongoing ethical commitment to recognise how systems of oppression operate through researcher's own practice. Includes examining emotional responses: 'Why did I feel defensive when challenged about my privilege?'</w:t>
            </w:r>
          </w:p>
        </w:tc>
        <w:tc>
          <w:tcPr>
            <w:tcW w:w="2319" w:type="dxa"/>
            <w:shd w:val="clear" w:color="auto" w:fill="FFFF99"/>
            <w:tcMar>
              <w:top w:w="0" w:type="dxa"/>
              <w:left w:w="108" w:type="dxa"/>
              <w:bottom w:w="0" w:type="dxa"/>
              <w:right w:w="108" w:type="dxa"/>
            </w:tcMar>
          </w:tcPr>
          <w:p w14:paraId="053D2EB2"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Reflexivity examines whether the researcher's assumptions, disciplinary habits and methodological preferences are distorting design decisions. The pragmatist researcher asks: am I combining methods because my research questions genuinely require different kinds of evidence to answer different questions fully, or am I mixing methods out of habit, convenience or a desire to appear comprehensive? For studies with genuinely plural research questions, reflexivity includes articulating clearly what each approach contributes that the other cannot: what the qualitative strand answers that the quantitative cannot, and vice versa. Pragmatist reflexivity also examines who defines ‘what works’: practical utility is not neutral, and the researcher should examine whose definition of success is shaping the inquiry.</w:t>
            </w:r>
          </w:p>
        </w:tc>
      </w:tr>
      <w:tr w:rsidR="00CE0861" w:rsidRPr="00233A80" w14:paraId="651FD913" w14:textId="77777777">
        <w:tc>
          <w:tcPr>
            <w:tcW w:w="3726" w:type="dxa"/>
            <w:tcBorders>
              <w:top w:val="single" w:sz="12" w:space="0" w:color="000000"/>
              <w:left w:val="single" w:sz="12" w:space="0" w:color="000000"/>
              <w:bottom w:val="single" w:sz="12" w:space="0" w:color="000000"/>
              <w:right w:val="single" w:sz="12" w:space="0" w:color="000000"/>
            </w:tcBorders>
            <w:tcMar>
              <w:top w:w="0" w:type="dxa"/>
              <w:left w:w="108" w:type="dxa"/>
              <w:bottom w:w="0" w:type="dxa"/>
              <w:right w:w="108" w:type="dxa"/>
            </w:tcMar>
          </w:tcPr>
          <w:p w14:paraId="6D0EF8AF" w14:textId="77777777" w:rsidR="00CE0861" w:rsidRPr="00233A80" w:rsidRDefault="00000000">
            <w:pPr>
              <w:spacing w:after="0" w:line="240" w:lineRule="auto"/>
              <w:rPr>
                <w:rFonts w:ascii="Times New Roman" w:hAnsi="Times New Roman" w:cs="Times New Roman"/>
                <w:b/>
                <w:bCs/>
                <w:color w:val="000000"/>
              </w:rPr>
            </w:pPr>
            <w:r w:rsidRPr="00233A80">
              <w:rPr>
                <w:rFonts w:ascii="Times New Roman" w:hAnsi="Times New Roman" w:cs="Times New Roman"/>
                <w:b/>
                <w:bCs/>
                <w:color w:val="000000"/>
              </w:rPr>
              <w:lastRenderedPageBreak/>
              <w:t>Emic/Etic Perspectives</w:t>
            </w:r>
          </w:p>
        </w:tc>
        <w:tc>
          <w:tcPr>
            <w:tcW w:w="2574" w:type="dxa"/>
            <w:tcBorders>
              <w:top w:val="single" w:sz="12" w:space="0" w:color="000000"/>
              <w:left w:val="single" w:sz="12" w:space="0" w:color="000000"/>
              <w:bottom w:val="single" w:sz="12" w:space="0" w:color="000000"/>
              <w:right w:val="single" w:sz="12" w:space="0" w:color="000000"/>
            </w:tcBorders>
            <w:shd w:val="clear" w:color="auto" w:fill="99CCFF"/>
            <w:tcMar>
              <w:top w:w="0" w:type="dxa"/>
              <w:left w:w="108" w:type="dxa"/>
              <w:bottom w:w="0" w:type="dxa"/>
              <w:right w:w="108" w:type="dxa"/>
            </w:tcMar>
          </w:tcPr>
          <w:p w14:paraId="72674569"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Etic (outsider) perspective dominates: Researcher maintains objective distance from the phenomenon, applying standardised external frameworks and measures. Reality exists independently of cultural or subjective interpretations. Universal categories and measurement instruments are applied across contexts. The researcher's external, "scientific" perspective is privileged over participants' insider understandings. Seeks culture-free, universal explanations.</w:t>
            </w:r>
          </w:p>
        </w:tc>
        <w:tc>
          <w:tcPr>
            <w:tcW w:w="2453" w:type="dxa"/>
            <w:tcBorders>
              <w:top w:val="single" w:sz="12" w:space="0" w:color="000000"/>
              <w:left w:val="single" w:sz="12" w:space="0" w:color="000000"/>
              <w:bottom w:val="single" w:sz="12" w:space="0" w:color="000000"/>
              <w:right w:val="single" w:sz="12" w:space="0" w:color="000000"/>
            </w:tcBorders>
            <w:shd w:val="clear" w:color="auto" w:fill="66FFFF"/>
            <w:tcMar>
              <w:top w:w="0" w:type="dxa"/>
              <w:left w:w="108" w:type="dxa"/>
              <w:bottom w:w="0" w:type="dxa"/>
              <w:right w:w="108" w:type="dxa"/>
            </w:tcMar>
          </w:tcPr>
          <w:p w14:paraId="7EDEC673"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Primarily etic with emic awareness: Researcher maintains external analytical framework whilst acknowledging insider perspectives may differ. Uses standardised measures but recognises cultural and contextual variations in how constructs manifest. Triangulates etic measures with emic insights to refine understanding. External frameworks guide inquiry but are sensitive to how participants experience them differently.</w:t>
            </w:r>
          </w:p>
        </w:tc>
        <w:tc>
          <w:tcPr>
            <w:tcW w:w="3141" w:type="dxa"/>
            <w:tcBorders>
              <w:top w:val="single" w:sz="12" w:space="0" w:color="000000"/>
              <w:left w:val="single" w:sz="12" w:space="0" w:color="000000"/>
              <w:bottom w:val="single" w:sz="12" w:space="0" w:color="000000"/>
              <w:right w:val="single" w:sz="12" w:space="0" w:color="000000"/>
            </w:tcBorders>
            <w:shd w:val="clear" w:color="auto" w:fill="CCFF99"/>
            <w:tcMar>
              <w:top w:w="0" w:type="dxa"/>
              <w:left w:w="108" w:type="dxa"/>
              <w:bottom w:w="0" w:type="dxa"/>
              <w:right w:w="108" w:type="dxa"/>
            </w:tcMar>
          </w:tcPr>
          <w:p w14:paraId="43702CFA"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Emic (insider) perspective prioritised: Researcher seeks to understand phenomena from participants' own frames of reference and cultural contexts. Meaning is derived from how participants themselves interpret their worlds. Researcher brackets external theoretical frameworks to access authentic insider perspectives. Rich, thick description captures emic understandings. Researcher learns participants' categories rather than imposing external ones.</w:t>
            </w:r>
          </w:p>
          <w:p w14:paraId="417A4EC2" w14:textId="77777777" w:rsidR="00CE0861" w:rsidRPr="00233A80" w:rsidRDefault="00CE0861">
            <w:pPr>
              <w:spacing w:after="0" w:line="240" w:lineRule="auto"/>
              <w:rPr>
                <w:rFonts w:ascii="Times New Roman" w:hAnsi="Times New Roman" w:cs="Times New Roman"/>
                <w:color w:val="000000"/>
              </w:rPr>
            </w:pPr>
          </w:p>
          <w:p w14:paraId="0C2C3D73"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b/>
                <w:bCs/>
                <w:color w:val="000000"/>
                <w:highlight w:val="yellow"/>
              </w:rPr>
              <w:t>IPA:</w:t>
            </w:r>
            <w:r w:rsidRPr="00233A80">
              <w:rPr>
                <w:rFonts w:ascii="Times New Roman" w:hAnsi="Times New Roman" w:cs="Times New Roman"/>
                <w:color w:val="000000"/>
                <w:highlight w:val="yellow"/>
              </w:rPr>
              <w:t xml:space="preserve"> IPA deliberately combines emic and etic through the double hermeneutic: the researcher is trying to make sense of the participant trying to make sense of their experience. The emic stance comes first ('giving voice' – staying close to the participant's own account), followed by an interpretative, etic stance ('making sense' – the researcher's psychological or theoretical reading of what the account means) (Larkin, Watts and Clifton, 2006). Frameworks are not bracketed out but brought in carefully, usually at the discussion stage.</w:t>
            </w:r>
          </w:p>
        </w:tc>
        <w:tc>
          <w:tcPr>
            <w:tcW w:w="2717" w:type="dxa"/>
            <w:tcBorders>
              <w:top w:val="single" w:sz="12" w:space="0" w:color="000000"/>
              <w:left w:val="single" w:sz="12" w:space="0" w:color="000000"/>
              <w:bottom w:val="single" w:sz="12" w:space="0" w:color="000000"/>
              <w:right w:val="single" w:sz="12" w:space="0" w:color="000000"/>
            </w:tcBorders>
            <w:tcMar>
              <w:top w:w="0" w:type="dxa"/>
              <w:left w:w="108" w:type="dxa"/>
              <w:bottom w:w="0" w:type="dxa"/>
              <w:right w:w="108" w:type="dxa"/>
            </w:tcMar>
          </w:tcPr>
          <w:p w14:paraId="183E1782"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Co-constructed emic perspective: Both researcher and participants bring insider understandings that merge through dialogue. Neither pure etic nor pure emic exists; instead, meanings emerge in the intersubjective space between researcher and researched. Researcher's and participants' emic perspectives dialogue to create new shared understanding. Boundaries between insider and outsider dissolve through relationship.</w:t>
            </w:r>
          </w:p>
        </w:tc>
        <w:tc>
          <w:tcPr>
            <w:tcW w:w="2475" w:type="dxa"/>
            <w:tcBorders>
              <w:top w:val="single" w:sz="12" w:space="0" w:color="000000"/>
              <w:left w:val="single" w:sz="12" w:space="0" w:color="000000"/>
              <w:bottom w:val="single" w:sz="12" w:space="0" w:color="000000"/>
              <w:right w:val="single" w:sz="12" w:space="0" w:color="000000"/>
            </w:tcBorders>
            <w:shd w:val="clear" w:color="auto" w:fill="FFCC00"/>
            <w:tcMar>
              <w:top w:w="0" w:type="dxa"/>
              <w:left w:w="108" w:type="dxa"/>
              <w:bottom w:w="0" w:type="dxa"/>
              <w:right w:w="108" w:type="dxa"/>
            </w:tcMar>
          </w:tcPr>
          <w:p w14:paraId="21188895"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Multiple emic perspectives compared: Focuses on how different groups (professions, cultures, departments) have distinct insider understandings of the same phenomenon. Researcher examines multiple emic perspectives to understand how groups construct different social realities. Maps variation in insider understandings across groups. Shows how "insiders" in one group are "outsiders" to another group's construction.</w:t>
            </w:r>
          </w:p>
        </w:tc>
        <w:tc>
          <w:tcPr>
            <w:tcW w:w="2936" w:type="dxa"/>
            <w:tcBorders>
              <w:top w:val="single" w:sz="12" w:space="0" w:color="000000"/>
              <w:left w:val="single" w:sz="12" w:space="0" w:color="000000"/>
              <w:bottom w:val="single" w:sz="12" w:space="0" w:color="000000"/>
              <w:right w:val="single" w:sz="12" w:space="0" w:color="000000"/>
            </w:tcBorders>
            <w:shd w:val="clear" w:color="auto" w:fill="FFCCFF"/>
            <w:tcMar>
              <w:top w:w="0" w:type="dxa"/>
              <w:left w:w="108" w:type="dxa"/>
              <w:bottom w:w="0" w:type="dxa"/>
              <w:right w:w="108" w:type="dxa"/>
            </w:tcMar>
          </w:tcPr>
          <w:p w14:paraId="453C7201"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Critical emic perspective revealing power: Prioritises emic perspectives of marginalised groups whose insider knowledge has been dismissed or delegitimised. Researcher examines how dominant groups' etic frameworks have been imposed on marginalised communities, erasing their emic understandings. Reveals whose emic perspective gets elevated to "objective" etic truth. Challenges "universal" etic frameworks as reflecting privileged groups' emic views.</w:t>
            </w:r>
          </w:p>
        </w:tc>
        <w:tc>
          <w:tcPr>
            <w:tcW w:w="2319" w:type="dxa"/>
            <w:tcBorders>
              <w:top w:val="single" w:sz="12" w:space="0" w:color="000000"/>
              <w:left w:val="single" w:sz="12" w:space="0" w:color="000000"/>
              <w:bottom w:val="single" w:sz="12" w:space="0" w:color="000000"/>
              <w:right w:val="single" w:sz="12" w:space="0" w:color="000000"/>
            </w:tcBorders>
            <w:shd w:val="clear" w:color="auto" w:fill="FFFF99"/>
            <w:tcMar>
              <w:top w:w="0" w:type="dxa"/>
              <w:left w:w="108" w:type="dxa"/>
              <w:bottom w:w="0" w:type="dxa"/>
              <w:right w:w="108" w:type="dxa"/>
            </w:tcMar>
          </w:tcPr>
          <w:p w14:paraId="3AEE5AD8"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Pragmatic integration of emic and etic: Uses whichever perspective (or combination) best solves the problem. May use etic frameworks for comparative measurement whilst employing emic approaches to understand context-specific meanings. Combines insider and outsider perspectives strategically. Etic approaches for generalisation, emic for contextual understanding, or both simultaneously when useful for stakeholders.</w:t>
            </w:r>
          </w:p>
        </w:tc>
      </w:tr>
      <w:tr w:rsidR="00CE0861" w:rsidRPr="00233A80" w14:paraId="2DFDEFE8" w14:textId="77777777">
        <w:tc>
          <w:tcPr>
            <w:tcW w:w="3726" w:type="dxa"/>
            <w:tcMar>
              <w:top w:w="0" w:type="dxa"/>
              <w:left w:w="108" w:type="dxa"/>
              <w:bottom w:w="0" w:type="dxa"/>
              <w:right w:w="108" w:type="dxa"/>
            </w:tcMar>
          </w:tcPr>
          <w:p w14:paraId="11D7881F" w14:textId="77777777" w:rsidR="00CE0861" w:rsidRPr="00233A80" w:rsidRDefault="00CE0861">
            <w:pPr>
              <w:spacing w:after="0" w:line="240" w:lineRule="auto"/>
              <w:rPr>
                <w:rFonts w:ascii="Times New Roman" w:hAnsi="Times New Roman" w:cs="Times New Roman"/>
                <w:b/>
                <w:bCs/>
                <w:color w:val="000000"/>
              </w:rPr>
            </w:pPr>
          </w:p>
        </w:tc>
        <w:tc>
          <w:tcPr>
            <w:tcW w:w="2574" w:type="dxa"/>
            <w:shd w:val="clear" w:color="auto" w:fill="99CCFF"/>
            <w:tcMar>
              <w:top w:w="0" w:type="dxa"/>
              <w:left w:w="108" w:type="dxa"/>
              <w:bottom w:w="0" w:type="dxa"/>
              <w:right w:w="108" w:type="dxa"/>
            </w:tcMar>
          </w:tcPr>
          <w:p w14:paraId="148DB50D" w14:textId="77777777" w:rsidR="00CE0861" w:rsidRPr="00233A80" w:rsidRDefault="00CE0861">
            <w:pPr>
              <w:spacing w:after="0" w:line="240" w:lineRule="auto"/>
              <w:rPr>
                <w:rFonts w:ascii="Times New Roman" w:hAnsi="Times New Roman" w:cs="Times New Roman"/>
                <w:color w:val="000000"/>
              </w:rPr>
            </w:pPr>
          </w:p>
        </w:tc>
        <w:tc>
          <w:tcPr>
            <w:tcW w:w="2453" w:type="dxa"/>
            <w:shd w:val="clear" w:color="auto" w:fill="66FFFF"/>
            <w:tcMar>
              <w:top w:w="0" w:type="dxa"/>
              <w:left w:w="108" w:type="dxa"/>
              <w:bottom w:w="0" w:type="dxa"/>
              <w:right w:w="108" w:type="dxa"/>
            </w:tcMar>
          </w:tcPr>
          <w:p w14:paraId="1B677882" w14:textId="77777777" w:rsidR="00CE0861" w:rsidRPr="00233A80" w:rsidRDefault="00CE0861">
            <w:pPr>
              <w:spacing w:after="0" w:line="240" w:lineRule="auto"/>
              <w:rPr>
                <w:rFonts w:ascii="Times New Roman" w:hAnsi="Times New Roman" w:cs="Times New Roman"/>
                <w:color w:val="000000"/>
              </w:rPr>
            </w:pPr>
          </w:p>
        </w:tc>
        <w:tc>
          <w:tcPr>
            <w:tcW w:w="3141" w:type="dxa"/>
            <w:shd w:val="clear" w:color="auto" w:fill="CCFF99"/>
            <w:tcMar>
              <w:top w:w="0" w:type="dxa"/>
              <w:left w:w="108" w:type="dxa"/>
              <w:bottom w:w="0" w:type="dxa"/>
              <w:right w:w="108" w:type="dxa"/>
            </w:tcMar>
          </w:tcPr>
          <w:p w14:paraId="6B86E353" w14:textId="77777777" w:rsidR="00CE0861" w:rsidRPr="00233A80" w:rsidRDefault="00CE0861">
            <w:pPr>
              <w:spacing w:after="0" w:line="240" w:lineRule="auto"/>
              <w:rPr>
                <w:rFonts w:ascii="Times New Roman" w:hAnsi="Times New Roman" w:cs="Times New Roman"/>
                <w:color w:val="000000"/>
              </w:rPr>
            </w:pPr>
          </w:p>
        </w:tc>
        <w:tc>
          <w:tcPr>
            <w:tcW w:w="2717" w:type="dxa"/>
            <w:tcMar>
              <w:top w:w="0" w:type="dxa"/>
              <w:left w:w="108" w:type="dxa"/>
              <w:bottom w:w="0" w:type="dxa"/>
              <w:right w:w="108" w:type="dxa"/>
            </w:tcMar>
          </w:tcPr>
          <w:p w14:paraId="30CBC7A9" w14:textId="77777777" w:rsidR="00CE0861" w:rsidRPr="00233A80" w:rsidRDefault="00CE0861">
            <w:pPr>
              <w:spacing w:after="0" w:line="240" w:lineRule="auto"/>
              <w:rPr>
                <w:rFonts w:ascii="Times New Roman" w:hAnsi="Times New Roman" w:cs="Times New Roman"/>
                <w:color w:val="000000"/>
              </w:rPr>
            </w:pPr>
          </w:p>
        </w:tc>
        <w:tc>
          <w:tcPr>
            <w:tcW w:w="2475" w:type="dxa"/>
            <w:shd w:val="clear" w:color="auto" w:fill="FFCC00"/>
            <w:tcMar>
              <w:top w:w="0" w:type="dxa"/>
              <w:left w:w="108" w:type="dxa"/>
              <w:bottom w:w="0" w:type="dxa"/>
              <w:right w:w="108" w:type="dxa"/>
            </w:tcMar>
          </w:tcPr>
          <w:p w14:paraId="14B77670" w14:textId="77777777" w:rsidR="00CE0861" w:rsidRPr="00233A80" w:rsidRDefault="00CE0861">
            <w:pPr>
              <w:spacing w:after="0" w:line="240" w:lineRule="auto"/>
              <w:rPr>
                <w:rFonts w:ascii="Times New Roman" w:hAnsi="Times New Roman" w:cs="Times New Roman"/>
                <w:color w:val="000000"/>
              </w:rPr>
            </w:pPr>
          </w:p>
        </w:tc>
        <w:tc>
          <w:tcPr>
            <w:tcW w:w="2936" w:type="dxa"/>
            <w:shd w:val="clear" w:color="auto" w:fill="FFCCFF"/>
            <w:tcMar>
              <w:top w:w="0" w:type="dxa"/>
              <w:left w:w="108" w:type="dxa"/>
              <w:bottom w:w="0" w:type="dxa"/>
              <w:right w:w="108" w:type="dxa"/>
            </w:tcMar>
          </w:tcPr>
          <w:p w14:paraId="5D476A92" w14:textId="77777777" w:rsidR="00CE0861" w:rsidRPr="00233A80" w:rsidRDefault="00CE0861">
            <w:pPr>
              <w:spacing w:after="0" w:line="240" w:lineRule="auto"/>
              <w:rPr>
                <w:rFonts w:ascii="Times New Roman" w:hAnsi="Times New Roman" w:cs="Times New Roman"/>
                <w:color w:val="000000"/>
              </w:rPr>
            </w:pPr>
          </w:p>
        </w:tc>
        <w:tc>
          <w:tcPr>
            <w:tcW w:w="2319" w:type="dxa"/>
            <w:shd w:val="clear" w:color="auto" w:fill="FFFF99"/>
            <w:tcMar>
              <w:top w:w="0" w:type="dxa"/>
              <w:left w:w="108" w:type="dxa"/>
              <w:bottom w:w="0" w:type="dxa"/>
              <w:right w:w="108" w:type="dxa"/>
            </w:tcMar>
          </w:tcPr>
          <w:p w14:paraId="17D0529C" w14:textId="77777777" w:rsidR="00CE0861" w:rsidRPr="00233A80" w:rsidRDefault="00CE0861">
            <w:pPr>
              <w:spacing w:after="0" w:line="240" w:lineRule="auto"/>
              <w:rPr>
                <w:rFonts w:ascii="Times New Roman" w:hAnsi="Times New Roman" w:cs="Times New Roman"/>
                <w:color w:val="000000"/>
              </w:rPr>
            </w:pPr>
          </w:p>
        </w:tc>
      </w:tr>
      <w:tr w:rsidR="00CE0861" w:rsidRPr="00233A80" w14:paraId="7AD6D533" w14:textId="77777777">
        <w:tc>
          <w:tcPr>
            <w:tcW w:w="3726" w:type="dxa"/>
            <w:tcMar>
              <w:top w:w="0" w:type="dxa"/>
              <w:left w:w="108" w:type="dxa"/>
              <w:bottom w:w="0" w:type="dxa"/>
              <w:right w:w="108" w:type="dxa"/>
            </w:tcMar>
          </w:tcPr>
          <w:p w14:paraId="01E96AD5"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t>Primary Methods</w:t>
            </w:r>
          </w:p>
        </w:tc>
        <w:tc>
          <w:tcPr>
            <w:tcW w:w="2574" w:type="dxa"/>
            <w:shd w:val="clear" w:color="auto" w:fill="99CCFF"/>
            <w:tcMar>
              <w:top w:w="0" w:type="dxa"/>
              <w:left w:w="108" w:type="dxa"/>
              <w:bottom w:w="0" w:type="dxa"/>
              <w:right w:w="108" w:type="dxa"/>
            </w:tcMar>
          </w:tcPr>
          <w:p w14:paraId="72B40ECB"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xml:space="preserve">Experiments (randomised controlled trials, laboratory experiments), surveys with standardised questionnaires, structured observations using predetermined coding schemes, statistical analysis of large datasets. Methods emphasise control, measurement precision, </w:t>
            </w:r>
            <w:r w:rsidRPr="00233A80">
              <w:rPr>
                <w:rFonts w:ascii="Times New Roman" w:hAnsi="Times New Roman" w:cs="Times New Roman"/>
                <w:color w:val="000000"/>
              </w:rPr>
              <w:lastRenderedPageBreak/>
              <w:t>standardisation and generalisability. Quantitative data collection with validated instruments</w:t>
            </w:r>
          </w:p>
        </w:tc>
        <w:tc>
          <w:tcPr>
            <w:tcW w:w="2453" w:type="dxa"/>
            <w:shd w:val="clear" w:color="auto" w:fill="66FFFF"/>
            <w:tcMar>
              <w:top w:w="0" w:type="dxa"/>
              <w:left w:w="108" w:type="dxa"/>
              <w:bottom w:w="0" w:type="dxa"/>
              <w:right w:w="108" w:type="dxa"/>
            </w:tcMar>
          </w:tcPr>
          <w:p w14:paraId="00A88268"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 xml:space="preserve">Mixed methods combining quantitative and qualitative approaches. Surveys with both closed and open-ended questions, quasi-experiments, multiple regression analysis, structured interviews, systematic observations. Triangulation across methods strengthens </w:t>
            </w:r>
            <w:r w:rsidRPr="00233A80">
              <w:rPr>
                <w:rFonts w:ascii="Times New Roman" w:hAnsi="Times New Roman" w:cs="Times New Roman"/>
                <w:color w:val="000000"/>
              </w:rPr>
              <w:lastRenderedPageBreak/>
              <w:t>findings. May sequence methods (quantitative first, then qualitative to explain) or integrate throughout</w:t>
            </w:r>
          </w:p>
        </w:tc>
        <w:tc>
          <w:tcPr>
            <w:tcW w:w="3141" w:type="dxa"/>
            <w:shd w:val="clear" w:color="auto" w:fill="CCFF99"/>
            <w:tcMar>
              <w:top w:w="0" w:type="dxa"/>
              <w:left w:w="108" w:type="dxa"/>
              <w:bottom w:w="0" w:type="dxa"/>
              <w:right w:w="108" w:type="dxa"/>
            </w:tcMar>
          </w:tcPr>
          <w:p w14:paraId="5B9F6F2D"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 xml:space="preserve">In-depth semi-structured interviews exploring individual experiences, participant observation in natural settings, individual case studies, phenomenological interviews, interpretative analysis of documents or artefacts. Methods prioritise depth, flexibility and accessing participants' subjective </w:t>
            </w:r>
            <w:r w:rsidRPr="00233A80">
              <w:rPr>
                <w:rFonts w:ascii="Times New Roman" w:hAnsi="Times New Roman" w:cs="Times New Roman"/>
                <w:color w:val="000000"/>
              </w:rPr>
              <w:lastRenderedPageBreak/>
              <w:t>meanings. Small samples allow rich exploration</w:t>
            </w:r>
          </w:p>
        </w:tc>
        <w:tc>
          <w:tcPr>
            <w:tcW w:w="2717" w:type="dxa"/>
            <w:tcMar>
              <w:top w:w="0" w:type="dxa"/>
              <w:left w:w="108" w:type="dxa"/>
              <w:bottom w:w="0" w:type="dxa"/>
              <w:right w:w="108" w:type="dxa"/>
            </w:tcMar>
          </w:tcPr>
          <w:p w14:paraId="0E78EF50"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Collaborative interviews as dialogue, participatory observation where boundaries blur, co-operative inquiry involving participants as co-researchers, interactive focus groups, shared reflection sessions. Methods emphasise relationship-building, mutual engagement and co-</w:t>
            </w:r>
            <w:r w:rsidRPr="00233A80">
              <w:rPr>
                <w:rFonts w:ascii="Times New Roman" w:hAnsi="Times New Roman" w:cs="Times New Roman"/>
                <w:color w:val="000000"/>
              </w:rPr>
              <w:lastRenderedPageBreak/>
              <w:t>creation. Research process itself is data about how understanding emerges together</w:t>
            </w:r>
          </w:p>
        </w:tc>
        <w:tc>
          <w:tcPr>
            <w:tcW w:w="2475" w:type="dxa"/>
            <w:shd w:val="clear" w:color="auto" w:fill="FFCC00"/>
            <w:tcMar>
              <w:top w:w="0" w:type="dxa"/>
              <w:left w:w="108" w:type="dxa"/>
              <w:bottom w:w="0" w:type="dxa"/>
              <w:right w:w="108" w:type="dxa"/>
            </w:tcMar>
          </w:tcPr>
          <w:p w14:paraId="50818676"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 xml:space="preserve">Focus groups with different stakeholder groups, comparative interviews across groups, analysis of how different groups talk about phenomena, observation of group interactions and practices. Methods enable comparison of how different social groups construct </w:t>
            </w:r>
            <w:r w:rsidRPr="00233A80">
              <w:rPr>
                <w:rFonts w:ascii="Times New Roman" w:hAnsi="Times New Roman" w:cs="Times New Roman"/>
                <w:color w:val="000000"/>
              </w:rPr>
              <w:lastRenderedPageBreak/>
              <w:t>meanings. May include examining group-level artefacts, practices or communication patterns</w:t>
            </w:r>
          </w:p>
        </w:tc>
        <w:tc>
          <w:tcPr>
            <w:tcW w:w="2936" w:type="dxa"/>
            <w:shd w:val="clear" w:color="auto" w:fill="FFCCFF"/>
            <w:tcMar>
              <w:top w:w="0" w:type="dxa"/>
              <w:left w:w="108" w:type="dxa"/>
              <w:bottom w:w="0" w:type="dxa"/>
              <w:right w:w="108" w:type="dxa"/>
            </w:tcMar>
          </w:tcPr>
          <w:p w14:paraId="141031C4"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 xml:space="preserve">Critical interviews exploring experiences of oppression, participatory action research involving marginalised communities in all stages, analysis of power-laden texts and policies, activist ethnography embedded in communities. Methods aim to reveal hidden power structures, centre marginalised voices and </w:t>
            </w:r>
            <w:r w:rsidRPr="00233A80">
              <w:rPr>
                <w:rFonts w:ascii="Times New Roman" w:hAnsi="Times New Roman" w:cs="Times New Roman"/>
                <w:color w:val="000000"/>
              </w:rPr>
              <w:lastRenderedPageBreak/>
              <w:t>support transformative action. Research as intervention</w:t>
            </w:r>
          </w:p>
        </w:tc>
        <w:tc>
          <w:tcPr>
            <w:tcW w:w="2319" w:type="dxa"/>
            <w:shd w:val="clear" w:color="auto" w:fill="FFFF99"/>
            <w:tcMar>
              <w:top w:w="0" w:type="dxa"/>
              <w:left w:w="108" w:type="dxa"/>
              <w:bottom w:w="0" w:type="dxa"/>
              <w:right w:w="108" w:type="dxa"/>
            </w:tcMar>
          </w:tcPr>
          <w:p w14:paraId="4C51D7F6"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 xml:space="preserve">Whatever methods best address the problem: surveys for scope, interviews for depth, observations for context, experiments for causation. Mixed methods common. Iterative cycles testing solutions, action research, case studies of what </w:t>
            </w:r>
            <w:r w:rsidRPr="00233A80">
              <w:rPr>
                <w:rFonts w:ascii="Times New Roman" w:hAnsi="Times New Roman" w:cs="Times New Roman"/>
                <w:color w:val="000000"/>
              </w:rPr>
              <w:lastRenderedPageBreak/>
              <w:t>works, stakeholder consultations. Methods selected based on practical utility and feasibility, not philosophical consistency</w:t>
            </w:r>
          </w:p>
        </w:tc>
      </w:tr>
      <w:tr w:rsidR="00CE0861" w:rsidRPr="00233A80" w14:paraId="6C4D7B92" w14:textId="77777777">
        <w:tc>
          <w:tcPr>
            <w:tcW w:w="3726" w:type="dxa"/>
            <w:tcMar>
              <w:top w:w="0" w:type="dxa"/>
              <w:left w:w="108" w:type="dxa"/>
              <w:bottom w:w="0" w:type="dxa"/>
              <w:right w:w="108" w:type="dxa"/>
            </w:tcMar>
          </w:tcPr>
          <w:p w14:paraId="1EBE07C1"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lastRenderedPageBreak/>
              <w:t>Sampling</w:t>
            </w:r>
          </w:p>
        </w:tc>
        <w:tc>
          <w:tcPr>
            <w:tcW w:w="2574" w:type="dxa"/>
            <w:shd w:val="clear" w:color="auto" w:fill="99CCFF"/>
            <w:tcMar>
              <w:top w:w="0" w:type="dxa"/>
              <w:left w:w="108" w:type="dxa"/>
              <w:bottom w:w="0" w:type="dxa"/>
              <w:right w:w="108" w:type="dxa"/>
            </w:tcMar>
          </w:tcPr>
          <w:p w14:paraId="7B3C4543"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Probability sampling to ensure representativeness and generalisability. Random sampling, stratified sampling, or systematic sampling to minimise bias. Large sample sizes calculated through power analysis to detect statistically significant effects. Aims for samples representative of target population.</w:t>
            </w:r>
          </w:p>
        </w:tc>
        <w:tc>
          <w:tcPr>
            <w:tcW w:w="2453" w:type="dxa"/>
            <w:shd w:val="clear" w:color="auto" w:fill="66FFFF"/>
            <w:tcMar>
              <w:top w:w="0" w:type="dxa"/>
              <w:left w:w="108" w:type="dxa"/>
              <w:bottom w:w="0" w:type="dxa"/>
              <w:right w:w="108" w:type="dxa"/>
            </w:tcMar>
          </w:tcPr>
          <w:p w14:paraId="523A067D"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Combination of probability and purposive sampling depending on research phase. May use random sampling for quantitative component and purposive sampling for qualitative component. Sample size justified through statistical and theoretical considerations. Acknowledges practical constraints whilst maintaining rigour.</w:t>
            </w:r>
          </w:p>
        </w:tc>
        <w:tc>
          <w:tcPr>
            <w:tcW w:w="3141" w:type="dxa"/>
            <w:shd w:val="clear" w:color="auto" w:fill="CCFF99"/>
            <w:tcMar>
              <w:top w:w="0" w:type="dxa"/>
              <w:left w:w="108" w:type="dxa"/>
              <w:bottom w:w="0" w:type="dxa"/>
              <w:right w:w="108" w:type="dxa"/>
            </w:tcMar>
          </w:tcPr>
          <w:p w14:paraId="1717B9A9"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highlight w:val="yellow"/>
              </w:rPr>
              <w:t>Purposive sampling to select information-rich cases that illuminate the phenomenon. Criterion sampling, maximum variation sampling, or snowball sampling. Small sample sizes (often 10-30 participants) prioritising depth over breadth. Sampling continues until data saturation, when no new themes are identified. Focus on transferability rather than generalisability.</w:t>
            </w:r>
          </w:p>
          <w:p w14:paraId="043A507B" w14:textId="77777777" w:rsidR="00CE0861" w:rsidRPr="00233A80" w:rsidRDefault="00CE0861">
            <w:pPr>
              <w:spacing w:after="0" w:line="240" w:lineRule="auto"/>
              <w:rPr>
                <w:rFonts w:ascii="Times New Roman" w:hAnsi="Times New Roman" w:cs="Times New Roman"/>
              </w:rPr>
            </w:pPr>
          </w:p>
          <w:p w14:paraId="4C2E281E"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b/>
                <w:bCs/>
                <w:color w:val="000000"/>
                <w:highlight w:val="yellow"/>
              </w:rPr>
              <w:t>IPA:</w:t>
            </w:r>
            <w:r w:rsidRPr="00233A80">
              <w:rPr>
                <w:rFonts w:ascii="Times New Roman" w:hAnsi="Times New Roman" w:cs="Times New Roman"/>
                <w:color w:val="000000"/>
                <w:highlight w:val="yellow"/>
              </w:rPr>
              <w:t xml:space="preserve"> IPA does not use data saturation or maximum variation. Samples are small, purposive and deliberately homogeneous (participants who share the experience in question and for whom it is significant), so that variation within the group can be examined closely. Smith, Flowers and Larkin suggest roughly 4-10 interviews at professional doctorate level. Sample size is justified by depth of engagement with each case, not by saturation.</w:t>
            </w:r>
          </w:p>
        </w:tc>
        <w:tc>
          <w:tcPr>
            <w:tcW w:w="2717" w:type="dxa"/>
            <w:tcMar>
              <w:top w:w="0" w:type="dxa"/>
              <w:left w:w="108" w:type="dxa"/>
              <w:bottom w:w="0" w:type="dxa"/>
              <w:right w:w="108" w:type="dxa"/>
            </w:tcMar>
          </w:tcPr>
          <w:p w14:paraId="21C5F1E6"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Purposive and participatory sampling, participants selected for their ability to contribute to co-construction of knowledge. May involve participant nomination (participants suggest others). Sampling is collaborative, with participants involved in deciding who else should participate. Sample size determined by needs of collaborative inquiry and emergence of shared understanding.</w:t>
            </w:r>
          </w:p>
        </w:tc>
        <w:tc>
          <w:tcPr>
            <w:tcW w:w="2475" w:type="dxa"/>
            <w:shd w:val="clear" w:color="auto" w:fill="FFCC00"/>
            <w:tcMar>
              <w:top w:w="0" w:type="dxa"/>
              <w:left w:w="108" w:type="dxa"/>
              <w:bottom w:w="0" w:type="dxa"/>
              <w:right w:w="108" w:type="dxa"/>
            </w:tcMar>
          </w:tcPr>
          <w:p w14:paraId="41DDC6B7"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Purposive sampling across different stakeholder groups to enable comparison. Samples multiple groups (e.g., different departments, professional groups, hierarchical levels, cultural groups) to compare how they construct phenomena. Sample size per group typically 5-15 participants. Focus on comparing group perspectives</w:t>
            </w:r>
          </w:p>
        </w:tc>
        <w:tc>
          <w:tcPr>
            <w:tcW w:w="2936" w:type="dxa"/>
            <w:shd w:val="clear" w:color="auto" w:fill="FFCCFF"/>
            <w:tcMar>
              <w:top w:w="0" w:type="dxa"/>
              <w:left w:w="108" w:type="dxa"/>
              <w:bottom w:w="0" w:type="dxa"/>
              <w:right w:w="108" w:type="dxa"/>
            </w:tcMar>
          </w:tcPr>
          <w:p w14:paraId="741D433A"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Purposive sampling prioritising marginalised or oppressed voices often excluded from research. Critical case sampling to illuminate power relations and structural inequalities. Sample includes both those experiencing oppression and those in positions of power (to reveal power dynamics). Size determined by depth of critical analysis needed and representation of diverse experiences of marginalisation.</w:t>
            </w:r>
          </w:p>
        </w:tc>
        <w:tc>
          <w:tcPr>
            <w:tcW w:w="2319" w:type="dxa"/>
            <w:shd w:val="clear" w:color="auto" w:fill="FFFF99"/>
            <w:tcMar>
              <w:top w:w="0" w:type="dxa"/>
              <w:left w:w="108" w:type="dxa"/>
              <w:bottom w:w="0" w:type="dxa"/>
              <w:right w:w="108" w:type="dxa"/>
            </w:tcMar>
          </w:tcPr>
          <w:p w14:paraId="21A905BA"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Flexible sampling driven by practical research questions, whatever sampling approach best addresses the problem. May combine probability and purposive sampling. Sample size determined by practical considerations: available resources, timeframe and what's needed to answer the question adequately. Pragmatic balance between ideal and feasible.</w:t>
            </w:r>
          </w:p>
        </w:tc>
      </w:tr>
      <w:tr w:rsidR="00CE0861" w:rsidRPr="00233A80" w14:paraId="0C0EDAEA" w14:textId="77777777">
        <w:tc>
          <w:tcPr>
            <w:tcW w:w="3726" w:type="dxa"/>
            <w:tcMar>
              <w:top w:w="0" w:type="dxa"/>
              <w:left w:w="108" w:type="dxa"/>
              <w:bottom w:w="0" w:type="dxa"/>
              <w:right w:w="108" w:type="dxa"/>
            </w:tcMar>
          </w:tcPr>
          <w:p w14:paraId="738A896C"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t>Recruitment</w:t>
            </w:r>
          </w:p>
        </w:tc>
        <w:tc>
          <w:tcPr>
            <w:tcW w:w="2574" w:type="dxa"/>
            <w:shd w:val="clear" w:color="auto" w:fill="99CCFF"/>
            <w:tcMar>
              <w:top w:w="0" w:type="dxa"/>
              <w:left w:w="108" w:type="dxa"/>
              <w:bottom w:w="0" w:type="dxa"/>
              <w:right w:w="108" w:type="dxa"/>
            </w:tcMar>
          </w:tcPr>
          <w:p w14:paraId="24C6D7F7"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xml:space="preserve">Formal, systematic recruitment through institutional channels, databases, or registries to ensure random selection. Clear inclusion/exclusion criteria applied consistently. Recruitment materials standardised to avoid bias. Large-scale recruitment often through multiple sites. Emphasises objective, </w:t>
            </w:r>
            <w:r w:rsidRPr="00233A80">
              <w:rPr>
                <w:rFonts w:ascii="Times New Roman" w:hAnsi="Times New Roman" w:cs="Times New Roman"/>
                <w:color w:val="000000"/>
              </w:rPr>
              <w:lastRenderedPageBreak/>
              <w:t>replicable recruitment procedures that don't influence participant characteristics.</w:t>
            </w:r>
          </w:p>
        </w:tc>
        <w:tc>
          <w:tcPr>
            <w:tcW w:w="2453" w:type="dxa"/>
            <w:shd w:val="clear" w:color="auto" w:fill="66FFFF"/>
            <w:tcMar>
              <w:top w:w="0" w:type="dxa"/>
              <w:left w:w="108" w:type="dxa"/>
              <w:bottom w:w="0" w:type="dxa"/>
              <w:right w:w="108" w:type="dxa"/>
            </w:tcMar>
          </w:tcPr>
          <w:p w14:paraId="7B57EF93"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 xml:space="preserve">Systematic recruitment with multiple strategies combining formal and informal approaches. Clear criteria whilst acknowledging recruitment challenges. May use institutional channels for quantitative component and snowball/referral for qualitative. Documents recruitment challenges </w:t>
            </w:r>
            <w:r w:rsidRPr="00233A80">
              <w:rPr>
                <w:rFonts w:ascii="Times New Roman" w:hAnsi="Times New Roman" w:cs="Times New Roman"/>
                <w:color w:val="000000"/>
              </w:rPr>
              <w:lastRenderedPageBreak/>
              <w:t>and potential biases. Transparent about who declined participation and why.</w:t>
            </w:r>
          </w:p>
        </w:tc>
        <w:tc>
          <w:tcPr>
            <w:tcW w:w="3141" w:type="dxa"/>
            <w:shd w:val="clear" w:color="auto" w:fill="CCFF99"/>
            <w:tcMar>
              <w:top w:w="0" w:type="dxa"/>
              <w:left w:w="108" w:type="dxa"/>
              <w:bottom w:w="0" w:type="dxa"/>
              <w:right w:w="108" w:type="dxa"/>
            </w:tcMar>
          </w:tcPr>
          <w:p w14:paraId="778EDA3A"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 xml:space="preserve">Recruitment builds relationships and trust, often through gatekeepers, community networks, or snowball referrals. Researcher explains study purpose and builds rapport before formal recruitment. Recruitment materials emphasise participant voice and sharing experiences. Allows time for participants to consider involvement. Recruitment is iterative, may recruit </w:t>
            </w:r>
            <w:r w:rsidRPr="00233A80">
              <w:rPr>
                <w:rFonts w:ascii="Times New Roman" w:hAnsi="Times New Roman" w:cs="Times New Roman"/>
                <w:color w:val="000000"/>
              </w:rPr>
              <w:lastRenderedPageBreak/>
              <w:t>additional participants as understanding develops.</w:t>
            </w:r>
          </w:p>
        </w:tc>
        <w:tc>
          <w:tcPr>
            <w:tcW w:w="2717" w:type="dxa"/>
            <w:tcMar>
              <w:top w:w="0" w:type="dxa"/>
              <w:left w:w="108" w:type="dxa"/>
              <w:bottom w:w="0" w:type="dxa"/>
              <w:right w:w="108" w:type="dxa"/>
            </w:tcMar>
          </w:tcPr>
          <w:p w14:paraId="3E56DEC7"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 xml:space="preserve">Collaborative recruitment, initial participants may become co-recruiters, suggesting others who should be involved. Recruitment emphasises partnership and shared inquiry. Potential participants understand they'll be active co-researchers, not just data sources. Recruitment materials emphasise collaborative nature and participant </w:t>
            </w:r>
            <w:r w:rsidRPr="00233A80">
              <w:rPr>
                <w:rFonts w:ascii="Times New Roman" w:hAnsi="Times New Roman" w:cs="Times New Roman"/>
                <w:color w:val="000000"/>
              </w:rPr>
              <w:lastRenderedPageBreak/>
              <w:t>agency. Ongoing recruitment as inquiry evolves and new voices needed.</w:t>
            </w:r>
          </w:p>
        </w:tc>
        <w:tc>
          <w:tcPr>
            <w:tcW w:w="2475" w:type="dxa"/>
            <w:shd w:val="clear" w:color="auto" w:fill="FFCC00"/>
            <w:tcMar>
              <w:top w:w="0" w:type="dxa"/>
              <w:left w:w="108" w:type="dxa"/>
              <w:bottom w:w="0" w:type="dxa"/>
              <w:right w:w="108" w:type="dxa"/>
            </w:tcMar>
          </w:tcPr>
          <w:p w14:paraId="25AD4DF0"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 xml:space="preserve">Recruitment focuses on accessing different stakeholder groups within organisations or contexts. Recruits from multiple groups to enable comparison (e.g., through departmental contacts, professional networks, organisational gatekeepers). Clear communication about research exploring different group </w:t>
            </w:r>
            <w:r w:rsidRPr="00233A80">
              <w:rPr>
                <w:rFonts w:ascii="Times New Roman" w:hAnsi="Times New Roman" w:cs="Times New Roman"/>
                <w:color w:val="000000"/>
              </w:rPr>
              <w:lastRenderedPageBreak/>
              <w:t>perspectives. Emphasis on recruiting comparable numbers from each group</w:t>
            </w:r>
          </w:p>
        </w:tc>
        <w:tc>
          <w:tcPr>
            <w:tcW w:w="2936" w:type="dxa"/>
            <w:shd w:val="clear" w:color="auto" w:fill="FFCCFF"/>
            <w:tcMar>
              <w:top w:w="0" w:type="dxa"/>
              <w:left w:w="108" w:type="dxa"/>
              <w:bottom w:w="0" w:type="dxa"/>
              <w:right w:w="108" w:type="dxa"/>
            </w:tcMar>
          </w:tcPr>
          <w:p w14:paraId="0493BB45"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 xml:space="preserve">Recruitment centres marginalised voices, using community-based approaches, advocacy organisations and trusted gatekeepers. Addresses power imbalances in recruitment, recognising researcher privilege and participant vulnerability. May involve community advisory boards to guide ethical recruitment. Transparent about research's emancipatory </w:t>
            </w:r>
            <w:r w:rsidRPr="00233A80">
              <w:rPr>
                <w:rFonts w:ascii="Times New Roman" w:hAnsi="Times New Roman" w:cs="Times New Roman"/>
                <w:color w:val="000000"/>
              </w:rPr>
              <w:lastRenderedPageBreak/>
              <w:t>aims. Recruitment materials in accessible formats and languages, addressing barriers to participation.</w:t>
            </w:r>
          </w:p>
        </w:tc>
        <w:tc>
          <w:tcPr>
            <w:tcW w:w="2319" w:type="dxa"/>
            <w:shd w:val="clear" w:color="auto" w:fill="FFFF99"/>
            <w:tcMar>
              <w:top w:w="0" w:type="dxa"/>
              <w:left w:w="108" w:type="dxa"/>
              <w:bottom w:w="0" w:type="dxa"/>
              <w:right w:w="108" w:type="dxa"/>
            </w:tcMar>
          </w:tcPr>
          <w:p w14:paraId="3283F9B1"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 xml:space="preserve">Recruitment driven by practical access and feasibility, uses whatever channels effectively reach relevant participants. Flexible, adapting recruitment strategies based on what works. May combine multiple recruitment methods. Pragmatic about challenges, documents recruitment </w:t>
            </w:r>
            <w:r w:rsidRPr="00233A80">
              <w:rPr>
                <w:rFonts w:ascii="Times New Roman" w:hAnsi="Times New Roman" w:cs="Times New Roman"/>
                <w:color w:val="000000"/>
              </w:rPr>
              <w:lastRenderedPageBreak/>
              <w:t>adjustments made. Balances ideal recruitment with practical constraints. Focus on recruiting those who can provide actionable insights.</w:t>
            </w:r>
          </w:p>
        </w:tc>
      </w:tr>
      <w:tr w:rsidR="00CE0861" w:rsidRPr="00233A80" w14:paraId="309247DD" w14:textId="77777777">
        <w:tc>
          <w:tcPr>
            <w:tcW w:w="3726" w:type="dxa"/>
            <w:tcMar>
              <w:top w:w="0" w:type="dxa"/>
              <w:left w:w="108" w:type="dxa"/>
              <w:bottom w:w="0" w:type="dxa"/>
              <w:right w:w="108" w:type="dxa"/>
            </w:tcMar>
          </w:tcPr>
          <w:p w14:paraId="30F0EDCB"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lastRenderedPageBreak/>
              <w:t>Pilot Study</w:t>
            </w:r>
          </w:p>
        </w:tc>
        <w:tc>
          <w:tcPr>
            <w:tcW w:w="2574" w:type="dxa"/>
            <w:shd w:val="clear" w:color="auto" w:fill="99CCFF"/>
            <w:tcMar>
              <w:top w:w="0" w:type="dxa"/>
              <w:left w:w="108" w:type="dxa"/>
              <w:bottom w:w="0" w:type="dxa"/>
              <w:right w:w="108" w:type="dxa"/>
            </w:tcMar>
          </w:tcPr>
          <w:p w14:paraId="25DF53B9"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Essential to test instruments, procedures and protocols before main study. Pilots test validity and reliability of measurement instruments, timing of procedures and clarity of instructions. Statistical analysis of pilot data to assess instrument properties (eg Cronbach's alpha for internal consistency). Formal pilot with subset of target population (typically 10% of planned sample or minimum 30 participants). Results inform refinement of instruments and protocols. Pilot participants typically excluded from main study to avoid contamination. Documents any modifications made based on pilot findings.</w:t>
            </w:r>
          </w:p>
        </w:tc>
        <w:tc>
          <w:tcPr>
            <w:tcW w:w="2453" w:type="dxa"/>
            <w:shd w:val="clear" w:color="auto" w:fill="66FFFF"/>
            <w:tcMar>
              <w:top w:w="0" w:type="dxa"/>
              <w:left w:w="108" w:type="dxa"/>
              <w:bottom w:w="0" w:type="dxa"/>
              <w:right w:w="108" w:type="dxa"/>
            </w:tcMar>
          </w:tcPr>
          <w:p w14:paraId="039BA4EC"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Pilot study tests feasibility of mixed methods design and instruments whilst remaining open to refinement. Tests both quantitative measures and qualitative protocols to examine whether methods can capture complexity intended. Pilot findings may lead to substantial design modifications, recognised as learning opportunity rather than fixed protocol. Uses pilot to identify potential biases and practical challenges (recruitment difficulties, participant burden, timing issues). Transparent documentation of what changed after pilot and why. Pilot participants may or may not be included in main study depending on modifications made.</w:t>
            </w:r>
          </w:p>
        </w:tc>
        <w:tc>
          <w:tcPr>
            <w:tcW w:w="3141" w:type="dxa"/>
            <w:shd w:val="clear" w:color="auto" w:fill="CCFF99"/>
            <w:tcMar>
              <w:top w:w="0" w:type="dxa"/>
              <w:left w:w="108" w:type="dxa"/>
              <w:bottom w:w="0" w:type="dxa"/>
              <w:right w:w="108" w:type="dxa"/>
            </w:tcMar>
          </w:tcPr>
          <w:p w14:paraId="05129481"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Pilot interviews or observations test interview guide and researcher's interviewing skills. Focus on whether questions elicit rich, meaningful responses and whether researcher can build rapport effectively. Pilot helps researcher reflexively examine own assumptions, biases and interviewing approach, critical for researcher-as-instrument. Interview guide refined based on pilot, questions may be reordered, added, removed, or reworded to improve depth of responses. Timing and pacing adjusted. Pilot participants may be included in main study if ethically appropriate, as interpretive research is iterative and emergent rather than fixed.</w:t>
            </w:r>
          </w:p>
        </w:tc>
        <w:tc>
          <w:tcPr>
            <w:tcW w:w="2717" w:type="dxa"/>
            <w:tcMar>
              <w:top w:w="0" w:type="dxa"/>
              <w:left w:w="108" w:type="dxa"/>
              <w:bottom w:w="0" w:type="dxa"/>
              <w:right w:w="108" w:type="dxa"/>
            </w:tcMar>
          </w:tcPr>
          <w:p w14:paraId="34D7D721"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Pilot as collaborative learning, testing whether participatory methods genuinely facilitate co-construction. Pilots whether participants feel empowered as co-researchers and whether collaborative processes work as intended (eg do workshops enable genuine dialogue?). May pilot with small group of participants who then help refine approach for larger study, co-design of research process. Pilot findings shape collaborative inquiry design based on participant feedback. Pilot participants often continue as co-researchers in main study, as boundaries between pilot and main study are fluid in collaborative research. Emphasis on learning together about best collaborative approaches.</w:t>
            </w:r>
          </w:p>
        </w:tc>
        <w:tc>
          <w:tcPr>
            <w:tcW w:w="2475" w:type="dxa"/>
            <w:shd w:val="clear" w:color="auto" w:fill="FFCC00"/>
            <w:tcMar>
              <w:top w:w="0" w:type="dxa"/>
              <w:left w:w="108" w:type="dxa"/>
              <w:bottom w:w="0" w:type="dxa"/>
              <w:right w:w="108" w:type="dxa"/>
            </w:tcMar>
          </w:tcPr>
          <w:p w14:paraId="5764E4A7"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Pilot tests whether protocols work consistently across different groups and whether questions elicit comparable group constructions. Tests whether sampling achieves sufficient representation from each group. May pilot with subset of groups to refine comparative approach. Ensures interview/focus group protocols enable meaningful comparison whilst allowing each group to express their construction. Refines questions that don't work equally well across groups</w:t>
            </w:r>
          </w:p>
        </w:tc>
        <w:tc>
          <w:tcPr>
            <w:tcW w:w="2936" w:type="dxa"/>
            <w:shd w:val="clear" w:color="auto" w:fill="FFCCFF"/>
            <w:tcMar>
              <w:top w:w="0" w:type="dxa"/>
              <w:left w:w="108" w:type="dxa"/>
              <w:bottom w:w="0" w:type="dxa"/>
              <w:right w:w="108" w:type="dxa"/>
            </w:tcMar>
          </w:tcPr>
          <w:p w14:paraId="54A4C870"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Pilot tests whether methods genuinely centre marginalised voices and address power imbalances in research process itself. Examines whether recruitment reaches intended populations and whether participants feel psychologically and physically safe sharing experiences of oppression. May involve community consultation to refine approach, community advisory board reviews and suggests modifications. Pilot reveals power dynamics in research process that need addressing. Ensures methods are emancipatory and empowering, not exploitative, participant feedback shapes substantial changes. Community feedback takes precedence over researcher preferences. Pilot validates that research will benefit participants, not just extract their experiences.</w:t>
            </w:r>
          </w:p>
        </w:tc>
        <w:tc>
          <w:tcPr>
            <w:tcW w:w="2319" w:type="dxa"/>
            <w:shd w:val="clear" w:color="auto" w:fill="FFFF99"/>
            <w:tcMar>
              <w:top w:w="0" w:type="dxa"/>
              <w:left w:w="108" w:type="dxa"/>
              <w:bottom w:w="0" w:type="dxa"/>
              <w:right w:w="108" w:type="dxa"/>
            </w:tcMar>
          </w:tcPr>
          <w:p w14:paraId="50AA4E7F"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Pilot focused on practical feasibility, testing whether methods actually work in real-world context with real constraints. Pragmatic assessment of what works and what doesn't, without ideological commitment to particular methods. Flexible adaptation based on pilot findings, may substantially change approach if something isn't working. Tests whether methods generate actionable insights needed by stakeholders. May pilot with subset of contexts or settings to assess transferability. Pragmatic refinements made to maximise utility whilst maintaining quality. Pilot informs practical decisions about scope, methods and resource allocation. If pilot shows approach is infeasible, may completely redesign rather than persist.</w:t>
            </w:r>
          </w:p>
        </w:tc>
      </w:tr>
      <w:tr w:rsidR="00CE0861" w:rsidRPr="00233A80" w14:paraId="711B0E8E" w14:textId="77777777">
        <w:tc>
          <w:tcPr>
            <w:tcW w:w="3726" w:type="dxa"/>
            <w:tcMar>
              <w:top w:w="0" w:type="dxa"/>
              <w:left w:w="108" w:type="dxa"/>
              <w:bottom w:w="0" w:type="dxa"/>
              <w:right w:w="108" w:type="dxa"/>
            </w:tcMar>
          </w:tcPr>
          <w:p w14:paraId="76DBA812"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t>Data Collection</w:t>
            </w:r>
          </w:p>
        </w:tc>
        <w:tc>
          <w:tcPr>
            <w:tcW w:w="2574" w:type="dxa"/>
            <w:shd w:val="clear" w:color="auto" w:fill="99CCFF"/>
            <w:tcMar>
              <w:top w:w="0" w:type="dxa"/>
              <w:left w:w="108" w:type="dxa"/>
              <w:bottom w:w="0" w:type="dxa"/>
              <w:right w:w="108" w:type="dxa"/>
            </w:tcMar>
          </w:tcPr>
          <w:p w14:paraId="63CBC2FB"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Standardised protocols; controlled conditions; uniformly administered</w:t>
            </w:r>
          </w:p>
        </w:tc>
        <w:tc>
          <w:tcPr>
            <w:tcW w:w="2453" w:type="dxa"/>
            <w:shd w:val="clear" w:color="auto" w:fill="66FFFF"/>
            <w:tcMar>
              <w:top w:w="0" w:type="dxa"/>
              <w:left w:w="108" w:type="dxa"/>
              <w:bottom w:w="0" w:type="dxa"/>
              <w:right w:w="108" w:type="dxa"/>
            </w:tcMar>
          </w:tcPr>
          <w:p w14:paraId="1B040E8C"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Structured with flexibility; multiple sources; pilot-tested</w:t>
            </w:r>
          </w:p>
        </w:tc>
        <w:tc>
          <w:tcPr>
            <w:tcW w:w="3141" w:type="dxa"/>
            <w:shd w:val="clear" w:color="auto" w:fill="CCFF99"/>
            <w:tcMar>
              <w:top w:w="0" w:type="dxa"/>
              <w:left w:w="108" w:type="dxa"/>
              <w:bottom w:w="0" w:type="dxa"/>
              <w:right w:w="108" w:type="dxa"/>
            </w:tcMar>
          </w:tcPr>
          <w:p w14:paraId="05AED1E7"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Flexible semi-structured; audio-recorded; detailed field notes</w:t>
            </w:r>
          </w:p>
        </w:tc>
        <w:tc>
          <w:tcPr>
            <w:tcW w:w="2717" w:type="dxa"/>
            <w:tcMar>
              <w:top w:w="0" w:type="dxa"/>
              <w:left w:w="108" w:type="dxa"/>
              <w:bottom w:w="0" w:type="dxa"/>
              <w:right w:w="108" w:type="dxa"/>
            </w:tcMar>
          </w:tcPr>
          <w:p w14:paraId="1EB73182"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Collaborative iterative; participants shape process throughout</w:t>
            </w:r>
          </w:p>
        </w:tc>
        <w:tc>
          <w:tcPr>
            <w:tcW w:w="2475" w:type="dxa"/>
            <w:shd w:val="clear" w:color="auto" w:fill="FFCC00"/>
            <w:tcMar>
              <w:top w:w="0" w:type="dxa"/>
              <w:left w:w="108" w:type="dxa"/>
              <w:bottom w:w="0" w:type="dxa"/>
              <w:right w:w="108" w:type="dxa"/>
            </w:tcMar>
          </w:tcPr>
          <w:p w14:paraId="74F3109B"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xml:space="preserve">Consistent protocols across groups enabling comparison (typically focus groups or interviews). Separate </w:t>
            </w:r>
            <w:r w:rsidRPr="00233A80">
              <w:rPr>
                <w:rFonts w:ascii="Times New Roman" w:hAnsi="Times New Roman" w:cs="Times New Roman"/>
                <w:color w:val="000000"/>
              </w:rPr>
              <w:lastRenderedPageBreak/>
              <w:t>data collection with each stakeholder group (e.g., focus group with engineers, separate focus group with marketers). Structured to ask comparable questions whilst allowing groups to construct meanings naturally. May observe group interactions to see constructions in action</w:t>
            </w:r>
          </w:p>
        </w:tc>
        <w:tc>
          <w:tcPr>
            <w:tcW w:w="2936" w:type="dxa"/>
            <w:shd w:val="clear" w:color="auto" w:fill="FFCCFF"/>
            <w:tcMar>
              <w:top w:w="0" w:type="dxa"/>
              <w:left w:w="108" w:type="dxa"/>
              <w:bottom w:w="0" w:type="dxa"/>
              <w:right w:w="108" w:type="dxa"/>
            </w:tcMar>
          </w:tcPr>
          <w:p w14:paraId="2BD0F5FB"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Engaged with communities; attentive to power dynamics</w:t>
            </w:r>
          </w:p>
        </w:tc>
        <w:tc>
          <w:tcPr>
            <w:tcW w:w="2319" w:type="dxa"/>
            <w:shd w:val="clear" w:color="auto" w:fill="FFFF99"/>
            <w:tcMar>
              <w:top w:w="0" w:type="dxa"/>
              <w:left w:w="108" w:type="dxa"/>
              <w:bottom w:w="0" w:type="dxa"/>
              <w:right w:w="108" w:type="dxa"/>
            </w:tcMar>
          </w:tcPr>
          <w:p w14:paraId="0A7978C7"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Most efficient methods; iterative cycles; good enough data</w:t>
            </w:r>
          </w:p>
        </w:tc>
      </w:tr>
      <w:tr w:rsidR="00CE0861" w:rsidRPr="00233A80" w14:paraId="56045E48" w14:textId="77777777">
        <w:tc>
          <w:tcPr>
            <w:tcW w:w="3726" w:type="dxa"/>
            <w:tcMar>
              <w:top w:w="0" w:type="dxa"/>
              <w:left w:w="108" w:type="dxa"/>
              <w:bottom w:w="0" w:type="dxa"/>
              <w:right w:w="108" w:type="dxa"/>
            </w:tcMar>
          </w:tcPr>
          <w:p w14:paraId="360A5A7E"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t>Unit of Analysis</w:t>
            </w:r>
          </w:p>
        </w:tc>
        <w:tc>
          <w:tcPr>
            <w:tcW w:w="2574" w:type="dxa"/>
            <w:shd w:val="clear" w:color="auto" w:fill="99CCFF"/>
            <w:tcMar>
              <w:top w:w="0" w:type="dxa"/>
              <w:left w:w="108" w:type="dxa"/>
              <w:bottom w:w="0" w:type="dxa"/>
              <w:right w:w="108" w:type="dxa"/>
            </w:tcMar>
          </w:tcPr>
          <w:p w14:paraId="463E65D2"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Variables and relationships across populations</w:t>
            </w:r>
          </w:p>
        </w:tc>
        <w:tc>
          <w:tcPr>
            <w:tcW w:w="2453" w:type="dxa"/>
            <w:shd w:val="clear" w:color="auto" w:fill="66FFFF"/>
            <w:tcMar>
              <w:top w:w="0" w:type="dxa"/>
              <w:left w:w="108" w:type="dxa"/>
              <w:bottom w:w="0" w:type="dxa"/>
              <w:right w:w="108" w:type="dxa"/>
            </w:tcMar>
          </w:tcPr>
          <w:p w14:paraId="62D4FF28"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Variables with contextual factors considered</w:t>
            </w:r>
          </w:p>
        </w:tc>
        <w:tc>
          <w:tcPr>
            <w:tcW w:w="3141" w:type="dxa"/>
            <w:shd w:val="clear" w:color="auto" w:fill="CCFF99"/>
            <w:tcMar>
              <w:top w:w="0" w:type="dxa"/>
              <w:left w:w="108" w:type="dxa"/>
              <w:bottom w:w="0" w:type="dxa"/>
              <w:right w:w="108" w:type="dxa"/>
            </w:tcMar>
          </w:tcPr>
          <w:p w14:paraId="204D8184"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Individual meaning and subjective experience</w:t>
            </w:r>
          </w:p>
        </w:tc>
        <w:tc>
          <w:tcPr>
            <w:tcW w:w="2717" w:type="dxa"/>
            <w:tcMar>
              <w:top w:w="0" w:type="dxa"/>
              <w:left w:w="108" w:type="dxa"/>
              <w:bottom w:w="0" w:type="dxa"/>
              <w:right w:w="108" w:type="dxa"/>
            </w:tcMar>
          </w:tcPr>
          <w:p w14:paraId="586E7294"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Co-constructed meanings and relational processes</w:t>
            </w:r>
          </w:p>
        </w:tc>
        <w:tc>
          <w:tcPr>
            <w:tcW w:w="2475" w:type="dxa"/>
            <w:shd w:val="clear" w:color="auto" w:fill="FFCC00"/>
            <w:tcMar>
              <w:top w:w="0" w:type="dxa"/>
              <w:left w:w="108" w:type="dxa"/>
              <w:bottom w:w="0" w:type="dxa"/>
              <w:right w:w="108" w:type="dxa"/>
            </w:tcMar>
          </w:tcPr>
          <w:p w14:paraId="202E7880"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Group-level constructions: Examines how different groups (cultures, organisations, communities) collectively construct and maintain social realities. Comparative analysis across groups</w:t>
            </w:r>
          </w:p>
        </w:tc>
        <w:tc>
          <w:tcPr>
            <w:tcW w:w="2936" w:type="dxa"/>
            <w:shd w:val="clear" w:color="auto" w:fill="FFCCFF"/>
            <w:tcMar>
              <w:top w:w="0" w:type="dxa"/>
              <w:left w:w="108" w:type="dxa"/>
              <w:bottom w:w="0" w:type="dxa"/>
              <w:right w:w="108" w:type="dxa"/>
            </w:tcMar>
          </w:tcPr>
          <w:p w14:paraId="31D18D15"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Power structures, systems, institutional practices</w:t>
            </w:r>
          </w:p>
        </w:tc>
        <w:tc>
          <w:tcPr>
            <w:tcW w:w="2319" w:type="dxa"/>
            <w:shd w:val="clear" w:color="auto" w:fill="FFFF99"/>
            <w:tcMar>
              <w:top w:w="0" w:type="dxa"/>
              <w:left w:w="108" w:type="dxa"/>
              <w:bottom w:w="0" w:type="dxa"/>
              <w:right w:w="108" w:type="dxa"/>
            </w:tcMar>
          </w:tcPr>
          <w:p w14:paraId="4F1E3C83"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Problems and practical solutions at any level</w:t>
            </w:r>
          </w:p>
        </w:tc>
      </w:tr>
      <w:tr w:rsidR="00CE0861" w:rsidRPr="00233A80" w14:paraId="645D968C" w14:textId="77777777">
        <w:tc>
          <w:tcPr>
            <w:tcW w:w="3726" w:type="dxa"/>
            <w:tcMar>
              <w:top w:w="0" w:type="dxa"/>
              <w:left w:w="108" w:type="dxa"/>
              <w:bottom w:w="0" w:type="dxa"/>
              <w:right w:w="108" w:type="dxa"/>
            </w:tcMar>
          </w:tcPr>
          <w:p w14:paraId="00A1D131"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t>Data Analysis</w:t>
            </w:r>
          </w:p>
        </w:tc>
        <w:tc>
          <w:tcPr>
            <w:tcW w:w="2574" w:type="dxa"/>
            <w:shd w:val="clear" w:color="auto" w:fill="99CCFF"/>
            <w:tcMar>
              <w:top w:w="0" w:type="dxa"/>
              <w:left w:w="108" w:type="dxa"/>
              <w:bottom w:w="0" w:type="dxa"/>
              <w:right w:w="108" w:type="dxa"/>
            </w:tcMar>
          </w:tcPr>
          <w:p w14:paraId="5AE300E4"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Statistical analysis using predetermined methods: descriptive statistics, inferential tests (t-tests, ANOVA, regression), tests of significance. Hypothesis testing with clear accept/reject decisions. Software packages (SPSS, R, SAS) for rigorous calculation. Analysis separated from data collection. Results presented in tables, graphs and numerical summaries showing relationships between variables</w:t>
            </w:r>
          </w:p>
        </w:tc>
        <w:tc>
          <w:tcPr>
            <w:tcW w:w="2453" w:type="dxa"/>
            <w:shd w:val="clear" w:color="auto" w:fill="66FFFF"/>
            <w:tcMar>
              <w:top w:w="0" w:type="dxa"/>
              <w:left w:w="108" w:type="dxa"/>
              <w:bottom w:w="0" w:type="dxa"/>
              <w:right w:w="108" w:type="dxa"/>
            </w:tcMar>
          </w:tcPr>
          <w:p w14:paraId="51A61E98"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Integrated analysis combining statistical and interpretive approaches. Quantitative analysis identifies patterns, qualitative analysis explains them. May use statistical software alongside qualitative coding software (NVivo). Iterative process where quantitative findings prompt qualitative exploration. Multiple analysts may code data to check agreement. Mixed methods integration occurs during analysis</w:t>
            </w:r>
          </w:p>
        </w:tc>
        <w:tc>
          <w:tcPr>
            <w:tcW w:w="3141" w:type="dxa"/>
            <w:shd w:val="clear" w:color="auto" w:fill="CCFF99"/>
            <w:tcMar>
              <w:top w:w="0" w:type="dxa"/>
              <w:left w:w="108" w:type="dxa"/>
              <w:bottom w:w="0" w:type="dxa"/>
              <w:right w:w="108" w:type="dxa"/>
            </w:tcMar>
          </w:tcPr>
          <w:p w14:paraId="6CF08482"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highlight w:val="yellow"/>
              </w:rPr>
              <w:t>Iterative, inductive coding and thematic analysis. Begins with open coding, reading transcripts line-by-line to identify concepts. Groups codes into categories, then organises categories into themes. Constant comparison across cases to refine themes. Researcher immerses in data, writing memos throughout. Software like NVivo aids organisation but researcher does interpretive work. Analysis is interpretive craft, shaped by researcher's insights and theoretical sensitivity.</w:t>
            </w:r>
          </w:p>
          <w:p w14:paraId="62186084" w14:textId="77777777" w:rsidR="00CE0861" w:rsidRPr="00233A80" w:rsidRDefault="00CE0861">
            <w:pPr>
              <w:spacing w:after="0" w:line="240" w:lineRule="auto"/>
              <w:rPr>
                <w:rFonts w:ascii="Times New Roman" w:hAnsi="Times New Roman" w:cs="Times New Roman"/>
              </w:rPr>
            </w:pPr>
          </w:p>
          <w:p w14:paraId="5C3B9A5E"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b/>
                <w:bCs/>
                <w:color w:val="000000"/>
                <w:highlight w:val="yellow"/>
              </w:rPr>
              <w:t>IPA:</w:t>
            </w:r>
            <w:r w:rsidRPr="00233A80">
              <w:rPr>
                <w:rFonts w:ascii="Times New Roman" w:hAnsi="Times New Roman" w:cs="Times New Roman"/>
                <w:color w:val="000000"/>
                <w:highlight w:val="yellow"/>
              </w:rPr>
              <w:t xml:space="preserve"> IPA does not use open coding or constant comparison (these belong to grounded theory). Analysis is idiographic: each case is analysed fully before moving to the next. Steps (Smith, Flowers and Larkin, 2022): (1) reading and re-reading; (2) </w:t>
            </w:r>
            <w:r w:rsidRPr="00233A80">
              <w:rPr>
                <w:rFonts w:ascii="Times New Roman" w:hAnsi="Times New Roman" w:cs="Times New Roman"/>
                <w:color w:val="000000"/>
                <w:highlight w:val="yellow"/>
              </w:rPr>
              <w:lastRenderedPageBreak/>
              <w:t xml:space="preserve">exploratory notes (descriptive, linguistic, conceptual); (3) constructing experiential statements; (4) searching for connections across experiential statements; (5) naming and consolidating Personal Experiential Themes (PETs) for that case; (6) repeating for each case; (7) developing Group Experiential Themes (GETs) across cases, showing both </w:t>
            </w:r>
            <w:r w:rsidRPr="00233A80">
              <w:rPr>
                <w:rFonts w:ascii="Times New Roman" w:hAnsi="Times New Roman" w:cs="Times New Roman"/>
                <w:color w:val="000000"/>
                <w:highlight w:val="yellow"/>
              </w:rPr>
              <w:lastRenderedPageBreak/>
              <w:t>shared patterns and individual variation. Analysis moves around the hermeneutic circle, between the part and the whole.</w:t>
            </w:r>
          </w:p>
          <w:p w14:paraId="759DEFFF" w14:textId="77777777" w:rsidR="00CE0861" w:rsidRPr="00233A80" w:rsidRDefault="00CE0861">
            <w:pPr>
              <w:spacing w:after="0" w:line="240" w:lineRule="auto"/>
              <w:rPr>
                <w:rFonts w:ascii="Times New Roman" w:hAnsi="Times New Roman" w:cs="Times New Roman"/>
              </w:rPr>
            </w:pPr>
          </w:p>
          <w:p w14:paraId="470D0066"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b/>
                <w:bCs/>
                <w:color w:val="000000"/>
                <w:highlight w:val="yellow"/>
              </w:rPr>
              <w:t>TERMINOLOGY HAS CHANGED – check which edition your sources use:</w:t>
            </w:r>
          </w:p>
          <w:p w14:paraId="58D51F25" w14:textId="77777777" w:rsidR="00CE0861" w:rsidRPr="00233A80" w:rsidRDefault="00CE0861">
            <w:pPr>
              <w:spacing w:after="0" w:line="240" w:lineRule="auto"/>
              <w:rPr>
                <w:rFonts w:ascii="Times New Roman" w:hAnsi="Times New Roman" w:cs="Times New Roman"/>
              </w:rPr>
            </w:pPr>
          </w:p>
          <w:p w14:paraId="0318C355"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b/>
                <w:bCs/>
                <w:color w:val="000000"/>
                <w:highlight w:val="yellow"/>
              </w:rPr>
              <w:t>Thematic Analysis → Reflexive Thematic Analysis (Braun and Clarke)</w:t>
            </w:r>
          </w:p>
          <w:p w14:paraId="680A5524"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highlight w:val="yellow"/>
              </w:rPr>
              <w:t>Braun and Clarke's original 2006 paper used the term 'thematic analysis'. From 2019 they renamed their approach 'reflexive thematic analysis' (reflexive TA) to distinguish it from coding-reliability and codebook versions of TA, and to emphasise that themes are actively generated by the researcher, not found in the data. Their six phases were also renamed:</w:t>
            </w:r>
          </w:p>
          <w:p w14:paraId="6F7127EF"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highlight w:val="yellow"/>
              </w:rPr>
              <w:t>• Searching for themes → Generating initial themes</w:t>
            </w:r>
          </w:p>
          <w:p w14:paraId="6315F535"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highlight w:val="yellow"/>
              </w:rPr>
              <w:t>• Reviewing themes → Developing and reviewing themes</w:t>
            </w:r>
          </w:p>
          <w:p w14:paraId="5C6CD5FB"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highlight w:val="yellow"/>
              </w:rPr>
              <w:t>• Defining and naming themes → Refining, defining and naming themes</w:t>
            </w:r>
          </w:p>
          <w:p w14:paraId="5659F552"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highlight w:val="yellow"/>
              </w:rPr>
              <w:t>• Producing the report → Writing up</w:t>
            </w:r>
          </w:p>
          <w:p w14:paraId="54251D49"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highlight w:val="yellow"/>
              </w:rPr>
              <w:t xml:space="preserve">Students should say 'reflexive thematic analysis' and cite the </w:t>
            </w:r>
            <w:r w:rsidRPr="00233A80">
              <w:rPr>
                <w:rFonts w:ascii="Times New Roman" w:hAnsi="Times New Roman" w:cs="Times New Roman"/>
                <w:color w:val="000000"/>
                <w:highlight w:val="yellow"/>
              </w:rPr>
              <w:lastRenderedPageBreak/>
              <w:t>current sources, not only the 2006 paper.</w:t>
            </w:r>
          </w:p>
          <w:p w14:paraId="2EE152D6" w14:textId="77777777" w:rsidR="00CE0861" w:rsidRPr="00233A80" w:rsidRDefault="00CE0861">
            <w:pPr>
              <w:spacing w:after="0" w:line="240" w:lineRule="auto"/>
              <w:rPr>
                <w:rFonts w:ascii="Times New Roman" w:hAnsi="Times New Roman" w:cs="Times New Roman"/>
              </w:rPr>
            </w:pPr>
          </w:p>
          <w:p w14:paraId="1533A300"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b/>
                <w:bCs/>
                <w:color w:val="000000"/>
                <w:highlight w:val="yellow"/>
              </w:rPr>
              <w:t>IPA (Smith, Flowers and Larkin, 2009 → 2nd ed. 2022)</w:t>
            </w:r>
          </w:p>
          <w:p w14:paraId="790106DF"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highlight w:val="yellow"/>
              </w:rPr>
              <w:lastRenderedPageBreak/>
              <w:t>• Emergent themes → Experiential statements</w:t>
            </w:r>
          </w:p>
          <w:p w14:paraId="37718AFA"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highlight w:val="yellow"/>
              </w:rPr>
              <w:t>• Superordinate themes (for each case) → Personal Experiential Themes (PETs)</w:t>
            </w:r>
          </w:p>
          <w:p w14:paraId="19ED7D4D"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highlight w:val="yellow"/>
              </w:rPr>
              <w:t>• Superordinate / master themes (across cases) → Group Experiential Themes (GETs)</w:t>
            </w:r>
          </w:p>
          <w:p w14:paraId="46ECBCB4"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highlight w:val="yellow"/>
              </w:rPr>
              <w:t>Students using the 2009 edition should either use the updated terms or explain which edition they are following.</w:t>
            </w:r>
          </w:p>
          <w:p w14:paraId="0310150B" w14:textId="77777777" w:rsidR="00CE0861" w:rsidRPr="00233A80" w:rsidRDefault="00CE0861">
            <w:pPr>
              <w:spacing w:after="0" w:line="240" w:lineRule="auto"/>
              <w:rPr>
                <w:rFonts w:ascii="Times New Roman" w:hAnsi="Times New Roman" w:cs="Times New Roman"/>
              </w:rPr>
            </w:pPr>
          </w:p>
          <w:p w14:paraId="1B03FDB2"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b/>
                <w:bCs/>
                <w:color w:val="000000"/>
                <w:highlight w:val="yellow"/>
              </w:rPr>
              <w:t>Key sources:</w:t>
            </w:r>
            <w:r w:rsidRPr="00233A80">
              <w:rPr>
                <w:rFonts w:ascii="Times New Roman" w:hAnsi="Times New Roman" w:cs="Times New Roman"/>
                <w:color w:val="000000"/>
                <w:highlight w:val="yellow"/>
              </w:rPr>
              <w:t xml:space="preserve"> Braun, V. and Clarke, V. (2006) Using thematic analysis in psychology. Qualitative Research in Psychology; Braun, V. and Clarke, V. (2019) Reflecting on reflexive thematic analysis. Qualitative Research in Sport, Exercise and Health; Braun, V. and Clarke, V. (2022) Thematic Analysis: A Practical Guide. Sage; Smith, J.A., Flowers, P. and Larkin, M. (2022) Interpretative Phenomenological Analysis: Theory, Method and Research. 2nd edn. Sage.</w:t>
            </w:r>
          </w:p>
        </w:tc>
        <w:tc>
          <w:tcPr>
            <w:tcW w:w="2717" w:type="dxa"/>
            <w:tcMar>
              <w:top w:w="0" w:type="dxa"/>
              <w:left w:w="108" w:type="dxa"/>
              <w:bottom w:w="0" w:type="dxa"/>
              <w:right w:w="108" w:type="dxa"/>
            </w:tcMar>
          </w:tcPr>
          <w:p w14:paraId="03286013"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Collaborative analysis where participants engage in interpretation. May involve returning transcripts to participants for reflection, holding analysis workshops where participants discuss emerging themes, or creating collective interpretations. Analysis examines both content and process, what meanings emerged and how they were co-created. Seeks consensus or acknowledges multiple valid interpretations. Participants may have final say on interpretations</w:t>
            </w:r>
          </w:p>
        </w:tc>
        <w:tc>
          <w:tcPr>
            <w:tcW w:w="2475" w:type="dxa"/>
            <w:shd w:val="clear" w:color="auto" w:fill="FFCC00"/>
            <w:tcMar>
              <w:top w:w="0" w:type="dxa"/>
              <w:left w:w="108" w:type="dxa"/>
              <w:bottom w:w="0" w:type="dxa"/>
              <w:right w:w="108" w:type="dxa"/>
            </w:tcMar>
          </w:tcPr>
          <w:p w14:paraId="3EFA6B2E"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Comparative analysis across groups identifying patterns and differences in how groups construct phenomena. Codes how each group talks about the topic, then systematically compares: What differs? What's similar? What explains variations? Creates matrices comparing group constructions. Examines what's taken-for-granted within each group. Recognises researcher's own group influences interpretation. Focus on understanding multiple present realities</w:t>
            </w:r>
          </w:p>
        </w:tc>
        <w:tc>
          <w:tcPr>
            <w:tcW w:w="2936" w:type="dxa"/>
            <w:shd w:val="clear" w:color="auto" w:fill="FFCCFF"/>
            <w:tcMar>
              <w:top w:w="0" w:type="dxa"/>
              <w:left w:w="108" w:type="dxa"/>
              <w:bottom w:w="0" w:type="dxa"/>
              <w:right w:w="108" w:type="dxa"/>
            </w:tcMar>
          </w:tcPr>
          <w:p w14:paraId="27EE98FC"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Critical analysis examining power relations and ideology. Analyses both explicit content and underlying assumptions, whose voices are privileged, whose are marginalised, what's taken-for-granted. Examines how language and practices maintain inequities. Compares marginalised versus dominant group perspectives. Analyses researcher's own position and potential complicity. Seeks to reveal hidden power structures and imagine alternatives. Analysis itself is political act</w:t>
            </w:r>
          </w:p>
        </w:tc>
        <w:tc>
          <w:tcPr>
            <w:tcW w:w="2319" w:type="dxa"/>
            <w:shd w:val="clear" w:color="auto" w:fill="FFFF99"/>
            <w:tcMar>
              <w:top w:w="0" w:type="dxa"/>
              <w:left w:w="108" w:type="dxa"/>
              <w:bottom w:w="0" w:type="dxa"/>
              <w:right w:w="108" w:type="dxa"/>
            </w:tcMar>
          </w:tcPr>
          <w:p w14:paraId="076FBACA"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Practical analysis focused on actionable insights. Analyses what works, what doesn't, why and under what conditions. May combine statistical patterns with case examples. Quick analysis cycles feed back into practice, analyse, identify improvements, implement, analyse again. Involves stakeholders in making sense of data, 'What does this mean for practice?'. Values speed and utility over theoretical sophistication. Analysis judged by whether it enables better decisions</w:t>
            </w:r>
          </w:p>
        </w:tc>
      </w:tr>
      <w:tr w:rsidR="00CE0861" w:rsidRPr="00233A80" w14:paraId="3E0181AC" w14:textId="77777777">
        <w:tc>
          <w:tcPr>
            <w:tcW w:w="3726" w:type="dxa"/>
            <w:tcMar>
              <w:top w:w="0" w:type="dxa"/>
              <w:left w:w="108" w:type="dxa"/>
              <w:bottom w:w="0" w:type="dxa"/>
              <w:right w:w="108" w:type="dxa"/>
            </w:tcMar>
          </w:tcPr>
          <w:p w14:paraId="7565576A"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highlight w:val="yellow"/>
              </w:rPr>
              <w:lastRenderedPageBreak/>
              <w:t>Reasoning Approach</w:t>
            </w:r>
          </w:p>
          <w:p w14:paraId="4BD7868D" w14:textId="77777777" w:rsidR="00CE0861" w:rsidRPr="00233A80" w:rsidRDefault="00CE0861">
            <w:pPr>
              <w:spacing w:after="0" w:line="240" w:lineRule="auto"/>
              <w:rPr>
                <w:rFonts w:ascii="Times New Roman" w:hAnsi="Times New Roman" w:cs="Times New Roman"/>
                <w:b/>
                <w:bCs/>
              </w:rPr>
            </w:pPr>
          </w:p>
          <w:p w14:paraId="2651B19B"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highlight w:val="yellow"/>
              </w:rPr>
              <w:t>Deductive:</w:t>
            </w:r>
            <w:r w:rsidRPr="00233A80">
              <w:rPr>
                <w:rFonts w:ascii="Times New Roman" w:hAnsi="Times New Roman" w:cs="Times New Roman"/>
                <w:color w:val="000000"/>
                <w:highlight w:val="yellow"/>
              </w:rPr>
              <w:t xml:space="preserve"> theory → data. Start with a theory or hypothesis and test it against data.</w:t>
            </w:r>
          </w:p>
          <w:p w14:paraId="27174DBE" w14:textId="77777777" w:rsidR="00CE0861" w:rsidRPr="00233A80" w:rsidRDefault="00CE0861">
            <w:pPr>
              <w:spacing w:after="0" w:line="240" w:lineRule="auto"/>
              <w:rPr>
                <w:rFonts w:ascii="Times New Roman" w:hAnsi="Times New Roman" w:cs="Times New Roman"/>
                <w:b/>
                <w:bCs/>
              </w:rPr>
            </w:pPr>
          </w:p>
          <w:p w14:paraId="440E41F9"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highlight w:val="yellow"/>
              </w:rPr>
              <w:t>Inductive:</w:t>
            </w:r>
            <w:r w:rsidRPr="00233A80">
              <w:rPr>
                <w:rFonts w:ascii="Times New Roman" w:hAnsi="Times New Roman" w:cs="Times New Roman"/>
                <w:color w:val="000000"/>
                <w:highlight w:val="yellow"/>
              </w:rPr>
              <w:t xml:space="preserve"> data → theory. Start with data and build patterns and concepts from it.</w:t>
            </w:r>
          </w:p>
          <w:p w14:paraId="7205C006" w14:textId="77777777" w:rsidR="00CE0861" w:rsidRPr="00233A80" w:rsidRDefault="00CE0861">
            <w:pPr>
              <w:spacing w:after="0" w:line="240" w:lineRule="auto"/>
              <w:rPr>
                <w:rFonts w:ascii="Times New Roman" w:hAnsi="Times New Roman" w:cs="Times New Roman"/>
                <w:b/>
                <w:bCs/>
              </w:rPr>
            </w:pPr>
          </w:p>
          <w:p w14:paraId="61A4ACD3"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highlight w:val="yellow"/>
              </w:rPr>
              <w:t>Abductive:</w:t>
            </w:r>
            <w:r w:rsidRPr="00233A80">
              <w:rPr>
                <w:rFonts w:ascii="Times New Roman" w:hAnsi="Times New Roman" w:cs="Times New Roman"/>
                <w:color w:val="000000"/>
                <w:highlight w:val="yellow"/>
              </w:rPr>
              <w:t xml:space="preserve"> theory </w:t>
            </w:r>
            <w:r w:rsidRPr="00233A80">
              <w:rPr>
                <w:rFonts w:ascii="Cambria Math" w:hAnsi="Cambria Math" w:cs="Cambria Math"/>
                <w:color w:val="000000"/>
                <w:highlight w:val="yellow"/>
              </w:rPr>
              <w:t>⇄</w:t>
            </w:r>
            <w:r w:rsidRPr="00233A80">
              <w:rPr>
                <w:rFonts w:ascii="Times New Roman" w:hAnsi="Times New Roman" w:cs="Times New Roman"/>
                <w:color w:val="000000"/>
                <w:highlight w:val="yellow"/>
              </w:rPr>
              <w:t xml:space="preserve"> data, back and forth. Start with something surprising or puzzling in the data, then move repeatedly between data </w:t>
            </w:r>
            <w:r w:rsidRPr="00233A80">
              <w:rPr>
                <w:rFonts w:ascii="Times New Roman" w:hAnsi="Times New Roman" w:cs="Times New Roman"/>
                <w:color w:val="000000"/>
                <w:highlight w:val="yellow"/>
              </w:rPr>
              <w:lastRenderedPageBreak/>
              <w:t xml:space="preserve">and theory to find the best explanation for it. Theory and data </w:t>
            </w:r>
            <w:r w:rsidRPr="00233A80">
              <w:rPr>
                <w:rFonts w:ascii="Times New Roman" w:hAnsi="Times New Roman" w:cs="Times New Roman"/>
                <w:color w:val="000000"/>
                <w:highlight w:val="yellow"/>
              </w:rPr>
              <w:lastRenderedPageBreak/>
              <w:t>are revisited and refined in cycles. (Term coined by Charles Sanders Peirce, a founder of pragmatism.)</w:t>
            </w:r>
          </w:p>
          <w:p w14:paraId="0587043B" w14:textId="77777777" w:rsidR="00CE0861" w:rsidRPr="00233A80" w:rsidRDefault="00CE0861">
            <w:pPr>
              <w:spacing w:after="0" w:line="240" w:lineRule="auto"/>
              <w:rPr>
                <w:rFonts w:ascii="Times New Roman" w:hAnsi="Times New Roman" w:cs="Times New Roman"/>
                <w:b/>
                <w:bCs/>
              </w:rPr>
            </w:pPr>
          </w:p>
          <w:p w14:paraId="27B9FC4A"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color w:val="000000"/>
                <w:highlight w:val="yellow"/>
              </w:rPr>
              <w:t>Note: in practice, most qualitative doctoral studies are abductive to some degree, even when they describe themselves as inductive.</w:t>
            </w:r>
          </w:p>
        </w:tc>
        <w:tc>
          <w:tcPr>
            <w:tcW w:w="2574" w:type="dxa"/>
            <w:shd w:val="clear" w:color="auto" w:fill="99CCFF"/>
            <w:tcMar>
              <w:top w:w="0" w:type="dxa"/>
              <w:left w:w="108" w:type="dxa"/>
              <w:bottom w:w="0" w:type="dxa"/>
              <w:right w:w="108" w:type="dxa"/>
            </w:tcMar>
          </w:tcPr>
          <w:p w14:paraId="251066D8"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Deductive: Starts with general theories and hypotheses, then tests them through specific observations and data collection to confirm or refute</w:t>
            </w:r>
          </w:p>
        </w:tc>
        <w:tc>
          <w:tcPr>
            <w:tcW w:w="2453" w:type="dxa"/>
            <w:shd w:val="clear" w:color="auto" w:fill="66FFFF"/>
            <w:tcMar>
              <w:top w:w="0" w:type="dxa"/>
              <w:left w:w="108" w:type="dxa"/>
              <w:bottom w:w="0" w:type="dxa"/>
              <w:right w:w="108" w:type="dxa"/>
            </w:tcMar>
          </w:tcPr>
          <w:p w14:paraId="01463CA5"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Deductive: Begins with theoretical propositions that are tested and refined through empirical evidence; allows for theory modification based on findings</w:t>
            </w:r>
          </w:p>
        </w:tc>
        <w:tc>
          <w:tcPr>
            <w:tcW w:w="3141" w:type="dxa"/>
            <w:shd w:val="clear" w:color="auto" w:fill="CCFF99"/>
            <w:tcMar>
              <w:top w:w="0" w:type="dxa"/>
              <w:left w:w="108" w:type="dxa"/>
              <w:bottom w:w="0" w:type="dxa"/>
              <w:right w:w="108" w:type="dxa"/>
            </w:tcMar>
          </w:tcPr>
          <w:p w14:paraId="7E91470D"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b/>
                <w:bCs/>
                <w:color w:val="000000"/>
                <w:highlight w:val="yellow"/>
              </w:rPr>
              <w:t>Predominantly inductive:</w:t>
            </w:r>
            <w:r w:rsidRPr="00233A80">
              <w:rPr>
                <w:rFonts w:ascii="Times New Roman" w:hAnsi="Times New Roman" w:cs="Times New Roman"/>
                <w:color w:val="000000"/>
                <w:highlight w:val="yellow"/>
              </w:rPr>
              <w:t xml:space="preserve"> Builds understanding from specific observations and experiences. Patterns and meanings are developed by the researcher through close engagement with participants' accounts, rather than tested against predetermined theories. In practice, interpretive analysis is often abductive: the researcher moves back and forth between the data and their </w:t>
            </w:r>
            <w:r w:rsidRPr="00233A80">
              <w:rPr>
                <w:rFonts w:ascii="Times New Roman" w:hAnsi="Times New Roman" w:cs="Times New Roman"/>
                <w:color w:val="000000"/>
                <w:highlight w:val="yellow"/>
              </w:rPr>
              <w:lastRenderedPageBreak/>
              <w:t xml:space="preserve">developing interpretation (the </w:t>
            </w:r>
            <w:r w:rsidRPr="00233A80">
              <w:rPr>
                <w:rFonts w:ascii="Times New Roman" w:hAnsi="Times New Roman" w:cs="Times New Roman"/>
                <w:color w:val="000000"/>
                <w:highlight w:val="yellow"/>
              </w:rPr>
              <w:lastRenderedPageBreak/>
              <w:t>hermeneutic circle), and may bring in theory to make sense of unexpected findings.</w:t>
            </w:r>
          </w:p>
          <w:p w14:paraId="265FB802" w14:textId="77777777" w:rsidR="00CE0861" w:rsidRPr="00233A80" w:rsidRDefault="00CE0861">
            <w:pPr>
              <w:spacing w:after="0" w:line="240" w:lineRule="auto"/>
              <w:rPr>
                <w:rFonts w:ascii="Times New Roman" w:hAnsi="Times New Roman" w:cs="Times New Roman"/>
              </w:rPr>
            </w:pPr>
          </w:p>
          <w:p w14:paraId="4122F487"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b/>
                <w:bCs/>
                <w:color w:val="000000"/>
                <w:highlight w:val="yellow"/>
              </w:rPr>
              <w:t>IPA:</w:t>
            </w:r>
            <w:r w:rsidRPr="00233A80">
              <w:rPr>
                <w:rFonts w:ascii="Times New Roman" w:hAnsi="Times New Roman" w:cs="Times New Roman"/>
                <w:color w:val="000000"/>
                <w:highlight w:val="yellow"/>
              </w:rPr>
              <w:t xml:space="preserve"> Inductive and iterative. Analysis stays close to each participant's account; existing theory is mainly brought in at the discussion stage to make sense of the findings.</w:t>
            </w:r>
          </w:p>
        </w:tc>
        <w:tc>
          <w:tcPr>
            <w:tcW w:w="2717" w:type="dxa"/>
            <w:tcMar>
              <w:top w:w="0" w:type="dxa"/>
              <w:left w:w="108" w:type="dxa"/>
              <w:bottom w:w="0" w:type="dxa"/>
              <w:right w:w="108" w:type="dxa"/>
            </w:tcMar>
          </w:tcPr>
          <w:p w14:paraId="750BA3AD"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Inductive: Knowledge emerges through interaction; meanings and understandings are built up from participants' experiences and co-constructed interpretations</w:t>
            </w:r>
          </w:p>
        </w:tc>
        <w:tc>
          <w:tcPr>
            <w:tcW w:w="2475" w:type="dxa"/>
            <w:shd w:val="clear" w:color="auto" w:fill="FFCC00"/>
            <w:tcMar>
              <w:top w:w="0" w:type="dxa"/>
              <w:left w:w="108" w:type="dxa"/>
              <w:bottom w:w="0" w:type="dxa"/>
              <w:right w:w="108" w:type="dxa"/>
            </w:tcMar>
          </w:tcPr>
          <w:p w14:paraId="5A930C5F"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b/>
                <w:bCs/>
                <w:color w:val="000000"/>
                <w:highlight w:val="yellow"/>
              </w:rPr>
              <w:t>Inductive/Abductive:</w:t>
            </w:r>
            <w:r w:rsidRPr="00233A80">
              <w:rPr>
                <w:rFonts w:ascii="Times New Roman" w:hAnsi="Times New Roman" w:cs="Times New Roman"/>
                <w:color w:val="000000"/>
                <w:highlight w:val="yellow"/>
              </w:rPr>
              <w:t xml:space="preserve"> Builds understanding from how different groups talk about phenomena, then moves back and forth between data, developing interpretations and existing theories of social construction (identity, discourse, practice). Puzzling differences between </w:t>
            </w:r>
            <w:r w:rsidRPr="00233A80">
              <w:rPr>
                <w:rFonts w:ascii="Times New Roman" w:hAnsi="Times New Roman" w:cs="Times New Roman"/>
                <w:color w:val="000000"/>
                <w:highlight w:val="yellow"/>
              </w:rPr>
              <w:lastRenderedPageBreak/>
              <w:t xml:space="preserve">groups prompt a </w:t>
            </w:r>
            <w:r w:rsidRPr="00233A80">
              <w:rPr>
                <w:rFonts w:ascii="Times New Roman" w:hAnsi="Times New Roman" w:cs="Times New Roman"/>
                <w:color w:val="000000"/>
                <w:highlight w:val="yellow"/>
              </w:rPr>
              <w:lastRenderedPageBreak/>
              <w:t>return to theory to explain them, and theory then sends the researcher back to the data. May develop new theoretical insights about why groups construct meanings differently. Focus on comparative patterns across groups.</w:t>
            </w:r>
          </w:p>
        </w:tc>
        <w:tc>
          <w:tcPr>
            <w:tcW w:w="2936" w:type="dxa"/>
            <w:shd w:val="clear" w:color="auto" w:fill="FFCCFF"/>
            <w:tcMar>
              <w:top w:w="0" w:type="dxa"/>
              <w:left w:w="108" w:type="dxa"/>
              <w:bottom w:w="0" w:type="dxa"/>
              <w:right w:w="108" w:type="dxa"/>
            </w:tcMar>
          </w:tcPr>
          <w:p w14:paraId="564E8156"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b/>
                <w:bCs/>
                <w:color w:val="000000"/>
                <w:highlight w:val="yellow"/>
              </w:rPr>
              <w:lastRenderedPageBreak/>
              <w:t>Abductive:</w:t>
            </w:r>
            <w:r w:rsidRPr="00233A80">
              <w:rPr>
                <w:rFonts w:ascii="Times New Roman" w:hAnsi="Times New Roman" w:cs="Times New Roman"/>
                <w:color w:val="000000"/>
                <w:highlight w:val="yellow"/>
              </w:rPr>
              <w:t xml:space="preserve"> Moves back and forth between critical theory and data to uncover hidden power structures. Theoretical frameworks are used to interpret evidence; evidence that does not fit sends the researcher back to theory, which is then refined, extended or challenged. The cycles continue until the account of how power operates is the best explanation of the </w:t>
            </w:r>
            <w:r w:rsidRPr="00233A80">
              <w:rPr>
                <w:rFonts w:ascii="Times New Roman" w:hAnsi="Times New Roman" w:cs="Times New Roman"/>
                <w:color w:val="000000"/>
                <w:highlight w:val="yellow"/>
              </w:rPr>
              <w:lastRenderedPageBreak/>
              <w:t xml:space="preserve">data. </w:t>
            </w:r>
            <w:r w:rsidRPr="00233A80">
              <w:rPr>
                <w:rFonts w:ascii="Times New Roman" w:hAnsi="Times New Roman" w:cs="Times New Roman"/>
                <w:color w:val="000000"/>
                <w:highlight w:val="yellow"/>
              </w:rPr>
              <w:lastRenderedPageBreak/>
              <w:t>New critical insights are generated through this movement.</w:t>
            </w:r>
          </w:p>
        </w:tc>
        <w:tc>
          <w:tcPr>
            <w:tcW w:w="2319" w:type="dxa"/>
            <w:shd w:val="clear" w:color="auto" w:fill="FFFF99"/>
            <w:tcMar>
              <w:top w:w="0" w:type="dxa"/>
              <w:left w:w="108" w:type="dxa"/>
              <w:bottom w:w="0" w:type="dxa"/>
              <w:right w:w="108" w:type="dxa"/>
            </w:tcMar>
          </w:tcPr>
          <w:p w14:paraId="1CC49E81"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b/>
                <w:bCs/>
                <w:color w:val="000000"/>
                <w:highlight w:val="yellow"/>
              </w:rPr>
              <w:lastRenderedPageBreak/>
              <w:t>Abductive:</w:t>
            </w:r>
            <w:r w:rsidRPr="00233A80">
              <w:rPr>
                <w:rFonts w:ascii="Times New Roman" w:hAnsi="Times New Roman" w:cs="Times New Roman"/>
                <w:color w:val="000000"/>
                <w:highlight w:val="yellow"/>
              </w:rPr>
              <w:t xml:space="preserve"> Pragmatism is the home of abductive reasoning (Peirce). The researcher moves back and forth between data and theory, and between inductive and deductive phases, to find the most useful explanation of a practical problem. A typical cycle: a </w:t>
            </w:r>
            <w:r w:rsidRPr="00233A80">
              <w:rPr>
                <w:rFonts w:ascii="Times New Roman" w:hAnsi="Times New Roman" w:cs="Times New Roman"/>
                <w:color w:val="000000"/>
                <w:highlight w:val="yellow"/>
              </w:rPr>
              <w:lastRenderedPageBreak/>
              <w:t xml:space="preserve">surprising or </w:t>
            </w:r>
            <w:r w:rsidRPr="00233A80">
              <w:rPr>
                <w:rFonts w:ascii="Times New Roman" w:hAnsi="Times New Roman" w:cs="Times New Roman"/>
                <w:color w:val="000000"/>
                <w:highlight w:val="yellow"/>
              </w:rPr>
              <w:lastRenderedPageBreak/>
              <w:t>problematic finding → a possible explanation drawn from theory or experience → testing that explanation against further data → refining it. In mixed methods, qualitative findings may generate explanations that quantitative data then tests, or the other way round. Emphasises practical utility over methodological purity.</w:t>
            </w:r>
          </w:p>
        </w:tc>
      </w:tr>
      <w:tr w:rsidR="00CE0861" w:rsidRPr="00233A80" w14:paraId="445A1E10" w14:textId="77777777">
        <w:tc>
          <w:tcPr>
            <w:tcW w:w="3726" w:type="dxa"/>
            <w:tcMar>
              <w:top w:w="0" w:type="dxa"/>
              <w:left w:w="108" w:type="dxa"/>
              <w:bottom w:w="0" w:type="dxa"/>
              <w:right w:w="108" w:type="dxa"/>
            </w:tcMar>
          </w:tcPr>
          <w:p w14:paraId="5AD86FE9"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lastRenderedPageBreak/>
              <w:t>Causality/Explanation</w:t>
            </w:r>
          </w:p>
        </w:tc>
        <w:tc>
          <w:tcPr>
            <w:tcW w:w="2574" w:type="dxa"/>
            <w:shd w:val="clear" w:color="auto" w:fill="99CCFF"/>
            <w:tcMar>
              <w:top w:w="0" w:type="dxa"/>
              <w:left w:w="108" w:type="dxa"/>
              <w:bottom w:w="0" w:type="dxa"/>
              <w:right w:w="108" w:type="dxa"/>
            </w:tcMar>
          </w:tcPr>
          <w:p w14:paraId="3C4A21F9"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Direct causation; X causes Y</w:t>
            </w:r>
          </w:p>
        </w:tc>
        <w:tc>
          <w:tcPr>
            <w:tcW w:w="2453" w:type="dxa"/>
            <w:shd w:val="clear" w:color="auto" w:fill="66FFFF"/>
            <w:tcMar>
              <w:top w:w="0" w:type="dxa"/>
              <w:left w:w="108" w:type="dxa"/>
              <w:bottom w:w="0" w:type="dxa"/>
              <w:right w:w="108" w:type="dxa"/>
            </w:tcMar>
          </w:tcPr>
          <w:p w14:paraId="03062F9E"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Probable causation; multiple factors acknowledged</w:t>
            </w:r>
          </w:p>
        </w:tc>
        <w:tc>
          <w:tcPr>
            <w:tcW w:w="3141" w:type="dxa"/>
            <w:shd w:val="clear" w:color="auto" w:fill="CCFF99"/>
            <w:tcMar>
              <w:top w:w="0" w:type="dxa"/>
              <w:left w:w="108" w:type="dxa"/>
              <w:bottom w:w="0" w:type="dxa"/>
              <w:right w:w="108" w:type="dxa"/>
            </w:tcMar>
          </w:tcPr>
          <w:p w14:paraId="1F5D71EE"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Understanding not causation; focus on meanings</w:t>
            </w:r>
          </w:p>
        </w:tc>
        <w:tc>
          <w:tcPr>
            <w:tcW w:w="2717" w:type="dxa"/>
            <w:tcMar>
              <w:top w:w="0" w:type="dxa"/>
              <w:left w:w="108" w:type="dxa"/>
              <w:bottom w:w="0" w:type="dxa"/>
              <w:right w:w="108" w:type="dxa"/>
            </w:tcMar>
          </w:tcPr>
          <w:p w14:paraId="5EE86D69"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Mutual shaping; cause and effect inseparable</w:t>
            </w:r>
          </w:p>
        </w:tc>
        <w:tc>
          <w:tcPr>
            <w:tcW w:w="2475" w:type="dxa"/>
            <w:shd w:val="clear" w:color="auto" w:fill="FFCC00"/>
            <w:tcMar>
              <w:top w:w="0" w:type="dxa"/>
              <w:left w:w="108" w:type="dxa"/>
              <w:bottom w:w="0" w:type="dxa"/>
              <w:right w:w="108" w:type="dxa"/>
            </w:tcMar>
          </w:tcPr>
          <w:p w14:paraId="15BA3D99"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Multiple constructions coexist: Different groups construct phenomena differently based on their contexts, practices and interactions. Focus on understanding what creates different group-level realities rather than causal determination. Examines social processes within groups that maintain different constructions</w:t>
            </w:r>
          </w:p>
        </w:tc>
        <w:tc>
          <w:tcPr>
            <w:tcW w:w="2936" w:type="dxa"/>
            <w:shd w:val="clear" w:color="auto" w:fill="FFCCFF"/>
            <w:tcMar>
              <w:top w:w="0" w:type="dxa"/>
              <w:left w:w="108" w:type="dxa"/>
              <w:bottom w:w="0" w:type="dxa"/>
              <w:right w:w="108" w:type="dxa"/>
            </w:tcMar>
          </w:tcPr>
          <w:p w14:paraId="24D9D201"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Structural causation through power and oppression</w:t>
            </w:r>
          </w:p>
        </w:tc>
        <w:tc>
          <w:tcPr>
            <w:tcW w:w="2319" w:type="dxa"/>
            <w:shd w:val="clear" w:color="auto" w:fill="FFFF99"/>
            <w:tcMar>
              <w:top w:w="0" w:type="dxa"/>
              <w:left w:w="108" w:type="dxa"/>
              <w:bottom w:w="0" w:type="dxa"/>
              <w:right w:w="108" w:type="dxa"/>
            </w:tcMar>
          </w:tcPr>
          <w:p w14:paraId="535A2569"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Consequential: what works and practical outcomes</w:t>
            </w:r>
          </w:p>
        </w:tc>
      </w:tr>
      <w:tr w:rsidR="00CE0861" w:rsidRPr="00233A80" w14:paraId="4C7F6026" w14:textId="77777777">
        <w:tc>
          <w:tcPr>
            <w:tcW w:w="3726" w:type="dxa"/>
            <w:tcMar>
              <w:top w:w="0" w:type="dxa"/>
              <w:left w:w="108" w:type="dxa"/>
              <w:bottom w:w="0" w:type="dxa"/>
              <w:right w:w="108" w:type="dxa"/>
            </w:tcMar>
          </w:tcPr>
          <w:p w14:paraId="50401B63"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t>Generalisability/Transferability</w:t>
            </w:r>
          </w:p>
        </w:tc>
        <w:tc>
          <w:tcPr>
            <w:tcW w:w="2574" w:type="dxa"/>
            <w:shd w:val="clear" w:color="auto" w:fill="99CCFF"/>
            <w:tcMar>
              <w:top w:w="0" w:type="dxa"/>
              <w:left w:w="108" w:type="dxa"/>
              <w:bottom w:w="0" w:type="dxa"/>
              <w:right w:w="108" w:type="dxa"/>
            </w:tcMar>
          </w:tcPr>
          <w:p w14:paraId="46677B0F"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Statistical generalisation to populations through representative samples</w:t>
            </w:r>
          </w:p>
        </w:tc>
        <w:tc>
          <w:tcPr>
            <w:tcW w:w="2453" w:type="dxa"/>
            <w:shd w:val="clear" w:color="auto" w:fill="66FFFF"/>
            <w:tcMar>
              <w:top w:w="0" w:type="dxa"/>
              <w:left w:w="108" w:type="dxa"/>
              <w:bottom w:w="0" w:type="dxa"/>
              <w:right w:w="108" w:type="dxa"/>
            </w:tcMar>
          </w:tcPr>
          <w:p w14:paraId="0AE8BCFA"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Cautious generalisation with contextual caveats</w:t>
            </w:r>
          </w:p>
        </w:tc>
        <w:tc>
          <w:tcPr>
            <w:tcW w:w="3141" w:type="dxa"/>
            <w:shd w:val="clear" w:color="auto" w:fill="CCFF99"/>
            <w:tcMar>
              <w:top w:w="0" w:type="dxa"/>
              <w:left w:w="108" w:type="dxa"/>
              <w:bottom w:w="0" w:type="dxa"/>
              <w:right w:w="108" w:type="dxa"/>
            </w:tcMar>
          </w:tcPr>
          <w:p w14:paraId="1DA68416"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Transferability to similar contexts through thick description</w:t>
            </w:r>
          </w:p>
        </w:tc>
        <w:tc>
          <w:tcPr>
            <w:tcW w:w="2717" w:type="dxa"/>
            <w:tcMar>
              <w:top w:w="0" w:type="dxa"/>
              <w:left w:w="108" w:type="dxa"/>
              <w:bottom w:w="0" w:type="dxa"/>
              <w:right w:w="108" w:type="dxa"/>
            </w:tcMar>
          </w:tcPr>
          <w:p w14:paraId="1825FB7D"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Context-specific; resonance rather than generalisation</w:t>
            </w:r>
          </w:p>
        </w:tc>
        <w:tc>
          <w:tcPr>
            <w:tcW w:w="2475" w:type="dxa"/>
            <w:shd w:val="clear" w:color="auto" w:fill="FFCC00"/>
            <w:tcMar>
              <w:top w:w="0" w:type="dxa"/>
              <w:left w:w="108" w:type="dxa"/>
              <w:bottom w:w="0" w:type="dxa"/>
              <w:right w:w="108" w:type="dxa"/>
            </w:tcMar>
          </w:tcPr>
          <w:p w14:paraId="042DA66F"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xml:space="preserve">Analytical generalisation about group processes: Insights about how groups construct meanings differently may transfer to understanding similar group dynamics in other contexts. Shows patterns in </w:t>
            </w:r>
            <w:r w:rsidRPr="00233A80">
              <w:rPr>
                <w:rFonts w:ascii="Times New Roman" w:hAnsi="Times New Roman" w:cs="Times New Roman"/>
                <w:color w:val="000000"/>
              </w:rPr>
              <w:lastRenderedPageBreak/>
              <w:t>multi-stakeholder situations. Not statistical generalisation</w:t>
            </w:r>
          </w:p>
        </w:tc>
        <w:tc>
          <w:tcPr>
            <w:tcW w:w="2936" w:type="dxa"/>
            <w:shd w:val="clear" w:color="auto" w:fill="FFCCFF"/>
            <w:tcMar>
              <w:top w:w="0" w:type="dxa"/>
              <w:left w:w="108" w:type="dxa"/>
              <w:bottom w:w="0" w:type="dxa"/>
              <w:right w:w="108" w:type="dxa"/>
            </w:tcMar>
          </w:tcPr>
          <w:p w14:paraId="66569064"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Theoretical transferability about power structures</w:t>
            </w:r>
          </w:p>
        </w:tc>
        <w:tc>
          <w:tcPr>
            <w:tcW w:w="2319" w:type="dxa"/>
            <w:shd w:val="clear" w:color="auto" w:fill="FFFF99"/>
            <w:tcMar>
              <w:top w:w="0" w:type="dxa"/>
              <w:left w:w="108" w:type="dxa"/>
              <w:bottom w:w="0" w:type="dxa"/>
              <w:right w:w="108" w:type="dxa"/>
            </w:tcMar>
          </w:tcPr>
          <w:p w14:paraId="21EE42A4"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Pragmatic transferability when solving similar problems</w:t>
            </w:r>
          </w:p>
        </w:tc>
      </w:tr>
      <w:tr w:rsidR="00CE0861" w:rsidRPr="00233A80" w14:paraId="3B5084DC" w14:textId="77777777">
        <w:tc>
          <w:tcPr>
            <w:tcW w:w="3726" w:type="dxa"/>
            <w:tcMar>
              <w:top w:w="0" w:type="dxa"/>
              <w:left w:w="108" w:type="dxa"/>
              <w:bottom w:w="0" w:type="dxa"/>
              <w:right w:w="108" w:type="dxa"/>
            </w:tcMar>
          </w:tcPr>
          <w:p w14:paraId="4D987216"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t>Validity/Trustworthiness Strategies</w:t>
            </w:r>
          </w:p>
        </w:tc>
        <w:tc>
          <w:tcPr>
            <w:tcW w:w="2574" w:type="dxa"/>
            <w:shd w:val="clear" w:color="auto" w:fill="99CCFF"/>
            <w:tcMar>
              <w:top w:w="0" w:type="dxa"/>
              <w:left w:w="108" w:type="dxa"/>
              <w:bottom w:w="0" w:type="dxa"/>
              <w:right w:w="108" w:type="dxa"/>
            </w:tcMar>
          </w:tcPr>
          <w:p w14:paraId="6C5D9F7D"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Internal validity (controls, randomisation), external validity (representative sampling), construct validity (valid measures), reliability (consistent results). Strategies include experimental design, standardised instruments, replication</w:t>
            </w:r>
          </w:p>
        </w:tc>
        <w:tc>
          <w:tcPr>
            <w:tcW w:w="2453" w:type="dxa"/>
            <w:shd w:val="clear" w:color="auto" w:fill="66FFFF"/>
            <w:tcMar>
              <w:top w:w="0" w:type="dxa"/>
              <w:left w:w="108" w:type="dxa"/>
              <w:bottom w:w="0" w:type="dxa"/>
              <w:right w:w="108" w:type="dxa"/>
            </w:tcMar>
          </w:tcPr>
          <w:p w14:paraId="5EBC7505"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Multiple methods triangulation, peer debriefing, negative case analysis, audit trails, prolonged engagement. Combines quantitative and qualitative validity strategies to strengthen credibility</w:t>
            </w:r>
          </w:p>
        </w:tc>
        <w:tc>
          <w:tcPr>
            <w:tcW w:w="3141" w:type="dxa"/>
            <w:shd w:val="clear" w:color="auto" w:fill="CCFF99"/>
            <w:tcMar>
              <w:top w:w="0" w:type="dxa"/>
              <w:left w:w="108" w:type="dxa"/>
              <w:bottom w:w="0" w:type="dxa"/>
              <w:right w:w="108" w:type="dxa"/>
            </w:tcMar>
          </w:tcPr>
          <w:p w14:paraId="7EE22F55"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Credibility (member checking, prolonged engagement), dependability (audit trail), confirmability (reflexive journal), transferability (thick description). Lincoln and Guba's trustworthiness criteria</w:t>
            </w:r>
          </w:p>
        </w:tc>
        <w:tc>
          <w:tcPr>
            <w:tcW w:w="2717" w:type="dxa"/>
            <w:tcMar>
              <w:top w:w="0" w:type="dxa"/>
              <w:left w:w="108" w:type="dxa"/>
              <w:bottom w:w="0" w:type="dxa"/>
              <w:right w:w="108" w:type="dxa"/>
            </w:tcMar>
          </w:tcPr>
          <w:p w14:paraId="463ECD02"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Authenticity criteria (fairness, ontological authenticity, educative authenticity), catalytic validity (action-orientation), reciprocity. Focus on quality of relationships and transformative impact on participants</w:t>
            </w:r>
          </w:p>
        </w:tc>
        <w:tc>
          <w:tcPr>
            <w:tcW w:w="2475" w:type="dxa"/>
            <w:shd w:val="clear" w:color="auto" w:fill="FFCC00"/>
            <w:tcMar>
              <w:top w:w="0" w:type="dxa"/>
              <w:left w:w="108" w:type="dxa"/>
              <w:bottom w:w="0" w:type="dxa"/>
              <w:right w:w="108" w:type="dxa"/>
            </w:tcMar>
          </w:tcPr>
          <w:p w14:paraId="724BACC0"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Multiple group perspectives triangulation, crystallisation showing different facets, documentation of researcher's reflexive analysis of own group memberships, transparency about how interpretations evolved through interaction with different groups, member validation with each group</w:t>
            </w:r>
          </w:p>
        </w:tc>
        <w:tc>
          <w:tcPr>
            <w:tcW w:w="2936" w:type="dxa"/>
            <w:shd w:val="clear" w:color="auto" w:fill="FFCCFF"/>
            <w:tcMar>
              <w:top w:w="0" w:type="dxa"/>
              <w:left w:w="108" w:type="dxa"/>
              <w:bottom w:w="0" w:type="dxa"/>
              <w:right w:w="108" w:type="dxa"/>
            </w:tcMar>
          </w:tcPr>
          <w:p w14:paraId="5C2F3896"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Catalytic validity (research promotes action), critical reflexivity, participant empowerment, challenging the status quo, prolonged engagement with marginalised communities, member reflections (not just checking)</w:t>
            </w:r>
          </w:p>
        </w:tc>
        <w:tc>
          <w:tcPr>
            <w:tcW w:w="2319" w:type="dxa"/>
            <w:shd w:val="clear" w:color="auto" w:fill="FFFF99"/>
            <w:tcMar>
              <w:top w:w="0" w:type="dxa"/>
              <w:left w:w="108" w:type="dxa"/>
              <w:bottom w:w="0" w:type="dxa"/>
              <w:right w:w="108" w:type="dxa"/>
            </w:tcMar>
          </w:tcPr>
          <w:p w14:paraId="1A9AAFA1"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Consequential validity (does it work?), triangulation for practical purposes, stakeholder validation, iterative testing of solutions, documentation of what works and what doesn't in specific contexts</w:t>
            </w:r>
          </w:p>
        </w:tc>
      </w:tr>
      <w:tr w:rsidR="00CE0861" w:rsidRPr="00233A80" w14:paraId="69F6D4D7" w14:textId="77777777">
        <w:tc>
          <w:tcPr>
            <w:tcW w:w="3726" w:type="dxa"/>
            <w:tcBorders>
              <w:top w:val="single" w:sz="12" w:space="0" w:color="000000"/>
              <w:left w:val="single" w:sz="12" w:space="0" w:color="000000"/>
              <w:bottom w:val="single" w:sz="12" w:space="0" w:color="000000"/>
              <w:right w:val="single" w:sz="12" w:space="0" w:color="000000"/>
            </w:tcBorders>
            <w:tcMar>
              <w:top w:w="0" w:type="dxa"/>
              <w:left w:w="108" w:type="dxa"/>
              <w:bottom w:w="0" w:type="dxa"/>
              <w:right w:w="108" w:type="dxa"/>
            </w:tcMar>
          </w:tcPr>
          <w:p w14:paraId="1B05CFCE" w14:textId="77777777" w:rsidR="00CE0861" w:rsidRPr="00233A80" w:rsidRDefault="00000000">
            <w:pPr>
              <w:spacing w:after="0" w:line="240" w:lineRule="auto"/>
              <w:rPr>
                <w:rFonts w:ascii="Times New Roman" w:hAnsi="Times New Roman" w:cs="Times New Roman"/>
                <w:b/>
                <w:bCs/>
                <w:color w:val="000000"/>
              </w:rPr>
            </w:pPr>
            <w:r w:rsidRPr="00233A80">
              <w:rPr>
                <w:rFonts w:ascii="Times New Roman" w:hAnsi="Times New Roman" w:cs="Times New Roman"/>
                <w:b/>
                <w:bCs/>
                <w:color w:val="000000"/>
              </w:rPr>
              <w:t>Quality Criteria/Rigour Indicators</w:t>
            </w:r>
          </w:p>
        </w:tc>
        <w:tc>
          <w:tcPr>
            <w:tcW w:w="2574" w:type="dxa"/>
            <w:tcBorders>
              <w:top w:val="single" w:sz="12" w:space="0" w:color="000000"/>
              <w:left w:val="single" w:sz="12" w:space="0" w:color="000000"/>
              <w:bottom w:val="single" w:sz="12" w:space="0" w:color="000000"/>
              <w:right w:val="single" w:sz="12" w:space="0" w:color="000000"/>
            </w:tcBorders>
            <w:shd w:val="clear" w:color="auto" w:fill="99CCFF"/>
            <w:tcMar>
              <w:top w:w="0" w:type="dxa"/>
              <w:left w:w="108" w:type="dxa"/>
              <w:bottom w:w="0" w:type="dxa"/>
              <w:right w:w="108" w:type="dxa"/>
            </w:tcMar>
          </w:tcPr>
          <w:p w14:paraId="4901CA2F"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Internal validity (causal claims justified), external validity (generalisable to populations), construct validity (measures what it claims), reliability (consistent, replicable results), objectivity (free from bias). Criteria: statistical significance, effect sizes, power analysis, measurement validation.</w:t>
            </w:r>
          </w:p>
        </w:tc>
        <w:tc>
          <w:tcPr>
            <w:tcW w:w="2453" w:type="dxa"/>
            <w:tcBorders>
              <w:top w:val="single" w:sz="12" w:space="0" w:color="000000"/>
              <w:left w:val="single" w:sz="12" w:space="0" w:color="000000"/>
              <w:bottom w:val="single" w:sz="12" w:space="0" w:color="000000"/>
              <w:right w:val="single" w:sz="12" w:space="0" w:color="000000"/>
            </w:tcBorders>
            <w:shd w:val="clear" w:color="auto" w:fill="66FFFF"/>
            <w:tcMar>
              <w:top w:w="0" w:type="dxa"/>
              <w:left w:w="108" w:type="dxa"/>
              <w:bottom w:w="0" w:type="dxa"/>
              <w:right w:w="108" w:type="dxa"/>
            </w:tcMar>
          </w:tcPr>
          <w:p w14:paraId="64B63754"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Modified validity criteria acknowledging fallibility: credible conclusions given evidence, reasonable generalisability with caveats, sound measurement despite imperfection, transparency about limitations. Criteria: triangulation, thick description, negative case analysis, researcher reflexivity statements.</w:t>
            </w:r>
          </w:p>
        </w:tc>
        <w:tc>
          <w:tcPr>
            <w:tcW w:w="3141" w:type="dxa"/>
            <w:tcBorders>
              <w:top w:val="single" w:sz="12" w:space="0" w:color="000000"/>
              <w:left w:val="single" w:sz="12" w:space="0" w:color="000000"/>
              <w:bottom w:val="single" w:sz="12" w:space="0" w:color="000000"/>
              <w:right w:val="single" w:sz="12" w:space="0" w:color="000000"/>
            </w:tcBorders>
            <w:shd w:val="clear" w:color="auto" w:fill="CCFF99"/>
            <w:tcMar>
              <w:top w:w="0" w:type="dxa"/>
              <w:left w:w="108" w:type="dxa"/>
              <w:bottom w:w="0" w:type="dxa"/>
              <w:right w:w="108" w:type="dxa"/>
            </w:tcMar>
          </w:tcPr>
          <w:p w14:paraId="3D756B94"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Trustworthiness criteria (Lincoln &amp; Guba): Credibility (truth value - findings reflect participants' realities), Transferability (applicability - sufficient description for judgement), Dependability (consistency - documented process), Confirmability (neutrality - findings grounded in data not researcher bias). Additional: authenticity, resonance.</w:t>
            </w:r>
          </w:p>
        </w:tc>
        <w:tc>
          <w:tcPr>
            <w:tcW w:w="2717" w:type="dxa"/>
            <w:tcBorders>
              <w:top w:val="single" w:sz="12" w:space="0" w:color="000000"/>
              <w:left w:val="single" w:sz="12" w:space="0" w:color="000000"/>
              <w:bottom w:val="single" w:sz="12" w:space="0" w:color="000000"/>
              <w:right w:val="single" w:sz="12" w:space="0" w:color="000000"/>
            </w:tcBorders>
            <w:tcMar>
              <w:top w:w="0" w:type="dxa"/>
              <w:left w:w="108" w:type="dxa"/>
              <w:bottom w:w="0" w:type="dxa"/>
              <w:right w:w="108" w:type="dxa"/>
            </w:tcMar>
          </w:tcPr>
          <w:p w14:paraId="5CACF357"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Authenticity criteria: Fairness (multiple perspectives represented), Ontological authenticity (participants' understanding enhanced), Educative authenticity (understanding of others enhanced), Catalytic authenticity (action stimulated), Tactical authenticity (empowerment achieved). Relational quality and transformative potential central.</w:t>
            </w:r>
          </w:p>
        </w:tc>
        <w:tc>
          <w:tcPr>
            <w:tcW w:w="2475" w:type="dxa"/>
            <w:tcBorders>
              <w:top w:val="single" w:sz="12" w:space="0" w:color="000000"/>
              <w:left w:val="single" w:sz="12" w:space="0" w:color="000000"/>
              <w:bottom w:val="single" w:sz="12" w:space="0" w:color="000000"/>
              <w:right w:val="single" w:sz="12" w:space="0" w:color="000000"/>
            </w:tcBorders>
            <w:shd w:val="clear" w:color="auto" w:fill="FFCC00"/>
            <w:tcMar>
              <w:top w:w="0" w:type="dxa"/>
              <w:left w:w="108" w:type="dxa"/>
              <w:bottom w:w="0" w:type="dxa"/>
              <w:right w:w="108" w:type="dxa"/>
            </w:tcMar>
          </w:tcPr>
          <w:p w14:paraId="720043FE"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Multiple perspectives captured and compared, crystallisation showing different facets rather than triangulation to single truth, transparency about how group constructions were interpreted, documentation of variation within and across groups, reflexive analysis of researcher's own group memberships, fair representation.</w:t>
            </w:r>
          </w:p>
        </w:tc>
        <w:tc>
          <w:tcPr>
            <w:tcW w:w="2936" w:type="dxa"/>
            <w:tcBorders>
              <w:top w:val="single" w:sz="12" w:space="0" w:color="000000"/>
              <w:left w:val="single" w:sz="12" w:space="0" w:color="000000"/>
              <w:bottom w:val="single" w:sz="12" w:space="0" w:color="000000"/>
              <w:right w:val="single" w:sz="12" w:space="0" w:color="000000"/>
            </w:tcBorders>
            <w:shd w:val="clear" w:color="auto" w:fill="FFCCFF"/>
            <w:tcMar>
              <w:top w:w="0" w:type="dxa"/>
              <w:left w:w="108" w:type="dxa"/>
              <w:bottom w:w="0" w:type="dxa"/>
              <w:right w:w="108" w:type="dxa"/>
            </w:tcMar>
          </w:tcPr>
          <w:p w14:paraId="0F3D5CFD"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Catalytic validity (research promotes action), critical reflexivity (power examined), democratic validity (stakeholder ownership), dialogic validity (peer critique), outcome validity (problems resolved), process validity (iterative problem-solving), empowerment (marginalised voices heard and acted upon).</w:t>
            </w:r>
          </w:p>
        </w:tc>
        <w:tc>
          <w:tcPr>
            <w:tcW w:w="2319" w:type="dxa"/>
            <w:tcBorders>
              <w:top w:val="single" w:sz="12" w:space="0" w:color="000000"/>
              <w:left w:val="single" w:sz="12" w:space="0" w:color="000000"/>
              <w:bottom w:val="single" w:sz="12" w:space="0" w:color="000000"/>
              <w:right w:val="single" w:sz="12" w:space="0" w:color="000000"/>
            </w:tcBorders>
            <w:shd w:val="clear" w:color="auto" w:fill="FFFF99"/>
            <w:tcMar>
              <w:top w:w="0" w:type="dxa"/>
              <w:left w:w="108" w:type="dxa"/>
              <w:bottom w:w="0" w:type="dxa"/>
              <w:right w:w="108" w:type="dxa"/>
            </w:tcMar>
          </w:tcPr>
          <w:p w14:paraId="4025172C"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Consequential validity (does it work? does it solve problems?), utility (practical value to stakeholders), feasibility (implementable), relevance (addresses real needs), transferability to similar contexts, cost-effectiveness, stakeholder satisfaction, demonstrable impact, iteration and improvement cycles.</w:t>
            </w:r>
          </w:p>
        </w:tc>
      </w:tr>
      <w:tr w:rsidR="00CE0861" w:rsidRPr="00233A80" w14:paraId="0D3C8195" w14:textId="77777777">
        <w:tc>
          <w:tcPr>
            <w:tcW w:w="3726" w:type="dxa"/>
            <w:tcMar>
              <w:top w:w="0" w:type="dxa"/>
              <w:left w:w="108" w:type="dxa"/>
              <w:bottom w:w="0" w:type="dxa"/>
              <w:right w:w="108" w:type="dxa"/>
            </w:tcMar>
          </w:tcPr>
          <w:p w14:paraId="3D501E7D" w14:textId="77777777" w:rsidR="00CE0861" w:rsidRPr="00233A80" w:rsidRDefault="00000000">
            <w:pPr>
              <w:spacing w:after="0" w:line="240" w:lineRule="auto"/>
              <w:rPr>
                <w:rFonts w:ascii="Times New Roman" w:hAnsi="Times New Roman" w:cs="Times New Roman"/>
                <w:b/>
                <w:bCs/>
                <w:color w:val="000000"/>
              </w:rPr>
            </w:pPr>
            <w:r w:rsidRPr="00233A80">
              <w:rPr>
                <w:rFonts w:ascii="Times New Roman" w:hAnsi="Times New Roman" w:cs="Times New Roman"/>
                <w:b/>
                <w:bCs/>
                <w:color w:val="000000"/>
              </w:rPr>
              <w:t>Researcher Stance/Voice</w:t>
            </w:r>
          </w:p>
        </w:tc>
        <w:tc>
          <w:tcPr>
            <w:tcW w:w="2574" w:type="dxa"/>
            <w:shd w:val="clear" w:color="auto" w:fill="99CCFF"/>
            <w:tcMar>
              <w:top w:w="0" w:type="dxa"/>
              <w:left w:w="108" w:type="dxa"/>
              <w:bottom w:w="0" w:type="dxa"/>
              <w:right w:w="108" w:type="dxa"/>
            </w:tcMar>
          </w:tcPr>
          <w:p w14:paraId="45AE67D8"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 xml:space="preserve">Distant, detached observer: Researcher maintains separation from participants and phenomena. Voice is objective, impersonal third-person. ‘The data show...’ not ‘I observed...’. </w:t>
            </w:r>
            <w:r w:rsidRPr="00233A80">
              <w:rPr>
                <w:rFonts w:ascii="Times New Roman" w:hAnsi="Times New Roman" w:cs="Times New Roman"/>
                <w:color w:val="000000"/>
              </w:rPr>
              <w:lastRenderedPageBreak/>
              <w:t>Researcher as neutral instrument recording reality. Professional distance maximises objectivity. Relationships with participants are standardised and formal.</w:t>
            </w:r>
          </w:p>
        </w:tc>
        <w:tc>
          <w:tcPr>
            <w:tcW w:w="2453" w:type="dxa"/>
            <w:shd w:val="clear" w:color="auto" w:fill="66FFFF"/>
            <w:tcMar>
              <w:top w:w="0" w:type="dxa"/>
              <w:left w:w="108" w:type="dxa"/>
              <w:bottom w:w="0" w:type="dxa"/>
              <w:right w:w="108" w:type="dxa"/>
            </w:tcMar>
          </w:tcPr>
          <w:p w14:paraId="4ED2996B"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 xml:space="preserve">Engaged but boundaried observer: Researcher acknowledges relationship with participants whilst maintaining professional boundaries. Voice is </w:t>
            </w:r>
            <w:r w:rsidRPr="00233A80">
              <w:rPr>
                <w:rFonts w:ascii="Times New Roman" w:hAnsi="Times New Roman" w:cs="Times New Roman"/>
                <w:color w:val="000000"/>
              </w:rPr>
              <w:lastRenderedPageBreak/>
              <w:t>primarily third-person with occasional first-person reflexive acknowledgments. ‘The findings suggest... though my background in X may have influenced...’. Critical distance with awareness of limitations.</w:t>
            </w:r>
          </w:p>
        </w:tc>
        <w:tc>
          <w:tcPr>
            <w:tcW w:w="3141" w:type="dxa"/>
            <w:shd w:val="clear" w:color="auto" w:fill="CCFF99"/>
            <w:tcMar>
              <w:top w:w="0" w:type="dxa"/>
              <w:left w:w="108" w:type="dxa"/>
              <w:bottom w:w="0" w:type="dxa"/>
              <w:right w:w="108" w:type="dxa"/>
            </w:tcMar>
          </w:tcPr>
          <w:p w14:paraId="00547072"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 xml:space="preserve">Empathetic interpreter and meaning-maker: Researcher as instrument of understanding. Close, trusting relationships essential for accessing meanings. First-person voice welcomed. ‘I came to understand...’ ‘Participants </w:t>
            </w:r>
            <w:r w:rsidRPr="00233A80">
              <w:rPr>
                <w:rFonts w:ascii="Times New Roman" w:hAnsi="Times New Roman" w:cs="Times New Roman"/>
                <w:color w:val="000000"/>
              </w:rPr>
              <w:lastRenderedPageBreak/>
              <w:t>revealed...’. Researcher interprets participants' subjective realities. Prolonged engagement to build rapport. Empathetic, warm, respectful stance.</w:t>
            </w:r>
          </w:p>
        </w:tc>
        <w:tc>
          <w:tcPr>
            <w:tcW w:w="2717" w:type="dxa"/>
            <w:tcMar>
              <w:top w:w="0" w:type="dxa"/>
              <w:left w:w="108" w:type="dxa"/>
              <w:bottom w:w="0" w:type="dxa"/>
              <w:right w:w="108" w:type="dxa"/>
            </w:tcMar>
          </w:tcPr>
          <w:p w14:paraId="426A7F55"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 xml:space="preserve">Co-inquirer and collaborative partner: Researcher and participants as equal partners in knowledge creation. Dialogic voice reflecting shared inquiry. ‘We explored together...’ ‘Through our </w:t>
            </w:r>
            <w:r w:rsidRPr="00233A80">
              <w:rPr>
                <w:rFonts w:ascii="Times New Roman" w:hAnsi="Times New Roman" w:cs="Times New Roman"/>
                <w:color w:val="000000"/>
              </w:rPr>
              <w:lastRenderedPageBreak/>
              <w:t>collaboration...’. Boundaries between researcher and researched deliberately blurred. Mutual learning and transformation. Relationships characterised by reciprocity and shared power.</w:t>
            </w:r>
          </w:p>
        </w:tc>
        <w:tc>
          <w:tcPr>
            <w:tcW w:w="2475" w:type="dxa"/>
            <w:shd w:val="clear" w:color="auto" w:fill="FFCC00"/>
            <w:tcMar>
              <w:top w:w="0" w:type="dxa"/>
              <w:left w:w="108" w:type="dxa"/>
              <w:bottom w:w="0" w:type="dxa"/>
              <w:right w:w="108" w:type="dxa"/>
            </w:tcMar>
          </w:tcPr>
          <w:p w14:paraId="0AA3C962"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 xml:space="preserve">Reflexive interpreter of multiple group realities: Researcher moves between multiple stakeholder worlds, understanding each on its own terms. Voice explicitly </w:t>
            </w:r>
            <w:r w:rsidRPr="00233A80">
              <w:rPr>
                <w:rFonts w:ascii="Times New Roman" w:hAnsi="Times New Roman" w:cs="Times New Roman"/>
                <w:color w:val="000000"/>
              </w:rPr>
              <w:lastRenderedPageBreak/>
              <w:t>comparative. ‘Engineers constructed X as... while marketers constructed it as...’. Researcher reflects on their membership in various groups and how this shapes interpretation. Respectful curiosity across difference.</w:t>
            </w:r>
          </w:p>
        </w:tc>
        <w:tc>
          <w:tcPr>
            <w:tcW w:w="2936" w:type="dxa"/>
            <w:shd w:val="clear" w:color="auto" w:fill="FFCCFF"/>
            <w:tcMar>
              <w:top w:w="0" w:type="dxa"/>
              <w:left w:w="108" w:type="dxa"/>
              <w:bottom w:w="0" w:type="dxa"/>
              <w:right w:w="108" w:type="dxa"/>
            </w:tcMar>
          </w:tcPr>
          <w:p w14:paraId="48716CDF"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 xml:space="preserve">Activist-scholar and change agent: Researcher stands with marginalised participants as ally or co-activist. Voice is engaged, political, advocacy-oriented. ‘As we worked together to challenge...’ Clear about values and </w:t>
            </w:r>
            <w:r w:rsidRPr="00233A80">
              <w:rPr>
                <w:rFonts w:ascii="Times New Roman" w:hAnsi="Times New Roman" w:cs="Times New Roman"/>
                <w:color w:val="000000"/>
              </w:rPr>
              <w:lastRenderedPageBreak/>
              <w:t>political commitments. Relationships characterised by solidarity and shared struggle. Uses privilege to amplify marginalised voices.</w:t>
            </w:r>
          </w:p>
        </w:tc>
        <w:tc>
          <w:tcPr>
            <w:tcW w:w="2319" w:type="dxa"/>
            <w:shd w:val="clear" w:color="auto" w:fill="FFFF99"/>
            <w:tcMar>
              <w:top w:w="0" w:type="dxa"/>
              <w:left w:w="108" w:type="dxa"/>
              <w:bottom w:w="0" w:type="dxa"/>
              <w:right w:w="108" w:type="dxa"/>
            </w:tcMar>
          </w:tcPr>
          <w:p w14:paraId="426A90A9"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 xml:space="preserve">Problem-solving partner and consultant: Researcher as collaborative pragmatist working with stakeholders to solve problems. Voice is accessible, </w:t>
            </w:r>
            <w:r w:rsidRPr="00233A80">
              <w:rPr>
                <w:rFonts w:ascii="Times New Roman" w:hAnsi="Times New Roman" w:cs="Times New Roman"/>
                <w:color w:val="000000"/>
              </w:rPr>
              <w:lastRenderedPageBreak/>
              <w:t>action-oriented, practical. ‘Based on what worked... we recommend...’. Relationship is professional partnership focused on outcomes. Respectful of practitioner knowledge. Adapts stance based on what facilitates problem-solving.</w:t>
            </w:r>
          </w:p>
        </w:tc>
      </w:tr>
      <w:tr w:rsidR="00CE0861" w:rsidRPr="00233A80" w14:paraId="6A2FF45B" w14:textId="77777777">
        <w:tc>
          <w:tcPr>
            <w:tcW w:w="3726" w:type="dxa"/>
            <w:tcMar>
              <w:top w:w="0" w:type="dxa"/>
              <w:left w:w="108" w:type="dxa"/>
              <w:bottom w:w="0" w:type="dxa"/>
              <w:right w:w="108" w:type="dxa"/>
            </w:tcMar>
          </w:tcPr>
          <w:p w14:paraId="6543F0F7"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lastRenderedPageBreak/>
              <w:t>Role of Participants</w:t>
            </w:r>
          </w:p>
        </w:tc>
        <w:tc>
          <w:tcPr>
            <w:tcW w:w="2574" w:type="dxa"/>
            <w:shd w:val="clear" w:color="auto" w:fill="99CCFF"/>
            <w:tcMar>
              <w:top w:w="0" w:type="dxa"/>
              <w:left w:w="108" w:type="dxa"/>
              <w:bottom w:w="0" w:type="dxa"/>
              <w:right w:w="108" w:type="dxa"/>
            </w:tcMar>
          </w:tcPr>
          <w:p w14:paraId="7A802AA3"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Subjects; provide data through responses to standardised measures</w:t>
            </w:r>
          </w:p>
        </w:tc>
        <w:tc>
          <w:tcPr>
            <w:tcW w:w="2453" w:type="dxa"/>
            <w:shd w:val="clear" w:color="auto" w:fill="66FFFF"/>
            <w:tcMar>
              <w:top w:w="0" w:type="dxa"/>
              <w:left w:w="108" w:type="dxa"/>
              <w:bottom w:w="0" w:type="dxa"/>
              <w:right w:w="108" w:type="dxa"/>
            </w:tcMar>
          </w:tcPr>
          <w:p w14:paraId="21F0B989"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Participants; provide both quantitative and qualitative data</w:t>
            </w:r>
          </w:p>
        </w:tc>
        <w:tc>
          <w:tcPr>
            <w:tcW w:w="3141" w:type="dxa"/>
            <w:shd w:val="clear" w:color="auto" w:fill="CCFF99"/>
            <w:tcMar>
              <w:top w:w="0" w:type="dxa"/>
              <w:left w:w="108" w:type="dxa"/>
              <w:bottom w:w="0" w:type="dxa"/>
              <w:right w:w="108" w:type="dxa"/>
            </w:tcMar>
          </w:tcPr>
          <w:p w14:paraId="2B0A7C3C"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Informants; share lived experiences and meanings</w:t>
            </w:r>
          </w:p>
        </w:tc>
        <w:tc>
          <w:tcPr>
            <w:tcW w:w="2717" w:type="dxa"/>
            <w:tcMar>
              <w:top w:w="0" w:type="dxa"/>
              <w:left w:w="108" w:type="dxa"/>
              <w:bottom w:w="0" w:type="dxa"/>
              <w:right w:w="108" w:type="dxa"/>
            </w:tcMar>
          </w:tcPr>
          <w:p w14:paraId="4C4CDDDE"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Co-researchers; actively shape inquiry and interpretation</w:t>
            </w:r>
          </w:p>
        </w:tc>
        <w:tc>
          <w:tcPr>
            <w:tcW w:w="2475" w:type="dxa"/>
            <w:shd w:val="clear" w:color="auto" w:fill="FFCC00"/>
            <w:tcMar>
              <w:top w:w="0" w:type="dxa"/>
              <w:left w:w="108" w:type="dxa"/>
              <w:bottom w:w="0" w:type="dxa"/>
              <w:right w:w="108" w:type="dxa"/>
            </w:tcMar>
          </w:tcPr>
          <w:p w14:paraId="3BE85FD8"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Representatives of groups; illuminate different social constructions</w:t>
            </w:r>
          </w:p>
        </w:tc>
        <w:tc>
          <w:tcPr>
            <w:tcW w:w="2936" w:type="dxa"/>
            <w:shd w:val="clear" w:color="auto" w:fill="FFCCFF"/>
            <w:tcMar>
              <w:top w:w="0" w:type="dxa"/>
              <w:left w:w="108" w:type="dxa"/>
              <w:bottom w:w="0" w:type="dxa"/>
              <w:right w:w="108" w:type="dxa"/>
            </w:tcMar>
          </w:tcPr>
          <w:p w14:paraId="5CB1C546"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Partners; engaged in transformative action together</w:t>
            </w:r>
          </w:p>
        </w:tc>
        <w:tc>
          <w:tcPr>
            <w:tcW w:w="2319" w:type="dxa"/>
            <w:shd w:val="clear" w:color="auto" w:fill="FFFF99"/>
            <w:tcMar>
              <w:top w:w="0" w:type="dxa"/>
              <w:left w:w="108" w:type="dxa"/>
              <w:bottom w:w="0" w:type="dxa"/>
              <w:right w:w="108" w:type="dxa"/>
            </w:tcMar>
          </w:tcPr>
          <w:p w14:paraId="2AE9E62C"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Stakeholders; help identify and solve problems</w:t>
            </w:r>
          </w:p>
        </w:tc>
      </w:tr>
      <w:tr w:rsidR="00CE0861" w:rsidRPr="00233A80" w14:paraId="706751F6" w14:textId="77777777">
        <w:tc>
          <w:tcPr>
            <w:tcW w:w="3726" w:type="dxa"/>
            <w:tcMar>
              <w:top w:w="0" w:type="dxa"/>
              <w:left w:w="108" w:type="dxa"/>
              <w:bottom w:w="0" w:type="dxa"/>
              <w:right w:w="108" w:type="dxa"/>
            </w:tcMar>
          </w:tcPr>
          <w:p w14:paraId="4CBE471C"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t>Writing Style/Reporting</w:t>
            </w:r>
          </w:p>
        </w:tc>
        <w:tc>
          <w:tcPr>
            <w:tcW w:w="2574" w:type="dxa"/>
            <w:shd w:val="clear" w:color="auto" w:fill="99CCFF"/>
            <w:tcMar>
              <w:top w:w="0" w:type="dxa"/>
              <w:left w:w="108" w:type="dxa"/>
              <w:bottom w:w="0" w:type="dxa"/>
              <w:right w:w="108" w:type="dxa"/>
            </w:tcMar>
          </w:tcPr>
          <w:p w14:paraId="3ABAE745"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Objective third-person, passive voice: Impersonal tone emphasising methods and findings. Standard scientific format (Introduction, Methods, Results, Discussion). Tables, figures and statistical reporting. Removes researcher from narrative</w:t>
            </w:r>
          </w:p>
        </w:tc>
        <w:tc>
          <w:tcPr>
            <w:tcW w:w="2453" w:type="dxa"/>
            <w:shd w:val="clear" w:color="auto" w:fill="66FFFF"/>
            <w:tcMar>
              <w:top w:w="0" w:type="dxa"/>
              <w:left w:w="108" w:type="dxa"/>
              <w:bottom w:w="0" w:type="dxa"/>
              <w:right w:w="108" w:type="dxa"/>
            </w:tcMar>
          </w:tcPr>
          <w:p w14:paraId="2F4723B3"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Primarily third-person with some reflexivity: Mostly objective reporting but may include brief researcher reflections. Acknowledges researcher role whilst maintaining scientific tone. Balanced discussion of limitations</w:t>
            </w:r>
          </w:p>
        </w:tc>
        <w:tc>
          <w:tcPr>
            <w:tcW w:w="3141" w:type="dxa"/>
            <w:shd w:val="clear" w:color="auto" w:fill="CCFF99"/>
            <w:tcMar>
              <w:top w:w="0" w:type="dxa"/>
              <w:left w:w="108" w:type="dxa"/>
              <w:bottom w:w="0" w:type="dxa"/>
              <w:right w:w="108" w:type="dxa"/>
            </w:tcMar>
          </w:tcPr>
          <w:p w14:paraId="57315781"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First-person narrative accepted: Rich, detailed descriptions of participants' experiences. Reflexive accounts of researcher's interpretive process. Evocative, thick description. May use narrative or thematic structure</w:t>
            </w:r>
          </w:p>
        </w:tc>
        <w:tc>
          <w:tcPr>
            <w:tcW w:w="2717" w:type="dxa"/>
            <w:tcMar>
              <w:top w:w="0" w:type="dxa"/>
              <w:left w:w="108" w:type="dxa"/>
              <w:bottom w:w="0" w:type="dxa"/>
              <w:right w:w="108" w:type="dxa"/>
            </w:tcMar>
          </w:tcPr>
          <w:p w14:paraId="1AF6C2A9"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Dialogic and reflexive first-person: Emphasises collaborative knowledge construction. Includes participant voices prominently, sometimes co-authored. Researcher openly discusses their evolving understanding through interaction</w:t>
            </w:r>
          </w:p>
        </w:tc>
        <w:tc>
          <w:tcPr>
            <w:tcW w:w="2475" w:type="dxa"/>
            <w:shd w:val="clear" w:color="auto" w:fill="FFCC00"/>
            <w:tcMar>
              <w:top w:w="0" w:type="dxa"/>
              <w:left w:w="108" w:type="dxa"/>
              <w:bottom w:w="0" w:type="dxa"/>
              <w:right w:w="108" w:type="dxa"/>
            </w:tcMar>
          </w:tcPr>
          <w:p w14:paraId="07969C39"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Analytical with multiple group perspectives: Presents how different groups construct realities, often through comparative analysis. Researcher transparent about own social positioning. May use narrative comparison</w:t>
            </w:r>
          </w:p>
        </w:tc>
        <w:tc>
          <w:tcPr>
            <w:tcW w:w="2936" w:type="dxa"/>
            <w:shd w:val="clear" w:color="auto" w:fill="FFCCFF"/>
            <w:tcMar>
              <w:top w:w="0" w:type="dxa"/>
              <w:left w:w="108" w:type="dxa"/>
              <w:bottom w:w="0" w:type="dxa"/>
              <w:right w:w="108" w:type="dxa"/>
            </w:tcMar>
          </w:tcPr>
          <w:p w14:paraId="37F3ED7B"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Politically engaged and explicit: Openly identifies with participants/marginalised communities. First-person accepted. Explicitly discusses power relations and researcher's activist stance. Emphasis on transformative potential and call to action</w:t>
            </w:r>
          </w:p>
        </w:tc>
        <w:tc>
          <w:tcPr>
            <w:tcW w:w="2319" w:type="dxa"/>
            <w:shd w:val="clear" w:color="auto" w:fill="FFFF99"/>
            <w:tcMar>
              <w:top w:w="0" w:type="dxa"/>
              <w:left w:w="108" w:type="dxa"/>
              <w:bottom w:w="0" w:type="dxa"/>
              <w:right w:w="108" w:type="dxa"/>
            </w:tcMar>
          </w:tcPr>
          <w:p w14:paraId="23EA590F"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Clear, accessible, action-oriented: Emphasis on practical implications and recommendations. Mixed methods presentation combining quantitative data with qualitative insights. Focus on 'so what?' and 'what works?' for practitioners</w:t>
            </w:r>
          </w:p>
        </w:tc>
      </w:tr>
      <w:tr w:rsidR="00CE0861" w:rsidRPr="00233A80" w14:paraId="763D331A" w14:textId="77777777">
        <w:tc>
          <w:tcPr>
            <w:tcW w:w="3726" w:type="dxa"/>
            <w:tcMar>
              <w:top w:w="0" w:type="dxa"/>
              <w:left w:w="108" w:type="dxa"/>
              <w:bottom w:w="0" w:type="dxa"/>
              <w:right w:w="108" w:type="dxa"/>
            </w:tcMar>
          </w:tcPr>
          <w:p w14:paraId="46C04F71"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t>Strengths</w:t>
            </w:r>
          </w:p>
        </w:tc>
        <w:tc>
          <w:tcPr>
            <w:tcW w:w="2574" w:type="dxa"/>
            <w:shd w:val="clear" w:color="auto" w:fill="99CCFF"/>
            <w:tcMar>
              <w:top w:w="0" w:type="dxa"/>
              <w:left w:w="108" w:type="dxa"/>
              <w:bottom w:w="0" w:type="dxa"/>
              <w:right w:w="108" w:type="dxa"/>
            </w:tcMar>
          </w:tcPr>
          <w:p w14:paraId="5AB46C4E"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Clear, objective, measurable results</w:t>
            </w:r>
            <w:r w:rsidRPr="00233A80">
              <w:rPr>
                <w:rFonts w:ascii="Times New Roman" w:hAnsi="Times New Roman" w:cs="Times New Roman"/>
                <w:color w:val="000000"/>
              </w:rPr>
              <w:br/>
              <w:t>• Enables cause-and-effect relationships</w:t>
            </w:r>
            <w:r w:rsidRPr="00233A80">
              <w:rPr>
                <w:rFonts w:ascii="Times New Roman" w:hAnsi="Times New Roman" w:cs="Times New Roman"/>
                <w:color w:val="000000"/>
              </w:rPr>
              <w:br/>
              <w:t>• Allows generalisation to larger populations</w:t>
            </w:r>
            <w:r w:rsidRPr="00233A80">
              <w:rPr>
                <w:rFonts w:ascii="Times New Roman" w:hAnsi="Times New Roman" w:cs="Times New Roman"/>
                <w:color w:val="000000"/>
              </w:rPr>
              <w:br/>
              <w:t>• Structured and systematic approach</w:t>
            </w:r>
            <w:r w:rsidRPr="00233A80">
              <w:rPr>
                <w:rFonts w:ascii="Times New Roman" w:hAnsi="Times New Roman" w:cs="Times New Roman"/>
                <w:color w:val="000000"/>
              </w:rPr>
              <w:br/>
              <w:t>• Reliability and replicability</w:t>
            </w:r>
          </w:p>
        </w:tc>
        <w:tc>
          <w:tcPr>
            <w:tcW w:w="2453" w:type="dxa"/>
            <w:shd w:val="clear" w:color="auto" w:fill="66FFFF"/>
            <w:tcMar>
              <w:top w:w="0" w:type="dxa"/>
              <w:left w:w="108" w:type="dxa"/>
              <w:bottom w:w="0" w:type="dxa"/>
              <w:right w:w="108" w:type="dxa"/>
            </w:tcMar>
          </w:tcPr>
          <w:p w14:paraId="56ABC666"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Acknowledges limitations while striving for objectivity</w:t>
            </w:r>
            <w:r w:rsidRPr="00233A80">
              <w:rPr>
                <w:rFonts w:ascii="Times New Roman" w:hAnsi="Times New Roman" w:cs="Times New Roman"/>
                <w:color w:val="000000"/>
              </w:rPr>
              <w:br/>
              <w:t>• Multiple methods for comprehensive understanding</w:t>
            </w:r>
            <w:r w:rsidRPr="00233A80">
              <w:rPr>
                <w:rFonts w:ascii="Times New Roman" w:hAnsi="Times New Roman" w:cs="Times New Roman"/>
                <w:color w:val="000000"/>
              </w:rPr>
              <w:br/>
              <w:t>• Recognises context influence</w:t>
            </w:r>
            <w:r w:rsidRPr="00233A80">
              <w:rPr>
                <w:rFonts w:ascii="Times New Roman" w:hAnsi="Times New Roman" w:cs="Times New Roman"/>
                <w:color w:val="000000"/>
              </w:rPr>
              <w:br/>
              <w:t>• Encourages critical examination of biases</w:t>
            </w:r>
            <w:r w:rsidRPr="00233A80">
              <w:rPr>
                <w:rFonts w:ascii="Times New Roman" w:hAnsi="Times New Roman" w:cs="Times New Roman"/>
                <w:color w:val="000000"/>
              </w:rPr>
              <w:br/>
              <w:t>• Foundation for theory development</w:t>
            </w:r>
          </w:p>
        </w:tc>
        <w:tc>
          <w:tcPr>
            <w:tcW w:w="3141" w:type="dxa"/>
            <w:shd w:val="clear" w:color="auto" w:fill="CCFF99"/>
            <w:tcMar>
              <w:top w:w="0" w:type="dxa"/>
              <w:left w:w="108" w:type="dxa"/>
              <w:bottom w:w="0" w:type="dxa"/>
              <w:right w:w="108" w:type="dxa"/>
            </w:tcMar>
          </w:tcPr>
          <w:p w14:paraId="16E71DA2"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Rich, in-depth understanding of experiences</w:t>
            </w:r>
            <w:r w:rsidRPr="00233A80">
              <w:rPr>
                <w:rFonts w:ascii="Times New Roman" w:hAnsi="Times New Roman" w:cs="Times New Roman"/>
                <w:color w:val="000000"/>
              </w:rPr>
              <w:br/>
              <w:t>• Acknowledges subjective nature of reality</w:t>
            </w:r>
            <w:r w:rsidRPr="00233A80">
              <w:rPr>
                <w:rFonts w:ascii="Times New Roman" w:hAnsi="Times New Roman" w:cs="Times New Roman"/>
                <w:color w:val="000000"/>
              </w:rPr>
              <w:br/>
              <w:t>• Explores complex, context-specific phenomena</w:t>
            </w:r>
            <w:r w:rsidRPr="00233A80">
              <w:rPr>
                <w:rFonts w:ascii="Times New Roman" w:hAnsi="Times New Roman" w:cs="Times New Roman"/>
                <w:color w:val="000000"/>
              </w:rPr>
              <w:br/>
              <w:t>• Emphasises participants' viewpoints</w:t>
            </w:r>
            <w:r w:rsidRPr="00233A80">
              <w:rPr>
                <w:rFonts w:ascii="Times New Roman" w:hAnsi="Times New Roman" w:cs="Times New Roman"/>
                <w:color w:val="000000"/>
              </w:rPr>
              <w:br/>
              <w:t>• Grounded in lived experiences</w:t>
            </w:r>
          </w:p>
        </w:tc>
        <w:tc>
          <w:tcPr>
            <w:tcW w:w="2717" w:type="dxa"/>
            <w:tcMar>
              <w:top w:w="0" w:type="dxa"/>
              <w:left w:w="108" w:type="dxa"/>
              <w:bottom w:w="0" w:type="dxa"/>
              <w:right w:w="108" w:type="dxa"/>
            </w:tcMar>
          </w:tcPr>
          <w:p w14:paraId="3B689CE1"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Recognises active role in constructing realities</w:t>
            </w:r>
            <w:r w:rsidRPr="00233A80">
              <w:rPr>
                <w:rFonts w:ascii="Times New Roman" w:hAnsi="Times New Roman" w:cs="Times New Roman"/>
                <w:color w:val="000000"/>
              </w:rPr>
              <w:br/>
              <w:t>• Emphasises social interaction and dialogue</w:t>
            </w:r>
            <w:r w:rsidRPr="00233A80">
              <w:rPr>
                <w:rFonts w:ascii="Times New Roman" w:hAnsi="Times New Roman" w:cs="Times New Roman"/>
                <w:color w:val="000000"/>
              </w:rPr>
              <w:br/>
              <w:t>• Allows co-creation of knowledge</w:t>
            </w:r>
            <w:r w:rsidRPr="00233A80">
              <w:rPr>
                <w:rFonts w:ascii="Times New Roman" w:hAnsi="Times New Roman" w:cs="Times New Roman"/>
                <w:color w:val="000000"/>
              </w:rPr>
              <w:br/>
              <w:t>• Framework for understanding sense-making</w:t>
            </w:r>
            <w:r w:rsidRPr="00233A80">
              <w:rPr>
                <w:rFonts w:ascii="Times New Roman" w:hAnsi="Times New Roman" w:cs="Times New Roman"/>
                <w:color w:val="000000"/>
              </w:rPr>
              <w:br/>
              <w:t>• Grounded in specific contexts</w:t>
            </w:r>
          </w:p>
        </w:tc>
        <w:tc>
          <w:tcPr>
            <w:tcW w:w="2475" w:type="dxa"/>
            <w:shd w:val="clear" w:color="auto" w:fill="FFCC00"/>
            <w:tcMar>
              <w:top w:w="0" w:type="dxa"/>
              <w:left w:w="108" w:type="dxa"/>
              <w:bottom w:w="0" w:type="dxa"/>
              <w:right w:w="108" w:type="dxa"/>
            </w:tcMar>
          </w:tcPr>
          <w:p w14:paraId="37573317"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Reveals multiple valid group perspectives in organisations</w:t>
            </w:r>
            <w:r w:rsidRPr="00233A80">
              <w:rPr>
                <w:rFonts w:ascii="Times New Roman" w:hAnsi="Times New Roman" w:cs="Times New Roman"/>
                <w:color w:val="000000"/>
              </w:rPr>
              <w:br/>
              <w:t>• Explains why groups see things differently</w:t>
            </w:r>
            <w:r w:rsidRPr="00233A80">
              <w:rPr>
                <w:rFonts w:ascii="Times New Roman" w:hAnsi="Times New Roman" w:cs="Times New Roman"/>
                <w:color w:val="000000"/>
              </w:rPr>
              <w:br/>
              <w:t>• Bridges communication gaps between stakeholders</w:t>
            </w:r>
            <w:r w:rsidRPr="00233A80">
              <w:rPr>
                <w:rFonts w:ascii="Times New Roman" w:hAnsi="Times New Roman" w:cs="Times New Roman"/>
                <w:color w:val="000000"/>
              </w:rPr>
              <w:br/>
              <w:t>• Practical for managing diverse groups</w:t>
            </w:r>
            <w:r w:rsidRPr="00233A80">
              <w:rPr>
                <w:rFonts w:ascii="Times New Roman" w:hAnsi="Times New Roman" w:cs="Times New Roman"/>
                <w:color w:val="000000"/>
              </w:rPr>
              <w:br/>
              <w:t>• Validates that different views are real to those groups</w:t>
            </w:r>
            <w:r w:rsidRPr="00233A80">
              <w:rPr>
                <w:rFonts w:ascii="Times New Roman" w:hAnsi="Times New Roman" w:cs="Times New Roman"/>
                <w:color w:val="000000"/>
              </w:rPr>
              <w:br/>
              <w:t xml:space="preserve">• Helps navigate </w:t>
            </w:r>
            <w:r w:rsidRPr="00233A80">
              <w:rPr>
                <w:rFonts w:ascii="Times New Roman" w:hAnsi="Times New Roman" w:cs="Times New Roman"/>
                <w:color w:val="000000"/>
              </w:rPr>
              <w:lastRenderedPageBreak/>
              <w:t>organisational politics</w:t>
            </w:r>
          </w:p>
        </w:tc>
        <w:tc>
          <w:tcPr>
            <w:tcW w:w="2936" w:type="dxa"/>
            <w:shd w:val="clear" w:color="auto" w:fill="FFCCFF"/>
            <w:tcMar>
              <w:top w:w="0" w:type="dxa"/>
              <w:left w:w="108" w:type="dxa"/>
              <w:bottom w:w="0" w:type="dxa"/>
              <w:right w:w="108" w:type="dxa"/>
            </w:tcMar>
          </w:tcPr>
          <w:p w14:paraId="274FBA8B"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lastRenderedPageBreak/>
              <w:t>• Framework for examining power structures</w:t>
            </w:r>
            <w:r w:rsidRPr="00233A80">
              <w:rPr>
                <w:rFonts w:ascii="Times New Roman" w:hAnsi="Times New Roman" w:cs="Times New Roman"/>
                <w:color w:val="000000"/>
              </w:rPr>
              <w:br/>
              <w:t>• Emphasises social justice</w:t>
            </w:r>
            <w:r w:rsidRPr="00233A80">
              <w:rPr>
                <w:rFonts w:ascii="Times New Roman" w:hAnsi="Times New Roman" w:cs="Times New Roman"/>
                <w:color w:val="000000"/>
              </w:rPr>
              <w:br/>
              <w:t>• Encourages researcher reflexivity</w:t>
            </w:r>
            <w:r w:rsidRPr="00233A80">
              <w:rPr>
                <w:rFonts w:ascii="Times New Roman" w:hAnsi="Times New Roman" w:cs="Times New Roman"/>
                <w:color w:val="000000"/>
              </w:rPr>
              <w:br/>
              <w:t>• Amplifies marginalised voices</w:t>
            </w:r>
            <w:r w:rsidRPr="00233A80">
              <w:rPr>
                <w:rFonts w:ascii="Times New Roman" w:hAnsi="Times New Roman" w:cs="Times New Roman"/>
                <w:color w:val="000000"/>
              </w:rPr>
              <w:br/>
              <w:t>• Informs social action</w:t>
            </w:r>
          </w:p>
        </w:tc>
        <w:tc>
          <w:tcPr>
            <w:tcW w:w="2319" w:type="dxa"/>
            <w:shd w:val="clear" w:color="auto" w:fill="FFFF99"/>
            <w:tcMar>
              <w:top w:w="0" w:type="dxa"/>
              <w:left w:w="108" w:type="dxa"/>
              <w:bottom w:w="0" w:type="dxa"/>
              <w:right w:w="108" w:type="dxa"/>
            </w:tcMar>
          </w:tcPr>
          <w:p w14:paraId="38B44163"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Focuses on practical implications</w:t>
            </w:r>
            <w:r w:rsidRPr="00233A80">
              <w:rPr>
                <w:rFonts w:ascii="Times New Roman" w:hAnsi="Times New Roman" w:cs="Times New Roman"/>
                <w:color w:val="000000"/>
              </w:rPr>
              <w:br/>
              <w:t>• Multiple methods to address question</w:t>
            </w:r>
            <w:r w:rsidRPr="00233A80">
              <w:rPr>
                <w:rFonts w:ascii="Times New Roman" w:hAnsi="Times New Roman" w:cs="Times New Roman"/>
                <w:color w:val="000000"/>
              </w:rPr>
              <w:br/>
              <w:t>• Flexibility and adaptability</w:t>
            </w:r>
            <w:r w:rsidRPr="00233A80">
              <w:rPr>
                <w:rFonts w:ascii="Times New Roman" w:hAnsi="Times New Roman" w:cs="Times New Roman"/>
                <w:color w:val="000000"/>
              </w:rPr>
              <w:br/>
              <w:t>• Relevant, actionable findings</w:t>
            </w:r>
            <w:r w:rsidRPr="00233A80">
              <w:rPr>
                <w:rFonts w:ascii="Times New Roman" w:hAnsi="Times New Roman" w:cs="Times New Roman"/>
                <w:color w:val="000000"/>
              </w:rPr>
              <w:br/>
              <w:t>• Responsive to stakeholders</w:t>
            </w:r>
          </w:p>
        </w:tc>
      </w:tr>
      <w:tr w:rsidR="00CE0861" w:rsidRPr="00233A80" w14:paraId="05263336" w14:textId="77777777">
        <w:tc>
          <w:tcPr>
            <w:tcW w:w="3726" w:type="dxa"/>
            <w:tcMar>
              <w:top w:w="0" w:type="dxa"/>
              <w:left w:w="108" w:type="dxa"/>
              <w:bottom w:w="0" w:type="dxa"/>
              <w:right w:w="108" w:type="dxa"/>
            </w:tcMar>
          </w:tcPr>
          <w:p w14:paraId="24DE58DE"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t>Weaknesses</w:t>
            </w:r>
          </w:p>
        </w:tc>
        <w:tc>
          <w:tcPr>
            <w:tcW w:w="2574" w:type="dxa"/>
            <w:shd w:val="clear" w:color="auto" w:fill="99CCFF"/>
            <w:tcMar>
              <w:top w:w="0" w:type="dxa"/>
              <w:left w:w="108" w:type="dxa"/>
              <w:bottom w:w="0" w:type="dxa"/>
              <w:right w:w="108" w:type="dxa"/>
            </w:tcMar>
          </w:tcPr>
          <w:p w14:paraId="01041033"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May oversimplify complex phenomena</w:t>
            </w:r>
            <w:r w:rsidRPr="00233A80">
              <w:rPr>
                <w:rFonts w:ascii="Times New Roman" w:hAnsi="Times New Roman" w:cs="Times New Roman"/>
                <w:color w:val="000000"/>
              </w:rPr>
              <w:br/>
              <w:t>• Ignores subjective experiences</w:t>
            </w:r>
            <w:r w:rsidRPr="00233A80">
              <w:rPr>
                <w:rFonts w:ascii="Times New Roman" w:hAnsi="Times New Roman" w:cs="Times New Roman"/>
                <w:color w:val="000000"/>
              </w:rPr>
              <w:br/>
              <w:t>• Assumes objective reality independent of interpretation</w:t>
            </w:r>
            <w:r w:rsidRPr="00233A80">
              <w:rPr>
                <w:rFonts w:ascii="Times New Roman" w:hAnsi="Times New Roman" w:cs="Times New Roman"/>
                <w:color w:val="000000"/>
              </w:rPr>
              <w:br/>
              <w:t>• Limited in capturing depth of human behaviour</w:t>
            </w:r>
            <w:r w:rsidRPr="00233A80">
              <w:rPr>
                <w:rFonts w:ascii="Times New Roman" w:hAnsi="Times New Roman" w:cs="Times New Roman"/>
                <w:color w:val="000000"/>
              </w:rPr>
              <w:br/>
              <w:t>• May lack contextual relevance</w:t>
            </w:r>
          </w:p>
        </w:tc>
        <w:tc>
          <w:tcPr>
            <w:tcW w:w="2453" w:type="dxa"/>
            <w:shd w:val="clear" w:color="auto" w:fill="66FFFF"/>
            <w:tcMar>
              <w:top w:w="0" w:type="dxa"/>
              <w:left w:w="108" w:type="dxa"/>
              <w:bottom w:w="0" w:type="dxa"/>
              <w:right w:w="108" w:type="dxa"/>
            </w:tcMar>
          </w:tcPr>
          <w:p w14:paraId="13EE15F3"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Still relies heavily on quantitative methods</w:t>
            </w:r>
            <w:r w:rsidRPr="00233A80">
              <w:rPr>
                <w:rFonts w:ascii="Times New Roman" w:hAnsi="Times New Roman" w:cs="Times New Roman"/>
                <w:color w:val="000000"/>
              </w:rPr>
              <w:br/>
              <w:t>• Assumes objective reality exists</w:t>
            </w:r>
            <w:r w:rsidRPr="00233A80">
              <w:rPr>
                <w:rFonts w:ascii="Times New Roman" w:hAnsi="Times New Roman" w:cs="Times New Roman"/>
                <w:color w:val="000000"/>
              </w:rPr>
              <w:br/>
              <w:t>• May prioritise researcher expertise</w:t>
            </w:r>
            <w:r w:rsidRPr="00233A80">
              <w:rPr>
                <w:rFonts w:ascii="Times New Roman" w:hAnsi="Times New Roman" w:cs="Times New Roman"/>
                <w:color w:val="000000"/>
              </w:rPr>
              <w:br/>
              <w:t>• Pursuit of objectivity may neglect researcher influence</w:t>
            </w:r>
            <w:r w:rsidRPr="00233A80">
              <w:rPr>
                <w:rFonts w:ascii="Times New Roman" w:hAnsi="Times New Roman" w:cs="Times New Roman"/>
                <w:color w:val="000000"/>
              </w:rPr>
              <w:br/>
              <w:t>• Limited transferability</w:t>
            </w:r>
          </w:p>
        </w:tc>
        <w:tc>
          <w:tcPr>
            <w:tcW w:w="3141" w:type="dxa"/>
            <w:shd w:val="clear" w:color="auto" w:fill="CCFF99"/>
            <w:tcMar>
              <w:top w:w="0" w:type="dxa"/>
              <w:left w:w="108" w:type="dxa"/>
              <w:bottom w:w="0" w:type="dxa"/>
              <w:right w:w="108" w:type="dxa"/>
            </w:tcMar>
          </w:tcPr>
          <w:p w14:paraId="2FCCBF35"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Findings may be context-specific</w:t>
            </w:r>
            <w:r w:rsidRPr="00233A80">
              <w:rPr>
                <w:rFonts w:ascii="Times New Roman" w:hAnsi="Times New Roman" w:cs="Times New Roman"/>
                <w:color w:val="000000"/>
              </w:rPr>
              <w:br/>
              <w:t>• Relies on researcher's interpretive skills</w:t>
            </w:r>
            <w:r w:rsidRPr="00233A80">
              <w:rPr>
                <w:rFonts w:ascii="Times New Roman" w:hAnsi="Times New Roman" w:cs="Times New Roman"/>
                <w:color w:val="000000"/>
              </w:rPr>
              <w:br/>
              <w:t>• May be influenced by biases</w:t>
            </w:r>
            <w:r w:rsidRPr="00233A80">
              <w:rPr>
                <w:rFonts w:ascii="Times New Roman" w:hAnsi="Times New Roman" w:cs="Times New Roman"/>
                <w:color w:val="000000"/>
              </w:rPr>
              <w:br/>
              <w:t>• Subjective nature raises reliability questions</w:t>
            </w:r>
            <w:r w:rsidRPr="00233A80">
              <w:rPr>
                <w:rFonts w:ascii="Times New Roman" w:hAnsi="Times New Roman" w:cs="Times New Roman"/>
                <w:color w:val="000000"/>
              </w:rPr>
              <w:br/>
              <w:t>• Time-intensive</w:t>
            </w:r>
          </w:p>
        </w:tc>
        <w:tc>
          <w:tcPr>
            <w:tcW w:w="2717" w:type="dxa"/>
            <w:tcMar>
              <w:top w:w="0" w:type="dxa"/>
              <w:left w:w="108" w:type="dxa"/>
              <w:bottom w:w="0" w:type="dxa"/>
              <w:right w:w="108" w:type="dxa"/>
            </w:tcMar>
          </w:tcPr>
          <w:p w14:paraId="5CD00E82"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Findings highly specific to contexts</w:t>
            </w:r>
            <w:r w:rsidRPr="00233A80">
              <w:rPr>
                <w:rFonts w:ascii="Times New Roman" w:hAnsi="Times New Roman" w:cs="Times New Roman"/>
                <w:color w:val="000000"/>
              </w:rPr>
              <w:br/>
              <w:t>• Emphasis on subjectivity raises credibility questions</w:t>
            </w:r>
            <w:r w:rsidRPr="00233A80">
              <w:rPr>
                <w:rFonts w:ascii="Times New Roman" w:hAnsi="Times New Roman" w:cs="Times New Roman"/>
                <w:color w:val="000000"/>
              </w:rPr>
              <w:br/>
              <w:t>• May blur researcher-participant roles</w:t>
            </w:r>
            <w:r w:rsidRPr="00233A80">
              <w:rPr>
                <w:rFonts w:ascii="Times New Roman" w:hAnsi="Times New Roman" w:cs="Times New Roman"/>
                <w:color w:val="000000"/>
              </w:rPr>
              <w:br/>
              <w:t>• Lack of objective reality makes consensus difficult</w:t>
            </w:r>
            <w:r w:rsidRPr="00233A80">
              <w:rPr>
                <w:rFonts w:ascii="Times New Roman" w:hAnsi="Times New Roman" w:cs="Times New Roman"/>
                <w:color w:val="000000"/>
              </w:rPr>
              <w:br/>
              <w:t>• Time-intensive process</w:t>
            </w:r>
          </w:p>
        </w:tc>
        <w:tc>
          <w:tcPr>
            <w:tcW w:w="2475" w:type="dxa"/>
            <w:shd w:val="clear" w:color="auto" w:fill="FFCC00"/>
            <w:tcMar>
              <w:top w:w="0" w:type="dxa"/>
              <w:left w:w="108" w:type="dxa"/>
              <w:bottom w:w="0" w:type="dxa"/>
              <w:right w:w="108" w:type="dxa"/>
            </w:tcMar>
          </w:tcPr>
          <w:p w14:paraId="34C986E7"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May appear relativistic (all views equally valid?)</w:t>
            </w:r>
            <w:r w:rsidRPr="00233A80">
              <w:rPr>
                <w:rFonts w:ascii="Times New Roman" w:hAnsi="Times New Roman" w:cs="Times New Roman"/>
                <w:color w:val="000000"/>
              </w:rPr>
              <w:br/>
              <w:t>• Findings specific to studied groups and contexts</w:t>
            </w:r>
            <w:r w:rsidRPr="00233A80">
              <w:rPr>
                <w:rFonts w:ascii="Times New Roman" w:hAnsi="Times New Roman" w:cs="Times New Roman"/>
                <w:color w:val="000000"/>
              </w:rPr>
              <w:br/>
              <w:t>• Doesn't prescribe which construction is 'right'</w:t>
            </w:r>
            <w:r w:rsidRPr="00233A80">
              <w:rPr>
                <w:rFonts w:ascii="Times New Roman" w:hAnsi="Times New Roman" w:cs="Times New Roman"/>
                <w:color w:val="000000"/>
              </w:rPr>
              <w:br/>
              <w:t>• May not provide immediate actionable solutions</w:t>
            </w:r>
            <w:r w:rsidRPr="00233A80">
              <w:rPr>
                <w:rFonts w:ascii="Times New Roman" w:hAnsi="Times New Roman" w:cs="Times New Roman"/>
                <w:color w:val="000000"/>
              </w:rPr>
              <w:br/>
              <w:t>• Can be challenging to reconcile conflicting constructions</w:t>
            </w:r>
            <w:r w:rsidRPr="00233A80">
              <w:rPr>
                <w:rFonts w:ascii="Times New Roman" w:hAnsi="Times New Roman" w:cs="Times New Roman"/>
                <w:color w:val="000000"/>
              </w:rPr>
              <w:br/>
              <w:t>• Requires access to multiple groups</w:t>
            </w:r>
          </w:p>
        </w:tc>
        <w:tc>
          <w:tcPr>
            <w:tcW w:w="2936" w:type="dxa"/>
            <w:shd w:val="clear" w:color="auto" w:fill="FFCCFF"/>
            <w:tcMar>
              <w:top w:w="0" w:type="dxa"/>
              <w:left w:w="108" w:type="dxa"/>
              <w:bottom w:w="0" w:type="dxa"/>
              <w:right w:w="108" w:type="dxa"/>
            </w:tcMar>
          </w:tcPr>
          <w:p w14:paraId="32491CD7"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Explicitly political nature raises objectivity questions</w:t>
            </w:r>
            <w:r w:rsidRPr="00233A80">
              <w:rPr>
                <w:rFonts w:ascii="Times New Roman" w:hAnsi="Times New Roman" w:cs="Times New Roman"/>
                <w:color w:val="000000"/>
              </w:rPr>
              <w:br/>
              <w:t>• Focus on specific issues may limit generalisability</w:t>
            </w:r>
            <w:r w:rsidRPr="00233A80">
              <w:rPr>
                <w:rFonts w:ascii="Times New Roman" w:hAnsi="Times New Roman" w:cs="Times New Roman"/>
                <w:color w:val="000000"/>
              </w:rPr>
              <w:br/>
              <w:t>• Critical stance may strain relationships</w:t>
            </w:r>
            <w:r w:rsidRPr="00233A80">
              <w:rPr>
                <w:rFonts w:ascii="Times New Roman" w:hAnsi="Times New Roman" w:cs="Times New Roman"/>
                <w:color w:val="000000"/>
              </w:rPr>
              <w:br/>
              <w:t>• Influenced by researcher's ideological commitments</w:t>
            </w:r>
            <w:r w:rsidRPr="00233A80">
              <w:rPr>
                <w:rFonts w:ascii="Times New Roman" w:hAnsi="Times New Roman" w:cs="Times New Roman"/>
                <w:color w:val="000000"/>
              </w:rPr>
              <w:br/>
              <w:t>• Critique may overshadow practical solutions</w:t>
            </w:r>
          </w:p>
        </w:tc>
        <w:tc>
          <w:tcPr>
            <w:tcW w:w="2319" w:type="dxa"/>
            <w:shd w:val="clear" w:color="auto" w:fill="FFFF99"/>
            <w:tcMar>
              <w:top w:w="0" w:type="dxa"/>
              <w:left w:w="108" w:type="dxa"/>
              <w:bottom w:w="0" w:type="dxa"/>
              <w:right w:w="108" w:type="dxa"/>
            </w:tcMar>
          </w:tcPr>
          <w:p w14:paraId="39E4448A"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Emphasis on practicality may sacrifice theoretical depth</w:t>
            </w:r>
            <w:r w:rsidRPr="00233A80">
              <w:rPr>
                <w:rFonts w:ascii="Times New Roman" w:hAnsi="Times New Roman" w:cs="Times New Roman"/>
                <w:color w:val="000000"/>
              </w:rPr>
              <w:br/>
              <w:t>• Multiple methods may lack coherence</w:t>
            </w:r>
            <w:r w:rsidRPr="00233A80">
              <w:rPr>
                <w:rFonts w:ascii="Times New Roman" w:hAnsi="Times New Roman" w:cs="Times New Roman"/>
                <w:color w:val="000000"/>
              </w:rPr>
              <w:br/>
              <w:t>• May be influenced by those in power</w:t>
            </w:r>
            <w:r w:rsidRPr="00233A80">
              <w:rPr>
                <w:rFonts w:ascii="Times New Roman" w:hAnsi="Times New Roman" w:cs="Times New Roman"/>
                <w:color w:val="000000"/>
              </w:rPr>
              <w:br/>
              <w:t>• Flexibility makes quality evaluation difficult</w:t>
            </w:r>
            <w:r w:rsidRPr="00233A80">
              <w:rPr>
                <w:rFonts w:ascii="Times New Roman" w:hAnsi="Times New Roman" w:cs="Times New Roman"/>
                <w:color w:val="000000"/>
              </w:rPr>
              <w:br/>
              <w:t>• May overlook broader contexts</w:t>
            </w:r>
          </w:p>
        </w:tc>
      </w:tr>
      <w:tr w:rsidR="00CE0861" w:rsidRPr="00233A80" w14:paraId="3FD4FE12" w14:textId="77777777">
        <w:tc>
          <w:tcPr>
            <w:tcW w:w="3726" w:type="dxa"/>
            <w:tcMar>
              <w:top w:w="0" w:type="dxa"/>
              <w:left w:w="108" w:type="dxa"/>
              <w:bottom w:w="0" w:type="dxa"/>
              <w:right w:w="108" w:type="dxa"/>
            </w:tcMar>
          </w:tcPr>
          <w:p w14:paraId="25874043"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t>Ethics</w:t>
            </w:r>
          </w:p>
        </w:tc>
        <w:tc>
          <w:tcPr>
            <w:tcW w:w="2574" w:type="dxa"/>
            <w:shd w:val="clear" w:color="auto" w:fill="99CCFF"/>
            <w:tcMar>
              <w:top w:w="0" w:type="dxa"/>
              <w:left w:w="108" w:type="dxa"/>
              <w:bottom w:w="0" w:type="dxa"/>
              <w:right w:w="108" w:type="dxa"/>
            </w:tcMar>
          </w:tcPr>
          <w:p w14:paraId="50B9132B"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Informed consent</w:t>
            </w:r>
            <w:r w:rsidRPr="00233A80">
              <w:rPr>
                <w:rFonts w:ascii="Times New Roman" w:hAnsi="Times New Roman" w:cs="Times New Roman"/>
                <w:color w:val="000000"/>
              </w:rPr>
              <w:br/>
              <w:t>• Confidentiality and anonymity</w:t>
            </w:r>
            <w:r w:rsidRPr="00233A80">
              <w:rPr>
                <w:rFonts w:ascii="Times New Roman" w:hAnsi="Times New Roman" w:cs="Times New Roman"/>
                <w:color w:val="000000"/>
              </w:rPr>
              <w:br/>
              <w:t>• Minimising harm</w:t>
            </w:r>
            <w:r w:rsidRPr="00233A80">
              <w:rPr>
                <w:rFonts w:ascii="Times New Roman" w:hAnsi="Times New Roman" w:cs="Times New Roman"/>
                <w:color w:val="000000"/>
              </w:rPr>
              <w:br/>
              <w:t>• Objectivity and neutrality</w:t>
            </w:r>
            <w:r w:rsidRPr="00233A80">
              <w:rPr>
                <w:rFonts w:ascii="Times New Roman" w:hAnsi="Times New Roman" w:cs="Times New Roman"/>
                <w:color w:val="000000"/>
              </w:rPr>
              <w:br/>
              <w:t>• Transparency in reporting</w:t>
            </w:r>
            <w:r w:rsidRPr="00233A80">
              <w:rPr>
                <w:rFonts w:ascii="Times New Roman" w:hAnsi="Times New Roman" w:cs="Times New Roman"/>
                <w:color w:val="000000"/>
              </w:rPr>
              <w:br/>
              <w:t>• Avoiding data manipulation</w:t>
            </w:r>
            <w:r w:rsidRPr="00233A80">
              <w:rPr>
                <w:rFonts w:ascii="Times New Roman" w:hAnsi="Times New Roman" w:cs="Times New Roman"/>
                <w:color w:val="000000"/>
              </w:rPr>
              <w:br/>
              <w:t>• Considering societal impacts</w:t>
            </w:r>
          </w:p>
        </w:tc>
        <w:tc>
          <w:tcPr>
            <w:tcW w:w="2453" w:type="dxa"/>
            <w:shd w:val="clear" w:color="auto" w:fill="66FFFF"/>
            <w:tcMar>
              <w:top w:w="0" w:type="dxa"/>
              <w:left w:w="108" w:type="dxa"/>
              <w:bottom w:w="0" w:type="dxa"/>
              <w:right w:w="108" w:type="dxa"/>
            </w:tcMar>
          </w:tcPr>
          <w:p w14:paraId="672147BD"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Acknowledging researcher bias</w:t>
            </w:r>
            <w:r w:rsidRPr="00233A80">
              <w:rPr>
                <w:rFonts w:ascii="Times New Roman" w:hAnsi="Times New Roman" w:cs="Times New Roman"/>
                <w:color w:val="000000"/>
              </w:rPr>
              <w:br/>
              <w:t>• Ethical handling of probabilistic findings</w:t>
            </w:r>
            <w:r w:rsidRPr="00233A80">
              <w:rPr>
                <w:rFonts w:ascii="Times New Roman" w:hAnsi="Times New Roman" w:cs="Times New Roman"/>
                <w:color w:val="000000"/>
              </w:rPr>
              <w:br/>
              <w:t>• Ensuring validity and reliability</w:t>
            </w:r>
            <w:r w:rsidRPr="00233A80">
              <w:rPr>
                <w:rFonts w:ascii="Times New Roman" w:hAnsi="Times New Roman" w:cs="Times New Roman"/>
                <w:color w:val="000000"/>
              </w:rPr>
              <w:br/>
              <w:t>• Responsible interpretation acknowledging limitations</w:t>
            </w:r>
            <w:r w:rsidRPr="00233A80">
              <w:rPr>
                <w:rFonts w:ascii="Times New Roman" w:hAnsi="Times New Roman" w:cs="Times New Roman"/>
                <w:color w:val="000000"/>
              </w:rPr>
              <w:br/>
              <w:t>• Considering implications of generalising</w:t>
            </w:r>
          </w:p>
        </w:tc>
        <w:tc>
          <w:tcPr>
            <w:tcW w:w="3141" w:type="dxa"/>
            <w:shd w:val="clear" w:color="auto" w:fill="CCFF99"/>
            <w:tcMar>
              <w:top w:w="0" w:type="dxa"/>
              <w:left w:w="108" w:type="dxa"/>
              <w:bottom w:w="0" w:type="dxa"/>
              <w:right w:w="108" w:type="dxa"/>
            </w:tcMar>
          </w:tcPr>
          <w:p w14:paraId="02CA05D1"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Building trust and rapport</w:t>
            </w:r>
            <w:r w:rsidRPr="00233A80">
              <w:rPr>
                <w:rFonts w:ascii="Times New Roman" w:hAnsi="Times New Roman" w:cs="Times New Roman"/>
                <w:color w:val="000000"/>
              </w:rPr>
              <w:br/>
              <w:t>• Maintaining confidentiality</w:t>
            </w:r>
            <w:r w:rsidRPr="00233A80">
              <w:rPr>
                <w:rFonts w:ascii="Times New Roman" w:hAnsi="Times New Roman" w:cs="Times New Roman"/>
                <w:color w:val="000000"/>
              </w:rPr>
              <w:br/>
              <w:t>• Ethical representation of diverse viewpoints</w:t>
            </w:r>
            <w:r w:rsidRPr="00233A80">
              <w:rPr>
                <w:rFonts w:ascii="Times New Roman" w:hAnsi="Times New Roman" w:cs="Times New Roman"/>
                <w:color w:val="000000"/>
              </w:rPr>
              <w:br/>
              <w:t>• Managing power dynamics</w:t>
            </w:r>
            <w:r w:rsidRPr="00233A80">
              <w:rPr>
                <w:rFonts w:ascii="Times New Roman" w:hAnsi="Times New Roman" w:cs="Times New Roman"/>
                <w:color w:val="000000"/>
              </w:rPr>
              <w:br/>
              <w:t>• Reflexivity in acknowledging researcher's role</w:t>
            </w:r>
          </w:p>
        </w:tc>
        <w:tc>
          <w:tcPr>
            <w:tcW w:w="2717" w:type="dxa"/>
            <w:tcMar>
              <w:top w:w="0" w:type="dxa"/>
              <w:left w:w="108" w:type="dxa"/>
              <w:bottom w:w="0" w:type="dxa"/>
              <w:right w:w="108" w:type="dxa"/>
            </w:tcMar>
          </w:tcPr>
          <w:p w14:paraId="1B4DC279"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Collaboration and power-sharing</w:t>
            </w:r>
            <w:r w:rsidRPr="00233A80">
              <w:rPr>
                <w:rFonts w:ascii="Times New Roman" w:hAnsi="Times New Roman" w:cs="Times New Roman"/>
                <w:color w:val="000000"/>
              </w:rPr>
              <w:br/>
              <w:t>• Co-creation of knowledge</w:t>
            </w:r>
            <w:r w:rsidRPr="00233A80">
              <w:rPr>
                <w:rFonts w:ascii="Times New Roman" w:hAnsi="Times New Roman" w:cs="Times New Roman"/>
                <w:color w:val="000000"/>
              </w:rPr>
              <w:br/>
              <w:t>• Representing multiple realities</w:t>
            </w:r>
            <w:r w:rsidRPr="00233A80">
              <w:rPr>
                <w:rFonts w:ascii="Times New Roman" w:hAnsi="Times New Roman" w:cs="Times New Roman"/>
                <w:color w:val="000000"/>
              </w:rPr>
              <w:br/>
              <w:t>• Respecting cultural/individual constructions</w:t>
            </w:r>
            <w:r w:rsidRPr="00233A80">
              <w:rPr>
                <w:rFonts w:ascii="Times New Roman" w:hAnsi="Times New Roman" w:cs="Times New Roman"/>
                <w:color w:val="000000"/>
              </w:rPr>
              <w:br/>
              <w:t>• Informed consent in participatory research</w:t>
            </w:r>
            <w:r w:rsidRPr="00233A80">
              <w:rPr>
                <w:rFonts w:ascii="Times New Roman" w:hAnsi="Times New Roman" w:cs="Times New Roman"/>
                <w:color w:val="000000"/>
              </w:rPr>
              <w:br/>
              <w:t>• Addressing conflicts in collaboration</w:t>
            </w:r>
          </w:p>
        </w:tc>
        <w:tc>
          <w:tcPr>
            <w:tcW w:w="2475" w:type="dxa"/>
            <w:shd w:val="clear" w:color="auto" w:fill="FFCC00"/>
            <w:tcMar>
              <w:top w:w="0" w:type="dxa"/>
              <w:left w:w="108" w:type="dxa"/>
              <w:bottom w:w="0" w:type="dxa"/>
              <w:right w:w="108" w:type="dxa"/>
            </w:tcMar>
          </w:tcPr>
          <w:p w14:paraId="112A617F"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Representing all groups fairly without privileging one</w:t>
            </w:r>
            <w:r w:rsidRPr="00233A80">
              <w:rPr>
                <w:rFonts w:ascii="Times New Roman" w:hAnsi="Times New Roman" w:cs="Times New Roman"/>
                <w:color w:val="000000"/>
              </w:rPr>
              <w:br/>
              <w:t>• Reflexivity about researcher's own group memberships</w:t>
            </w:r>
            <w:r w:rsidRPr="00233A80">
              <w:rPr>
                <w:rFonts w:ascii="Times New Roman" w:hAnsi="Times New Roman" w:cs="Times New Roman"/>
                <w:color w:val="000000"/>
              </w:rPr>
              <w:br/>
              <w:t>• Transparency about which constructions are foregrounded</w:t>
            </w:r>
            <w:r w:rsidRPr="00233A80">
              <w:rPr>
                <w:rFonts w:ascii="Times New Roman" w:hAnsi="Times New Roman" w:cs="Times New Roman"/>
                <w:color w:val="000000"/>
              </w:rPr>
              <w:br/>
              <w:t>• Ensuring all groups understand research purpose</w:t>
            </w:r>
            <w:r w:rsidRPr="00233A80">
              <w:rPr>
                <w:rFonts w:ascii="Times New Roman" w:hAnsi="Times New Roman" w:cs="Times New Roman"/>
                <w:color w:val="000000"/>
              </w:rPr>
              <w:br/>
              <w:t>• Managing tensions when groups have conflicting views</w:t>
            </w:r>
            <w:r w:rsidRPr="00233A80">
              <w:rPr>
                <w:rFonts w:ascii="Times New Roman" w:hAnsi="Times New Roman" w:cs="Times New Roman"/>
                <w:color w:val="000000"/>
              </w:rPr>
              <w:br/>
              <w:t>• Avoiding stereotyping groups</w:t>
            </w:r>
          </w:p>
        </w:tc>
        <w:tc>
          <w:tcPr>
            <w:tcW w:w="2936" w:type="dxa"/>
            <w:shd w:val="clear" w:color="auto" w:fill="FFCCFF"/>
            <w:tcMar>
              <w:top w:w="0" w:type="dxa"/>
              <w:left w:w="108" w:type="dxa"/>
              <w:bottom w:w="0" w:type="dxa"/>
              <w:right w:w="108" w:type="dxa"/>
            </w:tcMar>
          </w:tcPr>
          <w:p w14:paraId="21EAFED5"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Addressing power imbalances</w:t>
            </w:r>
            <w:r w:rsidRPr="00233A80">
              <w:rPr>
                <w:rFonts w:ascii="Times New Roman" w:hAnsi="Times New Roman" w:cs="Times New Roman"/>
                <w:color w:val="000000"/>
              </w:rPr>
              <w:br/>
              <w:t>• Ethical considerations in challenging structures</w:t>
            </w:r>
            <w:r w:rsidRPr="00233A80">
              <w:rPr>
                <w:rFonts w:ascii="Times New Roman" w:hAnsi="Times New Roman" w:cs="Times New Roman"/>
                <w:color w:val="000000"/>
              </w:rPr>
              <w:br/>
              <w:t>• Ensuring research benefits marginalized groups</w:t>
            </w:r>
            <w:r w:rsidRPr="00233A80">
              <w:rPr>
                <w:rFonts w:ascii="Times New Roman" w:hAnsi="Times New Roman" w:cs="Times New Roman"/>
                <w:color w:val="000000"/>
              </w:rPr>
              <w:br/>
              <w:t>• Avoiding exploitation</w:t>
            </w:r>
            <w:r w:rsidRPr="00233A80">
              <w:rPr>
                <w:rFonts w:ascii="Times New Roman" w:hAnsi="Times New Roman" w:cs="Times New Roman"/>
                <w:color w:val="000000"/>
              </w:rPr>
              <w:br/>
              <w:t>• Balancing critique with respect</w:t>
            </w:r>
          </w:p>
        </w:tc>
        <w:tc>
          <w:tcPr>
            <w:tcW w:w="2319" w:type="dxa"/>
            <w:shd w:val="clear" w:color="auto" w:fill="FFFF99"/>
            <w:tcMar>
              <w:top w:w="0" w:type="dxa"/>
              <w:left w:w="108" w:type="dxa"/>
              <w:bottom w:w="0" w:type="dxa"/>
              <w:right w:w="108" w:type="dxa"/>
            </w:tcMar>
          </w:tcPr>
          <w:p w14:paraId="4F3F05F9"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 Focusing on 'what works'</w:t>
            </w:r>
            <w:r w:rsidRPr="00233A80">
              <w:rPr>
                <w:rFonts w:ascii="Times New Roman" w:hAnsi="Times New Roman" w:cs="Times New Roman"/>
                <w:color w:val="000000"/>
              </w:rPr>
              <w:br/>
              <w:t>• Considering short and long-term consequences</w:t>
            </w:r>
            <w:r w:rsidRPr="00233A80">
              <w:rPr>
                <w:rFonts w:ascii="Times New Roman" w:hAnsi="Times New Roman" w:cs="Times New Roman"/>
                <w:color w:val="000000"/>
              </w:rPr>
              <w:br/>
              <w:t>• Balancing practical and ethical considerations</w:t>
            </w:r>
            <w:r w:rsidRPr="00233A80">
              <w:rPr>
                <w:rFonts w:ascii="Times New Roman" w:hAnsi="Times New Roman" w:cs="Times New Roman"/>
                <w:color w:val="000000"/>
              </w:rPr>
              <w:br/>
              <w:t>• Ensuring fairness in methods</w:t>
            </w:r>
            <w:r w:rsidRPr="00233A80">
              <w:rPr>
                <w:rFonts w:ascii="Times New Roman" w:hAnsi="Times New Roman" w:cs="Times New Roman"/>
                <w:color w:val="000000"/>
              </w:rPr>
              <w:br/>
              <w:t>• Addressing practical-ethical conflicts</w:t>
            </w:r>
          </w:p>
        </w:tc>
      </w:tr>
      <w:tr w:rsidR="00CE0861" w:rsidRPr="00233A80" w14:paraId="13102C67" w14:textId="77777777">
        <w:tc>
          <w:tcPr>
            <w:tcW w:w="3726" w:type="dxa"/>
            <w:tcMar>
              <w:top w:w="0" w:type="dxa"/>
              <w:left w:w="108" w:type="dxa"/>
              <w:bottom w:w="0" w:type="dxa"/>
              <w:right w:w="108" w:type="dxa"/>
            </w:tcMar>
          </w:tcPr>
          <w:p w14:paraId="6923BF7E"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t>Common ethical considerations across all paradigms</w:t>
            </w:r>
          </w:p>
        </w:tc>
        <w:tc>
          <w:tcPr>
            <w:tcW w:w="18615" w:type="dxa"/>
            <w:gridSpan w:val="7"/>
            <w:shd w:val="clear" w:color="auto" w:fill="FFCC99"/>
            <w:tcMar>
              <w:top w:w="0" w:type="dxa"/>
              <w:left w:w="108" w:type="dxa"/>
              <w:bottom w:w="0" w:type="dxa"/>
              <w:right w:w="108" w:type="dxa"/>
            </w:tcMar>
          </w:tcPr>
          <w:p w14:paraId="1B764581"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Informed consent: Ensuring participants understand the research and voluntarily agree to participate.</w:t>
            </w:r>
            <w:r w:rsidRPr="00233A80">
              <w:rPr>
                <w:rFonts w:ascii="Times New Roman" w:hAnsi="Times New Roman" w:cs="Times New Roman"/>
                <w:color w:val="000000"/>
              </w:rPr>
              <w:br/>
              <w:t>Confidentiality and anonymity: Protecting participants' identities and personal information.</w:t>
            </w:r>
            <w:r w:rsidRPr="00233A80">
              <w:rPr>
                <w:rFonts w:ascii="Times New Roman" w:hAnsi="Times New Roman" w:cs="Times New Roman"/>
                <w:color w:val="000000"/>
              </w:rPr>
              <w:br/>
              <w:t>Minimising harm: Ensuring the research does not cause physical, emotional, or reputational damage to participants.</w:t>
            </w:r>
            <w:r w:rsidRPr="00233A80">
              <w:rPr>
                <w:rFonts w:ascii="Times New Roman" w:hAnsi="Times New Roman" w:cs="Times New Roman"/>
                <w:color w:val="000000"/>
              </w:rPr>
              <w:br/>
              <w:t>Beneficence: Striving for research that benefits participants and society.</w:t>
            </w:r>
            <w:r w:rsidRPr="00233A80">
              <w:rPr>
                <w:rFonts w:ascii="Times New Roman" w:hAnsi="Times New Roman" w:cs="Times New Roman"/>
                <w:color w:val="000000"/>
              </w:rPr>
              <w:br/>
              <w:t>Justice: Ensuring fair selection of participants and equitable distribution of research benefits and burdens.</w:t>
            </w:r>
            <w:r w:rsidRPr="00233A80">
              <w:rPr>
                <w:rFonts w:ascii="Times New Roman" w:hAnsi="Times New Roman" w:cs="Times New Roman"/>
                <w:color w:val="000000"/>
              </w:rPr>
              <w:br/>
              <w:t>Respect for persons: Treating participants as autonomous agents and protecting those with diminished autonomy.</w:t>
            </w:r>
            <w:r w:rsidRPr="00233A80">
              <w:rPr>
                <w:rFonts w:ascii="Times New Roman" w:hAnsi="Times New Roman" w:cs="Times New Roman"/>
                <w:color w:val="000000"/>
              </w:rPr>
              <w:br/>
              <w:t>Scientific integrity: Maintaining honesty, objectivity and transparency in research processes and reporting.</w:t>
            </w:r>
            <w:r w:rsidRPr="00233A80">
              <w:rPr>
                <w:rFonts w:ascii="Times New Roman" w:hAnsi="Times New Roman" w:cs="Times New Roman"/>
                <w:color w:val="000000"/>
              </w:rPr>
              <w:br/>
              <w:t>Ethical review: Submitting research proposals for review by ethics committees or institutional review boards.</w:t>
            </w:r>
            <w:r w:rsidRPr="00233A80">
              <w:rPr>
                <w:rFonts w:ascii="Times New Roman" w:hAnsi="Times New Roman" w:cs="Times New Roman"/>
                <w:color w:val="000000"/>
              </w:rPr>
              <w:br/>
              <w:t>Cultural sensitivity: Respecting cultural norms and values in research design and implementation.</w:t>
            </w:r>
            <w:r w:rsidRPr="00233A80">
              <w:rPr>
                <w:rFonts w:ascii="Times New Roman" w:hAnsi="Times New Roman" w:cs="Times New Roman"/>
                <w:color w:val="000000"/>
              </w:rPr>
              <w:br/>
              <w:t>Data management: Ensuring secure storage, appropriate sharing and eventual disposal of research data.</w:t>
            </w:r>
          </w:p>
          <w:p w14:paraId="23551B97" w14:textId="77777777" w:rsidR="00CE0861" w:rsidRPr="00233A80" w:rsidRDefault="00CE0861">
            <w:pPr>
              <w:spacing w:after="0" w:line="240" w:lineRule="auto"/>
              <w:rPr>
                <w:rFonts w:ascii="Times New Roman" w:hAnsi="Times New Roman" w:cs="Times New Roman"/>
              </w:rPr>
            </w:pPr>
          </w:p>
        </w:tc>
      </w:tr>
      <w:tr w:rsidR="00CE0861" w:rsidRPr="00233A80" w14:paraId="79B2C19E" w14:textId="77777777">
        <w:tc>
          <w:tcPr>
            <w:tcW w:w="3726" w:type="dxa"/>
            <w:tcMar>
              <w:top w:w="0" w:type="dxa"/>
              <w:left w:w="108" w:type="dxa"/>
              <w:bottom w:w="0" w:type="dxa"/>
              <w:right w:w="108" w:type="dxa"/>
            </w:tcMar>
          </w:tcPr>
          <w:p w14:paraId="6E8415E6" w14:textId="77777777" w:rsidR="00CE0861" w:rsidRPr="00233A80" w:rsidRDefault="00000000">
            <w:pPr>
              <w:spacing w:after="0" w:line="240" w:lineRule="auto"/>
              <w:rPr>
                <w:rFonts w:ascii="Times New Roman" w:hAnsi="Times New Roman" w:cs="Times New Roman"/>
                <w:b/>
                <w:bCs/>
              </w:rPr>
            </w:pPr>
            <w:r w:rsidRPr="00233A80">
              <w:rPr>
                <w:rFonts w:ascii="Times New Roman" w:hAnsi="Times New Roman" w:cs="Times New Roman"/>
                <w:b/>
                <w:bCs/>
                <w:color w:val="000000"/>
              </w:rPr>
              <w:lastRenderedPageBreak/>
              <w:t>Implications for practice</w:t>
            </w:r>
          </w:p>
        </w:tc>
        <w:tc>
          <w:tcPr>
            <w:tcW w:w="2574" w:type="dxa"/>
            <w:shd w:val="clear" w:color="auto" w:fill="99CCFF"/>
            <w:tcMar>
              <w:top w:w="0" w:type="dxa"/>
              <w:left w:w="108" w:type="dxa"/>
              <w:bottom w:w="0" w:type="dxa"/>
              <w:right w:w="108" w:type="dxa"/>
            </w:tcMar>
          </w:tcPr>
          <w:p w14:paraId="5C491862"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Findings establish generalisable laws and causal relationships applicable across contexts. Implications focus on replicable interventions, evidence-based policies and predictions. Practitioners can apply findings with confidence assuming similar conditions. Results inform universal best practices, standardised protocols and scalable solutions. Strong empirical basis supports widespread implementation</w:t>
            </w:r>
          </w:p>
        </w:tc>
        <w:tc>
          <w:tcPr>
            <w:tcW w:w="2453" w:type="dxa"/>
            <w:shd w:val="clear" w:color="auto" w:fill="66FFFF"/>
            <w:tcMar>
              <w:top w:w="0" w:type="dxa"/>
              <w:left w:w="108" w:type="dxa"/>
              <w:bottom w:w="0" w:type="dxa"/>
              <w:right w:w="108" w:type="dxa"/>
            </w:tcMar>
          </w:tcPr>
          <w:p w14:paraId="7B393CF1"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Findings provide evidence-based guidance whilst acknowledging contextual factors and limitations. Implications offer recommendations with caveats about boundary conditions and need for local adaptation. Practitioners should consider findings alongside contextual factors. Multiple studies needed before confident generalisations. Results inform practice whilst encouraging critical appraisal and ongoing evaluation</w:t>
            </w:r>
          </w:p>
        </w:tc>
        <w:tc>
          <w:tcPr>
            <w:tcW w:w="3141" w:type="dxa"/>
            <w:shd w:val="clear" w:color="auto" w:fill="CCFF99"/>
            <w:tcMar>
              <w:top w:w="0" w:type="dxa"/>
              <w:left w:w="108" w:type="dxa"/>
              <w:bottom w:w="0" w:type="dxa"/>
              <w:right w:w="108" w:type="dxa"/>
            </w:tcMar>
          </w:tcPr>
          <w:p w14:paraId="5DE3E57B"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Findings provide rich contextual understanding informing practice in similar settings. Implications emphasise transferability, readers assess applicability to their contexts. Practitioners gain deeper understanding of client experiences, meanings and perspectives that inform responsive, person-centred practice. Results illuminate complexity requiring professional judgement. Insights enhance empathy and understanding rather than prescribing actions</w:t>
            </w:r>
          </w:p>
        </w:tc>
        <w:tc>
          <w:tcPr>
            <w:tcW w:w="2717" w:type="dxa"/>
            <w:tcMar>
              <w:top w:w="0" w:type="dxa"/>
              <w:left w:w="108" w:type="dxa"/>
              <w:bottom w:w="0" w:type="dxa"/>
              <w:right w:w="108" w:type="dxa"/>
            </w:tcMar>
          </w:tcPr>
          <w:p w14:paraId="0AE78A4F"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Findings demonstrate collaborative approaches to understanding and creating knowledge. Implications model participatory processes that practitioners can adapt. Emphasises importance of relationship, dialogue and co-creation in professional practice. Practitioners learn from the process as much as content. Results validate participant voices and demonstrate value of collaborative inquiry. Encourages partnerships rather than expert-driven approaches</w:t>
            </w:r>
          </w:p>
        </w:tc>
        <w:tc>
          <w:tcPr>
            <w:tcW w:w="2475" w:type="dxa"/>
            <w:shd w:val="clear" w:color="auto" w:fill="FFCC00"/>
            <w:tcMar>
              <w:top w:w="0" w:type="dxa"/>
              <w:left w:w="108" w:type="dxa"/>
              <w:bottom w:w="0" w:type="dxa"/>
              <w:right w:w="108" w:type="dxa"/>
            </w:tcMar>
          </w:tcPr>
          <w:p w14:paraId="6FB1BE61"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Findings reveal how different stakeholder groups understand phenomena differently, informing multi-perspective organisational approaches. Implications emphasise understanding diverse viewpoints, recognising validity of different group constructions and bridging different social worlds. Practitioners learn to navigate multiple realities in organisations, facilitate dialogue across groups and design interventions that work across different organisational cultures. Results highlight need for stakeholder-aware, context-sensitive practice that acknowledges multiple valid perspectives and group dynamics</w:t>
            </w:r>
          </w:p>
        </w:tc>
        <w:tc>
          <w:tcPr>
            <w:tcW w:w="2936" w:type="dxa"/>
            <w:shd w:val="clear" w:color="auto" w:fill="FFCCFF"/>
            <w:tcMar>
              <w:top w:w="0" w:type="dxa"/>
              <w:left w:w="108" w:type="dxa"/>
              <w:bottom w:w="0" w:type="dxa"/>
              <w:right w:w="108" w:type="dxa"/>
            </w:tcMar>
          </w:tcPr>
          <w:p w14:paraId="10E18C99"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Findings expose power structures and inequities requiring transformative action. Implications call for challenging oppressive practices, advocating for marginalised groups and restructuring systems. Practitioners engage in critical reflection about their own complicity and power. Results demand action towards social justice, not just understanding. Emphasises practitioner responsibility to work towards equity and empowerment, not neutrality</w:t>
            </w:r>
          </w:p>
        </w:tc>
        <w:tc>
          <w:tcPr>
            <w:tcW w:w="2319" w:type="dxa"/>
            <w:shd w:val="clear" w:color="auto" w:fill="FFFF99"/>
            <w:tcMar>
              <w:top w:w="0" w:type="dxa"/>
              <w:left w:w="108" w:type="dxa"/>
              <w:bottom w:w="0" w:type="dxa"/>
              <w:right w:w="108" w:type="dxa"/>
            </w:tcMar>
          </w:tcPr>
          <w:p w14:paraId="37DB78B6" w14:textId="77777777" w:rsidR="00CE0861" w:rsidRPr="00233A80" w:rsidRDefault="00000000">
            <w:pPr>
              <w:spacing w:after="0" w:line="240" w:lineRule="auto"/>
              <w:rPr>
                <w:rFonts w:ascii="Times New Roman" w:hAnsi="Times New Roman" w:cs="Times New Roman"/>
              </w:rPr>
            </w:pPr>
            <w:r w:rsidRPr="00233A80">
              <w:rPr>
                <w:rFonts w:ascii="Times New Roman" w:hAnsi="Times New Roman" w:cs="Times New Roman"/>
                <w:color w:val="000000"/>
              </w:rPr>
              <w:t>Findings provide practical, actionable solutions to specific problems with clear implementation guidance. Implications focus on 'what works' in similar contexts, concrete recommendations and implementation steps. Practitioners gain tested approaches, lessons learned and troubleshooting insights. Results valued for immediate applicability and measurable impact. Emphasis on pragmatic adoption, adaptation to local needs and continuous improvement based on outcomes</w:t>
            </w:r>
          </w:p>
        </w:tc>
      </w:tr>
      <w:tr w:rsidR="00CE0861" w:rsidRPr="00233A80" w14:paraId="19B3015C" w14:textId="77777777">
        <w:tc>
          <w:tcPr>
            <w:tcW w:w="22341" w:type="dxa"/>
            <w:gridSpan w:val="8"/>
            <w:shd w:val="clear" w:color="auto" w:fill="FF66FF"/>
            <w:tcMar>
              <w:top w:w="0" w:type="dxa"/>
              <w:left w:w="108" w:type="dxa"/>
              <w:bottom w:w="0" w:type="dxa"/>
              <w:right w:w="108" w:type="dxa"/>
            </w:tcMar>
          </w:tcPr>
          <w:p w14:paraId="59BAD2FE" w14:textId="77777777" w:rsidR="00CE0861" w:rsidRPr="00233A80" w:rsidRDefault="00CE0861">
            <w:pPr>
              <w:spacing w:after="0" w:line="240" w:lineRule="auto"/>
              <w:rPr>
                <w:rFonts w:ascii="Times New Roman" w:hAnsi="Times New Roman" w:cs="Times New Roman"/>
                <w:color w:val="000000"/>
              </w:rPr>
            </w:pPr>
          </w:p>
          <w:p w14:paraId="6F3D3934" w14:textId="77777777" w:rsidR="00CE0861" w:rsidRPr="00233A80" w:rsidRDefault="00000000">
            <w:pPr>
              <w:shd w:val="clear" w:color="auto" w:fill="FF66FF"/>
              <w:spacing w:after="0" w:line="240" w:lineRule="auto"/>
              <w:jc w:val="center"/>
              <w:rPr>
                <w:rFonts w:ascii="Times New Roman" w:hAnsi="Times New Roman" w:cs="Times New Roman"/>
                <w:color w:val="000000"/>
              </w:rPr>
            </w:pPr>
            <w:r w:rsidRPr="00233A80">
              <w:rPr>
                <w:rFonts w:ascii="Times New Roman" w:hAnsi="Times New Roman" w:cs="Times New Roman"/>
                <w:b/>
                <w:bCs/>
                <w:color w:val="000000"/>
              </w:rPr>
              <w:t>Creswell’s 5 Qualitative Approaches</w:t>
            </w:r>
          </w:p>
          <w:p w14:paraId="1AC8856A" w14:textId="77777777" w:rsidR="00CE0861" w:rsidRPr="00233A80" w:rsidRDefault="00CE0861">
            <w:pPr>
              <w:spacing w:after="0" w:line="240" w:lineRule="auto"/>
              <w:rPr>
                <w:rFonts w:ascii="Times New Roman" w:hAnsi="Times New Roman" w:cs="Times New Roman"/>
                <w:color w:val="000000"/>
              </w:rPr>
            </w:pPr>
          </w:p>
        </w:tc>
      </w:tr>
      <w:tr w:rsidR="00CE0861" w:rsidRPr="00233A80" w14:paraId="13E296AD" w14:textId="77777777">
        <w:trPr>
          <w:trHeight w:val="3224"/>
        </w:trPr>
        <w:tc>
          <w:tcPr>
            <w:tcW w:w="3726" w:type="dxa"/>
            <w:vMerge w:val="restart"/>
            <w:tcMar>
              <w:top w:w="0" w:type="dxa"/>
              <w:left w:w="108" w:type="dxa"/>
              <w:bottom w:w="0" w:type="dxa"/>
              <w:right w:w="108" w:type="dxa"/>
            </w:tcMar>
          </w:tcPr>
          <w:p w14:paraId="0347F5B3" w14:textId="77777777" w:rsidR="00CE0861" w:rsidRPr="00233A80" w:rsidRDefault="00CE0861">
            <w:pPr>
              <w:spacing w:after="0" w:line="240" w:lineRule="auto"/>
              <w:rPr>
                <w:rFonts w:ascii="Times New Roman" w:hAnsi="Times New Roman" w:cs="Times New Roman"/>
                <w:b/>
                <w:bCs/>
                <w:color w:val="000000"/>
              </w:rPr>
            </w:pPr>
          </w:p>
        </w:tc>
        <w:tc>
          <w:tcPr>
            <w:tcW w:w="2574" w:type="dxa"/>
            <w:vMerge w:val="restart"/>
            <w:shd w:val="clear" w:color="auto" w:fill="99CCFF"/>
            <w:tcMar>
              <w:top w:w="0" w:type="dxa"/>
              <w:left w:w="108" w:type="dxa"/>
              <w:bottom w:w="0" w:type="dxa"/>
              <w:right w:w="108" w:type="dxa"/>
            </w:tcMar>
          </w:tcPr>
          <w:p w14:paraId="7AA98E3E" w14:textId="77777777" w:rsidR="00CE0861" w:rsidRPr="00233A80" w:rsidRDefault="00CE0861">
            <w:pPr>
              <w:spacing w:after="0" w:line="240" w:lineRule="auto"/>
              <w:rPr>
                <w:rFonts w:ascii="Times New Roman" w:hAnsi="Times New Roman" w:cs="Times New Roman"/>
                <w:color w:val="000000"/>
              </w:rPr>
            </w:pPr>
          </w:p>
        </w:tc>
        <w:tc>
          <w:tcPr>
            <w:tcW w:w="2453" w:type="dxa"/>
            <w:vMerge w:val="restart"/>
            <w:shd w:val="clear" w:color="auto" w:fill="66FFFF"/>
            <w:tcMar>
              <w:top w:w="0" w:type="dxa"/>
              <w:left w:w="108" w:type="dxa"/>
              <w:bottom w:w="0" w:type="dxa"/>
              <w:right w:w="108" w:type="dxa"/>
            </w:tcMar>
          </w:tcPr>
          <w:p w14:paraId="55C2E5E6"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Case Study</w:t>
            </w:r>
          </w:p>
          <w:p w14:paraId="30FA7F66"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Can align with various paradigms, including Postpositivism, Interpretivism, and Pragmatism, depending on the nature of the case and the research question.</w:t>
            </w:r>
          </w:p>
          <w:p w14:paraId="14F6338A" w14:textId="77777777" w:rsidR="00CE0861" w:rsidRPr="00233A80" w:rsidRDefault="00CE0861">
            <w:pPr>
              <w:spacing w:after="0" w:line="240" w:lineRule="auto"/>
              <w:rPr>
                <w:rFonts w:ascii="Times New Roman" w:hAnsi="Times New Roman" w:cs="Times New Roman"/>
                <w:color w:val="000000"/>
              </w:rPr>
            </w:pPr>
          </w:p>
          <w:p w14:paraId="4423F38C"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A postpositivist case study may aim to identify patterns or causal relationships within a specific context.</w:t>
            </w:r>
          </w:p>
          <w:p w14:paraId="32432777"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w:t>
            </w:r>
          </w:p>
        </w:tc>
        <w:tc>
          <w:tcPr>
            <w:tcW w:w="3141" w:type="dxa"/>
            <w:shd w:val="clear" w:color="auto" w:fill="CCFF99"/>
            <w:tcMar>
              <w:top w:w="0" w:type="dxa"/>
              <w:left w:w="108" w:type="dxa"/>
              <w:bottom w:w="0" w:type="dxa"/>
              <w:right w:w="108" w:type="dxa"/>
            </w:tcMar>
          </w:tcPr>
          <w:p w14:paraId="554DBF65"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Narrative Research</w:t>
            </w:r>
          </w:p>
          <w:p w14:paraId="22B46441"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Aligns with the Interpretivism paradigm, as it focuses on understanding individual experiences and the meanings people attach to their stories.</w:t>
            </w:r>
          </w:p>
          <w:p w14:paraId="7D76CDED"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 xml:space="preserve">Emphasises the subjective nature of reality and the importance of </w:t>
            </w:r>
            <w:r w:rsidRPr="00233A80">
              <w:rPr>
                <w:rFonts w:ascii="Times New Roman" w:hAnsi="Times New Roman" w:cs="Times New Roman"/>
                <w:color w:val="000000"/>
              </w:rPr>
              <w:lastRenderedPageBreak/>
              <w:t>understanding the participant's perspective.</w:t>
            </w:r>
          </w:p>
        </w:tc>
        <w:tc>
          <w:tcPr>
            <w:tcW w:w="2717" w:type="dxa"/>
            <w:vMerge w:val="restart"/>
            <w:tcMar>
              <w:top w:w="0" w:type="dxa"/>
              <w:left w:w="108" w:type="dxa"/>
              <w:bottom w:w="0" w:type="dxa"/>
              <w:right w:w="108" w:type="dxa"/>
            </w:tcMar>
          </w:tcPr>
          <w:p w14:paraId="51C705C4"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Grounded Theory</w:t>
            </w:r>
          </w:p>
          <w:p w14:paraId="5B351608"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When emphasising co-construction of theory through interaction between researcher and participants. Theory emerges through collaborative dialogue and iterative engagement.</w:t>
            </w:r>
          </w:p>
          <w:p w14:paraId="1E9B04FA"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Note: The paradigm alignment depends on whether the grounded theory focuses on individual meanings (Interpretivism), co-construction through researcher-participant interaction (Constructivism), or comparative group-level processes (Social Constructionism).</w:t>
            </w:r>
          </w:p>
          <w:p w14:paraId="3C1ABD04" w14:textId="77777777" w:rsidR="00CE0861" w:rsidRPr="00233A80" w:rsidRDefault="00CE0861">
            <w:pPr>
              <w:spacing w:after="0" w:line="240" w:lineRule="auto"/>
              <w:rPr>
                <w:rFonts w:ascii="Times New Roman" w:hAnsi="Times New Roman" w:cs="Times New Roman"/>
                <w:color w:val="000000"/>
              </w:rPr>
            </w:pPr>
          </w:p>
          <w:p w14:paraId="68D22641" w14:textId="77777777" w:rsidR="00CE0861" w:rsidRPr="00233A80" w:rsidRDefault="00CE0861">
            <w:pPr>
              <w:spacing w:after="0" w:line="240" w:lineRule="auto"/>
              <w:rPr>
                <w:rFonts w:ascii="Times New Roman" w:hAnsi="Times New Roman" w:cs="Times New Roman"/>
                <w:color w:val="000000"/>
              </w:rPr>
            </w:pPr>
          </w:p>
        </w:tc>
        <w:tc>
          <w:tcPr>
            <w:tcW w:w="2475" w:type="dxa"/>
            <w:vMerge w:val="restart"/>
            <w:shd w:val="clear" w:color="auto" w:fill="FFCC00"/>
            <w:tcMar>
              <w:top w:w="0" w:type="dxa"/>
              <w:left w:w="108" w:type="dxa"/>
              <w:bottom w:w="0" w:type="dxa"/>
              <w:right w:w="108" w:type="dxa"/>
            </w:tcMar>
          </w:tcPr>
          <w:p w14:paraId="611289B7"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Grounded Theory</w:t>
            </w:r>
          </w:p>
          <w:p w14:paraId="1F3A2639"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When comparing how different groups construct processes differently, or when theory explains group-level social processes and variations in how groups make sense of phenomena.</w:t>
            </w:r>
          </w:p>
          <w:p w14:paraId="14D90C09" w14:textId="77777777" w:rsidR="00CE0861" w:rsidRPr="00233A80" w:rsidRDefault="00CE0861">
            <w:pPr>
              <w:spacing w:after="0" w:line="240" w:lineRule="auto"/>
              <w:rPr>
                <w:rFonts w:ascii="Times New Roman" w:hAnsi="Times New Roman" w:cs="Times New Roman"/>
                <w:color w:val="000000"/>
              </w:rPr>
            </w:pPr>
          </w:p>
        </w:tc>
        <w:tc>
          <w:tcPr>
            <w:tcW w:w="2936" w:type="dxa"/>
            <w:vMerge w:val="restart"/>
            <w:shd w:val="clear" w:color="auto" w:fill="FFCCFF"/>
            <w:tcMar>
              <w:top w:w="0" w:type="dxa"/>
              <w:left w:w="108" w:type="dxa"/>
              <w:bottom w:w="0" w:type="dxa"/>
              <w:right w:w="108" w:type="dxa"/>
            </w:tcMar>
          </w:tcPr>
          <w:p w14:paraId="65AF7901"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 xml:space="preserve">Ethnography </w:t>
            </w:r>
          </w:p>
          <w:p w14:paraId="17C1FCFF"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Can align with either the Interpretivism or Critical Theory paradigm, depending on the focus of the study.</w:t>
            </w:r>
          </w:p>
          <w:p w14:paraId="0813901E" w14:textId="77777777" w:rsidR="00CE0861" w:rsidRPr="00233A80" w:rsidRDefault="00CE0861">
            <w:pPr>
              <w:spacing w:after="0" w:line="240" w:lineRule="auto"/>
              <w:rPr>
                <w:rFonts w:ascii="Times New Roman" w:hAnsi="Times New Roman" w:cs="Times New Roman"/>
                <w:color w:val="000000"/>
              </w:rPr>
            </w:pPr>
          </w:p>
          <w:p w14:paraId="718C7B54"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 xml:space="preserve">Critical ethnography aims to uncover and challenge power relations and oppressive structures </w:t>
            </w:r>
            <w:r w:rsidRPr="00233A80">
              <w:rPr>
                <w:rFonts w:ascii="Times New Roman" w:hAnsi="Times New Roman" w:cs="Times New Roman"/>
                <w:color w:val="000000"/>
              </w:rPr>
              <w:lastRenderedPageBreak/>
              <w:t>within a culture or social group, aligning with the Critical Theory paradigm.</w:t>
            </w:r>
          </w:p>
        </w:tc>
        <w:tc>
          <w:tcPr>
            <w:tcW w:w="2319" w:type="dxa"/>
            <w:vMerge w:val="restart"/>
            <w:shd w:val="clear" w:color="auto" w:fill="FFFF99"/>
            <w:tcMar>
              <w:top w:w="0" w:type="dxa"/>
              <w:left w:w="108" w:type="dxa"/>
              <w:bottom w:w="0" w:type="dxa"/>
              <w:right w:w="108" w:type="dxa"/>
            </w:tcMar>
          </w:tcPr>
          <w:p w14:paraId="35643AB4"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lastRenderedPageBreak/>
              <w:t>Case Study</w:t>
            </w:r>
          </w:p>
          <w:p w14:paraId="612CE886"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Can align with various paradigms, including Postpositivism, Interpretivism, and Pragmatism, depending on the nature of the case and the research question.</w:t>
            </w:r>
          </w:p>
          <w:p w14:paraId="12E1546B" w14:textId="77777777" w:rsidR="00CE0861" w:rsidRPr="00233A80" w:rsidRDefault="00CE0861">
            <w:pPr>
              <w:spacing w:after="0" w:line="240" w:lineRule="auto"/>
              <w:rPr>
                <w:rFonts w:ascii="Times New Roman" w:hAnsi="Times New Roman" w:cs="Times New Roman"/>
                <w:color w:val="000000"/>
              </w:rPr>
            </w:pPr>
          </w:p>
          <w:p w14:paraId="69704A63"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A pragmatic case study may focus on finding practical solutions to real-world problems within a specific setting.</w:t>
            </w:r>
          </w:p>
        </w:tc>
      </w:tr>
      <w:tr w:rsidR="00CE0861" w:rsidRPr="00233A80" w14:paraId="72A7B8D4" w14:textId="77777777">
        <w:trPr>
          <w:trHeight w:val="3008"/>
        </w:trPr>
        <w:tc>
          <w:tcPr>
            <w:tcW w:w="3726" w:type="dxa"/>
            <w:vMerge/>
            <w:tcMar>
              <w:top w:w="0" w:type="dxa"/>
              <w:left w:w="108" w:type="dxa"/>
              <w:bottom w:w="0" w:type="dxa"/>
              <w:right w:w="108" w:type="dxa"/>
            </w:tcMar>
          </w:tcPr>
          <w:p w14:paraId="76BB3519" w14:textId="77777777" w:rsidR="00CE0861" w:rsidRPr="00233A80" w:rsidRDefault="00CE0861">
            <w:pPr>
              <w:widowControl w:val="0"/>
              <w:pBdr>
                <w:top w:val="nil"/>
                <w:left w:val="nil"/>
                <w:bottom w:val="nil"/>
                <w:right w:val="nil"/>
                <w:between w:val="nil"/>
              </w:pBdr>
              <w:spacing w:after="0" w:line="276" w:lineRule="auto"/>
              <w:rPr>
                <w:rFonts w:ascii="Times New Roman" w:hAnsi="Times New Roman" w:cs="Times New Roman"/>
                <w:color w:val="000000"/>
              </w:rPr>
            </w:pPr>
          </w:p>
        </w:tc>
        <w:tc>
          <w:tcPr>
            <w:tcW w:w="2574" w:type="dxa"/>
            <w:vMerge/>
            <w:shd w:val="clear" w:color="auto" w:fill="99CCFF"/>
            <w:tcMar>
              <w:top w:w="0" w:type="dxa"/>
              <w:left w:w="108" w:type="dxa"/>
              <w:bottom w:w="0" w:type="dxa"/>
              <w:right w:w="108" w:type="dxa"/>
            </w:tcMar>
          </w:tcPr>
          <w:p w14:paraId="06F10083" w14:textId="77777777" w:rsidR="00CE0861" w:rsidRPr="00233A80" w:rsidRDefault="00CE0861">
            <w:pPr>
              <w:widowControl w:val="0"/>
              <w:pBdr>
                <w:top w:val="nil"/>
                <w:left w:val="nil"/>
                <w:bottom w:val="nil"/>
                <w:right w:val="nil"/>
                <w:between w:val="nil"/>
              </w:pBdr>
              <w:spacing w:after="0" w:line="276" w:lineRule="auto"/>
              <w:rPr>
                <w:rFonts w:ascii="Times New Roman" w:hAnsi="Times New Roman" w:cs="Times New Roman"/>
                <w:color w:val="000000"/>
              </w:rPr>
            </w:pPr>
          </w:p>
        </w:tc>
        <w:tc>
          <w:tcPr>
            <w:tcW w:w="2453" w:type="dxa"/>
            <w:vMerge/>
            <w:shd w:val="clear" w:color="auto" w:fill="66FFFF"/>
            <w:tcMar>
              <w:top w:w="0" w:type="dxa"/>
              <w:left w:w="108" w:type="dxa"/>
              <w:bottom w:w="0" w:type="dxa"/>
              <w:right w:w="108" w:type="dxa"/>
            </w:tcMar>
          </w:tcPr>
          <w:p w14:paraId="66AD61F4" w14:textId="77777777" w:rsidR="00CE0861" w:rsidRPr="00233A80" w:rsidRDefault="00CE0861">
            <w:pPr>
              <w:widowControl w:val="0"/>
              <w:pBdr>
                <w:top w:val="nil"/>
                <w:left w:val="nil"/>
                <w:bottom w:val="nil"/>
                <w:right w:val="nil"/>
                <w:between w:val="nil"/>
              </w:pBdr>
              <w:spacing w:after="0" w:line="276" w:lineRule="auto"/>
              <w:rPr>
                <w:rFonts w:ascii="Times New Roman" w:hAnsi="Times New Roman" w:cs="Times New Roman"/>
                <w:color w:val="000000"/>
              </w:rPr>
            </w:pPr>
          </w:p>
        </w:tc>
        <w:tc>
          <w:tcPr>
            <w:tcW w:w="3141" w:type="dxa"/>
            <w:shd w:val="clear" w:color="auto" w:fill="CCFF99"/>
            <w:tcMar>
              <w:top w:w="0" w:type="dxa"/>
              <w:left w:w="108" w:type="dxa"/>
              <w:bottom w:w="0" w:type="dxa"/>
              <w:right w:w="108" w:type="dxa"/>
            </w:tcMar>
          </w:tcPr>
          <w:p w14:paraId="2493A89B"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Phenomenology</w:t>
            </w:r>
          </w:p>
          <w:p w14:paraId="4FB8096A"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Also aligns with the Interpretivism paradigm, as it seeks to understand the essence of a phenomenon through the lived experiences of individuals.</w:t>
            </w:r>
          </w:p>
          <w:p w14:paraId="624E0FCE"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highlight w:val="yellow"/>
              </w:rPr>
              <w:t>Focuses on interpreting the meanings people assign to their experiences and how they construct their realities.</w:t>
            </w:r>
          </w:p>
          <w:p w14:paraId="67C14C0B" w14:textId="77777777" w:rsidR="00CE0861" w:rsidRPr="00233A80" w:rsidRDefault="00CE0861">
            <w:pPr>
              <w:spacing w:after="0" w:line="240" w:lineRule="auto"/>
              <w:rPr>
                <w:rFonts w:ascii="Times New Roman" w:hAnsi="Times New Roman" w:cs="Times New Roman"/>
                <w:color w:val="000000"/>
              </w:rPr>
            </w:pPr>
          </w:p>
          <w:p w14:paraId="7D8F25A6"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b/>
                <w:bCs/>
                <w:color w:val="000000"/>
                <w:highlight w:val="yellow"/>
              </w:rPr>
              <w:t>IPA:</w:t>
            </w:r>
            <w:r w:rsidRPr="00233A80">
              <w:rPr>
                <w:rFonts w:ascii="Times New Roman" w:hAnsi="Times New Roman" w:cs="Times New Roman"/>
                <w:color w:val="000000"/>
                <w:highlight w:val="yellow"/>
              </w:rPr>
              <w:t xml:space="preserve"> Interpretative Phenomenological Analysis (Smith, Flowers and Larkin) is a widely used interpretive form of phenomenology, increasingly found in business and management research. It is Heideggerian (preconceptions are acknowledged, not bracketed) and idiographic (each case is analysed in depth before comparing across cases).</w:t>
            </w:r>
          </w:p>
        </w:tc>
        <w:tc>
          <w:tcPr>
            <w:tcW w:w="2717" w:type="dxa"/>
            <w:vMerge/>
            <w:tcMar>
              <w:top w:w="0" w:type="dxa"/>
              <w:left w:w="108" w:type="dxa"/>
              <w:bottom w:w="0" w:type="dxa"/>
              <w:right w:w="108" w:type="dxa"/>
            </w:tcMar>
          </w:tcPr>
          <w:p w14:paraId="77A44178" w14:textId="77777777" w:rsidR="00CE0861" w:rsidRPr="00233A80" w:rsidRDefault="00CE0861">
            <w:pPr>
              <w:widowControl w:val="0"/>
              <w:pBdr>
                <w:top w:val="nil"/>
                <w:left w:val="nil"/>
                <w:bottom w:val="nil"/>
                <w:right w:val="nil"/>
                <w:between w:val="nil"/>
              </w:pBdr>
              <w:spacing w:after="0" w:line="276" w:lineRule="auto"/>
              <w:rPr>
                <w:rFonts w:ascii="Times New Roman" w:hAnsi="Times New Roman" w:cs="Times New Roman"/>
                <w:color w:val="000000"/>
              </w:rPr>
            </w:pPr>
          </w:p>
        </w:tc>
        <w:tc>
          <w:tcPr>
            <w:tcW w:w="2475" w:type="dxa"/>
            <w:vMerge/>
            <w:shd w:val="clear" w:color="auto" w:fill="FFCC00"/>
            <w:tcMar>
              <w:top w:w="0" w:type="dxa"/>
              <w:left w:w="108" w:type="dxa"/>
              <w:bottom w:w="0" w:type="dxa"/>
              <w:right w:w="108" w:type="dxa"/>
            </w:tcMar>
          </w:tcPr>
          <w:p w14:paraId="737095A5" w14:textId="77777777" w:rsidR="00CE0861" w:rsidRPr="00233A80" w:rsidRDefault="00CE0861">
            <w:pPr>
              <w:widowControl w:val="0"/>
              <w:pBdr>
                <w:top w:val="nil"/>
                <w:left w:val="nil"/>
                <w:bottom w:val="nil"/>
                <w:right w:val="nil"/>
                <w:between w:val="nil"/>
              </w:pBdr>
              <w:spacing w:after="0" w:line="276" w:lineRule="auto"/>
              <w:rPr>
                <w:rFonts w:ascii="Times New Roman" w:hAnsi="Times New Roman" w:cs="Times New Roman"/>
                <w:color w:val="000000"/>
              </w:rPr>
            </w:pPr>
          </w:p>
        </w:tc>
        <w:tc>
          <w:tcPr>
            <w:tcW w:w="2936" w:type="dxa"/>
            <w:vMerge/>
            <w:shd w:val="clear" w:color="auto" w:fill="FFCCFF"/>
            <w:tcMar>
              <w:top w:w="0" w:type="dxa"/>
              <w:left w:w="108" w:type="dxa"/>
              <w:bottom w:w="0" w:type="dxa"/>
              <w:right w:w="108" w:type="dxa"/>
            </w:tcMar>
          </w:tcPr>
          <w:p w14:paraId="4129E14A" w14:textId="77777777" w:rsidR="00CE0861" w:rsidRPr="00233A80" w:rsidRDefault="00CE0861">
            <w:pPr>
              <w:widowControl w:val="0"/>
              <w:pBdr>
                <w:top w:val="nil"/>
                <w:left w:val="nil"/>
                <w:bottom w:val="nil"/>
                <w:right w:val="nil"/>
                <w:between w:val="nil"/>
              </w:pBdr>
              <w:spacing w:after="0" w:line="276" w:lineRule="auto"/>
              <w:rPr>
                <w:rFonts w:ascii="Times New Roman" w:hAnsi="Times New Roman" w:cs="Times New Roman"/>
                <w:color w:val="000000"/>
              </w:rPr>
            </w:pPr>
          </w:p>
        </w:tc>
        <w:tc>
          <w:tcPr>
            <w:tcW w:w="2319" w:type="dxa"/>
            <w:vMerge/>
            <w:shd w:val="clear" w:color="auto" w:fill="FFFF99"/>
            <w:tcMar>
              <w:top w:w="0" w:type="dxa"/>
              <w:left w:w="108" w:type="dxa"/>
              <w:bottom w:w="0" w:type="dxa"/>
              <w:right w:w="108" w:type="dxa"/>
            </w:tcMar>
          </w:tcPr>
          <w:p w14:paraId="7EB4A194" w14:textId="77777777" w:rsidR="00CE0861" w:rsidRPr="00233A80" w:rsidRDefault="00CE0861">
            <w:pPr>
              <w:widowControl w:val="0"/>
              <w:pBdr>
                <w:top w:val="nil"/>
                <w:left w:val="nil"/>
                <w:bottom w:val="nil"/>
                <w:right w:val="nil"/>
                <w:between w:val="nil"/>
              </w:pBdr>
              <w:spacing w:after="0" w:line="276" w:lineRule="auto"/>
              <w:rPr>
                <w:rFonts w:ascii="Times New Roman" w:hAnsi="Times New Roman" w:cs="Times New Roman"/>
                <w:color w:val="000000"/>
              </w:rPr>
            </w:pPr>
          </w:p>
        </w:tc>
      </w:tr>
      <w:tr w:rsidR="00CE0861" w:rsidRPr="00233A80" w14:paraId="56E51F63" w14:textId="77777777">
        <w:trPr>
          <w:trHeight w:val="3734"/>
        </w:trPr>
        <w:tc>
          <w:tcPr>
            <w:tcW w:w="3726" w:type="dxa"/>
            <w:vMerge/>
            <w:tcMar>
              <w:top w:w="0" w:type="dxa"/>
              <w:left w:w="108" w:type="dxa"/>
              <w:bottom w:w="0" w:type="dxa"/>
              <w:right w:w="108" w:type="dxa"/>
            </w:tcMar>
          </w:tcPr>
          <w:p w14:paraId="276A85D8" w14:textId="77777777" w:rsidR="00CE0861" w:rsidRPr="00233A80" w:rsidRDefault="00CE0861">
            <w:pPr>
              <w:widowControl w:val="0"/>
              <w:pBdr>
                <w:top w:val="nil"/>
                <w:left w:val="nil"/>
                <w:bottom w:val="nil"/>
                <w:right w:val="nil"/>
                <w:between w:val="nil"/>
              </w:pBdr>
              <w:spacing w:after="0" w:line="276" w:lineRule="auto"/>
              <w:rPr>
                <w:rFonts w:ascii="Times New Roman" w:hAnsi="Times New Roman" w:cs="Times New Roman"/>
                <w:color w:val="000000"/>
              </w:rPr>
            </w:pPr>
          </w:p>
        </w:tc>
        <w:tc>
          <w:tcPr>
            <w:tcW w:w="2574" w:type="dxa"/>
            <w:vMerge/>
            <w:shd w:val="clear" w:color="auto" w:fill="99CCFF"/>
            <w:tcMar>
              <w:top w:w="0" w:type="dxa"/>
              <w:left w:w="108" w:type="dxa"/>
              <w:bottom w:w="0" w:type="dxa"/>
              <w:right w:w="108" w:type="dxa"/>
            </w:tcMar>
          </w:tcPr>
          <w:p w14:paraId="3C9D6771" w14:textId="77777777" w:rsidR="00CE0861" w:rsidRPr="00233A80" w:rsidRDefault="00CE0861">
            <w:pPr>
              <w:widowControl w:val="0"/>
              <w:pBdr>
                <w:top w:val="nil"/>
                <w:left w:val="nil"/>
                <w:bottom w:val="nil"/>
                <w:right w:val="nil"/>
                <w:between w:val="nil"/>
              </w:pBdr>
              <w:spacing w:after="0" w:line="276" w:lineRule="auto"/>
              <w:rPr>
                <w:rFonts w:ascii="Times New Roman" w:hAnsi="Times New Roman" w:cs="Times New Roman"/>
                <w:color w:val="000000"/>
              </w:rPr>
            </w:pPr>
          </w:p>
        </w:tc>
        <w:tc>
          <w:tcPr>
            <w:tcW w:w="2453" w:type="dxa"/>
            <w:vMerge/>
            <w:shd w:val="clear" w:color="auto" w:fill="66FFFF"/>
            <w:tcMar>
              <w:top w:w="0" w:type="dxa"/>
              <w:left w:w="108" w:type="dxa"/>
              <w:bottom w:w="0" w:type="dxa"/>
              <w:right w:w="108" w:type="dxa"/>
            </w:tcMar>
          </w:tcPr>
          <w:p w14:paraId="7D9627D3" w14:textId="77777777" w:rsidR="00CE0861" w:rsidRPr="00233A80" w:rsidRDefault="00CE0861">
            <w:pPr>
              <w:widowControl w:val="0"/>
              <w:pBdr>
                <w:top w:val="nil"/>
                <w:left w:val="nil"/>
                <w:bottom w:val="nil"/>
                <w:right w:val="nil"/>
                <w:between w:val="nil"/>
              </w:pBdr>
              <w:spacing w:after="0" w:line="276" w:lineRule="auto"/>
              <w:rPr>
                <w:rFonts w:ascii="Times New Roman" w:hAnsi="Times New Roman" w:cs="Times New Roman"/>
                <w:color w:val="000000"/>
              </w:rPr>
            </w:pPr>
          </w:p>
        </w:tc>
        <w:tc>
          <w:tcPr>
            <w:tcW w:w="3141" w:type="dxa"/>
            <w:tcBorders>
              <w:bottom w:val="single" w:sz="12" w:space="0" w:color="000000"/>
            </w:tcBorders>
            <w:shd w:val="clear" w:color="auto" w:fill="CCFF99"/>
            <w:tcMar>
              <w:top w:w="0" w:type="dxa"/>
              <w:left w:w="108" w:type="dxa"/>
              <w:bottom w:w="0" w:type="dxa"/>
              <w:right w:w="108" w:type="dxa"/>
            </w:tcMar>
          </w:tcPr>
          <w:p w14:paraId="0482B853"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Ethnography</w:t>
            </w:r>
          </w:p>
          <w:p w14:paraId="25E60692"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Can align with either the Interpretivism or Critical Theory paradigm, depending on the focus of the study.</w:t>
            </w:r>
          </w:p>
          <w:p w14:paraId="0496CE48" w14:textId="77777777" w:rsidR="00CE0861" w:rsidRPr="00233A80" w:rsidRDefault="00CE0861">
            <w:pPr>
              <w:spacing w:after="0" w:line="240" w:lineRule="auto"/>
              <w:rPr>
                <w:rFonts w:ascii="Times New Roman" w:hAnsi="Times New Roman" w:cs="Times New Roman"/>
                <w:color w:val="000000"/>
              </w:rPr>
            </w:pPr>
          </w:p>
          <w:p w14:paraId="28745F53"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Interpretive ethnography seeks to understand a culture or social group through the meanings they assign to their experiences, aligning with the Interpretivism paradigm</w:t>
            </w:r>
          </w:p>
        </w:tc>
        <w:tc>
          <w:tcPr>
            <w:tcW w:w="2717" w:type="dxa"/>
            <w:vMerge/>
            <w:tcMar>
              <w:top w:w="0" w:type="dxa"/>
              <w:left w:w="108" w:type="dxa"/>
              <w:bottom w:w="0" w:type="dxa"/>
              <w:right w:w="108" w:type="dxa"/>
            </w:tcMar>
          </w:tcPr>
          <w:p w14:paraId="1379AB5A" w14:textId="77777777" w:rsidR="00CE0861" w:rsidRPr="00233A80" w:rsidRDefault="00CE0861">
            <w:pPr>
              <w:widowControl w:val="0"/>
              <w:pBdr>
                <w:top w:val="nil"/>
                <w:left w:val="nil"/>
                <w:bottom w:val="nil"/>
                <w:right w:val="nil"/>
                <w:between w:val="nil"/>
              </w:pBdr>
              <w:spacing w:after="0" w:line="276" w:lineRule="auto"/>
              <w:rPr>
                <w:rFonts w:ascii="Times New Roman" w:hAnsi="Times New Roman" w:cs="Times New Roman"/>
                <w:color w:val="000000"/>
              </w:rPr>
            </w:pPr>
          </w:p>
        </w:tc>
        <w:tc>
          <w:tcPr>
            <w:tcW w:w="2475" w:type="dxa"/>
            <w:vMerge/>
            <w:shd w:val="clear" w:color="auto" w:fill="FFCC00"/>
            <w:tcMar>
              <w:top w:w="0" w:type="dxa"/>
              <w:left w:w="108" w:type="dxa"/>
              <w:bottom w:w="0" w:type="dxa"/>
              <w:right w:w="108" w:type="dxa"/>
            </w:tcMar>
          </w:tcPr>
          <w:p w14:paraId="3DAF5803" w14:textId="77777777" w:rsidR="00CE0861" w:rsidRPr="00233A80" w:rsidRDefault="00CE0861">
            <w:pPr>
              <w:widowControl w:val="0"/>
              <w:pBdr>
                <w:top w:val="nil"/>
                <w:left w:val="nil"/>
                <w:bottom w:val="nil"/>
                <w:right w:val="nil"/>
                <w:between w:val="nil"/>
              </w:pBdr>
              <w:spacing w:after="0" w:line="276" w:lineRule="auto"/>
              <w:rPr>
                <w:rFonts w:ascii="Times New Roman" w:hAnsi="Times New Roman" w:cs="Times New Roman"/>
                <w:color w:val="000000"/>
              </w:rPr>
            </w:pPr>
          </w:p>
        </w:tc>
        <w:tc>
          <w:tcPr>
            <w:tcW w:w="2936" w:type="dxa"/>
            <w:vMerge/>
            <w:shd w:val="clear" w:color="auto" w:fill="FFCCFF"/>
            <w:tcMar>
              <w:top w:w="0" w:type="dxa"/>
              <w:left w:w="108" w:type="dxa"/>
              <w:bottom w:w="0" w:type="dxa"/>
              <w:right w:w="108" w:type="dxa"/>
            </w:tcMar>
          </w:tcPr>
          <w:p w14:paraId="0AD04D66" w14:textId="77777777" w:rsidR="00CE0861" w:rsidRPr="00233A80" w:rsidRDefault="00CE0861">
            <w:pPr>
              <w:widowControl w:val="0"/>
              <w:pBdr>
                <w:top w:val="nil"/>
                <w:left w:val="nil"/>
                <w:bottom w:val="nil"/>
                <w:right w:val="nil"/>
                <w:between w:val="nil"/>
              </w:pBdr>
              <w:spacing w:after="0" w:line="276" w:lineRule="auto"/>
              <w:rPr>
                <w:rFonts w:ascii="Times New Roman" w:hAnsi="Times New Roman" w:cs="Times New Roman"/>
                <w:color w:val="000000"/>
              </w:rPr>
            </w:pPr>
          </w:p>
        </w:tc>
        <w:tc>
          <w:tcPr>
            <w:tcW w:w="2319" w:type="dxa"/>
            <w:vMerge/>
            <w:shd w:val="clear" w:color="auto" w:fill="FFFF99"/>
            <w:tcMar>
              <w:top w:w="0" w:type="dxa"/>
              <w:left w:w="108" w:type="dxa"/>
              <w:bottom w:w="0" w:type="dxa"/>
              <w:right w:w="108" w:type="dxa"/>
            </w:tcMar>
          </w:tcPr>
          <w:p w14:paraId="74360184" w14:textId="77777777" w:rsidR="00CE0861" w:rsidRPr="00233A80" w:rsidRDefault="00CE0861">
            <w:pPr>
              <w:widowControl w:val="0"/>
              <w:pBdr>
                <w:top w:val="nil"/>
                <w:left w:val="nil"/>
                <w:bottom w:val="nil"/>
                <w:right w:val="nil"/>
                <w:between w:val="nil"/>
              </w:pBdr>
              <w:spacing w:after="0" w:line="276" w:lineRule="auto"/>
              <w:rPr>
                <w:rFonts w:ascii="Times New Roman" w:hAnsi="Times New Roman" w:cs="Times New Roman"/>
                <w:color w:val="000000"/>
              </w:rPr>
            </w:pPr>
          </w:p>
        </w:tc>
      </w:tr>
      <w:tr w:rsidR="00CE0861" w:rsidRPr="00233A80" w14:paraId="48749118" w14:textId="77777777">
        <w:trPr>
          <w:trHeight w:val="3374"/>
        </w:trPr>
        <w:tc>
          <w:tcPr>
            <w:tcW w:w="3726" w:type="dxa"/>
            <w:vMerge/>
            <w:tcMar>
              <w:top w:w="0" w:type="dxa"/>
              <w:left w:w="108" w:type="dxa"/>
              <w:bottom w:w="0" w:type="dxa"/>
              <w:right w:w="108" w:type="dxa"/>
            </w:tcMar>
          </w:tcPr>
          <w:p w14:paraId="2EF1EB50" w14:textId="77777777" w:rsidR="00CE0861" w:rsidRPr="00233A80" w:rsidRDefault="00CE0861">
            <w:pPr>
              <w:widowControl w:val="0"/>
              <w:pBdr>
                <w:top w:val="nil"/>
                <w:left w:val="nil"/>
                <w:bottom w:val="nil"/>
                <w:right w:val="nil"/>
                <w:between w:val="nil"/>
              </w:pBdr>
              <w:spacing w:after="0" w:line="276" w:lineRule="auto"/>
              <w:rPr>
                <w:rFonts w:ascii="Times New Roman" w:hAnsi="Times New Roman" w:cs="Times New Roman"/>
                <w:color w:val="000000"/>
              </w:rPr>
            </w:pPr>
          </w:p>
        </w:tc>
        <w:tc>
          <w:tcPr>
            <w:tcW w:w="2574" w:type="dxa"/>
            <w:vMerge/>
            <w:shd w:val="clear" w:color="auto" w:fill="99CCFF"/>
            <w:tcMar>
              <w:top w:w="0" w:type="dxa"/>
              <w:left w:w="108" w:type="dxa"/>
              <w:bottom w:w="0" w:type="dxa"/>
              <w:right w:w="108" w:type="dxa"/>
            </w:tcMar>
          </w:tcPr>
          <w:p w14:paraId="11DD2772" w14:textId="77777777" w:rsidR="00CE0861" w:rsidRPr="00233A80" w:rsidRDefault="00CE0861">
            <w:pPr>
              <w:widowControl w:val="0"/>
              <w:pBdr>
                <w:top w:val="nil"/>
                <w:left w:val="nil"/>
                <w:bottom w:val="nil"/>
                <w:right w:val="nil"/>
                <w:between w:val="nil"/>
              </w:pBdr>
              <w:spacing w:after="0" w:line="276" w:lineRule="auto"/>
              <w:rPr>
                <w:rFonts w:ascii="Times New Roman" w:hAnsi="Times New Roman" w:cs="Times New Roman"/>
                <w:color w:val="000000"/>
              </w:rPr>
            </w:pPr>
          </w:p>
        </w:tc>
        <w:tc>
          <w:tcPr>
            <w:tcW w:w="2453" w:type="dxa"/>
            <w:vMerge/>
            <w:shd w:val="clear" w:color="auto" w:fill="66FFFF"/>
            <w:tcMar>
              <w:top w:w="0" w:type="dxa"/>
              <w:left w:w="108" w:type="dxa"/>
              <w:bottom w:w="0" w:type="dxa"/>
              <w:right w:w="108" w:type="dxa"/>
            </w:tcMar>
          </w:tcPr>
          <w:p w14:paraId="6C3EE98C" w14:textId="77777777" w:rsidR="00CE0861" w:rsidRPr="00233A80" w:rsidRDefault="00CE0861">
            <w:pPr>
              <w:widowControl w:val="0"/>
              <w:pBdr>
                <w:top w:val="nil"/>
                <w:left w:val="nil"/>
                <w:bottom w:val="nil"/>
                <w:right w:val="nil"/>
                <w:between w:val="nil"/>
              </w:pBdr>
              <w:spacing w:after="0" w:line="276" w:lineRule="auto"/>
              <w:rPr>
                <w:rFonts w:ascii="Times New Roman" w:hAnsi="Times New Roman" w:cs="Times New Roman"/>
                <w:color w:val="000000"/>
              </w:rPr>
            </w:pPr>
          </w:p>
        </w:tc>
        <w:tc>
          <w:tcPr>
            <w:tcW w:w="3141" w:type="dxa"/>
            <w:shd w:val="clear" w:color="auto" w:fill="CCFF99"/>
            <w:tcMar>
              <w:top w:w="0" w:type="dxa"/>
              <w:left w:w="108" w:type="dxa"/>
              <w:bottom w:w="0" w:type="dxa"/>
              <w:right w:w="108" w:type="dxa"/>
            </w:tcMar>
          </w:tcPr>
          <w:p w14:paraId="44929559"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 xml:space="preserve">Case Study </w:t>
            </w:r>
          </w:p>
          <w:p w14:paraId="467849FA"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Can align with various paradigms, including Postpositivism, Interpretivism, and Pragmatism, depending on the nature of the case and the research question.</w:t>
            </w:r>
          </w:p>
          <w:p w14:paraId="0FBAE313" w14:textId="77777777" w:rsidR="00CE0861" w:rsidRPr="00233A80" w:rsidRDefault="00CE0861">
            <w:pPr>
              <w:spacing w:after="0" w:line="240" w:lineRule="auto"/>
              <w:rPr>
                <w:rFonts w:ascii="Times New Roman" w:hAnsi="Times New Roman" w:cs="Times New Roman"/>
                <w:color w:val="000000"/>
              </w:rPr>
            </w:pPr>
          </w:p>
          <w:p w14:paraId="0FA60EEC"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An interpretive case study may seek to understand the unique experiences and perspectives of individuals within a bounded system.</w:t>
            </w:r>
          </w:p>
          <w:p w14:paraId="70971DFE"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w:t>
            </w:r>
          </w:p>
          <w:p w14:paraId="70668432" w14:textId="77777777" w:rsidR="00CE0861" w:rsidRPr="00233A80" w:rsidRDefault="00CE0861">
            <w:pPr>
              <w:spacing w:after="0" w:line="240" w:lineRule="auto"/>
              <w:rPr>
                <w:rFonts w:ascii="Times New Roman" w:hAnsi="Times New Roman" w:cs="Times New Roman"/>
                <w:color w:val="000000"/>
              </w:rPr>
            </w:pPr>
          </w:p>
        </w:tc>
        <w:tc>
          <w:tcPr>
            <w:tcW w:w="2717" w:type="dxa"/>
            <w:vMerge/>
            <w:tcMar>
              <w:top w:w="0" w:type="dxa"/>
              <w:left w:w="108" w:type="dxa"/>
              <w:bottom w:w="0" w:type="dxa"/>
              <w:right w:w="108" w:type="dxa"/>
            </w:tcMar>
          </w:tcPr>
          <w:p w14:paraId="27EA53CC" w14:textId="77777777" w:rsidR="00CE0861" w:rsidRPr="00233A80" w:rsidRDefault="00CE0861">
            <w:pPr>
              <w:widowControl w:val="0"/>
              <w:pBdr>
                <w:top w:val="nil"/>
                <w:left w:val="nil"/>
                <w:bottom w:val="nil"/>
                <w:right w:val="nil"/>
                <w:between w:val="nil"/>
              </w:pBdr>
              <w:spacing w:after="0" w:line="276" w:lineRule="auto"/>
              <w:rPr>
                <w:rFonts w:ascii="Times New Roman" w:hAnsi="Times New Roman" w:cs="Times New Roman"/>
                <w:color w:val="000000"/>
              </w:rPr>
            </w:pPr>
          </w:p>
        </w:tc>
        <w:tc>
          <w:tcPr>
            <w:tcW w:w="2475" w:type="dxa"/>
            <w:vMerge/>
            <w:shd w:val="clear" w:color="auto" w:fill="FFCC00"/>
            <w:tcMar>
              <w:top w:w="0" w:type="dxa"/>
              <w:left w:w="108" w:type="dxa"/>
              <w:bottom w:w="0" w:type="dxa"/>
              <w:right w:w="108" w:type="dxa"/>
            </w:tcMar>
          </w:tcPr>
          <w:p w14:paraId="639D86A9" w14:textId="77777777" w:rsidR="00CE0861" w:rsidRPr="00233A80" w:rsidRDefault="00CE0861">
            <w:pPr>
              <w:widowControl w:val="0"/>
              <w:pBdr>
                <w:top w:val="nil"/>
                <w:left w:val="nil"/>
                <w:bottom w:val="nil"/>
                <w:right w:val="nil"/>
                <w:between w:val="nil"/>
              </w:pBdr>
              <w:spacing w:after="0" w:line="276" w:lineRule="auto"/>
              <w:rPr>
                <w:rFonts w:ascii="Times New Roman" w:hAnsi="Times New Roman" w:cs="Times New Roman"/>
                <w:color w:val="000000"/>
              </w:rPr>
            </w:pPr>
          </w:p>
        </w:tc>
        <w:tc>
          <w:tcPr>
            <w:tcW w:w="2936" w:type="dxa"/>
            <w:vMerge/>
            <w:shd w:val="clear" w:color="auto" w:fill="FFCCFF"/>
            <w:tcMar>
              <w:top w:w="0" w:type="dxa"/>
              <w:left w:w="108" w:type="dxa"/>
              <w:bottom w:w="0" w:type="dxa"/>
              <w:right w:w="108" w:type="dxa"/>
            </w:tcMar>
          </w:tcPr>
          <w:p w14:paraId="2D43DB29" w14:textId="77777777" w:rsidR="00CE0861" w:rsidRPr="00233A80" w:rsidRDefault="00CE0861">
            <w:pPr>
              <w:widowControl w:val="0"/>
              <w:pBdr>
                <w:top w:val="nil"/>
                <w:left w:val="nil"/>
                <w:bottom w:val="nil"/>
                <w:right w:val="nil"/>
                <w:between w:val="nil"/>
              </w:pBdr>
              <w:spacing w:after="0" w:line="276" w:lineRule="auto"/>
              <w:rPr>
                <w:rFonts w:ascii="Times New Roman" w:hAnsi="Times New Roman" w:cs="Times New Roman"/>
                <w:color w:val="000000"/>
              </w:rPr>
            </w:pPr>
          </w:p>
        </w:tc>
        <w:tc>
          <w:tcPr>
            <w:tcW w:w="2319" w:type="dxa"/>
            <w:vMerge/>
            <w:shd w:val="clear" w:color="auto" w:fill="FFFF99"/>
            <w:tcMar>
              <w:top w:w="0" w:type="dxa"/>
              <w:left w:w="108" w:type="dxa"/>
              <w:bottom w:w="0" w:type="dxa"/>
              <w:right w:w="108" w:type="dxa"/>
            </w:tcMar>
          </w:tcPr>
          <w:p w14:paraId="1F3B7E9A" w14:textId="77777777" w:rsidR="00CE0861" w:rsidRPr="00233A80" w:rsidRDefault="00CE0861">
            <w:pPr>
              <w:widowControl w:val="0"/>
              <w:pBdr>
                <w:top w:val="nil"/>
                <w:left w:val="nil"/>
                <w:bottom w:val="nil"/>
                <w:right w:val="nil"/>
                <w:between w:val="nil"/>
              </w:pBdr>
              <w:spacing w:after="0" w:line="276" w:lineRule="auto"/>
              <w:rPr>
                <w:rFonts w:ascii="Times New Roman" w:hAnsi="Times New Roman" w:cs="Times New Roman"/>
                <w:color w:val="000000"/>
              </w:rPr>
            </w:pPr>
          </w:p>
        </w:tc>
      </w:tr>
      <w:tr w:rsidR="00CE0861" w:rsidRPr="00233A80" w14:paraId="7547D016" w14:textId="77777777">
        <w:trPr>
          <w:trHeight w:val="3373"/>
        </w:trPr>
        <w:tc>
          <w:tcPr>
            <w:tcW w:w="3726" w:type="dxa"/>
            <w:vMerge/>
            <w:tcMar>
              <w:top w:w="0" w:type="dxa"/>
              <w:left w:w="108" w:type="dxa"/>
              <w:bottom w:w="0" w:type="dxa"/>
              <w:right w:w="108" w:type="dxa"/>
            </w:tcMar>
          </w:tcPr>
          <w:p w14:paraId="3AEF1392" w14:textId="77777777" w:rsidR="00CE0861" w:rsidRPr="00233A80" w:rsidRDefault="00CE0861">
            <w:pPr>
              <w:widowControl w:val="0"/>
              <w:pBdr>
                <w:top w:val="nil"/>
                <w:left w:val="nil"/>
                <w:bottom w:val="nil"/>
                <w:right w:val="nil"/>
                <w:between w:val="nil"/>
              </w:pBdr>
              <w:spacing w:after="0" w:line="276" w:lineRule="auto"/>
              <w:rPr>
                <w:rFonts w:ascii="Times New Roman" w:hAnsi="Times New Roman" w:cs="Times New Roman"/>
                <w:color w:val="000000"/>
              </w:rPr>
            </w:pPr>
          </w:p>
        </w:tc>
        <w:tc>
          <w:tcPr>
            <w:tcW w:w="2574" w:type="dxa"/>
            <w:vMerge/>
            <w:shd w:val="clear" w:color="auto" w:fill="99CCFF"/>
            <w:tcMar>
              <w:top w:w="0" w:type="dxa"/>
              <w:left w:w="108" w:type="dxa"/>
              <w:bottom w:w="0" w:type="dxa"/>
              <w:right w:w="108" w:type="dxa"/>
            </w:tcMar>
          </w:tcPr>
          <w:p w14:paraId="00CE9751" w14:textId="77777777" w:rsidR="00CE0861" w:rsidRPr="00233A80" w:rsidRDefault="00CE0861">
            <w:pPr>
              <w:widowControl w:val="0"/>
              <w:pBdr>
                <w:top w:val="nil"/>
                <w:left w:val="nil"/>
                <w:bottom w:val="nil"/>
                <w:right w:val="nil"/>
                <w:between w:val="nil"/>
              </w:pBdr>
              <w:spacing w:after="0" w:line="276" w:lineRule="auto"/>
              <w:rPr>
                <w:rFonts w:ascii="Times New Roman" w:hAnsi="Times New Roman" w:cs="Times New Roman"/>
                <w:color w:val="000000"/>
              </w:rPr>
            </w:pPr>
          </w:p>
        </w:tc>
        <w:tc>
          <w:tcPr>
            <w:tcW w:w="2453" w:type="dxa"/>
            <w:vMerge/>
            <w:shd w:val="clear" w:color="auto" w:fill="66FFFF"/>
            <w:tcMar>
              <w:top w:w="0" w:type="dxa"/>
              <w:left w:w="108" w:type="dxa"/>
              <w:bottom w:w="0" w:type="dxa"/>
              <w:right w:w="108" w:type="dxa"/>
            </w:tcMar>
          </w:tcPr>
          <w:p w14:paraId="108FB8A6" w14:textId="77777777" w:rsidR="00CE0861" w:rsidRPr="00233A80" w:rsidRDefault="00CE0861">
            <w:pPr>
              <w:widowControl w:val="0"/>
              <w:pBdr>
                <w:top w:val="nil"/>
                <w:left w:val="nil"/>
                <w:bottom w:val="nil"/>
                <w:right w:val="nil"/>
                <w:between w:val="nil"/>
              </w:pBdr>
              <w:spacing w:after="0" w:line="276" w:lineRule="auto"/>
              <w:rPr>
                <w:rFonts w:ascii="Times New Roman" w:hAnsi="Times New Roman" w:cs="Times New Roman"/>
                <w:color w:val="000000"/>
              </w:rPr>
            </w:pPr>
          </w:p>
        </w:tc>
        <w:tc>
          <w:tcPr>
            <w:tcW w:w="3141" w:type="dxa"/>
            <w:shd w:val="clear" w:color="auto" w:fill="CCFF99"/>
            <w:tcMar>
              <w:top w:w="0" w:type="dxa"/>
              <w:left w:w="108" w:type="dxa"/>
              <w:bottom w:w="0" w:type="dxa"/>
              <w:right w:w="108" w:type="dxa"/>
            </w:tcMar>
          </w:tcPr>
          <w:p w14:paraId="74AB70F3"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Grounded Theory</w:t>
            </w:r>
          </w:p>
          <w:p w14:paraId="70190BE7"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When focused on understanding meanings and processes as experienced by individuals, with theory emerging from participants' perspectives and interpretations</w:t>
            </w:r>
          </w:p>
          <w:p w14:paraId="0BEA9BA0" w14:textId="77777777" w:rsidR="00CE0861" w:rsidRPr="00233A80" w:rsidRDefault="00000000">
            <w:pPr>
              <w:spacing w:after="0" w:line="240" w:lineRule="auto"/>
              <w:rPr>
                <w:rFonts w:ascii="Times New Roman" w:hAnsi="Times New Roman" w:cs="Times New Roman"/>
                <w:color w:val="000000"/>
              </w:rPr>
            </w:pPr>
            <w:r w:rsidRPr="00233A80">
              <w:rPr>
                <w:rFonts w:ascii="Times New Roman" w:hAnsi="Times New Roman" w:cs="Times New Roman"/>
                <w:color w:val="000000"/>
              </w:rPr>
              <w:t>Note: The paradigm alignment depends on whether the grounded theory focuses on individual meanings (Interpretivism), co-construction through researcher-participant interaction (Constructivism), or comparative group-level processes (Social Constructionism).</w:t>
            </w:r>
          </w:p>
          <w:p w14:paraId="42610298" w14:textId="77777777" w:rsidR="00CE0861" w:rsidRPr="00233A80" w:rsidRDefault="00CE0861">
            <w:pPr>
              <w:spacing w:after="0" w:line="240" w:lineRule="auto"/>
              <w:rPr>
                <w:rFonts w:ascii="Times New Roman" w:hAnsi="Times New Roman" w:cs="Times New Roman"/>
                <w:color w:val="000000"/>
              </w:rPr>
            </w:pPr>
          </w:p>
        </w:tc>
        <w:tc>
          <w:tcPr>
            <w:tcW w:w="2717" w:type="dxa"/>
            <w:vMerge/>
            <w:tcMar>
              <w:top w:w="0" w:type="dxa"/>
              <w:left w:w="108" w:type="dxa"/>
              <w:bottom w:w="0" w:type="dxa"/>
              <w:right w:w="108" w:type="dxa"/>
            </w:tcMar>
          </w:tcPr>
          <w:p w14:paraId="1EAD6746" w14:textId="77777777" w:rsidR="00CE0861" w:rsidRPr="00233A80" w:rsidRDefault="00CE0861">
            <w:pPr>
              <w:widowControl w:val="0"/>
              <w:pBdr>
                <w:top w:val="nil"/>
                <w:left w:val="nil"/>
                <w:bottom w:val="nil"/>
                <w:right w:val="nil"/>
                <w:between w:val="nil"/>
              </w:pBdr>
              <w:spacing w:after="0" w:line="276" w:lineRule="auto"/>
              <w:rPr>
                <w:rFonts w:ascii="Times New Roman" w:hAnsi="Times New Roman" w:cs="Times New Roman"/>
                <w:color w:val="000000"/>
              </w:rPr>
            </w:pPr>
          </w:p>
        </w:tc>
        <w:tc>
          <w:tcPr>
            <w:tcW w:w="2475" w:type="dxa"/>
            <w:vMerge/>
            <w:shd w:val="clear" w:color="auto" w:fill="FFCC00"/>
            <w:tcMar>
              <w:top w:w="0" w:type="dxa"/>
              <w:left w:w="108" w:type="dxa"/>
              <w:bottom w:w="0" w:type="dxa"/>
              <w:right w:w="108" w:type="dxa"/>
            </w:tcMar>
          </w:tcPr>
          <w:p w14:paraId="7D5FAB0A" w14:textId="77777777" w:rsidR="00CE0861" w:rsidRPr="00233A80" w:rsidRDefault="00CE0861">
            <w:pPr>
              <w:widowControl w:val="0"/>
              <w:pBdr>
                <w:top w:val="nil"/>
                <w:left w:val="nil"/>
                <w:bottom w:val="nil"/>
                <w:right w:val="nil"/>
                <w:between w:val="nil"/>
              </w:pBdr>
              <w:spacing w:after="0" w:line="276" w:lineRule="auto"/>
              <w:rPr>
                <w:rFonts w:ascii="Times New Roman" w:hAnsi="Times New Roman" w:cs="Times New Roman"/>
                <w:color w:val="000000"/>
              </w:rPr>
            </w:pPr>
          </w:p>
        </w:tc>
        <w:tc>
          <w:tcPr>
            <w:tcW w:w="2936" w:type="dxa"/>
            <w:vMerge/>
            <w:shd w:val="clear" w:color="auto" w:fill="FFCCFF"/>
            <w:tcMar>
              <w:top w:w="0" w:type="dxa"/>
              <w:left w:w="108" w:type="dxa"/>
              <w:bottom w:w="0" w:type="dxa"/>
              <w:right w:w="108" w:type="dxa"/>
            </w:tcMar>
          </w:tcPr>
          <w:p w14:paraId="5A318AD4" w14:textId="77777777" w:rsidR="00CE0861" w:rsidRPr="00233A80" w:rsidRDefault="00CE0861">
            <w:pPr>
              <w:widowControl w:val="0"/>
              <w:pBdr>
                <w:top w:val="nil"/>
                <w:left w:val="nil"/>
                <w:bottom w:val="nil"/>
                <w:right w:val="nil"/>
                <w:between w:val="nil"/>
              </w:pBdr>
              <w:spacing w:after="0" w:line="276" w:lineRule="auto"/>
              <w:rPr>
                <w:rFonts w:ascii="Times New Roman" w:hAnsi="Times New Roman" w:cs="Times New Roman"/>
                <w:color w:val="000000"/>
              </w:rPr>
            </w:pPr>
          </w:p>
        </w:tc>
        <w:tc>
          <w:tcPr>
            <w:tcW w:w="2319" w:type="dxa"/>
            <w:vMerge/>
            <w:shd w:val="clear" w:color="auto" w:fill="FFFF99"/>
            <w:tcMar>
              <w:top w:w="0" w:type="dxa"/>
              <w:left w:w="108" w:type="dxa"/>
              <w:bottom w:w="0" w:type="dxa"/>
              <w:right w:w="108" w:type="dxa"/>
            </w:tcMar>
          </w:tcPr>
          <w:p w14:paraId="39A7CBF2" w14:textId="77777777" w:rsidR="00CE0861" w:rsidRPr="00233A80" w:rsidRDefault="00CE0861">
            <w:pPr>
              <w:widowControl w:val="0"/>
              <w:pBdr>
                <w:top w:val="nil"/>
                <w:left w:val="nil"/>
                <w:bottom w:val="nil"/>
                <w:right w:val="nil"/>
                <w:between w:val="nil"/>
              </w:pBdr>
              <w:spacing w:after="0" w:line="276" w:lineRule="auto"/>
              <w:rPr>
                <w:rFonts w:ascii="Times New Roman" w:hAnsi="Times New Roman" w:cs="Times New Roman"/>
                <w:color w:val="000000"/>
              </w:rPr>
            </w:pPr>
          </w:p>
        </w:tc>
      </w:tr>
      <w:tr w:rsidR="00CE0861" w:rsidRPr="00233A80" w14:paraId="68896BCB" w14:textId="77777777">
        <w:trPr>
          <w:trHeight w:val="1111"/>
        </w:trPr>
        <w:tc>
          <w:tcPr>
            <w:tcW w:w="22341" w:type="dxa"/>
            <w:gridSpan w:val="8"/>
            <w:shd w:val="clear" w:color="auto" w:fill="00C5C0"/>
            <w:tcMar>
              <w:top w:w="0" w:type="dxa"/>
              <w:left w:w="108" w:type="dxa"/>
              <w:bottom w:w="0" w:type="dxa"/>
              <w:right w:w="108" w:type="dxa"/>
            </w:tcMar>
          </w:tcPr>
          <w:p w14:paraId="5F06DFA4" w14:textId="77777777" w:rsidR="00CE0861" w:rsidRPr="00233A80" w:rsidRDefault="00CE0861">
            <w:pPr>
              <w:spacing w:after="0" w:line="240" w:lineRule="auto"/>
              <w:jc w:val="center"/>
              <w:rPr>
                <w:rFonts w:ascii="Times New Roman" w:hAnsi="Times New Roman" w:cs="Times New Roman"/>
                <w:color w:val="000000"/>
              </w:rPr>
            </w:pPr>
          </w:p>
          <w:p w14:paraId="25BE75F7" w14:textId="77777777" w:rsidR="00CE0861" w:rsidRPr="00233A80" w:rsidRDefault="00000000">
            <w:pPr>
              <w:pBdr>
                <w:top w:val="nil"/>
                <w:left w:val="nil"/>
                <w:bottom w:val="nil"/>
                <w:right w:val="nil"/>
                <w:between w:val="nil"/>
              </w:pBdr>
              <w:spacing w:after="0" w:line="240" w:lineRule="auto"/>
              <w:jc w:val="center"/>
              <w:rPr>
                <w:rFonts w:ascii="Times New Roman" w:eastAsia="Times New Roman" w:hAnsi="Times New Roman" w:cs="Times New Roman"/>
                <w:color w:val="000000"/>
              </w:rPr>
            </w:pPr>
            <w:r w:rsidRPr="00233A80">
              <w:rPr>
                <w:rFonts w:ascii="Times New Roman" w:eastAsia="Times New Roman" w:hAnsi="Times New Roman" w:cs="Times New Roman"/>
                <w:b/>
                <w:bCs/>
                <w:color w:val="000000"/>
              </w:rPr>
              <w:t>Research Topic: The Impact of Corporate Social Responsibility (CSR) on Consumer Loyalty in the Fast-Moving Consumer Goods (FMCG) Industry</w:t>
            </w:r>
          </w:p>
          <w:p w14:paraId="16C040FA" w14:textId="77777777" w:rsidR="00CE0861" w:rsidRPr="00233A80" w:rsidRDefault="00CE0861">
            <w:pPr>
              <w:spacing w:after="0" w:line="240" w:lineRule="auto"/>
              <w:jc w:val="center"/>
              <w:rPr>
                <w:rFonts w:ascii="Times New Roman" w:hAnsi="Times New Roman" w:cs="Times New Roman"/>
                <w:color w:val="000000"/>
              </w:rPr>
            </w:pPr>
          </w:p>
        </w:tc>
      </w:tr>
      <w:tr w:rsidR="00CE0861" w:rsidRPr="00233A80" w14:paraId="2C2B1627" w14:textId="77777777">
        <w:trPr>
          <w:trHeight w:val="3542"/>
        </w:trPr>
        <w:tc>
          <w:tcPr>
            <w:tcW w:w="3726" w:type="dxa"/>
            <w:shd w:val="clear" w:color="auto" w:fill="C1FFFE"/>
            <w:tcMar>
              <w:top w:w="0" w:type="dxa"/>
              <w:left w:w="108" w:type="dxa"/>
              <w:bottom w:w="0" w:type="dxa"/>
              <w:right w:w="108" w:type="dxa"/>
            </w:tcMar>
          </w:tcPr>
          <w:p w14:paraId="7AF934B1"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b/>
                <w:bCs/>
                <w:color w:val="000000"/>
              </w:rPr>
              <w:t>Narrative Research </w:t>
            </w:r>
          </w:p>
          <w:p w14:paraId="4567645C" w14:textId="77777777" w:rsidR="00CE0861" w:rsidRPr="00233A80" w:rsidRDefault="00CE0861">
            <w:pPr>
              <w:rPr>
                <w:rFonts w:ascii="Times New Roman" w:hAnsi="Times New Roman" w:cs="Times New Roman"/>
              </w:rPr>
            </w:pPr>
          </w:p>
          <w:p w14:paraId="2A81F337"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Emphasises the subjective nature of reality and the importance of understanding the participant's perspective.</w:t>
            </w:r>
          </w:p>
          <w:p w14:paraId="565C5DFF" w14:textId="77777777" w:rsidR="00CE0861" w:rsidRPr="00233A80" w:rsidRDefault="00CE0861">
            <w:pPr>
              <w:spacing w:after="0" w:line="240" w:lineRule="auto"/>
              <w:rPr>
                <w:rFonts w:ascii="Times New Roman" w:hAnsi="Times New Roman" w:cs="Times New Roman"/>
                <w:b/>
                <w:bCs/>
                <w:color w:val="000000"/>
              </w:rPr>
            </w:pPr>
          </w:p>
        </w:tc>
        <w:tc>
          <w:tcPr>
            <w:tcW w:w="18615" w:type="dxa"/>
            <w:gridSpan w:val="7"/>
            <w:shd w:val="clear" w:color="auto" w:fill="C1FFFE"/>
            <w:tcMar>
              <w:top w:w="0" w:type="dxa"/>
              <w:left w:w="108" w:type="dxa"/>
              <w:bottom w:w="0" w:type="dxa"/>
              <w:right w:w="108" w:type="dxa"/>
            </w:tcMar>
          </w:tcPr>
          <w:p w14:paraId="308ED162"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b/>
                <w:bCs/>
                <w:color w:val="000000"/>
              </w:rPr>
              <w:t>Narrative Research</w:t>
            </w:r>
          </w:p>
          <w:p w14:paraId="72037CF5" w14:textId="77777777" w:rsidR="00CE0861" w:rsidRPr="00233A80" w:rsidRDefault="00CE0861">
            <w:pPr>
              <w:rPr>
                <w:rFonts w:ascii="Times New Roman" w:hAnsi="Times New Roman" w:cs="Times New Roman"/>
              </w:rPr>
            </w:pPr>
          </w:p>
          <w:p w14:paraId="0ADDB37A"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Research Question: How do individual consumers' experiences with FMCG companies' CSR initiatives shape their loyalty over time?</w:t>
            </w:r>
          </w:p>
          <w:p w14:paraId="763AF528"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Methodology: Longitudinal narrative inquiry focusing on a small number of consumers' stories about their interactions with FMCG companies' CSR initiatives.</w:t>
            </w:r>
          </w:p>
          <w:p w14:paraId="4EDBF551"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Data Collection: In-depth interviews conducted at multiple points over an extended period (e.g., 1-2 years), supplemented by participants' journals or diaries.</w:t>
            </w:r>
          </w:p>
          <w:p w14:paraId="675F12F1"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Data Analysis: Chronological analysis of individual stories, identifying key events, turning points, and themes in consumers' evolving relationships with FMCG brands based on CSR experiences.</w:t>
            </w:r>
          </w:p>
          <w:p w14:paraId="4566A4AE"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When to use: When seeking to understand the long-term, personal impact of CSR initiatives on individual consumers' brand loyalty journeys.</w:t>
            </w:r>
          </w:p>
          <w:p w14:paraId="0DC88E17"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Reality: Subjective and constructed through individual experiences and storytelling.</w:t>
            </w:r>
          </w:p>
          <w:p w14:paraId="61FFCAE4"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Knowledge: Gained through understanding and interpreting individual narratives and experiences.</w:t>
            </w:r>
          </w:p>
          <w:p w14:paraId="2D17720F"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Focus: On the temporal and personal aspects of how CSR initiatives influence consumer loyalty.</w:t>
            </w:r>
          </w:p>
          <w:p w14:paraId="777F6C22"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What it seeks to do: Provide rich, detailed accounts of how CSR initiatives shape consumer loyalty over time.</w:t>
            </w:r>
          </w:p>
          <w:p w14:paraId="6E644784"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Rationale: Consumer loyalty is formed through ongoing experiences and interactions, best understood through personal stories.</w:t>
            </w:r>
          </w:p>
          <w:p w14:paraId="181873D7"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Axiology: Values the unique perspectives and experiences of individual consumers.</w:t>
            </w:r>
          </w:p>
          <w:p w14:paraId="7D20AD55"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Theoretical Framework: Draws on theories of narrative identity and brand relationship theory.</w:t>
            </w:r>
          </w:p>
          <w:p w14:paraId="69A698DA"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Conceptual Model: Consumer-Brand Relationship Evolution Model influenced by CSR initiatives.</w:t>
            </w:r>
          </w:p>
          <w:p w14:paraId="3742D084"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Conceptual Framework: Typically inductive, with theories emerging from the collected narratives.</w:t>
            </w:r>
          </w:p>
          <w:p w14:paraId="19463252"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Implications for Practice: Informs long-term CSR strategy development and personalised consumer engagement approaches.</w:t>
            </w:r>
          </w:p>
          <w:p w14:paraId="35052983"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Ethics: Ensures confidentiality and informed consent, with careful consideration of the long-term nature of participant involvement.</w:t>
            </w:r>
          </w:p>
          <w:p w14:paraId="2216697F"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Approach: Primarily inductive, with theories about CSR impact emerging from collected narratives.</w:t>
            </w:r>
          </w:p>
          <w:p w14:paraId="50D9FDFC"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Strengths: Provides deep, contextualised understanding of CSR's impact on consumer loyalty over time.</w:t>
            </w:r>
          </w:p>
          <w:p w14:paraId="55F18603"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Weaknesses: Limited generalisability due to small sample sise and highly personal nature of data.</w:t>
            </w:r>
          </w:p>
          <w:p w14:paraId="2DAEF649" w14:textId="77777777" w:rsidR="00CE0861" w:rsidRPr="00233A80" w:rsidRDefault="00CE0861">
            <w:pPr>
              <w:spacing w:after="0" w:line="240" w:lineRule="auto"/>
              <w:rPr>
                <w:rFonts w:ascii="Times New Roman" w:hAnsi="Times New Roman" w:cs="Times New Roman"/>
                <w:color w:val="000000"/>
              </w:rPr>
            </w:pPr>
          </w:p>
        </w:tc>
      </w:tr>
      <w:tr w:rsidR="00CE0861" w:rsidRPr="00233A80" w14:paraId="2B0AA57D" w14:textId="77777777">
        <w:trPr>
          <w:trHeight w:val="1893"/>
        </w:trPr>
        <w:tc>
          <w:tcPr>
            <w:tcW w:w="3726" w:type="dxa"/>
            <w:shd w:val="clear" w:color="auto" w:fill="C1FFFE"/>
            <w:tcMar>
              <w:top w:w="0" w:type="dxa"/>
              <w:left w:w="108" w:type="dxa"/>
              <w:bottom w:w="0" w:type="dxa"/>
              <w:right w:w="108" w:type="dxa"/>
            </w:tcMar>
          </w:tcPr>
          <w:p w14:paraId="0BFDA286"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b/>
                <w:bCs/>
                <w:color w:val="000000"/>
              </w:rPr>
            </w:pPr>
            <w:r w:rsidRPr="00233A80">
              <w:rPr>
                <w:rFonts w:ascii="Times New Roman" w:eastAsia="Times New Roman" w:hAnsi="Times New Roman" w:cs="Times New Roman"/>
                <w:b/>
                <w:bCs/>
                <w:color w:val="000000"/>
              </w:rPr>
              <w:t>Narrative Research and Ethics</w:t>
            </w:r>
          </w:p>
        </w:tc>
        <w:tc>
          <w:tcPr>
            <w:tcW w:w="18615" w:type="dxa"/>
            <w:gridSpan w:val="7"/>
            <w:shd w:val="clear" w:color="auto" w:fill="C1FFFE"/>
            <w:tcMar>
              <w:top w:w="0" w:type="dxa"/>
              <w:left w:w="108" w:type="dxa"/>
              <w:bottom w:w="0" w:type="dxa"/>
              <w:right w:w="108" w:type="dxa"/>
            </w:tcMar>
          </w:tcPr>
          <w:p w14:paraId="1C50A5AE"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Respecting the storyteller's voice and perspective</w:t>
            </w:r>
          </w:p>
          <w:p w14:paraId="5CF0C420"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Maintaining confidentiality when sharing personal stories</w:t>
            </w:r>
          </w:p>
          <w:p w14:paraId="1BA0D725"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Addressing potential psychological impacts of recounting personal experiences</w:t>
            </w:r>
          </w:p>
          <w:p w14:paraId="046A5FEA"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Ensuring accurate representation of narratives</w:t>
            </w:r>
          </w:p>
          <w:p w14:paraId="7FEE53B1"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Managing power dynamics between researcher and participant</w:t>
            </w:r>
          </w:p>
          <w:p w14:paraId="750DBCA3"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b/>
                <w:bCs/>
                <w:color w:val="000000"/>
              </w:rPr>
            </w:pPr>
            <w:r w:rsidRPr="00233A80">
              <w:rPr>
                <w:rFonts w:ascii="Times New Roman" w:eastAsia="Times New Roman" w:hAnsi="Times New Roman" w:cs="Times New Roman"/>
                <w:color w:val="000000"/>
              </w:rPr>
              <w:t>Considering the impact of sharing stories on participants' relationships and communities</w:t>
            </w:r>
          </w:p>
        </w:tc>
      </w:tr>
      <w:tr w:rsidR="00CE0861" w:rsidRPr="00233A80" w14:paraId="40637DA0" w14:textId="77777777">
        <w:trPr>
          <w:trHeight w:val="3542"/>
        </w:trPr>
        <w:tc>
          <w:tcPr>
            <w:tcW w:w="3726" w:type="dxa"/>
            <w:shd w:val="clear" w:color="auto" w:fill="C1FFFE"/>
            <w:tcMar>
              <w:top w:w="0" w:type="dxa"/>
              <w:left w:w="108" w:type="dxa"/>
              <w:bottom w:w="0" w:type="dxa"/>
              <w:right w:w="108" w:type="dxa"/>
            </w:tcMar>
          </w:tcPr>
          <w:p w14:paraId="527B7205"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b/>
                <w:bCs/>
                <w:color w:val="000000"/>
              </w:rPr>
              <w:lastRenderedPageBreak/>
              <w:t>Phenomenology</w:t>
            </w:r>
          </w:p>
          <w:p w14:paraId="64D1F9D7" w14:textId="77777777" w:rsidR="00CE0861" w:rsidRPr="00233A80" w:rsidRDefault="00CE0861">
            <w:pPr>
              <w:rPr>
                <w:rFonts w:ascii="Times New Roman" w:hAnsi="Times New Roman" w:cs="Times New Roman"/>
              </w:rPr>
            </w:pPr>
          </w:p>
          <w:p w14:paraId="666A86A5"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Focuses on interpreting the meanings people assign to their experiences and how they construct their realities.</w:t>
            </w:r>
          </w:p>
          <w:p w14:paraId="1FBC441B" w14:textId="77777777" w:rsidR="00CE0861" w:rsidRPr="00233A80" w:rsidRDefault="00CE0861">
            <w:pPr>
              <w:pBdr>
                <w:top w:val="nil"/>
                <w:left w:val="nil"/>
                <w:bottom w:val="nil"/>
                <w:right w:val="nil"/>
                <w:between w:val="nil"/>
              </w:pBdr>
              <w:spacing w:after="0" w:line="240" w:lineRule="auto"/>
              <w:rPr>
                <w:rFonts w:ascii="Times New Roman" w:eastAsia="Times New Roman" w:hAnsi="Times New Roman" w:cs="Times New Roman"/>
                <w:b/>
                <w:bCs/>
                <w:color w:val="000000"/>
              </w:rPr>
            </w:pPr>
          </w:p>
        </w:tc>
        <w:tc>
          <w:tcPr>
            <w:tcW w:w="18615" w:type="dxa"/>
            <w:gridSpan w:val="7"/>
            <w:shd w:val="clear" w:color="auto" w:fill="C1FFFE"/>
            <w:tcMar>
              <w:top w:w="0" w:type="dxa"/>
              <w:left w:w="108" w:type="dxa"/>
              <w:bottom w:w="0" w:type="dxa"/>
              <w:right w:w="108" w:type="dxa"/>
            </w:tcMar>
          </w:tcPr>
          <w:p w14:paraId="148D8352"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b/>
                <w:bCs/>
                <w:color w:val="000000"/>
                <w:highlight w:val="yellow"/>
              </w:rPr>
              <w:t>Phenomenology (Interpretative Phenomenological Analysis)</w:t>
            </w:r>
          </w:p>
          <w:p w14:paraId="13F3AD85" w14:textId="77777777" w:rsidR="00CE0861" w:rsidRPr="00233A80" w:rsidRDefault="00CE0861">
            <w:pPr>
              <w:pBdr>
                <w:top w:val="nil"/>
                <w:left w:val="nil"/>
                <w:bottom w:val="nil"/>
                <w:right w:val="nil"/>
                <w:between w:val="nil"/>
              </w:pBdr>
              <w:spacing w:after="0" w:line="240" w:lineRule="auto"/>
              <w:rPr>
                <w:rFonts w:ascii="Times New Roman" w:eastAsia="Times New Roman" w:hAnsi="Times New Roman" w:cs="Times New Roman"/>
                <w:color w:val="000000"/>
              </w:rPr>
            </w:pPr>
          </w:p>
          <w:p w14:paraId="06547ACC"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Research Question: How do individual consumers make sense of their engagement with FMCG companies' CSR initiatives, and what does this experience mean for their relationship with the brand?</w:t>
            </w:r>
          </w:p>
          <w:p w14:paraId="71F78F6A"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Methodology: Interpretative Phenomenological Analysis (IPA), drawing on Heideggerian phenomenology, hermeneutics and idiography.</w:t>
            </w:r>
          </w:p>
          <w:p w14:paraId="4145D543"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Data Collection: In-depth, semi-structured interviews with a small, homogeneous sample (e.g. 6-8 regular purchasers of one product category who have actively engaged with a CSR initiative), possibly supplemented by written reflections.</w:t>
            </w:r>
          </w:p>
          <w:p w14:paraId="2F1339A4"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Data Analysis: Case-by-case idiographic analysis: exploratory notes, experiential statements and Personal Experiential Themes for each participant, then Group Experiential Themes across cases, showing both shared meanings and individual differences.</w:t>
            </w:r>
          </w:p>
          <w:p w14:paraId="0F971B4D"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When to use: When aiming to understand in depth how particular consumers experience and make sense of CSR initiatives in relation to their loyalty.</w:t>
            </w:r>
          </w:p>
          <w:p w14:paraId="32FF20D4"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Reality: Subjective, and based on individuals' lived experiences and their sense-making of them.</w:t>
            </w:r>
          </w:p>
          <w:p w14:paraId="009B4647"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Knowledge: Gained through the double hermeneutic – the researcher interpreting the participant's own interpretation of their experience.</w:t>
            </w:r>
          </w:p>
          <w:p w14:paraId="5FE3BC6D"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Focus: On how individual consumers make sense of CSR initiatives, and on both convergence and divergence across cases.</w:t>
            </w:r>
          </w:p>
          <w:p w14:paraId="3EC08900"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What it seeks to do: Produce a detailed, interpretative account of what the CSR-loyalty experience means to particular consumers in a particular context.</w:t>
            </w:r>
          </w:p>
          <w:p w14:paraId="7B549D69"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Rationale: Consumer loyalty is shaped by how individuals experience and interpret CSR initiatives, and this is best understood case by case.</w:t>
            </w:r>
          </w:p>
          <w:p w14:paraId="7827D23B"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Axiology: Values the subjective experiences of consumers; the researcher's own preconceptions are acknowledged and examined reflexively rather than bracketed.</w:t>
            </w:r>
          </w:p>
          <w:p w14:paraId="2AB922D6"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Theoretical Framework: Draws on interpretive (Heideggerian) phenomenology and hermeneutics; consumer experience theories are brought in mainly at the discussion stage.</w:t>
            </w:r>
          </w:p>
          <w:p w14:paraId="1B7A39E5"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Conceptual Model: Experiential themes of the CSR-loyalty relationship (Group Experiential Themes with individual variation).</w:t>
            </w:r>
          </w:p>
          <w:p w14:paraId="3B0BCAFA"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Conceptual Framework: Inductive, with themes developed through close interpretative analysis of each case.</w:t>
            </w:r>
          </w:p>
          <w:p w14:paraId="4E76A8EB"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Implications for Practice: Shows practitioners what CSR initiatives mean to consumers, informing the design of initiatives that feel meaningful and credible.</w:t>
            </w:r>
          </w:p>
          <w:p w14:paraId="393B1FE1"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Ethics: Ensures informed consent, protects identities within a small sample, and respects the personal nature of participants' accounts.</w:t>
            </w:r>
          </w:p>
          <w:p w14:paraId="2C42D2C8"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Approach: Primarily inductive and idiographic, moving back and forth around the hermeneutic circle.</w:t>
            </w:r>
          </w:p>
          <w:p w14:paraId="1A9D068B"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Strengths: Provides rich, nuanced insight into individual sense-making and keeps individual voices visible alongside shared themes.</w:t>
            </w:r>
          </w:p>
          <w:p w14:paraId="1510CBB4"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Weaknesses: Small, homogeneous samples limit transferability; depends heavily on the researcher's interpretative skill; may overlook broader structural or market factors.</w:t>
            </w:r>
          </w:p>
        </w:tc>
      </w:tr>
      <w:tr w:rsidR="00CE0861" w:rsidRPr="00233A80" w14:paraId="3FC3A921" w14:textId="77777777">
        <w:trPr>
          <w:trHeight w:val="2104"/>
        </w:trPr>
        <w:tc>
          <w:tcPr>
            <w:tcW w:w="3726" w:type="dxa"/>
            <w:shd w:val="clear" w:color="auto" w:fill="C1FFFE"/>
            <w:tcMar>
              <w:top w:w="0" w:type="dxa"/>
              <w:left w:w="108" w:type="dxa"/>
              <w:bottom w:w="0" w:type="dxa"/>
              <w:right w:w="108" w:type="dxa"/>
            </w:tcMar>
          </w:tcPr>
          <w:p w14:paraId="43D736AC"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b/>
                <w:bCs/>
                <w:color w:val="000000"/>
              </w:rPr>
            </w:pPr>
            <w:r w:rsidRPr="00233A80">
              <w:rPr>
                <w:rFonts w:ascii="Times New Roman" w:eastAsia="Times New Roman" w:hAnsi="Times New Roman" w:cs="Times New Roman"/>
                <w:b/>
                <w:bCs/>
                <w:color w:val="000000"/>
              </w:rPr>
              <w:t>Phenomenology and Ethics</w:t>
            </w:r>
          </w:p>
        </w:tc>
        <w:tc>
          <w:tcPr>
            <w:tcW w:w="18615" w:type="dxa"/>
            <w:gridSpan w:val="7"/>
            <w:shd w:val="clear" w:color="auto" w:fill="C1FFFE"/>
            <w:tcMar>
              <w:top w:w="0" w:type="dxa"/>
              <w:left w:w="108" w:type="dxa"/>
              <w:bottom w:w="0" w:type="dxa"/>
              <w:right w:w="108" w:type="dxa"/>
            </w:tcMar>
          </w:tcPr>
          <w:p w14:paraId="32592C44"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Respecting participants' lived experiences</w:t>
            </w:r>
          </w:p>
          <w:p w14:paraId="220406FE"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Descriptive phenomenology (Husserl): bracketing researcher's preconceptions to avoid imposing them. Interpretive phenomenology, including IPA (Heidegger): preconceptions cannot be fully bracketed, so the researcher acknowledges them openly and examines them reflexively, linking to the positionality statement</w:t>
            </w:r>
          </w:p>
          <w:p w14:paraId="0F8D1365"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Ensuring confidentiality in deeply personal accounts – particularly important with small, homogeneous samples, where participants may recognise each other</w:t>
            </w:r>
          </w:p>
          <w:p w14:paraId="322DCA5B"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Managing potential emotional distress during in-depth interviews</w:t>
            </w:r>
          </w:p>
          <w:p w14:paraId="21B8D589"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Accurate representation of participants' experiences, keeping a clear distinction between participants' words and the researcher's interpretation</w:t>
            </w:r>
          </w:p>
          <w:p w14:paraId="4AE49F64"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Considering the impact of reflection on participants' self-perception</w:t>
            </w:r>
          </w:p>
        </w:tc>
      </w:tr>
      <w:tr w:rsidR="00CE0861" w:rsidRPr="00233A80" w14:paraId="13909837" w14:textId="77777777">
        <w:trPr>
          <w:trHeight w:val="3542"/>
        </w:trPr>
        <w:tc>
          <w:tcPr>
            <w:tcW w:w="3726" w:type="dxa"/>
            <w:shd w:val="clear" w:color="auto" w:fill="C1FFFE"/>
            <w:tcMar>
              <w:top w:w="0" w:type="dxa"/>
              <w:left w:w="108" w:type="dxa"/>
              <w:bottom w:w="0" w:type="dxa"/>
              <w:right w:w="108" w:type="dxa"/>
            </w:tcMar>
          </w:tcPr>
          <w:p w14:paraId="503C1CBF"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b/>
                <w:bCs/>
                <w:color w:val="000000"/>
              </w:rPr>
              <w:t>Grounded Theory</w:t>
            </w:r>
          </w:p>
          <w:p w14:paraId="2D27A959" w14:textId="77777777" w:rsidR="00CE0861" w:rsidRPr="00233A80" w:rsidRDefault="00CE0861">
            <w:pPr>
              <w:rPr>
                <w:rFonts w:ascii="Times New Roman" w:hAnsi="Times New Roman" w:cs="Times New Roman"/>
              </w:rPr>
            </w:pPr>
          </w:p>
          <w:p w14:paraId="65988CA1"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Emphasises the co-construction of knowledge through the interaction between the researcher and the researched.</w:t>
            </w:r>
          </w:p>
          <w:p w14:paraId="2857D967" w14:textId="77777777" w:rsidR="00CE0861" w:rsidRPr="00233A80" w:rsidRDefault="00CE0861">
            <w:pPr>
              <w:rPr>
                <w:rFonts w:ascii="Times New Roman" w:hAnsi="Times New Roman" w:cs="Times New Roman"/>
              </w:rPr>
            </w:pPr>
          </w:p>
          <w:p w14:paraId="4D3C00E2"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Involves an iterative process of data collection and analysis, with the theory emerging from the data.</w:t>
            </w:r>
          </w:p>
          <w:p w14:paraId="11FACE59" w14:textId="77777777" w:rsidR="00CE0861" w:rsidRPr="00233A80" w:rsidRDefault="00CE0861">
            <w:pPr>
              <w:pBdr>
                <w:top w:val="nil"/>
                <w:left w:val="nil"/>
                <w:bottom w:val="nil"/>
                <w:right w:val="nil"/>
                <w:between w:val="nil"/>
              </w:pBdr>
              <w:spacing w:after="0" w:line="240" w:lineRule="auto"/>
              <w:rPr>
                <w:rFonts w:ascii="Times New Roman" w:eastAsia="Times New Roman" w:hAnsi="Times New Roman" w:cs="Times New Roman"/>
                <w:b/>
                <w:bCs/>
                <w:color w:val="000000"/>
              </w:rPr>
            </w:pPr>
          </w:p>
        </w:tc>
        <w:tc>
          <w:tcPr>
            <w:tcW w:w="18615" w:type="dxa"/>
            <w:gridSpan w:val="7"/>
            <w:shd w:val="clear" w:color="auto" w:fill="C1FFFE"/>
            <w:tcMar>
              <w:top w:w="0" w:type="dxa"/>
              <w:left w:w="108" w:type="dxa"/>
              <w:bottom w:w="0" w:type="dxa"/>
              <w:right w:w="108" w:type="dxa"/>
            </w:tcMar>
          </w:tcPr>
          <w:p w14:paraId="5DCAE38D"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b/>
                <w:bCs/>
                <w:color w:val="000000"/>
              </w:rPr>
              <w:t>Grounded Theory</w:t>
            </w:r>
          </w:p>
          <w:p w14:paraId="4B889368" w14:textId="77777777" w:rsidR="00CE0861" w:rsidRPr="00233A80" w:rsidRDefault="00CE0861">
            <w:pPr>
              <w:rPr>
                <w:rFonts w:ascii="Times New Roman" w:hAnsi="Times New Roman" w:cs="Times New Roman"/>
              </w:rPr>
            </w:pPr>
          </w:p>
          <w:p w14:paraId="518BC7EF"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Research Question: What processes underlie the development of consumer loyalty in response to FMCG companies' CSR initiatives?</w:t>
            </w:r>
          </w:p>
          <w:p w14:paraId="7A81FCC7"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Methodology: Constructivist grounded theory approach to develop a theory explaining the process of loyalty formation in relation to CSR initiatives.</w:t>
            </w:r>
          </w:p>
          <w:p w14:paraId="67CB6024"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Data Collection: Theoretical sampling with initial, focused, and theoretical coding. Methods include in-depth interviews, focus groups, and analysis of consumer feedback data.</w:t>
            </w:r>
          </w:p>
          <w:p w14:paraId="00343D0B"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Data Analysis: Constant comparative method, memo-writing, and theoretical coding to develop a substantive theory.</w:t>
            </w:r>
          </w:p>
          <w:p w14:paraId="6F167B0D"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When to use: When aiming to develop a new theory explaining how CSR initiatives influence consumer loyalty in the FMCG industry.</w:t>
            </w:r>
          </w:p>
          <w:p w14:paraId="4C7B9A6F"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Reality: Socially constructed through interactions between consumers, brands, and CSR initiatives.</w:t>
            </w:r>
          </w:p>
          <w:p w14:paraId="3CE06E2A"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Knowledge: Co-constructed through the research process and interactions between researcher and participants.</w:t>
            </w:r>
          </w:p>
          <w:p w14:paraId="08EF12EF"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Focus: On the social processes and interactions that lead to the development of consumer loyalty in response to CSR initiatives.</w:t>
            </w:r>
          </w:p>
          <w:p w14:paraId="56B60DD9"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What it seeks to do: Generate a theory grounded in empirical data that explains the process of CSR-influenced loyalty formation.</w:t>
            </w:r>
          </w:p>
          <w:p w14:paraId="213E326C"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Rationale: Understanding the underlying processes of loyalty formation can inform more effective CSR strategies.</w:t>
            </w:r>
          </w:p>
          <w:p w14:paraId="6A2124FC"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Axiology: Values multiple perspectives and recognises the researcher's role in co-constructing knowledge.</w:t>
            </w:r>
          </w:p>
          <w:p w14:paraId="1494C9E4"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Theoretical Framework: Emerges from the data through the research process.</w:t>
            </w:r>
          </w:p>
          <w:p w14:paraId="2B11EA59"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Conceptual Model: Process Model of CSR-Influenced Consumer Loyalty Formation.</w:t>
            </w:r>
          </w:p>
          <w:p w14:paraId="69582CD9"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Conceptual Framework: Inductive, with the theory emerging from and grounded in the data.</w:t>
            </w:r>
          </w:p>
          <w:p w14:paraId="76BD7CD6"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Implications for Practice: Provides a theoretical framework for designing and implementing CSR initiatives to foster consumer loyalty.</w:t>
            </w:r>
          </w:p>
          <w:p w14:paraId="5E6B0F2F"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Ethics: Ensures informed consent and maintains participant confidentiality throughout the iterative research process.</w:t>
            </w:r>
          </w:p>
          <w:p w14:paraId="4C325836"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Approach: Inductive, with the theory emerging from the data through constant comparison and analysis.</w:t>
            </w:r>
          </w:p>
          <w:p w14:paraId="426EFD2A"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Strengths: Generates a comprehensive, context-specific theory of CSR-influenced loyalty formation.</w:t>
            </w:r>
          </w:p>
          <w:p w14:paraId="36F2FD2A"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lastRenderedPageBreak/>
              <w:t>Weaknesses: The developed theory may be limited to the specific context of the study.</w:t>
            </w:r>
          </w:p>
          <w:p w14:paraId="22E703FC" w14:textId="77777777" w:rsidR="00CE0861" w:rsidRPr="00233A80" w:rsidRDefault="00CE0861">
            <w:pPr>
              <w:pBdr>
                <w:top w:val="nil"/>
                <w:left w:val="nil"/>
                <w:bottom w:val="nil"/>
                <w:right w:val="nil"/>
                <w:between w:val="nil"/>
              </w:pBdr>
              <w:spacing w:after="0" w:line="240" w:lineRule="auto"/>
              <w:rPr>
                <w:rFonts w:ascii="Times New Roman" w:eastAsia="Times New Roman" w:hAnsi="Times New Roman" w:cs="Times New Roman"/>
                <w:b/>
                <w:bCs/>
                <w:color w:val="000000"/>
              </w:rPr>
            </w:pPr>
          </w:p>
        </w:tc>
      </w:tr>
      <w:tr w:rsidR="00CE0861" w:rsidRPr="00233A80" w14:paraId="3F393AB4" w14:textId="77777777">
        <w:trPr>
          <w:trHeight w:val="3542"/>
        </w:trPr>
        <w:tc>
          <w:tcPr>
            <w:tcW w:w="3726" w:type="dxa"/>
            <w:shd w:val="clear" w:color="auto" w:fill="C1FFFE"/>
            <w:tcMar>
              <w:top w:w="0" w:type="dxa"/>
              <w:left w:w="108" w:type="dxa"/>
              <w:bottom w:w="0" w:type="dxa"/>
              <w:right w:w="108" w:type="dxa"/>
            </w:tcMar>
          </w:tcPr>
          <w:p w14:paraId="2D2C3C44"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b/>
                <w:bCs/>
                <w:color w:val="000000"/>
              </w:rPr>
            </w:pPr>
            <w:r w:rsidRPr="00233A80">
              <w:rPr>
                <w:rFonts w:ascii="Times New Roman" w:eastAsia="Times New Roman" w:hAnsi="Times New Roman" w:cs="Times New Roman"/>
                <w:b/>
                <w:bCs/>
                <w:color w:val="000000"/>
              </w:rPr>
              <w:lastRenderedPageBreak/>
              <w:t>Grounded Theory and Ethics</w:t>
            </w:r>
          </w:p>
        </w:tc>
        <w:tc>
          <w:tcPr>
            <w:tcW w:w="18615" w:type="dxa"/>
            <w:gridSpan w:val="7"/>
            <w:shd w:val="clear" w:color="auto" w:fill="C1FFFE"/>
            <w:tcMar>
              <w:top w:w="0" w:type="dxa"/>
              <w:left w:w="108" w:type="dxa"/>
              <w:bottom w:w="0" w:type="dxa"/>
              <w:right w:w="108" w:type="dxa"/>
            </w:tcMar>
          </w:tcPr>
          <w:p w14:paraId="1510BEB8"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Maintaining participant confidentiality throughout iterative data collection</w:t>
            </w:r>
          </w:p>
          <w:p w14:paraId="3E714D4B"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Ethical considerations in theoretical sampling</w:t>
            </w:r>
          </w:p>
          <w:p w14:paraId="1BAF15C8"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Managing participant expectations about theory development</w:t>
            </w:r>
          </w:p>
          <w:p w14:paraId="26E363D6"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Ensuring fair representation of diverse perspectives in theory building</w:t>
            </w:r>
          </w:p>
          <w:p w14:paraId="7C79DBD6"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Addressing potential conflicts between emerging theory and participant views</w:t>
            </w:r>
          </w:p>
          <w:p w14:paraId="69F38B70"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b/>
                <w:bCs/>
                <w:color w:val="000000"/>
              </w:rPr>
            </w:pPr>
            <w:r w:rsidRPr="00233A80">
              <w:rPr>
                <w:rFonts w:ascii="Times New Roman" w:eastAsia="Times New Roman" w:hAnsi="Times New Roman" w:cs="Times New Roman"/>
                <w:color w:val="000000"/>
              </w:rPr>
              <w:t>Considering the implications of the developed theory on practice and policy</w:t>
            </w:r>
          </w:p>
        </w:tc>
      </w:tr>
      <w:tr w:rsidR="00CE0861" w:rsidRPr="00233A80" w14:paraId="6FCE4E99" w14:textId="77777777">
        <w:trPr>
          <w:trHeight w:val="3542"/>
        </w:trPr>
        <w:tc>
          <w:tcPr>
            <w:tcW w:w="3726" w:type="dxa"/>
            <w:shd w:val="clear" w:color="auto" w:fill="C1FFFE"/>
            <w:tcMar>
              <w:top w:w="0" w:type="dxa"/>
              <w:left w:w="108" w:type="dxa"/>
              <w:bottom w:w="0" w:type="dxa"/>
              <w:right w:w="108" w:type="dxa"/>
            </w:tcMar>
          </w:tcPr>
          <w:p w14:paraId="118DDE44"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b/>
                <w:bCs/>
                <w:color w:val="000000"/>
              </w:rPr>
              <w:t>Ethnography</w:t>
            </w:r>
          </w:p>
          <w:p w14:paraId="0A948623" w14:textId="77777777" w:rsidR="00CE0861" w:rsidRPr="00233A80" w:rsidRDefault="00CE0861">
            <w:pPr>
              <w:rPr>
                <w:rFonts w:ascii="Times New Roman" w:hAnsi="Times New Roman" w:cs="Times New Roman"/>
              </w:rPr>
            </w:pPr>
          </w:p>
          <w:p w14:paraId="7EEA9F5D"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Interpretive ethnography seeks to understand a culture or social group through the meanings they assign to their experiences, aligning with the Interpretivism paradigm.</w:t>
            </w:r>
          </w:p>
          <w:p w14:paraId="09F0AAE6" w14:textId="77777777" w:rsidR="00CE0861" w:rsidRPr="00233A80" w:rsidRDefault="00CE0861">
            <w:pPr>
              <w:pBdr>
                <w:top w:val="nil"/>
                <w:left w:val="nil"/>
                <w:bottom w:val="nil"/>
                <w:right w:val="nil"/>
                <w:between w:val="nil"/>
              </w:pBdr>
              <w:spacing w:after="0" w:line="240" w:lineRule="auto"/>
              <w:rPr>
                <w:rFonts w:ascii="Times New Roman" w:eastAsia="Times New Roman" w:hAnsi="Times New Roman" w:cs="Times New Roman"/>
                <w:b/>
                <w:bCs/>
                <w:color w:val="000000"/>
              </w:rPr>
            </w:pPr>
          </w:p>
        </w:tc>
        <w:tc>
          <w:tcPr>
            <w:tcW w:w="18615" w:type="dxa"/>
            <w:gridSpan w:val="7"/>
            <w:shd w:val="clear" w:color="auto" w:fill="C1FFFE"/>
            <w:tcMar>
              <w:top w:w="0" w:type="dxa"/>
              <w:left w:w="108" w:type="dxa"/>
              <w:bottom w:w="0" w:type="dxa"/>
              <w:right w:w="108" w:type="dxa"/>
            </w:tcMar>
          </w:tcPr>
          <w:p w14:paraId="70D8F39F"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b/>
                <w:bCs/>
                <w:color w:val="000000"/>
              </w:rPr>
              <w:t>Ethnography</w:t>
            </w:r>
          </w:p>
          <w:p w14:paraId="4E071232" w14:textId="77777777" w:rsidR="00CE0861" w:rsidRPr="00233A80" w:rsidRDefault="00CE0861">
            <w:pPr>
              <w:rPr>
                <w:rFonts w:ascii="Times New Roman" w:hAnsi="Times New Roman" w:cs="Times New Roman"/>
              </w:rPr>
            </w:pPr>
          </w:p>
          <w:p w14:paraId="0051F6B0"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Research Question: How do cultural and social factors shape consumers' responses to FMCG companies' CSR initiatives and their subsequent loyalty behaviours?</w:t>
            </w:r>
          </w:p>
          <w:p w14:paraId="63716E57"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Methodology: Critical ethnography focusing on the cultural context of CSR initiatives and consumer loyalty in the FMCG industry.</w:t>
            </w:r>
          </w:p>
          <w:p w14:paraId="11A2E67D"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Data Collection: Participant observation in relevant settings (e.g., stores, community CSR events), in-depth interviews, and document analysis of CSR communications and consumer feedback.</w:t>
            </w:r>
          </w:p>
          <w:p w14:paraId="3170F3F8"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Data Analysis: Thematic analysis and critical interpretation of field notes, interview transcripts, and documents to uncover cultural patterns and power dynamics.</w:t>
            </w:r>
          </w:p>
          <w:p w14:paraId="554C5187"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When to use: When seeking to understand how broader cultural and social contexts influence the relationship between CSR initiatives and consumer loyalty.</w:t>
            </w:r>
          </w:p>
          <w:p w14:paraId="6BE0791D"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Reality: Socially and culturally constructed, influenced by power structures and shared meanings.</w:t>
            </w:r>
          </w:p>
          <w:p w14:paraId="1D933BE8"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Knowledge: Gained through immersion in and interpretation of cultural contexts and social interactions.</w:t>
            </w:r>
          </w:p>
          <w:p w14:paraId="346DFC30"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Focus: On the cultural patterns, social dynamics, and power structures that shape CSR perceptions and loyalty behaviours.</w:t>
            </w:r>
          </w:p>
          <w:p w14:paraId="7A708D28"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What it seeks to do: Provide a rich, contextualised understanding of how culture influences the CSR-loyalty relationship.</w:t>
            </w:r>
          </w:p>
          <w:p w14:paraId="4AE441EC"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Rationale: Consumer responses to CSR initiatives are deeply embedded in cultural and social contexts.</w:t>
            </w:r>
          </w:p>
          <w:p w14:paraId="31C1E775"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Axiology: Values cultural relativism while maintaining a critical perspective on power dynamics.</w:t>
            </w:r>
          </w:p>
          <w:p w14:paraId="76D93C7B"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Theoretical Framework: Draws on cultural theory, consumer culture theory, and critical theory.</w:t>
            </w:r>
          </w:p>
          <w:p w14:paraId="06F237BE"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Conceptual Model: Cultural Web of CSR Influence on Consumer Loyalty.</w:t>
            </w:r>
          </w:p>
          <w:p w14:paraId="15512DA5"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Conceptual Framework: Combines inductive analysis with critical interpretation of cultural patterns.</w:t>
            </w:r>
          </w:p>
          <w:p w14:paraId="6650E091"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Implications for Practice: Informs culturally sensitive CSR strategies and helps identify potential cultural barriers or facilitators to loyalty.</w:t>
            </w:r>
          </w:p>
          <w:p w14:paraId="47C3FB68"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Ethics: Ensures informed consent, respects cultural sensitivities, and considers the potential impact of the research on the community.</w:t>
            </w:r>
          </w:p>
          <w:p w14:paraId="4490B1BA"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Approach: Combines inductive analysis with critical interpretation of observed cultural patterns and social dynamics.</w:t>
            </w:r>
          </w:p>
          <w:p w14:paraId="7DFF0A74"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Strengths: Provides rich, contextualised insights into the cultural factors influencing CSR effectiveness and consumer loyalty.</w:t>
            </w:r>
          </w:p>
          <w:p w14:paraId="3C40F4D5"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Weaknesses: Findings may be specific to the studied cultural context and require careful consideration for generalisation.</w:t>
            </w:r>
          </w:p>
          <w:p w14:paraId="22FD706A" w14:textId="77777777" w:rsidR="00CE0861" w:rsidRPr="00233A80" w:rsidRDefault="00CE0861">
            <w:pPr>
              <w:pBdr>
                <w:top w:val="nil"/>
                <w:left w:val="nil"/>
                <w:bottom w:val="nil"/>
                <w:right w:val="nil"/>
                <w:between w:val="nil"/>
              </w:pBdr>
              <w:spacing w:after="0" w:line="240" w:lineRule="auto"/>
              <w:rPr>
                <w:rFonts w:ascii="Times New Roman" w:eastAsia="Times New Roman" w:hAnsi="Times New Roman" w:cs="Times New Roman"/>
                <w:b/>
                <w:bCs/>
                <w:color w:val="000000"/>
              </w:rPr>
            </w:pPr>
          </w:p>
        </w:tc>
      </w:tr>
      <w:tr w:rsidR="00CE0861" w:rsidRPr="00233A80" w14:paraId="2F4B1236" w14:textId="77777777">
        <w:trPr>
          <w:trHeight w:val="2304"/>
        </w:trPr>
        <w:tc>
          <w:tcPr>
            <w:tcW w:w="3726" w:type="dxa"/>
            <w:shd w:val="clear" w:color="auto" w:fill="C1FFFE"/>
            <w:tcMar>
              <w:top w:w="0" w:type="dxa"/>
              <w:left w:w="108" w:type="dxa"/>
              <w:bottom w:w="0" w:type="dxa"/>
              <w:right w:w="108" w:type="dxa"/>
            </w:tcMar>
          </w:tcPr>
          <w:p w14:paraId="58AA3758"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b/>
                <w:bCs/>
                <w:color w:val="000000"/>
              </w:rPr>
            </w:pPr>
            <w:r w:rsidRPr="00233A80">
              <w:rPr>
                <w:rFonts w:ascii="Times New Roman" w:eastAsia="Times New Roman" w:hAnsi="Times New Roman" w:cs="Times New Roman"/>
                <w:b/>
                <w:bCs/>
                <w:color w:val="000000"/>
              </w:rPr>
              <w:lastRenderedPageBreak/>
              <w:t>Ethnography and Ethics </w:t>
            </w:r>
          </w:p>
        </w:tc>
        <w:tc>
          <w:tcPr>
            <w:tcW w:w="18615" w:type="dxa"/>
            <w:gridSpan w:val="7"/>
            <w:shd w:val="clear" w:color="auto" w:fill="C1FFFE"/>
            <w:tcMar>
              <w:top w:w="0" w:type="dxa"/>
              <w:left w:w="108" w:type="dxa"/>
              <w:bottom w:w="0" w:type="dxa"/>
              <w:right w:w="108" w:type="dxa"/>
            </w:tcMar>
          </w:tcPr>
          <w:p w14:paraId="151A1D3D"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Respecting cultural norms and values of the studied group</w:t>
            </w:r>
          </w:p>
          <w:p w14:paraId="25E060B6"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Managing researcher's insider/outsider status</w:t>
            </w:r>
          </w:p>
          <w:p w14:paraId="2BEAFEC2"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Ensuring informed consent in prolonged field observations</w:t>
            </w:r>
          </w:p>
          <w:p w14:paraId="713C2DBE"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Protecting vulnerable populations within the studied culture</w:t>
            </w:r>
          </w:p>
          <w:p w14:paraId="2CB3C6FD"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Addressing potential exploitation or misrepresentation of the culture</w:t>
            </w:r>
          </w:p>
          <w:p w14:paraId="07E5A038"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Considering the impact of research on the studied community</w:t>
            </w:r>
          </w:p>
          <w:p w14:paraId="0F4042B0"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b/>
                <w:bCs/>
                <w:color w:val="000000"/>
              </w:rPr>
            </w:pPr>
            <w:r w:rsidRPr="00233A80">
              <w:rPr>
                <w:rFonts w:ascii="Times New Roman" w:eastAsia="Times New Roman" w:hAnsi="Times New Roman" w:cs="Times New Roman"/>
                <w:color w:val="000000"/>
              </w:rPr>
              <w:t>Ethical use of field notes and observations</w:t>
            </w:r>
          </w:p>
        </w:tc>
      </w:tr>
      <w:tr w:rsidR="00CE0861" w:rsidRPr="00233A80" w14:paraId="1777D745" w14:textId="77777777">
        <w:trPr>
          <w:trHeight w:val="1395"/>
        </w:trPr>
        <w:tc>
          <w:tcPr>
            <w:tcW w:w="3726" w:type="dxa"/>
            <w:shd w:val="clear" w:color="auto" w:fill="C1FFFE"/>
            <w:tcMar>
              <w:top w:w="0" w:type="dxa"/>
              <w:left w:w="108" w:type="dxa"/>
              <w:bottom w:w="0" w:type="dxa"/>
              <w:right w:w="108" w:type="dxa"/>
            </w:tcMar>
          </w:tcPr>
          <w:p w14:paraId="6E0664E6"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b/>
                <w:bCs/>
                <w:color w:val="000000"/>
              </w:rPr>
              <w:t>Case study</w:t>
            </w:r>
          </w:p>
          <w:p w14:paraId="0659D01B" w14:textId="77777777" w:rsidR="00CE0861" w:rsidRPr="00233A80" w:rsidRDefault="00CE0861">
            <w:pPr>
              <w:rPr>
                <w:rFonts w:ascii="Times New Roman" w:hAnsi="Times New Roman" w:cs="Times New Roman"/>
              </w:rPr>
            </w:pPr>
          </w:p>
          <w:p w14:paraId="3E915BB9"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A pragmatic case study may focus on finding practical solutions to real-world problems within a specific setting.</w:t>
            </w:r>
          </w:p>
          <w:p w14:paraId="69789FB9" w14:textId="77777777" w:rsidR="00CE0861" w:rsidRPr="00233A80" w:rsidRDefault="00CE0861">
            <w:pPr>
              <w:pBdr>
                <w:top w:val="nil"/>
                <w:left w:val="nil"/>
                <w:bottom w:val="nil"/>
                <w:right w:val="nil"/>
                <w:between w:val="nil"/>
              </w:pBdr>
              <w:spacing w:after="0" w:line="240" w:lineRule="auto"/>
              <w:rPr>
                <w:rFonts w:ascii="Times New Roman" w:eastAsia="Times New Roman" w:hAnsi="Times New Roman" w:cs="Times New Roman"/>
                <w:b/>
                <w:bCs/>
                <w:color w:val="000000"/>
              </w:rPr>
            </w:pPr>
          </w:p>
        </w:tc>
        <w:tc>
          <w:tcPr>
            <w:tcW w:w="18615" w:type="dxa"/>
            <w:gridSpan w:val="7"/>
            <w:shd w:val="clear" w:color="auto" w:fill="C1FFFE"/>
            <w:tcMar>
              <w:top w:w="0" w:type="dxa"/>
              <w:left w:w="108" w:type="dxa"/>
              <w:bottom w:w="0" w:type="dxa"/>
              <w:right w:w="108" w:type="dxa"/>
            </w:tcMar>
          </w:tcPr>
          <w:p w14:paraId="53945C0A"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b/>
                <w:bCs/>
                <w:color w:val="000000"/>
              </w:rPr>
              <w:t>Case study</w:t>
            </w:r>
          </w:p>
          <w:p w14:paraId="7D9BD1AF" w14:textId="77777777" w:rsidR="00CE0861" w:rsidRPr="00233A80" w:rsidRDefault="00CE0861">
            <w:pPr>
              <w:rPr>
                <w:rFonts w:ascii="Times New Roman" w:hAnsi="Times New Roman" w:cs="Times New Roman"/>
              </w:rPr>
            </w:pPr>
          </w:p>
          <w:p w14:paraId="5DC80F8C"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Research Question: How do specific FMCG companies implement CSR initiatives to enhance consumer loyalty, and what are the outcomes of these initiatives?</w:t>
            </w:r>
          </w:p>
          <w:p w14:paraId="5F095A21"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Methodology: Multiple case study approach examining CSR initiatives and their impact on consumer loyalty across several FMCG companies.</w:t>
            </w:r>
          </w:p>
          <w:p w14:paraId="04D38FE4"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Data Collection: Interviews with company representatives and consumers, document analysis of CSR reports and communications, and observation of CSR initiative implementation.</w:t>
            </w:r>
          </w:p>
          <w:p w14:paraId="4343C085"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Data Analysis: Within-case and cross-case analysis to identify patterns, similarities, and differences in CSR approaches and their impact on consumer loyalty.</w:t>
            </w:r>
          </w:p>
          <w:p w14:paraId="193D8BFB"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When to use: When aiming to gain an in-depth understanding of how different FMCG companies approach CSR and its impact on consumer loyalty in real-world contexts.</w:t>
            </w:r>
          </w:p>
          <w:p w14:paraId="692FD19B"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Reality: Complex and multifaceted, best understood through in-depth examination of specific cases.</w:t>
            </w:r>
          </w:p>
          <w:p w14:paraId="6A8914B4"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Knowledge: Gained through detailed investigation of real-world examples and contexts.</w:t>
            </w:r>
          </w:p>
          <w:p w14:paraId="27EC1EB9"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Focus: On the specific strategies, contexts, and outcomes of CSR initiatives in relation to consumer loyalty.</w:t>
            </w:r>
          </w:p>
          <w:p w14:paraId="2863772D"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What it seeks to do: Provide detailed, contextualised insights into how CSR initiatives are implemented and their impact on consumer loyalty.</w:t>
            </w:r>
          </w:p>
          <w:p w14:paraId="0ADFB645"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Rationale: Understanding specific cases in depth can provide valuable insights into effective CSR strategies for enhancing consumer loyalty.</w:t>
            </w:r>
          </w:p>
          <w:p w14:paraId="43601C07"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Axiology: Values the complexity and uniqueness of individual cases while seeking broader patterns.</w:t>
            </w:r>
          </w:p>
          <w:p w14:paraId="592023C4"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Theoretical Framework: May draw on multiple theories relevant to CSR and consumer loyalty, depending on the specific cases studied.</w:t>
            </w:r>
          </w:p>
          <w:p w14:paraId="4108ED45"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Conceptual Model: Comparative CSR-Loyalty Impact Framework across FMCG companies.</w:t>
            </w:r>
          </w:p>
          <w:p w14:paraId="0E834C75"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Conceptual Framework: Combines deductive and inductive approaches, using existing theories to guide investigation while remaining open to new insights.</w:t>
            </w:r>
          </w:p>
          <w:p w14:paraId="5E18D68E"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Implications for Practice: Provides concrete examples and best practices for implementing effective CSR initiatives to enhance consumer loyalty.</w:t>
            </w:r>
          </w:p>
          <w:p w14:paraId="79EBEC4F"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Ethics: Ensures informed consent from both company representatives and consumers, maintains confidentiality, and considers potential conflicts of interest.</w:t>
            </w:r>
          </w:p>
          <w:p w14:paraId="6AD59406"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Approach: Combines deductive and inductive approaches, using existing theories to guide investigation while remaining open to new insights from the cases.</w:t>
            </w:r>
          </w:p>
          <w:p w14:paraId="1E9C97CD"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Strengths: Provides rich, contextual insights into real-world CSR practices and their impact on consumer loyalty.</w:t>
            </w:r>
          </w:p>
          <w:p w14:paraId="7878636B"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Weaknesses: Findings may be specific to the studied cases and require careful consideration for generalisation to other contexts.</w:t>
            </w:r>
          </w:p>
          <w:p w14:paraId="3D8AF8CE" w14:textId="77777777" w:rsidR="00CE0861" w:rsidRPr="00233A80" w:rsidRDefault="00CE0861">
            <w:pPr>
              <w:pBdr>
                <w:top w:val="nil"/>
                <w:left w:val="nil"/>
                <w:bottom w:val="nil"/>
                <w:right w:val="nil"/>
                <w:between w:val="nil"/>
              </w:pBdr>
              <w:spacing w:after="0" w:line="240" w:lineRule="auto"/>
              <w:rPr>
                <w:rFonts w:ascii="Times New Roman" w:eastAsia="Times New Roman" w:hAnsi="Times New Roman" w:cs="Times New Roman"/>
                <w:b/>
                <w:bCs/>
                <w:color w:val="000000"/>
              </w:rPr>
            </w:pPr>
          </w:p>
        </w:tc>
      </w:tr>
      <w:tr w:rsidR="00CE0861" w:rsidRPr="00233A80" w14:paraId="6FF13A56" w14:textId="77777777">
        <w:trPr>
          <w:trHeight w:val="1939"/>
        </w:trPr>
        <w:tc>
          <w:tcPr>
            <w:tcW w:w="3726" w:type="dxa"/>
            <w:shd w:val="clear" w:color="auto" w:fill="C1FFFE"/>
            <w:tcMar>
              <w:top w:w="0" w:type="dxa"/>
              <w:left w:w="108" w:type="dxa"/>
              <w:bottom w:w="0" w:type="dxa"/>
              <w:right w:w="108" w:type="dxa"/>
            </w:tcMar>
          </w:tcPr>
          <w:p w14:paraId="6B8A4323"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b/>
                <w:bCs/>
                <w:color w:val="000000"/>
              </w:rPr>
            </w:pPr>
            <w:r w:rsidRPr="00233A80">
              <w:rPr>
                <w:rFonts w:ascii="Times New Roman" w:eastAsia="Times New Roman" w:hAnsi="Times New Roman" w:cs="Times New Roman"/>
                <w:b/>
                <w:bCs/>
                <w:color w:val="000000"/>
              </w:rPr>
              <w:t>Case study and Ethics</w:t>
            </w:r>
          </w:p>
        </w:tc>
        <w:tc>
          <w:tcPr>
            <w:tcW w:w="18615" w:type="dxa"/>
            <w:gridSpan w:val="7"/>
            <w:shd w:val="clear" w:color="auto" w:fill="C1FFFE"/>
            <w:tcMar>
              <w:top w:w="0" w:type="dxa"/>
              <w:left w:w="108" w:type="dxa"/>
              <w:bottom w:w="0" w:type="dxa"/>
              <w:right w:w="108" w:type="dxa"/>
            </w:tcMar>
          </w:tcPr>
          <w:p w14:paraId="323E8416"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Maintaining organisational or individual privacy</w:t>
            </w:r>
          </w:p>
          <w:p w14:paraId="235E08E6"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Ensuring confidentiality when using multiple data sources</w:t>
            </w:r>
          </w:p>
          <w:p w14:paraId="69882F47"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Managing potential conflicts of interest, especially in organisational studies</w:t>
            </w:r>
          </w:p>
          <w:p w14:paraId="288A9AD3"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Addressing power dynamics in accessing and reporting on cases</w:t>
            </w:r>
          </w:p>
          <w:p w14:paraId="686256EF"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Ensuring fair and balanced representation of the case</w:t>
            </w:r>
          </w:p>
          <w:p w14:paraId="1FADF734"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b/>
                <w:bCs/>
                <w:color w:val="000000"/>
              </w:rPr>
            </w:pPr>
            <w:r w:rsidRPr="00233A80">
              <w:rPr>
                <w:rFonts w:ascii="Times New Roman" w:eastAsia="Times New Roman" w:hAnsi="Times New Roman" w:cs="Times New Roman"/>
                <w:color w:val="000000"/>
              </w:rPr>
              <w:t>Considering the impact of case study findings on the studied entity</w:t>
            </w:r>
            <w:r w:rsidRPr="00233A80">
              <w:rPr>
                <w:rFonts w:ascii="Times New Roman" w:eastAsia="Times New Roman" w:hAnsi="Times New Roman" w:cs="Times New Roman"/>
                <w:color w:val="000000"/>
              </w:rPr>
              <w:tab/>
            </w:r>
          </w:p>
        </w:tc>
      </w:tr>
      <w:tr w:rsidR="00CE0861" w:rsidRPr="00233A80" w14:paraId="5611BCF1" w14:textId="77777777">
        <w:trPr>
          <w:trHeight w:val="819"/>
        </w:trPr>
        <w:tc>
          <w:tcPr>
            <w:tcW w:w="22341" w:type="dxa"/>
            <w:gridSpan w:val="8"/>
            <w:shd w:val="clear" w:color="auto" w:fill="BB93B8"/>
            <w:tcMar>
              <w:top w:w="0" w:type="dxa"/>
              <w:left w:w="108" w:type="dxa"/>
              <w:bottom w:w="0" w:type="dxa"/>
              <w:right w:w="108" w:type="dxa"/>
            </w:tcMar>
          </w:tcPr>
          <w:p w14:paraId="1457FB24" w14:textId="77777777" w:rsidR="00CE0861" w:rsidRPr="00233A80" w:rsidRDefault="00CE0861">
            <w:pPr>
              <w:pBdr>
                <w:top w:val="nil"/>
                <w:left w:val="nil"/>
                <w:bottom w:val="nil"/>
                <w:right w:val="nil"/>
                <w:between w:val="nil"/>
              </w:pBdr>
              <w:spacing w:after="0" w:line="240" w:lineRule="auto"/>
              <w:jc w:val="center"/>
              <w:rPr>
                <w:rFonts w:ascii="Times New Roman" w:eastAsia="Times New Roman" w:hAnsi="Times New Roman" w:cs="Times New Roman"/>
                <w:b/>
                <w:bCs/>
                <w:color w:val="000000"/>
              </w:rPr>
            </w:pPr>
          </w:p>
          <w:p w14:paraId="0E4A5E56" w14:textId="77777777" w:rsidR="00CE0861" w:rsidRPr="00233A80" w:rsidRDefault="00000000">
            <w:pPr>
              <w:pBdr>
                <w:top w:val="nil"/>
                <w:left w:val="nil"/>
                <w:bottom w:val="nil"/>
                <w:right w:val="nil"/>
                <w:between w:val="nil"/>
              </w:pBdr>
              <w:spacing w:after="0" w:line="240" w:lineRule="auto"/>
              <w:jc w:val="center"/>
              <w:rPr>
                <w:rFonts w:ascii="Times New Roman" w:eastAsia="Times New Roman" w:hAnsi="Times New Roman" w:cs="Times New Roman"/>
                <w:color w:val="000000"/>
              </w:rPr>
            </w:pPr>
            <w:r w:rsidRPr="00233A80">
              <w:rPr>
                <w:rFonts w:ascii="Times New Roman" w:eastAsia="Times New Roman" w:hAnsi="Times New Roman" w:cs="Times New Roman"/>
                <w:b/>
                <w:bCs/>
                <w:color w:val="000000"/>
                <w:shd w:val="clear" w:color="auto" w:fill="BB93B8"/>
              </w:rPr>
              <w:t>READING</w:t>
            </w:r>
          </w:p>
        </w:tc>
      </w:tr>
      <w:tr w:rsidR="00CE0861" w:rsidRPr="00233A80" w14:paraId="38F2B4EF" w14:textId="77777777">
        <w:trPr>
          <w:trHeight w:val="1115"/>
        </w:trPr>
        <w:tc>
          <w:tcPr>
            <w:tcW w:w="3726" w:type="dxa"/>
            <w:shd w:val="clear" w:color="auto" w:fill="E7D9E6"/>
            <w:tcMar>
              <w:top w:w="0" w:type="dxa"/>
              <w:left w:w="108" w:type="dxa"/>
              <w:bottom w:w="0" w:type="dxa"/>
              <w:right w:w="108" w:type="dxa"/>
            </w:tcMar>
          </w:tcPr>
          <w:p w14:paraId="018A5022"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b/>
                <w:bCs/>
                <w:color w:val="000000"/>
              </w:rPr>
            </w:pPr>
            <w:r w:rsidRPr="00233A80">
              <w:rPr>
                <w:rFonts w:ascii="Times New Roman" w:eastAsia="Times New Roman" w:hAnsi="Times New Roman" w:cs="Times New Roman"/>
                <w:color w:val="000000"/>
              </w:rPr>
              <w:t>Positivism</w:t>
            </w:r>
          </w:p>
        </w:tc>
        <w:tc>
          <w:tcPr>
            <w:tcW w:w="18615" w:type="dxa"/>
            <w:gridSpan w:val="7"/>
            <w:shd w:val="clear" w:color="auto" w:fill="E7D9E6"/>
            <w:tcMar>
              <w:top w:w="0" w:type="dxa"/>
              <w:left w:w="108" w:type="dxa"/>
              <w:bottom w:w="0" w:type="dxa"/>
              <w:right w:w="108" w:type="dxa"/>
            </w:tcMar>
          </w:tcPr>
          <w:p w14:paraId="3230CF04"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 xml:space="preserve">   - Auguste Comte: ‘The Course in Positive Philosophy’ (1830-1842)</w:t>
            </w:r>
          </w:p>
          <w:p w14:paraId="15829BCE"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   - Émile Durkheim: ‘The Rules of Sociological Method’ (1895)</w:t>
            </w:r>
          </w:p>
          <w:p w14:paraId="4E9FFA86"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   - Karl Popper: ‘The Logic of Scientific Discovery’ (1934)</w:t>
            </w:r>
          </w:p>
          <w:p w14:paraId="6A5AD037" w14:textId="77777777" w:rsidR="00CE0861" w:rsidRPr="00233A80" w:rsidRDefault="00CE0861">
            <w:pPr>
              <w:pBdr>
                <w:top w:val="nil"/>
                <w:left w:val="nil"/>
                <w:bottom w:val="nil"/>
                <w:right w:val="nil"/>
                <w:between w:val="nil"/>
              </w:pBdr>
              <w:spacing w:after="0" w:line="240" w:lineRule="auto"/>
              <w:rPr>
                <w:rFonts w:ascii="Times New Roman" w:eastAsia="Times New Roman" w:hAnsi="Times New Roman" w:cs="Times New Roman"/>
                <w:color w:val="000000"/>
              </w:rPr>
            </w:pPr>
          </w:p>
        </w:tc>
      </w:tr>
      <w:tr w:rsidR="00CE0861" w:rsidRPr="00233A80" w14:paraId="0F2F2687" w14:textId="77777777">
        <w:trPr>
          <w:trHeight w:val="1103"/>
        </w:trPr>
        <w:tc>
          <w:tcPr>
            <w:tcW w:w="3726" w:type="dxa"/>
            <w:shd w:val="clear" w:color="auto" w:fill="E7D9E6"/>
            <w:tcMar>
              <w:top w:w="0" w:type="dxa"/>
              <w:left w:w="108" w:type="dxa"/>
              <w:bottom w:w="0" w:type="dxa"/>
              <w:right w:w="108" w:type="dxa"/>
            </w:tcMar>
          </w:tcPr>
          <w:p w14:paraId="5213FE54"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b/>
                <w:bCs/>
                <w:color w:val="000000"/>
              </w:rPr>
            </w:pPr>
            <w:r w:rsidRPr="00233A80">
              <w:rPr>
                <w:rFonts w:ascii="Times New Roman" w:eastAsia="Times New Roman" w:hAnsi="Times New Roman" w:cs="Times New Roman"/>
                <w:color w:val="000000"/>
              </w:rPr>
              <w:t>Post-positivism:</w:t>
            </w:r>
          </w:p>
        </w:tc>
        <w:tc>
          <w:tcPr>
            <w:tcW w:w="18615" w:type="dxa"/>
            <w:gridSpan w:val="7"/>
            <w:shd w:val="clear" w:color="auto" w:fill="E7D9E6"/>
            <w:tcMar>
              <w:top w:w="0" w:type="dxa"/>
              <w:left w:w="108" w:type="dxa"/>
              <w:bottom w:w="0" w:type="dxa"/>
              <w:right w:w="108" w:type="dxa"/>
            </w:tcMar>
          </w:tcPr>
          <w:p w14:paraId="6410BD9F"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 xml:space="preserve">   - Karl Popper: ‘Conjectures and Refutations’ (1963)</w:t>
            </w:r>
          </w:p>
          <w:p w14:paraId="7147662F"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   - Thomas Kuhn: ‘The Structure of Scientific Revolutions’ (1962)</w:t>
            </w:r>
          </w:p>
          <w:p w14:paraId="5B2808B7"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   - Imre Lakatos: ‘The Methodology of Scientific Research Programmes’ (1978)</w:t>
            </w:r>
          </w:p>
          <w:p w14:paraId="29E34733" w14:textId="77777777" w:rsidR="00CE0861" w:rsidRPr="00233A80" w:rsidRDefault="00CE0861">
            <w:pPr>
              <w:pBdr>
                <w:top w:val="nil"/>
                <w:left w:val="nil"/>
                <w:bottom w:val="nil"/>
                <w:right w:val="nil"/>
                <w:between w:val="nil"/>
              </w:pBdr>
              <w:spacing w:after="0" w:line="240" w:lineRule="auto"/>
              <w:rPr>
                <w:rFonts w:ascii="Times New Roman" w:eastAsia="Times New Roman" w:hAnsi="Times New Roman" w:cs="Times New Roman"/>
                <w:color w:val="000000"/>
              </w:rPr>
            </w:pPr>
          </w:p>
        </w:tc>
      </w:tr>
      <w:tr w:rsidR="00CE0861" w:rsidRPr="00233A80" w14:paraId="0D8CF834" w14:textId="77777777">
        <w:trPr>
          <w:trHeight w:val="963"/>
        </w:trPr>
        <w:tc>
          <w:tcPr>
            <w:tcW w:w="3726" w:type="dxa"/>
            <w:shd w:val="clear" w:color="auto" w:fill="E7D9E6"/>
            <w:tcMar>
              <w:top w:w="0" w:type="dxa"/>
              <w:left w:w="108" w:type="dxa"/>
              <w:bottom w:w="0" w:type="dxa"/>
              <w:right w:w="108" w:type="dxa"/>
            </w:tcMar>
          </w:tcPr>
          <w:p w14:paraId="1EE5C8F6"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b/>
                <w:bCs/>
                <w:color w:val="000000"/>
              </w:rPr>
            </w:pPr>
            <w:r w:rsidRPr="00233A80">
              <w:rPr>
                <w:rFonts w:ascii="Times New Roman" w:eastAsia="Times New Roman" w:hAnsi="Times New Roman" w:cs="Times New Roman"/>
                <w:color w:val="000000"/>
              </w:rPr>
              <w:t>Interpretivism</w:t>
            </w:r>
          </w:p>
        </w:tc>
        <w:tc>
          <w:tcPr>
            <w:tcW w:w="18615" w:type="dxa"/>
            <w:gridSpan w:val="7"/>
            <w:shd w:val="clear" w:color="auto" w:fill="E7D9E6"/>
            <w:tcMar>
              <w:top w:w="0" w:type="dxa"/>
              <w:left w:w="108" w:type="dxa"/>
              <w:bottom w:w="0" w:type="dxa"/>
              <w:right w:w="108" w:type="dxa"/>
            </w:tcMar>
          </w:tcPr>
          <w:p w14:paraId="705B3684"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   - Max Weber: ‘Economy and Society’ (1922)</w:t>
            </w:r>
          </w:p>
          <w:p w14:paraId="76476C26"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   - Clifford Geertz: ‘The Interpretation of Cultures’ (1973)</w:t>
            </w:r>
          </w:p>
          <w:p w14:paraId="2D0CD3EF"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   - Norman Denzin: ‘Interpretive Interactionism’ (1989)</w:t>
            </w:r>
          </w:p>
          <w:p w14:paraId="602B417A"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lastRenderedPageBreak/>
              <w:t>   - Jonathan A. Smith, Paul Flowers and Michael Larkin: ‘Interpretative Phenomenological Analysis: Theory, Method and Research’ (2nd ed., 2022)</w:t>
            </w:r>
          </w:p>
          <w:p w14:paraId="767BD45C"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   - Michael Larkin, Simon Watts and Elizabeth Clifton: ‘Giving voice and making sense in interpretative phenomenological analysis’ (2006)</w:t>
            </w:r>
          </w:p>
          <w:p w14:paraId="078ED4F9"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highlight w:val="yellow"/>
              </w:rPr>
              <w:t>   - Michael J. Gill: ‘The possibilities of phenomenology for organizational research’ (2014)</w:t>
            </w:r>
          </w:p>
        </w:tc>
      </w:tr>
      <w:tr w:rsidR="00CE0861" w:rsidRPr="00233A80" w14:paraId="347CAE5A" w14:textId="77777777">
        <w:trPr>
          <w:trHeight w:val="1277"/>
        </w:trPr>
        <w:tc>
          <w:tcPr>
            <w:tcW w:w="3726" w:type="dxa"/>
            <w:shd w:val="clear" w:color="auto" w:fill="E7D9E6"/>
            <w:tcMar>
              <w:top w:w="0" w:type="dxa"/>
              <w:left w:w="108" w:type="dxa"/>
              <w:bottom w:w="0" w:type="dxa"/>
              <w:right w:w="108" w:type="dxa"/>
            </w:tcMar>
          </w:tcPr>
          <w:p w14:paraId="741A88A7"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b/>
                <w:bCs/>
                <w:color w:val="000000"/>
              </w:rPr>
            </w:pPr>
            <w:r w:rsidRPr="00233A80">
              <w:rPr>
                <w:rFonts w:ascii="Times New Roman" w:eastAsia="Times New Roman" w:hAnsi="Times New Roman" w:cs="Times New Roman"/>
                <w:color w:val="000000"/>
              </w:rPr>
              <w:lastRenderedPageBreak/>
              <w:t>Social constructionism</w:t>
            </w:r>
          </w:p>
        </w:tc>
        <w:tc>
          <w:tcPr>
            <w:tcW w:w="18615" w:type="dxa"/>
            <w:gridSpan w:val="7"/>
            <w:shd w:val="clear" w:color="auto" w:fill="E7D9E6"/>
            <w:tcMar>
              <w:top w:w="0" w:type="dxa"/>
              <w:left w:w="108" w:type="dxa"/>
              <w:bottom w:w="0" w:type="dxa"/>
              <w:right w:w="108" w:type="dxa"/>
            </w:tcMar>
          </w:tcPr>
          <w:p w14:paraId="38F95D7D"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 xml:space="preserve">   - Peter L. Berger and Thomas Luckmann: ‘The Social Construction of Reality’ (1966)</w:t>
            </w:r>
          </w:p>
          <w:p w14:paraId="518450C3"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   - Kenneth Gergen: ‘An Invitation to Social Construction’ (1999)</w:t>
            </w:r>
          </w:p>
          <w:p w14:paraId="5C1B2633"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   - Vivien Burr: ‘Social Constructionism’ (1995)</w:t>
            </w:r>
          </w:p>
          <w:p w14:paraId="189558CF" w14:textId="77777777" w:rsidR="00CE0861" w:rsidRPr="00233A80" w:rsidRDefault="00CE0861">
            <w:pPr>
              <w:pBdr>
                <w:top w:val="nil"/>
                <w:left w:val="nil"/>
                <w:bottom w:val="nil"/>
                <w:right w:val="nil"/>
                <w:between w:val="nil"/>
              </w:pBdr>
              <w:spacing w:after="0" w:line="240" w:lineRule="auto"/>
              <w:rPr>
                <w:rFonts w:ascii="Times New Roman" w:eastAsia="Times New Roman" w:hAnsi="Times New Roman" w:cs="Times New Roman"/>
                <w:color w:val="000000"/>
              </w:rPr>
            </w:pPr>
          </w:p>
        </w:tc>
      </w:tr>
      <w:tr w:rsidR="00CE0861" w:rsidRPr="00233A80" w14:paraId="44C156F0" w14:textId="77777777">
        <w:trPr>
          <w:trHeight w:val="813"/>
        </w:trPr>
        <w:tc>
          <w:tcPr>
            <w:tcW w:w="3726" w:type="dxa"/>
            <w:shd w:val="clear" w:color="auto" w:fill="E7D9E6"/>
            <w:tcMar>
              <w:top w:w="0" w:type="dxa"/>
              <w:left w:w="108" w:type="dxa"/>
              <w:bottom w:w="0" w:type="dxa"/>
              <w:right w:w="108" w:type="dxa"/>
            </w:tcMar>
          </w:tcPr>
          <w:p w14:paraId="2E399288"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b/>
                <w:bCs/>
                <w:color w:val="000000"/>
              </w:rPr>
            </w:pPr>
            <w:r w:rsidRPr="00233A80">
              <w:rPr>
                <w:rFonts w:ascii="Times New Roman" w:eastAsia="Times New Roman" w:hAnsi="Times New Roman" w:cs="Times New Roman"/>
                <w:color w:val="000000"/>
              </w:rPr>
              <w:t>Critical Theory</w:t>
            </w:r>
          </w:p>
        </w:tc>
        <w:tc>
          <w:tcPr>
            <w:tcW w:w="18615" w:type="dxa"/>
            <w:gridSpan w:val="7"/>
            <w:shd w:val="clear" w:color="auto" w:fill="E7D9E6"/>
            <w:tcMar>
              <w:top w:w="0" w:type="dxa"/>
              <w:left w:w="108" w:type="dxa"/>
              <w:bottom w:w="0" w:type="dxa"/>
              <w:right w:w="108" w:type="dxa"/>
            </w:tcMar>
          </w:tcPr>
          <w:p w14:paraId="71B72B18"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 xml:space="preserve">   - Theodor Adorno and Max Horkheimer: ‘Dialectic of Enlightenment’ (1944)</w:t>
            </w:r>
          </w:p>
          <w:p w14:paraId="1AFD20B2"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   - Jürgen Habermas: ‘Knowledge and Human Interests’ (1968)</w:t>
            </w:r>
          </w:p>
          <w:p w14:paraId="7BDC1292" w14:textId="77777777" w:rsidR="00CE0861" w:rsidRPr="00233A80" w:rsidRDefault="00CE0861">
            <w:pPr>
              <w:pBdr>
                <w:top w:val="nil"/>
                <w:left w:val="nil"/>
                <w:bottom w:val="nil"/>
                <w:right w:val="nil"/>
                <w:between w:val="nil"/>
              </w:pBdr>
              <w:spacing w:after="0" w:line="240" w:lineRule="auto"/>
              <w:rPr>
                <w:rFonts w:ascii="Times New Roman" w:eastAsia="Times New Roman" w:hAnsi="Times New Roman" w:cs="Times New Roman"/>
                <w:color w:val="000000"/>
              </w:rPr>
            </w:pPr>
          </w:p>
        </w:tc>
      </w:tr>
      <w:tr w:rsidR="00CE0861" w:rsidRPr="00233A80" w14:paraId="7AB90D1C" w14:textId="77777777">
        <w:trPr>
          <w:trHeight w:val="1679"/>
        </w:trPr>
        <w:tc>
          <w:tcPr>
            <w:tcW w:w="3726" w:type="dxa"/>
            <w:shd w:val="clear" w:color="auto" w:fill="E7D9E6"/>
            <w:tcMar>
              <w:top w:w="0" w:type="dxa"/>
              <w:left w:w="108" w:type="dxa"/>
              <w:bottom w:w="0" w:type="dxa"/>
              <w:right w:w="108" w:type="dxa"/>
            </w:tcMar>
          </w:tcPr>
          <w:p w14:paraId="4830FE3E" w14:textId="77777777" w:rsidR="00CE0861" w:rsidRPr="00233A80" w:rsidRDefault="00CE0861">
            <w:pPr>
              <w:rPr>
                <w:rFonts w:ascii="Times New Roman" w:hAnsi="Times New Roman" w:cs="Times New Roman"/>
              </w:rPr>
            </w:pPr>
          </w:p>
          <w:p w14:paraId="1A966E30"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Pragmatism</w:t>
            </w:r>
          </w:p>
          <w:p w14:paraId="180DDCDD" w14:textId="77777777" w:rsidR="00CE0861" w:rsidRPr="00233A80" w:rsidRDefault="00CE0861">
            <w:pPr>
              <w:pBdr>
                <w:top w:val="nil"/>
                <w:left w:val="nil"/>
                <w:bottom w:val="nil"/>
                <w:right w:val="nil"/>
                <w:between w:val="nil"/>
              </w:pBdr>
              <w:spacing w:after="0" w:line="240" w:lineRule="auto"/>
              <w:rPr>
                <w:rFonts w:ascii="Times New Roman" w:eastAsia="Times New Roman" w:hAnsi="Times New Roman" w:cs="Times New Roman"/>
                <w:b/>
                <w:bCs/>
                <w:color w:val="000000"/>
              </w:rPr>
            </w:pPr>
          </w:p>
        </w:tc>
        <w:tc>
          <w:tcPr>
            <w:tcW w:w="18615" w:type="dxa"/>
            <w:gridSpan w:val="7"/>
            <w:shd w:val="clear" w:color="auto" w:fill="E7D9E6"/>
            <w:tcMar>
              <w:top w:w="0" w:type="dxa"/>
              <w:left w:w="108" w:type="dxa"/>
              <w:bottom w:w="0" w:type="dxa"/>
              <w:right w:w="108" w:type="dxa"/>
            </w:tcMar>
          </w:tcPr>
          <w:p w14:paraId="66DED151" w14:textId="77777777" w:rsidR="00CE0861" w:rsidRPr="00233A80" w:rsidRDefault="00CE0861">
            <w:pPr>
              <w:rPr>
                <w:rFonts w:ascii="Times New Roman" w:hAnsi="Times New Roman" w:cs="Times New Roman"/>
              </w:rPr>
            </w:pPr>
          </w:p>
          <w:p w14:paraId="0D10F1C3"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   - John Dewey: ‘Logic: The Theory of Inquiry’ (1938)</w:t>
            </w:r>
          </w:p>
          <w:p w14:paraId="5E177771"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   - Charles Sanders Peirce: ‘How to Make Our Ideas Clear’ (1878)</w:t>
            </w:r>
          </w:p>
          <w:p w14:paraId="454E0D55"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   - William James: ‘Pragmatism: A New Name for Some Old Ways of Thinking’ (1907)</w:t>
            </w:r>
          </w:p>
          <w:p w14:paraId="5E624334" w14:textId="77777777" w:rsidR="00CE0861" w:rsidRPr="00233A80" w:rsidRDefault="00CE0861">
            <w:pPr>
              <w:pBdr>
                <w:top w:val="nil"/>
                <w:left w:val="nil"/>
                <w:bottom w:val="nil"/>
                <w:right w:val="nil"/>
                <w:between w:val="nil"/>
              </w:pBdr>
              <w:spacing w:after="0" w:line="240" w:lineRule="auto"/>
              <w:rPr>
                <w:rFonts w:ascii="Times New Roman" w:eastAsia="Times New Roman" w:hAnsi="Times New Roman" w:cs="Times New Roman"/>
                <w:color w:val="000000"/>
              </w:rPr>
            </w:pPr>
          </w:p>
        </w:tc>
      </w:tr>
      <w:tr w:rsidR="00CE0861" w:rsidRPr="00233A80" w14:paraId="02673E1A" w14:textId="77777777">
        <w:trPr>
          <w:trHeight w:val="3542"/>
        </w:trPr>
        <w:tc>
          <w:tcPr>
            <w:tcW w:w="3726" w:type="dxa"/>
            <w:tcBorders>
              <w:bottom w:val="single" w:sz="12" w:space="0" w:color="000000"/>
            </w:tcBorders>
            <w:shd w:val="clear" w:color="auto" w:fill="E7D9E6"/>
            <w:tcMar>
              <w:top w:w="0" w:type="dxa"/>
              <w:left w:w="108" w:type="dxa"/>
              <w:bottom w:w="0" w:type="dxa"/>
              <w:right w:w="108" w:type="dxa"/>
            </w:tcMar>
          </w:tcPr>
          <w:p w14:paraId="2838E89B"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b/>
                <w:bCs/>
                <w:color w:val="000000"/>
              </w:rPr>
            </w:pPr>
            <w:r w:rsidRPr="00233A80">
              <w:rPr>
                <w:rFonts w:ascii="Times New Roman" w:eastAsia="Times New Roman" w:hAnsi="Times New Roman" w:cs="Times New Roman"/>
                <w:color w:val="000000"/>
              </w:rPr>
              <w:t>Additional Modern Authors</w:t>
            </w:r>
          </w:p>
        </w:tc>
        <w:tc>
          <w:tcPr>
            <w:tcW w:w="18615" w:type="dxa"/>
            <w:gridSpan w:val="7"/>
            <w:tcBorders>
              <w:bottom w:val="single" w:sz="12" w:space="0" w:color="000000"/>
            </w:tcBorders>
            <w:shd w:val="clear" w:color="auto" w:fill="E7D9E6"/>
            <w:tcMar>
              <w:top w:w="0" w:type="dxa"/>
              <w:left w:w="108" w:type="dxa"/>
              <w:bottom w:w="0" w:type="dxa"/>
              <w:right w:w="108" w:type="dxa"/>
            </w:tcMar>
          </w:tcPr>
          <w:p w14:paraId="2A40387C"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Modern Research Methods Writers:</w:t>
            </w:r>
          </w:p>
          <w:p w14:paraId="7CC3AD08" w14:textId="77777777" w:rsidR="00CE0861" w:rsidRPr="00233A80" w:rsidRDefault="00CE0861">
            <w:pPr>
              <w:rPr>
                <w:rFonts w:ascii="Times New Roman" w:hAnsi="Times New Roman" w:cs="Times New Roman"/>
              </w:rPr>
            </w:pPr>
          </w:p>
          <w:p w14:paraId="79D210C0"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Mixed Methods and Paradigm Integration:</w:t>
            </w:r>
          </w:p>
          <w:p w14:paraId="0AD997E7"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   - John W. Creswell: ‘Research Design: Qualitative, Quantitative, and Mixed Methods Approaches’ (4th ed., 2014)</w:t>
            </w:r>
          </w:p>
          <w:p w14:paraId="58A54006"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   - Abbas Tashakkori and Charles Teddlie: ‘Handbook of Mixed Methods in Social &amp; Behavioral Research’ (2nd ed., 2010)</w:t>
            </w:r>
          </w:p>
          <w:p w14:paraId="56960E7B" w14:textId="77777777" w:rsidR="00CE0861" w:rsidRPr="00233A80" w:rsidRDefault="00CE0861">
            <w:pPr>
              <w:rPr>
                <w:rFonts w:ascii="Times New Roman" w:hAnsi="Times New Roman" w:cs="Times New Roman"/>
              </w:rPr>
            </w:pPr>
          </w:p>
          <w:p w14:paraId="55B65887"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Qualitative Research:</w:t>
            </w:r>
          </w:p>
          <w:p w14:paraId="4F6F16B2"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   - Yvonna Lincoln and Egon Guba: ‘Naturalistic Inquiry’ (1985)</w:t>
            </w:r>
          </w:p>
          <w:p w14:paraId="73C69AD4"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   - Anselm Strauss and Juliet Corbin: ‘Basics of Qualitative Research’ (3rd ed., 2008)</w:t>
            </w:r>
          </w:p>
          <w:p w14:paraId="252EB3FF"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   - Robert K. Yin: ‘Case Study Research and Applications: Design and Methods’ (6th ed., 2017)</w:t>
            </w:r>
          </w:p>
          <w:p w14:paraId="0BBC1695"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   - Kathy Charmaz: ‘Constructing Grounded Theory’ (2nd ed., 2014)</w:t>
            </w:r>
          </w:p>
          <w:p w14:paraId="49BAF68B" w14:textId="77777777" w:rsidR="00CE0861" w:rsidRPr="00233A80" w:rsidRDefault="00CE0861">
            <w:pPr>
              <w:rPr>
                <w:rFonts w:ascii="Times New Roman" w:hAnsi="Times New Roman" w:cs="Times New Roman"/>
              </w:rPr>
            </w:pPr>
          </w:p>
          <w:p w14:paraId="249116FA"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Quantitative Research:</w:t>
            </w:r>
          </w:p>
          <w:p w14:paraId="6D2B3E8C"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   - Andy Field: ‘Discovering Statistics Using IBM SPSS Statistics’ (5th ed., 2017)</w:t>
            </w:r>
          </w:p>
          <w:p w14:paraId="2F0B76DF"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   - Barbara G. Tabachnick and Linda S. Fidell: ‘Using Multivariate Statistics’ (7th ed., 2019)</w:t>
            </w:r>
          </w:p>
          <w:p w14:paraId="65DC2625" w14:textId="77777777" w:rsidR="00CE0861" w:rsidRPr="00233A80" w:rsidRDefault="00CE0861">
            <w:pPr>
              <w:rPr>
                <w:rFonts w:ascii="Times New Roman" w:hAnsi="Times New Roman" w:cs="Times New Roman"/>
              </w:rPr>
            </w:pPr>
          </w:p>
          <w:p w14:paraId="49B0512D"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Philosophy of Science:</w:t>
            </w:r>
          </w:p>
          <w:p w14:paraId="0C270F3B"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    - Ian Hacking: ‘Representing and Intervening’ (1983)</w:t>
            </w:r>
          </w:p>
          <w:p w14:paraId="518002C7" w14:textId="77777777" w:rsidR="00CE0861" w:rsidRPr="00233A80" w:rsidRDefault="00000000">
            <w:pPr>
              <w:pBdr>
                <w:top w:val="nil"/>
                <w:left w:val="nil"/>
                <w:bottom w:val="nil"/>
                <w:right w:val="nil"/>
                <w:between w:val="nil"/>
              </w:pBdr>
              <w:spacing w:after="0" w:line="240" w:lineRule="auto"/>
              <w:ind w:firstLine="218"/>
              <w:rPr>
                <w:rFonts w:ascii="Times New Roman" w:eastAsia="Times New Roman" w:hAnsi="Times New Roman" w:cs="Times New Roman"/>
                <w:color w:val="000000"/>
              </w:rPr>
            </w:pPr>
            <w:r w:rsidRPr="00233A80">
              <w:rPr>
                <w:rFonts w:ascii="Times New Roman" w:eastAsia="Times New Roman" w:hAnsi="Times New Roman" w:cs="Times New Roman"/>
                <w:color w:val="000000"/>
              </w:rPr>
              <w:t>- Sandra Harding: ‘Whose Science? Whose Knowledge?’ (1991)</w:t>
            </w:r>
          </w:p>
          <w:p w14:paraId="36F77CE9" w14:textId="77777777" w:rsidR="00CE0861" w:rsidRPr="00233A80" w:rsidRDefault="00CE0861">
            <w:pPr>
              <w:rPr>
                <w:rFonts w:ascii="Times New Roman" w:hAnsi="Times New Roman" w:cs="Times New Roman"/>
              </w:rPr>
            </w:pPr>
          </w:p>
          <w:p w14:paraId="4F7FD0B5"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Patricia Leavy: ‘Research Design: Quantitative, Qualitative, Mixed Methods, Arts-Based, and Community-Based Participatory Research Approaches’ (2017)</w:t>
            </w:r>
          </w:p>
          <w:p w14:paraId="75769654"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Uwe Flick: ‘An Introduction to Qualitative Research’ (6th ed., 2018)</w:t>
            </w:r>
          </w:p>
          <w:p w14:paraId="617207E7"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David Silverman: ‘Doing Qualitative Research’ (5th ed., 2017)</w:t>
            </w:r>
          </w:p>
          <w:p w14:paraId="6EA61EA1"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Alan Bryman: ‘Social Research Methods’ (5th ed., 2016)</w:t>
            </w:r>
          </w:p>
          <w:p w14:paraId="75F1EE09"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Sharlene Nagy Hesse-Biber: ‘The Practice of Qualitative Research’ (3rd ed., 2016)</w:t>
            </w:r>
          </w:p>
          <w:p w14:paraId="5D45D0AB"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Michael Quinn Patton: ‘Qualitative Research &amp; Evaluation Methods’ (4th ed., 2014)</w:t>
            </w:r>
          </w:p>
          <w:p w14:paraId="5A6324A2" w14:textId="77777777" w:rsidR="00CE0861" w:rsidRPr="00233A80" w:rsidRDefault="00CE0861">
            <w:pPr>
              <w:rPr>
                <w:rFonts w:ascii="Times New Roman" w:hAnsi="Times New Roman" w:cs="Times New Roman"/>
              </w:rPr>
            </w:pPr>
          </w:p>
          <w:p w14:paraId="28814600" w14:textId="77777777" w:rsidR="00CE0861" w:rsidRPr="00233A80" w:rsidRDefault="00000000">
            <w:pPr>
              <w:pBdr>
                <w:top w:val="nil"/>
                <w:left w:val="nil"/>
                <w:bottom w:val="nil"/>
                <w:right w:val="nil"/>
                <w:between w:val="nil"/>
              </w:pBdr>
              <w:spacing w:after="0" w:line="240" w:lineRule="auto"/>
              <w:rPr>
                <w:rFonts w:ascii="Times New Roman" w:eastAsia="Times New Roman" w:hAnsi="Times New Roman" w:cs="Times New Roman"/>
                <w:color w:val="000000"/>
              </w:rPr>
            </w:pPr>
            <w:r w:rsidRPr="00233A80">
              <w:rPr>
                <w:rFonts w:ascii="Times New Roman" w:eastAsia="Times New Roman" w:hAnsi="Times New Roman" w:cs="Times New Roman"/>
                <w:color w:val="000000"/>
              </w:rPr>
              <w:t>These modern authors have contributed significantly to the development and refinement of research methods across various paradigms, often integrating insights from multiple approaches.</w:t>
            </w:r>
          </w:p>
        </w:tc>
      </w:tr>
    </w:tbl>
    <w:p w14:paraId="4DC62597" w14:textId="77777777" w:rsidR="00CE0861" w:rsidRPr="00233A80" w:rsidRDefault="00CE0861">
      <w:pPr>
        <w:rPr>
          <w:rFonts w:ascii="Times New Roman" w:hAnsi="Times New Roman" w:cs="Times New Roman"/>
        </w:rPr>
      </w:pPr>
    </w:p>
    <w:sectPr w:rsidR="00CE0861" w:rsidRPr="00233A80">
      <w:footerReference w:type="default" r:id="rId6"/>
      <w:pgSz w:w="23811" w:h="16838" w:orient="landscape"/>
      <w:pgMar w:top="720" w:right="720" w:bottom="720" w:left="72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455ECE" w14:textId="77777777" w:rsidR="0060186B" w:rsidRDefault="0060186B">
      <w:pPr>
        <w:spacing w:after="0" w:line="240" w:lineRule="auto"/>
      </w:pPr>
      <w:r>
        <w:separator/>
      </w:r>
    </w:p>
  </w:endnote>
  <w:endnote w:type="continuationSeparator" w:id="0">
    <w:p w14:paraId="5BE8760D" w14:textId="77777777" w:rsidR="0060186B" w:rsidRDefault="006018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B25C442D-41A2-4E8A-B960-B591C2A27F24}"/>
    <w:embedBold r:id="rId2" w:fontKey="{560D9FCA-1EC2-4728-8E03-65A323BA0F4E}"/>
    <w:embedItalic r:id="rId3" w:fontKey="{E9A4E3B0-8CEC-4803-A605-7B4968AE080E}"/>
  </w:font>
  <w:font w:name="Play">
    <w:charset w:val="00"/>
    <w:family w:val="auto"/>
    <w:pitch w:val="default"/>
    <w:embedRegular r:id="rId4" w:fontKey="{1DBECD96-C483-434A-9F37-85D6F1B55DA5}"/>
  </w:font>
  <w:font w:name="Times New Roman">
    <w:panose1 w:val="02020603050405020304"/>
    <w:charset w:val="00"/>
    <w:family w:val="roman"/>
    <w:pitch w:val="variable"/>
    <w:sig w:usb0="E0002EFF" w:usb1="C000785B" w:usb2="00000009" w:usb3="00000000" w:csb0="000001FF" w:csb1="00000000"/>
  </w:font>
  <w:font w:name="Biome">
    <w:charset w:val="00"/>
    <w:family w:val="swiss"/>
    <w:pitch w:val="variable"/>
    <w:sig w:usb0="A11526FF" w:usb1="8000000A" w:usb2="00010000" w:usb3="00000000" w:csb0="0000019F" w:csb1="00000000"/>
    <w:embedBold r:id="rId5" w:fontKey="{E6DA44C5-A49A-4A76-9F78-044A820A834E}"/>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6" w:fontKey="{B7284D5B-7E67-46E7-9806-EC16A32E9F1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embedRegular r:id="rId7" w:fontKey="{74A272FE-37E0-4FCC-8A53-13EAF75B460C}"/>
  </w:font>
  <w:font w:name="Cambria">
    <w:panose1 w:val="02040503050406030204"/>
    <w:charset w:val="00"/>
    <w:family w:val="roman"/>
    <w:pitch w:val="variable"/>
    <w:sig w:usb0="E00006FF" w:usb1="420024FF" w:usb2="02000000" w:usb3="00000000" w:csb0="0000019F" w:csb1="00000000"/>
    <w:embedRegular r:id="rId8" w:fontKey="{A5733C55-9068-4C74-829E-5FD9D1414E2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EDD351" w14:textId="77777777" w:rsidR="00CE0861"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0C2B36">
      <w:rPr>
        <w:noProof/>
        <w:color w:val="000000"/>
      </w:rPr>
      <w:t>1</w:t>
    </w:r>
    <w:r>
      <w:rPr>
        <w:color w:val="000000"/>
      </w:rPr>
      <w:fldChar w:fldCharType="end"/>
    </w:r>
  </w:p>
  <w:p w14:paraId="67D0A204" w14:textId="77777777" w:rsidR="00CE0861" w:rsidRDefault="00CE0861">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2957C4" w14:textId="77777777" w:rsidR="0060186B" w:rsidRDefault="0060186B">
      <w:pPr>
        <w:spacing w:after="0" w:line="240" w:lineRule="auto"/>
      </w:pPr>
      <w:r>
        <w:separator/>
      </w:r>
    </w:p>
  </w:footnote>
  <w:footnote w:type="continuationSeparator" w:id="0">
    <w:p w14:paraId="665CA42F" w14:textId="77777777" w:rsidR="0060186B" w:rsidRDefault="0060186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0861"/>
    <w:rsid w:val="000C2B36"/>
    <w:rsid w:val="00233A80"/>
    <w:rsid w:val="00325C07"/>
    <w:rsid w:val="0060186B"/>
    <w:rsid w:val="00CE08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FCE40"/>
  <w15:docId w15:val="{1CBBBBD4-420D-4061-801B-BC0A3CA5AE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zh-C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35</Pages>
  <Words>18506</Words>
  <Characters>105490</Characters>
  <Application>Microsoft Office Word</Application>
  <DocSecurity>0</DocSecurity>
  <Lines>879</Lines>
  <Paragraphs>247</Paragraphs>
  <ScaleCrop>false</ScaleCrop>
  <Company/>
  <LinksUpToDate>false</LinksUpToDate>
  <CharactersWithSpaces>123749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Jawad</dc:creator>
  <cp:lastModifiedBy>Caroline Jawad</cp:lastModifiedBy>
  <cp:revision>3</cp:revision>
  <dcterms:created xsi:type="dcterms:W3CDTF">2026-10-04T15:56:00Z</dcterms:created>
  <dcterms:modified xsi:type="dcterms:W3CDTF">2026-10-04T15:56:00Z</dcterms:modified>
</cp:coreProperties>
</file>