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6C57ECE9"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F42DF6">
        <w:rPr>
          <w:rFonts w:ascii="Arial" w:hAnsi="Arial" w:cs="Arial"/>
          <w:sz w:val="28"/>
          <w:szCs w:val="28"/>
          <w:lang w:val="nl-NL"/>
        </w:rPr>
        <w:t xml:space="preserve"> </w:t>
      </w:r>
      <w:r w:rsidR="00F42DF6" w:rsidRPr="00EE3DAE">
        <w:rPr>
          <w:rFonts w:ascii="Arial" w:eastAsia="Arial" w:hAnsi="Arial" w:cs="Arial"/>
          <w:b/>
          <w:bCs/>
        </w:rPr>
        <w:t>Sylvie Djeuga Djeuga</w:t>
      </w:r>
    </w:p>
    <w:p w14:paraId="4654C81C" w14:textId="1A08C441" w:rsidR="00C558B0" w:rsidRPr="00594FAC" w:rsidRDefault="00C558B0" w:rsidP="00C25372">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C25372" w:rsidRPr="00C25372">
        <w:rPr>
          <w:rFonts w:ascii="Arial" w:eastAsia="Arial" w:hAnsi="Arial" w:cs="Arial"/>
          <w:b/>
          <w:bCs/>
        </w:rPr>
        <w:t xml:space="preserve"> </w:t>
      </w:r>
      <w:r w:rsidR="00C25372" w:rsidRPr="00EE3DAE">
        <w:rPr>
          <w:rFonts w:ascii="Arial" w:eastAsia="Arial" w:hAnsi="Arial" w:cs="Arial"/>
          <w:b/>
          <w:bCs/>
        </w:rPr>
        <w:t>2335842</w:t>
      </w: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2E5BBC44" w:rsidR="00C558B0" w:rsidRPr="00C42107" w:rsidRDefault="00C558B0" w:rsidP="00C42107">
      <w:pPr>
        <w:tabs>
          <w:tab w:val="left" w:pos="6540"/>
        </w:tabs>
        <w:spacing w:line="360" w:lineRule="auto"/>
        <w:rPr>
          <w:rFonts w:ascii="Arial" w:hAnsi="Arial" w:cs="Arial"/>
          <w:b/>
          <w:bCs/>
          <w:sz w:val="28"/>
          <w:szCs w:val="28"/>
        </w:rPr>
      </w:pPr>
      <w:r w:rsidRPr="00C42107">
        <w:rPr>
          <w:rFonts w:ascii="Arial" w:hAnsi="Arial" w:cs="Arial"/>
          <w:b/>
          <w:bCs/>
          <w:sz w:val="28"/>
          <w:szCs w:val="28"/>
        </w:rPr>
        <w:t>Lecturer name:</w:t>
      </w:r>
      <w:r w:rsidR="00C42107" w:rsidRPr="00C42107">
        <w:rPr>
          <w:rFonts w:ascii="Arial" w:hAnsi="Arial" w:cs="Arial"/>
          <w:b/>
          <w:bCs/>
          <w:sz w:val="28"/>
          <w:szCs w:val="28"/>
        </w:rPr>
        <w:t xml:space="preserve"> </w:t>
      </w:r>
      <w:r w:rsidR="00C42107" w:rsidRPr="00C42107">
        <w:rPr>
          <w:rFonts w:ascii="Arial" w:hAnsi="Arial" w:cs="Arial"/>
          <w:b/>
          <w:bCs/>
          <w:sz w:val="28"/>
          <w:szCs w:val="28"/>
        </w:rPr>
        <w:t>Bianca Sanfilippo</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0F7F1CB0" w14:textId="77777777" w:rsidR="00A2584B" w:rsidRDefault="00A2584B" w:rsidP="00A2584B">
      <w:pPr>
        <w:spacing w:line="360" w:lineRule="auto"/>
        <w:rPr>
          <w:rFonts w:ascii="Arial" w:hAnsi="Arial" w:cs="Arial"/>
        </w:rPr>
      </w:pPr>
    </w:p>
    <w:p w14:paraId="2E6836D9" w14:textId="77777777" w:rsidR="00A2584B" w:rsidRDefault="00A2584B" w:rsidP="00A2584B">
      <w:pPr>
        <w:spacing w:line="360" w:lineRule="auto"/>
        <w:rPr>
          <w:rFonts w:ascii="Arial" w:hAnsi="Arial" w:cs="Arial"/>
        </w:rPr>
      </w:pPr>
    </w:p>
    <w:p w14:paraId="61099B5C" w14:textId="77777777" w:rsidR="00A2584B" w:rsidRDefault="00A2584B" w:rsidP="00A2584B">
      <w:pPr>
        <w:spacing w:line="360" w:lineRule="auto"/>
        <w:rPr>
          <w:rFonts w:ascii="Arial" w:hAnsi="Arial" w:cs="Arial"/>
        </w:rPr>
      </w:pPr>
    </w:p>
    <w:p w14:paraId="58E3987D" w14:textId="77777777" w:rsidR="00A2584B" w:rsidRDefault="00A2584B" w:rsidP="00A2584B">
      <w:pPr>
        <w:spacing w:line="360" w:lineRule="auto"/>
        <w:rPr>
          <w:rFonts w:ascii="Arial" w:hAnsi="Arial" w:cs="Arial"/>
        </w:rPr>
      </w:pPr>
    </w:p>
    <w:p w14:paraId="609A9648" w14:textId="77777777" w:rsidR="00A2584B" w:rsidRDefault="00A2584B" w:rsidP="00A2584B">
      <w:pPr>
        <w:spacing w:line="360" w:lineRule="auto"/>
        <w:rPr>
          <w:rFonts w:ascii="Arial" w:hAnsi="Arial" w:cs="Arial"/>
        </w:rPr>
      </w:pPr>
    </w:p>
    <w:p w14:paraId="5AF07019" w14:textId="77777777" w:rsidR="00A2584B" w:rsidRDefault="00A2584B" w:rsidP="00A2584B">
      <w:pPr>
        <w:spacing w:line="360" w:lineRule="auto"/>
        <w:rPr>
          <w:rFonts w:ascii="Arial" w:hAnsi="Arial" w:cs="Arial"/>
        </w:rPr>
      </w:pPr>
    </w:p>
    <w:p w14:paraId="62617ED5" w14:textId="77777777" w:rsidR="00A2584B" w:rsidRDefault="00A2584B" w:rsidP="00A2584B">
      <w:pPr>
        <w:spacing w:line="360" w:lineRule="auto"/>
        <w:rPr>
          <w:rFonts w:ascii="Arial" w:hAnsi="Arial" w:cs="Arial"/>
        </w:rPr>
      </w:pPr>
    </w:p>
    <w:p w14:paraId="5D7B8EBC" w14:textId="77777777" w:rsidR="00A2584B" w:rsidRDefault="00A2584B" w:rsidP="00A2584B">
      <w:pPr>
        <w:spacing w:line="360" w:lineRule="auto"/>
        <w:rPr>
          <w:rFonts w:ascii="Arial" w:hAnsi="Arial" w:cs="Arial"/>
        </w:rPr>
      </w:pPr>
    </w:p>
    <w:p w14:paraId="20CF6FB7" w14:textId="77777777" w:rsidR="00A2584B" w:rsidRDefault="00A2584B" w:rsidP="00A2584B">
      <w:pPr>
        <w:spacing w:line="360" w:lineRule="auto"/>
        <w:rPr>
          <w:rFonts w:ascii="Arial" w:hAnsi="Arial" w:cs="Arial"/>
        </w:rPr>
      </w:pPr>
    </w:p>
    <w:p w14:paraId="28D65428" w14:textId="77777777" w:rsidR="00A2584B" w:rsidRDefault="00A2584B" w:rsidP="00A2584B">
      <w:pPr>
        <w:spacing w:line="360" w:lineRule="auto"/>
        <w:rPr>
          <w:rFonts w:ascii="Arial" w:hAnsi="Arial" w:cs="Arial"/>
        </w:rPr>
      </w:pPr>
    </w:p>
    <w:p w14:paraId="3338D23D" w14:textId="77777777" w:rsidR="00A2584B" w:rsidRDefault="00A2584B" w:rsidP="00A2584B">
      <w:pPr>
        <w:spacing w:line="360" w:lineRule="auto"/>
        <w:rPr>
          <w:rFonts w:ascii="Arial" w:hAnsi="Arial" w:cs="Arial"/>
        </w:rPr>
      </w:pPr>
    </w:p>
    <w:p w14:paraId="32743AE2" w14:textId="41674E6F" w:rsidR="00162D08" w:rsidRPr="00A2584B" w:rsidRDefault="00162D08" w:rsidP="00A2584B">
      <w:pPr>
        <w:spacing w:line="360" w:lineRule="auto"/>
        <w:jc w:val="both"/>
        <w:rPr>
          <w:rFonts w:ascii="Arial" w:hAnsi="Arial" w:cs="Arial"/>
          <w:sz w:val="22"/>
        </w:rPr>
      </w:pPr>
      <w:r w:rsidRPr="00A2584B">
        <w:rPr>
          <w:rFonts w:ascii="Arial" w:eastAsia="Arial" w:hAnsi="Arial" w:cs="Arial"/>
          <w:b/>
          <w:bCs/>
          <w:sz w:val="22"/>
        </w:rPr>
        <w:lastRenderedPageBreak/>
        <w:t>Introduction </w:t>
      </w:r>
    </w:p>
    <w:p w14:paraId="6D5D90A8" w14:textId="77777777" w:rsidR="00093D42" w:rsidRPr="00A2584B" w:rsidRDefault="00093D42" w:rsidP="00A2584B">
      <w:pPr>
        <w:spacing w:after="0" w:line="360" w:lineRule="auto"/>
        <w:jc w:val="both"/>
        <w:rPr>
          <w:rFonts w:ascii="Arial" w:eastAsia="Arial" w:hAnsi="Arial" w:cs="Arial"/>
          <w:sz w:val="22"/>
        </w:rPr>
      </w:pPr>
      <w:r w:rsidRPr="00A2584B">
        <w:rPr>
          <w:rFonts w:ascii="Arial" w:eastAsia="Arial" w:hAnsi="Arial" w:cs="Arial"/>
          <w:sz w:val="22"/>
        </w:rPr>
        <w:t>The UK's health and social care system is founded on key values to guarantee the provision of respectful, effective, and legal services to all individuals. Person-centred care, partnership working, and ethics form key foundations for ensuring success is achieved for individuals receiving health and social care services. This is supported by legislation such as the Care Act 2014 and the Mental Capacity Act 2005.</w:t>
      </w:r>
    </w:p>
    <w:p w14:paraId="398360D6" w14:textId="77777777" w:rsidR="00093D42" w:rsidRPr="00A2584B" w:rsidRDefault="00093D42" w:rsidP="00A2584B">
      <w:pPr>
        <w:spacing w:after="0" w:line="360" w:lineRule="auto"/>
        <w:jc w:val="both"/>
        <w:rPr>
          <w:rFonts w:ascii="Arial" w:eastAsia="Arial" w:hAnsi="Arial" w:cs="Arial"/>
          <w:sz w:val="22"/>
        </w:rPr>
      </w:pPr>
      <w:r w:rsidRPr="00A2584B">
        <w:rPr>
          <w:rFonts w:ascii="Arial" w:eastAsia="Arial" w:hAnsi="Arial" w:cs="Arial"/>
          <w:sz w:val="22"/>
        </w:rPr>
        <w:t>Incorporating these values is crucial for professionals within health and social care if they are to deliver care that is holistic, safe, and supportive. These values lie at the foundation of care quality and shape professionals' ethical practice and collaboration at work. As one of the professionals in the field, my goal is to incorporate these values in my practice to put service users at the forefront of care planning, to facilitate collaboration between professionals, and to conduct my practice according to the law and ethics.</w:t>
      </w:r>
    </w:p>
    <w:p w14:paraId="0026C97D" w14:textId="77777777" w:rsidR="00093D42" w:rsidRPr="00A2584B" w:rsidRDefault="00093D42" w:rsidP="00A2584B">
      <w:pPr>
        <w:spacing w:after="0" w:line="360" w:lineRule="auto"/>
        <w:jc w:val="both"/>
        <w:rPr>
          <w:rFonts w:ascii="Arial" w:eastAsia="Arial" w:hAnsi="Arial" w:cs="Arial"/>
          <w:sz w:val="22"/>
        </w:rPr>
      </w:pPr>
      <w:r w:rsidRPr="00A2584B">
        <w:rPr>
          <w:rFonts w:ascii="Arial" w:eastAsia="Arial" w:hAnsi="Arial" w:cs="Arial"/>
          <w:sz w:val="22"/>
        </w:rPr>
        <w:t>This report will critically assess each principle, illustrating its value through UK legislation, policy, and academic literature, weaving a narrative that connects theory to practice. Examples will also be provided to demonstrate how these principles are put into practice, and reflection will consider how they will shape my development within my profession.</w:t>
      </w:r>
    </w:p>
    <w:p w14:paraId="6E3BE920" w14:textId="77777777" w:rsidR="00162D08" w:rsidRPr="00A2584B" w:rsidRDefault="00162D08" w:rsidP="00A2584B">
      <w:pPr>
        <w:spacing w:after="0" w:line="360" w:lineRule="auto"/>
        <w:jc w:val="both"/>
        <w:rPr>
          <w:rFonts w:ascii="Arial" w:eastAsia="Arial" w:hAnsi="Arial" w:cs="Arial"/>
          <w:sz w:val="22"/>
        </w:rPr>
      </w:pPr>
    </w:p>
    <w:p w14:paraId="01B99397" w14:textId="475FBDE1" w:rsidR="00162D08" w:rsidRPr="00A2584B" w:rsidRDefault="00162D08" w:rsidP="00A2584B">
      <w:pPr>
        <w:spacing w:after="0" w:line="360" w:lineRule="auto"/>
        <w:jc w:val="both"/>
        <w:rPr>
          <w:rFonts w:ascii="Arial" w:eastAsia="Arial" w:hAnsi="Arial" w:cs="Arial"/>
          <w:b/>
          <w:bCs/>
          <w:sz w:val="22"/>
        </w:rPr>
      </w:pPr>
      <w:r w:rsidRPr="00A2584B">
        <w:rPr>
          <w:rFonts w:ascii="Arial" w:eastAsia="Arial" w:hAnsi="Arial" w:cs="Arial"/>
          <w:b/>
          <w:bCs/>
          <w:sz w:val="22"/>
        </w:rPr>
        <w:t xml:space="preserve">Task 1: Reflective Report on Principles of Health and Social Care in the </w:t>
      </w:r>
    </w:p>
    <w:p w14:paraId="4B619CE0" w14:textId="77777777" w:rsidR="00B066C1" w:rsidRPr="00A2584B" w:rsidRDefault="00B066C1" w:rsidP="00A2584B">
      <w:pPr>
        <w:spacing w:after="0" w:line="360" w:lineRule="auto"/>
        <w:jc w:val="both"/>
        <w:rPr>
          <w:rFonts w:ascii="Arial" w:eastAsia="Arial" w:hAnsi="Arial" w:cs="Arial"/>
          <w:b/>
          <w:bCs/>
          <w:sz w:val="22"/>
        </w:rPr>
      </w:pPr>
      <w:r w:rsidRPr="00A2584B">
        <w:rPr>
          <w:rFonts w:ascii="Arial" w:eastAsia="Arial" w:hAnsi="Arial" w:cs="Arial"/>
          <w:b/>
          <w:bCs/>
          <w:sz w:val="22"/>
        </w:rPr>
        <w:t>Person-Centred Care (PCC)</w:t>
      </w:r>
    </w:p>
    <w:p w14:paraId="7ACC2645"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Person-centred care is one of the core values of UK health and social care settings, as it is vital to recognise and respect individuals' preferences, needs, and values to promote independence and dignity (NHS England, 2019). This principle is actively promoted by The Care Act 2014, which promotes person-centred care and asserts individuals' rights to live their lives to their full potential according to their values and wishes.</w:t>
      </w:r>
    </w:p>
    <w:p w14:paraId="04E530A9"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The importance of PCC is mandated by law and directly affects health and well-being outcomes. Based on empirical evidence, empirical evidence shows that it increases satisfaction and empowerment and improves engagement with care (Slade et al., 2019). For instance, controlling someone’s daily life activities according to his or her preferences helps to promote feelings of control and identity, which is crucial for maintaining good emotional or mental wellbeing.</w:t>
      </w:r>
    </w:p>
    <w:p w14:paraId="67888627"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The theoretical foundations of PCC are enriched by Tom Kitwood's conceptual ideas on personhood, which emphasise viewing individuals as whole beings beyond their symptoms (2015). Personhood emphasises considering individuals as whole individuals rather than just being confined to their symptoms or particular portions of their lives. Kitwood's ideas emphasised respecting individuals' social, emotional, and psychological requirements for ensuring effective care.</w:t>
      </w:r>
    </w:p>
    <w:p w14:paraId="7B8F804C" w14:textId="77777777" w:rsidR="00B066C1" w:rsidRPr="00A2584B" w:rsidRDefault="00B066C1" w:rsidP="00A2584B">
      <w:pPr>
        <w:spacing w:after="0" w:line="360" w:lineRule="auto"/>
        <w:jc w:val="both"/>
        <w:rPr>
          <w:rFonts w:ascii="Arial" w:eastAsia="Arial" w:hAnsi="Arial" w:cs="Arial"/>
          <w:sz w:val="22"/>
        </w:rPr>
      </w:pPr>
    </w:p>
    <w:p w14:paraId="4B39E6A9"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Practically speaking, PCC requires active listening, participation in decision-making, and person-centred interventions. It adheres to the ethics of autonomy and respect for others' autonomy, which is guaranteed by virtue of the UK law's Human Rights Act 1998.</w:t>
      </w:r>
    </w:p>
    <w:p w14:paraId="0752AF66" w14:textId="77777777" w:rsidR="00B066C1" w:rsidRPr="00A2584B" w:rsidRDefault="00B066C1" w:rsidP="00A2584B">
      <w:pPr>
        <w:spacing w:after="0" w:line="360" w:lineRule="auto"/>
        <w:jc w:val="both"/>
        <w:rPr>
          <w:rFonts w:ascii="Arial" w:eastAsia="Arial" w:hAnsi="Arial" w:cs="Arial"/>
          <w:b/>
          <w:bCs/>
          <w:sz w:val="22"/>
        </w:rPr>
      </w:pPr>
      <w:r w:rsidRPr="00A2584B">
        <w:rPr>
          <w:rFonts w:ascii="Arial" w:eastAsia="Arial" w:hAnsi="Arial" w:cs="Arial"/>
          <w:b/>
          <w:bCs/>
          <w:sz w:val="22"/>
        </w:rPr>
        <w:t>Partnership Working</w:t>
      </w:r>
    </w:p>
    <w:p w14:paraId="0A1F92E8"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Partnership working is a key component of contemporary health and social care provision within the UK, highlighting interprofessional teamworking between multidisciplinary teams (MDTs), service users, families, and communities to create integrated care (NHS England, 2019). This is significant given the growing complexity of health care needs for vulnerable groups, such as older patients or those with poor mental or physical health.</w:t>
      </w:r>
    </w:p>
    <w:p w14:paraId="78538041"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Partnership working improves communication, prevents service fragmentation, and helps to facilitate shared decision-making. It is also informed by theories such as interprofessional collaboration, which indicate the importance of respect for others, role clarity, and shared values (Reeves et al., 2017). This is because activities like case conferences among nurses, social workers, occupational therapists, and families help to deliver care that is centred on individuals.</w:t>
      </w:r>
    </w:p>
    <w:p w14:paraId="366C43BC"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The NHS Long Term Plan (2019) regards integrated working as one of the key enablers for better outcomes for health, such as preventing hospitalisations and benefiting from early intervention approaches. Partnership working is also highly significant within safeguarding areas because combined agency collaboration plays a crucial role in protecting vulnerable individuals and children against abuse and neglect.</w:t>
      </w:r>
    </w:p>
    <w:p w14:paraId="726F6287" w14:textId="77777777" w:rsidR="00B066C1" w:rsidRPr="00A2584B" w:rsidRDefault="00B066C1" w:rsidP="00A2584B">
      <w:pPr>
        <w:spacing w:after="0" w:line="360" w:lineRule="auto"/>
        <w:jc w:val="both"/>
        <w:rPr>
          <w:rFonts w:ascii="Arial" w:eastAsia="Arial" w:hAnsi="Arial" w:cs="Arial"/>
          <w:b/>
          <w:bCs/>
          <w:sz w:val="22"/>
        </w:rPr>
      </w:pPr>
      <w:r w:rsidRPr="00A2584B">
        <w:rPr>
          <w:rFonts w:ascii="Arial" w:eastAsia="Arial" w:hAnsi="Arial" w:cs="Arial"/>
          <w:b/>
          <w:bCs/>
          <w:sz w:val="22"/>
        </w:rPr>
        <w:t>Ethics in Health and Social Care</w:t>
      </w:r>
    </w:p>
    <w:p w14:paraId="16F24CA2" w14:textId="66D58B1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UK health and social care practices are anchored by ethics to create a moral base for professionals to operate within. The key principles of ethics include autonomy, beneficence, non-maleficence, and justice (Beauchamp and Childress, 2019).</w:t>
      </w:r>
    </w:p>
    <w:p w14:paraId="1361D3A0" w14:textId="1338DE1F"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The Mental Capacity Act 2005 gives these principles meaning by outlining processes for evaluating capacity and making decisions for individuals in their best interest where they lack capacity (DHSC, 2019). Respecting autonomy, for instance, involves obtaining informed consent or involving individuals in making decisions surrounding care, even for individuals whose cognitive functions are compromised.</w:t>
      </w:r>
    </w:p>
    <w:p w14:paraId="2B005414"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Safeguarding processes have roots in values such as beneficence and justice to protect vulnerable individuals against harm while valuing their dignity at the same time. According to the NMC Code (2018), acting with integrity, maintaining confidentiality, and promoting the rights of service users are crucial for professionals.</w:t>
      </w:r>
    </w:p>
    <w:p w14:paraId="46A64A86"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Many ethical situations arise from attempting to balance multiple principles at once. For example, respecting someone's need to have independence may present a conflicting principle for ensuring safety.</w:t>
      </w:r>
    </w:p>
    <w:p w14:paraId="7485C68D" w14:textId="77777777" w:rsidR="00B066C1" w:rsidRPr="00A2584B" w:rsidRDefault="00B066C1" w:rsidP="00A2584B">
      <w:pPr>
        <w:spacing w:after="0" w:line="360" w:lineRule="auto"/>
        <w:jc w:val="both"/>
        <w:rPr>
          <w:rFonts w:ascii="Arial" w:eastAsia="Arial" w:hAnsi="Arial" w:cs="Arial"/>
          <w:b/>
          <w:bCs/>
          <w:sz w:val="22"/>
        </w:rPr>
      </w:pPr>
      <w:r w:rsidRPr="00A2584B">
        <w:rPr>
          <w:rFonts w:ascii="Arial" w:eastAsia="Arial" w:hAnsi="Arial" w:cs="Arial"/>
          <w:b/>
          <w:bCs/>
          <w:sz w:val="22"/>
        </w:rPr>
        <w:lastRenderedPageBreak/>
        <w:t>Interconnection of Principles and Their Significance</w:t>
      </w:r>
    </w:p>
    <w:p w14:paraId="4B1F0130" w14:textId="77777777" w:rsidR="00B066C1" w:rsidRPr="00A2584B" w:rsidRDefault="00B066C1" w:rsidP="00A2584B">
      <w:pPr>
        <w:spacing w:after="0" w:line="360" w:lineRule="auto"/>
        <w:jc w:val="both"/>
        <w:rPr>
          <w:rFonts w:ascii="Arial" w:eastAsia="Arial" w:hAnsi="Arial" w:cs="Arial"/>
          <w:sz w:val="22"/>
        </w:rPr>
      </w:pPr>
      <w:r w:rsidRPr="00A2584B">
        <w:rPr>
          <w:rFonts w:ascii="Arial" w:eastAsia="Arial" w:hAnsi="Arial" w:cs="Arial"/>
          <w:sz w:val="22"/>
        </w:rPr>
        <w:t>These values are highly interrelated. Person-centred care is dependent on partnership working and respect for values and ethics. For instance, respecting autonomy involves partnership working to support families or individuals acting on their own behalf, while person-centred care also emphasises respecting autonomy and preferences.</w:t>
      </w:r>
    </w:p>
    <w:p w14:paraId="3B6AE5D4" w14:textId="77777777" w:rsidR="00162D08" w:rsidRPr="00A2584B" w:rsidRDefault="00162D08" w:rsidP="00A2584B">
      <w:pPr>
        <w:spacing w:after="0" w:line="360" w:lineRule="auto"/>
        <w:jc w:val="both"/>
        <w:rPr>
          <w:rFonts w:ascii="Arial" w:eastAsia="Arial" w:hAnsi="Arial" w:cs="Arial"/>
          <w:sz w:val="22"/>
        </w:rPr>
      </w:pPr>
    </w:p>
    <w:p w14:paraId="22FA8A7B" w14:textId="2F3B4A9B" w:rsidR="00BE0544" w:rsidRPr="00A2584B" w:rsidRDefault="00A11336" w:rsidP="00A2584B">
      <w:pPr>
        <w:spacing w:after="0" w:line="360" w:lineRule="auto"/>
        <w:jc w:val="both"/>
        <w:rPr>
          <w:rFonts w:ascii="Arial" w:eastAsia="Arial" w:hAnsi="Arial" w:cs="Arial"/>
          <w:b/>
          <w:bCs/>
          <w:sz w:val="22"/>
        </w:rPr>
      </w:pPr>
      <w:r w:rsidRPr="00A2584B">
        <w:rPr>
          <w:rFonts w:ascii="Arial" w:eastAsia="Arial" w:hAnsi="Arial" w:cs="Arial"/>
          <w:b/>
          <w:bCs/>
          <w:sz w:val="22"/>
        </w:rPr>
        <w:t xml:space="preserve">Task 2: </w:t>
      </w:r>
    </w:p>
    <w:p w14:paraId="1B4289E7" w14:textId="6C55646D" w:rsidR="00A11336" w:rsidRPr="00A2584B" w:rsidRDefault="00BE0544" w:rsidP="00A2584B">
      <w:pPr>
        <w:pStyle w:val="ListParagraph"/>
        <w:numPr>
          <w:ilvl w:val="0"/>
          <w:numId w:val="5"/>
        </w:numPr>
        <w:spacing w:after="0" w:line="360" w:lineRule="auto"/>
        <w:jc w:val="both"/>
        <w:rPr>
          <w:rFonts w:ascii="Arial" w:eastAsia="Arial" w:hAnsi="Arial" w:cs="Arial"/>
          <w:b/>
          <w:bCs/>
          <w:sz w:val="22"/>
        </w:rPr>
      </w:pPr>
      <w:r w:rsidRPr="00A2584B">
        <w:rPr>
          <w:rFonts w:ascii="Arial" w:eastAsia="Arial" w:hAnsi="Arial" w:cs="Arial"/>
          <w:b/>
          <w:bCs/>
          <w:sz w:val="22"/>
        </w:rPr>
        <w:t>Case Study: Supporting a Person with Dementia in a Community Setting</w:t>
      </w:r>
    </w:p>
    <w:p w14:paraId="774C2162" w14:textId="77777777" w:rsidR="009F67C6" w:rsidRPr="00A2584B" w:rsidRDefault="009F67C6"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While on my placement recently, I was able to observe multidisciplinary team (MDT) care being provided to a woman with advanced dementia at her care home. The team practised person-centred care by accommodating activities to her preferences, such as playing her preferred music, helping her pick her daily activities, or accommodating her likes and dislikes. This reflects the NICE guidelines for the care of patients with dementia, which highlight person-centred care to improve their quality of life (NICE, 2018).</w:t>
      </w:r>
    </w:p>
    <w:p w14:paraId="3EA999D9" w14:textId="77777777" w:rsidR="009F67C6" w:rsidRPr="00A2584B" w:rsidRDefault="009F67C6"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The team demonstrated partnership through frequent meetings between care professionals, mental health professionals, family members, and social workers. Professionals came together to create and assess her care plan, incorporating her needs, preferences, and safety measures. Family members provided crucial information about her past, triggers, and habits to adopt a whole-person approach.</w:t>
      </w:r>
    </w:p>
    <w:p w14:paraId="0B7FED61" w14:textId="77777777" w:rsidR="009F67C6" w:rsidRPr="00A2584B" w:rsidRDefault="009F67C6" w:rsidP="00A2584B">
      <w:pPr>
        <w:spacing w:after="0" w:line="360" w:lineRule="auto"/>
        <w:ind w:left="360"/>
        <w:jc w:val="both"/>
        <w:rPr>
          <w:rFonts w:ascii="Arial" w:eastAsia="Times New Roman" w:hAnsi="Arial" w:cs="Arial"/>
          <w:sz w:val="22"/>
          <w:lang w:eastAsia="en-GB"/>
        </w:rPr>
      </w:pPr>
    </w:p>
    <w:p w14:paraId="45C26A05" w14:textId="77777777" w:rsidR="009F67C6" w:rsidRPr="00A2584B" w:rsidRDefault="009F67C6"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This is because she upheld her autonomy by participating in making decisions regarding her daily activities The team also performed a capacities assessment as required by the Mental Capacity Act 2005 to ensure she participated in making decisions she was capable of making while also acting in her best interest if she lacked capacity (DHSC, 2019). Measures to safeguard her were implemented to avoid any harm to her and thus comply with the ethics of beneficence and non-maleficence.</w:t>
      </w:r>
    </w:p>
    <w:p w14:paraId="57C50CED" w14:textId="77777777" w:rsidR="009F67C6" w:rsidRPr="00A2584B" w:rsidRDefault="009F67C6" w:rsidP="00A2584B">
      <w:pPr>
        <w:spacing w:after="0" w:line="360" w:lineRule="auto"/>
        <w:jc w:val="both"/>
        <w:rPr>
          <w:rFonts w:ascii="Arial" w:eastAsia="Times New Roman" w:hAnsi="Arial" w:cs="Arial"/>
          <w:b/>
          <w:bCs/>
          <w:sz w:val="22"/>
          <w:lang w:eastAsia="en-GB"/>
        </w:rPr>
      </w:pPr>
      <w:r w:rsidRPr="00A2584B">
        <w:rPr>
          <w:rFonts w:ascii="Arial" w:eastAsia="Times New Roman" w:hAnsi="Arial" w:cs="Arial"/>
          <w:b/>
          <w:bCs/>
          <w:color w:val="000000"/>
          <w:sz w:val="22"/>
          <w:lang w:eastAsia="en-GB"/>
        </w:rPr>
        <w:t>Impact of Policies and Guidelines</w:t>
      </w:r>
    </w:p>
    <w:p w14:paraId="3D8DC720" w14:textId="77777777" w:rsidR="009F67C6" w:rsidRPr="00A2584B" w:rsidRDefault="009F67C6"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This example illustrates how laws like the Care Act 2014 promote person-centred and ethical care by emphasising respect for individuals' rights, protection, and agency (DHSC, 2014). The Mental Capacity Act 2005 provides a framework for ensuring good practice by ensuring decisions for individuals who lack capacity are made in their best interest (Mental Capacity Act 2005).</w:t>
      </w:r>
    </w:p>
    <w:p w14:paraId="031CE71A" w14:textId="77777777" w:rsidR="009F67C6" w:rsidRPr="00A2584B" w:rsidRDefault="009F67C6" w:rsidP="00A2584B">
      <w:pPr>
        <w:spacing w:after="0" w:line="360" w:lineRule="auto"/>
        <w:ind w:left="360"/>
        <w:jc w:val="both"/>
        <w:rPr>
          <w:rFonts w:ascii="Arial" w:eastAsia="Times New Roman" w:hAnsi="Arial" w:cs="Arial"/>
          <w:sz w:val="22"/>
          <w:lang w:eastAsia="en-GB"/>
        </w:rPr>
      </w:pPr>
    </w:p>
    <w:p w14:paraId="06DA8712" w14:textId="77777777" w:rsidR="009F67C6" w:rsidRPr="00A2584B" w:rsidRDefault="009F67C6"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The NICE guidelines encourage evidence-based practice to support appropriate intervention for all individuals. This is vital for ensuring a culture of respect, safety, and dignity among patients, which is crucial for achieving good health outcomes.</w:t>
      </w:r>
    </w:p>
    <w:p w14:paraId="2B6CD393" w14:textId="77777777" w:rsidR="009F67C6" w:rsidRPr="00A2584B" w:rsidRDefault="009F67C6"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Challenges and Opportunities for Improvement</w:t>
      </w:r>
    </w:p>
    <w:p w14:paraId="08FD740B" w14:textId="77777777" w:rsidR="009F67C6" w:rsidRPr="00A2584B" w:rsidRDefault="009F67C6"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lastRenderedPageBreak/>
        <w:t>Despite successful implementation, challenges encountered include limitations and shortages of resources, workforce shortages, and communication challenges. Many of these challenges can be overcome through continuous staff development and training on ethics dilemmas, cross-cultural competencies, and communication skills.</w:t>
      </w:r>
    </w:p>
    <w:p w14:paraId="7E597B12" w14:textId="77777777" w:rsidR="009F67C6" w:rsidRPr="00A2584B" w:rsidRDefault="009F67C6"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Technological aids such as electronic care records can facilitate communication and coordination between multi-disciplinary teams, particularly for complex patients. Additionally, promoting awareness about cultural diversity and culturally informed training can also improve person-centred care approaches.</w:t>
      </w:r>
    </w:p>
    <w:p w14:paraId="7032AE1F" w14:textId="77777777" w:rsidR="00BE0544" w:rsidRPr="00A2584B" w:rsidRDefault="00BE0544" w:rsidP="00A2584B">
      <w:pPr>
        <w:spacing w:after="0" w:line="360" w:lineRule="auto"/>
        <w:jc w:val="both"/>
        <w:rPr>
          <w:rFonts w:ascii="Arial" w:eastAsia="Arial" w:hAnsi="Arial" w:cs="Arial"/>
          <w:sz w:val="22"/>
        </w:rPr>
      </w:pPr>
    </w:p>
    <w:p w14:paraId="3DDDCA6F" w14:textId="19D11A67" w:rsidR="00A11336" w:rsidRPr="00A2584B" w:rsidRDefault="00A11336" w:rsidP="00A2584B">
      <w:pPr>
        <w:spacing w:after="0" w:line="360" w:lineRule="auto"/>
        <w:jc w:val="both"/>
        <w:rPr>
          <w:rFonts w:ascii="Arial" w:eastAsia="Arial" w:hAnsi="Arial" w:cs="Arial"/>
          <w:b/>
          <w:bCs/>
          <w:sz w:val="22"/>
        </w:rPr>
      </w:pPr>
      <w:r w:rsidRPr="00A2584B">
        <w:rPr>
          <w:rFonts w:ascii="Arial" w:eastAsia="Arial" w:hAnsi="Arial" w:cs="Arial"/>
          <w:b/>
          <w:bCs/>
          <w:sz w:val="22"/>
        </w:rPr>
        <w:t xml:space="preserve">Task 3: </w:t>
      </w:r>
    </w:p>
    <w:p w14:paraId="130DD2B2" w14:textId="77777777" w:rsidR="00BE0544" w:rsidRPr="00A2584B" w:rsidRDefault="00BE0544" w:rsidP="00A2584B">
      <w:pPr>
        <w:pStyle w:val="ListParagraph"/>
        <w:numPr>
          <w:ilvl w:val="0"/>
          <w:numId w:val="6"/>
        </w:numPr>
        <w:spacing w:line="360" w:lineRule="auto"/>
        <w:jc w:val="both"/>
        <w:rPr>
          <w:rFonts w:ascii="Arial" w:eastAsia="Arial" w:hAnsi="Arial" w:cs="Arial"/>
          <w:b/>
          <w:bCs/>
          <w:sz w:val="22"/>
        </w:rPr>
      </w:pPr>
      <w:r w:rsidRPr="00A2584B">
        <w:rPr>
          <w:rFonts w:ascii="Arial" w:eastAsia="Arial" w:hAnsi="Arial" w:cs="Arial"/>
          <w:b/>
          <w:bCs/>
          <w:sz w:val="22"/>
        </w:rPr>
        <w:t>Using the Case Study as a Foundation for Reflection</w:t>
      </w:r>
    </w:p>
    <w:p w14:paraId="4A5487D7"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When considering the case provided for dementia care, I have come to realise just how much key principles impact my own beliefs and values surrounding my approach to practice. The key concepts of person-centred care, partnership working, and ethics highlight just how significant it is to work responsibly and lawfully.</w:t>
      </w:r>
    </w:p>
    <w:p w14:paraId="27EC30A7"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Application of Principles in Future Practice</w:t>
      </w:r>
    </w:p>
    <w:p w14:paraId="2B133F93"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In my own future work, I aim to integrate all these principles by:</w:t>
      </w:r>
    </w:p>
    <w:p w14:paraId="1C7ABA21"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b/>
          <w:bCs/>
          <w:color w:val="000000"/>
          <w:sz w:val="22"/>
          <w:lang w:eastAsia="en-GB"/>
        </w:rPr>
        <w:t>Person-Centred Care:</w:t>
      </w:r>
      <w:r w:rsidRPr="00A2584B">
        <w:rPr>
          <w:rFonts w:ascii="Arial" w:eastAsia="Times New Roman" w:hAnsi="Arial" w:cs="Arial"/>
          <w:color w:val="000000"/>
          <w:sz w:val="22"/>
          <w:lang w:eastAsia="en-GB"/>
        </w:rPr>
        <w:t xml:space="preserve"> Engaging service users actively in making decisions, respecting their preferences, and acting accordingly. This involves listening actively to them and observing their non-verbal communication.</w:t>
      </w:r>
    </w:p>
    <w:p w14:paraId="2B4341A8"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b/>
          <w:bCs/>
          <w:color w:val="000000"/>
          <w:sz w:val="22"/>
          <w:lang w:eastAsia="en-GB"/>
        </w:rPr>
        <w:t>Partnership Working:</w:t>
      </w:r>
      <w:r w:rsidRPr="00A2584B">
        <w:rPr>
          <w:rFonts w:ascii="Arial" w:eastAsia="Times New Roman" w:hAnsi="Arial" w:cs="Arial"/>
          <w:color w:val="000000"/>
          <w:sz w:val="22"/>
          <w:lang w:eastAsia="en-GB"/>
        </w:rPr>
        <w:t xml:space="preserve"> Partnership working involves effective collaboration between inter-professional teams and others. This facilitates good communication and teamwork among professionals and others to deliver seamless care to patients or clients.</w:t>
      </w:r>
    </w:p>
    <w:p w14:paraId="4E3A9050"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b/>
          <w:bCs/>
          <w:color w:val="000000"/>
          <w:sz w:val="22"/>
          <w:lang w:eastAsia="en-GB"/>
        </w:rPr>
        <w:t>Ethical Practice:</w:t>
      </w:r>
      <w:r w:rsidRPr="00A2584B">
        <w:rPr>
          <w:rFonts w:ascii="Arial" w:eastAsia="Times New Roman" w:hAnsi="Arial" w:cs="Arial"/>
          <w:color w:val="000000"/>
          <w:sz w:val="22"/>
          <w:lang w:eastAsia="en-GB"/>
        </w:rPr>
        <w:t xml:space="preserve"> Complying with laws like the Mental Capacity Act 2005, NMC Code 2018, and processes for safeguarding. Conducting oneself with integrity and confidentiality while maintaining dignity at all stages.</w:t>
      </w:r>
    </w:p>
    <w:p w14:paraId="37BF3570" w14:textId="77777777" w:rsidR="00390C74" w:rsidRPr="00A2584B" w:rsidRDefault="00390C74" w:rsidP="00A2584B">
      <w:pPr>
        <w:pStyle w:val="ListParagraph"/>
        <w:numPr>
          <w:ilvl w:val="0"/>
          <w:numId w:val="6"/>
        </w:numPr>
        <w:spacing w:after="0" w:line="360" w:lineRule="auto"/>
        <w:jc w:val="both"/>
        <w:rPr>
          <w:rFonts w:ascii="Arial" w:eastAsia="Times New Roman" w:hAnsi="Arial" w:cs="Arial"/>
          <w:b/>
          <w:bCs/>
          <w:sz w:val="22"/>
          <w:lang w:eastAsia="en-GB"/>
        </w:rPr>
      </w:pPr>
      <w:r w:rsidRPr="00A2584B">
        <w:rPr>
          <w:rFonts w:ascii="Arial" w:eastAsia="Times New Roman" w:hAnsi="Arial" w:cs="Arial"/>
          <w:b/>
          <w:bCs/>
          <w:color w:val="000000"/>
          <w:sz w:val="22"/>
          <w:lang w:eastAsia="en-GB"/>
        </w:rPr>
        <w:t>Personal Strengths and Areas for Development</w:t>
      </w:r>
    </w:p>
    <w:p w14:paraId="3D71E480" w14:textId="77777777" w:rsidR="00390C74" w:rsidRPr="00A2584B" w:rsidRDefault="00390C74" w:rsidP="00A2584B">
      <w:pPr>
        <w:spacing w:after="0" w:line="360" w:lineRule="auto"/>
        <w:jc w:val="both"/>
        <w:rPr>
          <w:rFonts w:ascii="Arial" w:eastAsia="Times New Roman" w:hAnsi="Arial" w:cs="Arial"/>
          <w:b/>
          <w:bCs/>
          <w:sz w:val="22"/>
          <w:lang w:eastAsia="en-GB"/>
        </w:rPr>
      </w:pPr>
      <w:r w:rsidRPr="00A2584B">
        <w:rPr>
          <w:rFonts w:ascii="Arial" w:eastAsia="Times New Roman" w:hAnsi="Arial" w:cs="Arial"/>
          <w:b/>
          <w:bCs/>
          <w:color w:val="000000"/>
          <w:sz w:val="22"/>
          <w:lang w:eastAsia="en-GB"/>
        </w:rPr>
        <w:t>Strengths:</w:t>
      </w:r>
    </w:p>
    <w:p w14:paraId="5557E208" w14:textId="5AB0B1D5" w:rsidR="00390C74" w:rsidRPr="00A2584B" w:rsidRDefault="00390C74" w:rsidP="00A2584B">
      <w:pPr>
        <w:spacing w:after="0" w:line="360" w:lineRule="auto"/>
        <w:ind w:left="360"/>
        <w:jc w:val="both"/>
        <w:rPr>
          <w:rFonts w:ascii="Arial" w:eastAsia="Times New Roman" w:hAnsi="Arial" w:cs="Arial"/>
          <w:sz w:val="22"/>
          <w:lang w:eastAsia="en-GB"/>
        </w:rPr>
      </w:pPr>
    </w:p>
    <w:p w14:paraId="27873D73"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Highly developed empathy and active listening skills create trust and rapport.</w:t>
      </w:r>
    </w:p>
    <w:p w14:paraId="0A4D37E0"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A team player, ready to learn and work together.</w:t>
      </w:r>
    </w:p>
    <w:p w14:paraId="4F6550B6"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Commitment to continuous professional development and ethical practice.</w:t>
      </w:r>
    </w:p>
    <w:p w14:paraId="7CD622C4" w14:textId="77777777" w:rsidR="00390C74" w:rsidRPr="00A2584B" w:rsidRDefault="00390C74" w:rsidP="00A2584B">
      <w:pPr>
        <w:spacing w:after="0" w:line="360" w:lineRule="auto"/>
        <w:jc w:val="both"/>
        <w:rPr>
          <w:rFonts w:ascii="Arial" w:eastAsia="Times New Roman" w:hAnsi="Arial" w:cs="Arial"/>
          <w:b/>
          <w:bCs/>
          <w:sz w:val="22"/>
          <w:lang w:eastAsia="en-GB"/>
        </w:rPr>
      </w:pPr>
      <w:r w:rsidRPr="00A2584B">
        <w:rPr>
          <w:rFonts w:ascii="Arial" w:eastAsia="Times New Roman" w:hAnsi="Arial" w:cs="Arial"/>
          <w:b/>
          <w:bCs/>
          <w:color w:val="000000"/>
          <w:sz w:val="22"/>
          <w:lang w:eastAsia="en-GB"/>
        </w:rPr>
        <w:t>Areas for Improvement:</w:t>
      </w:r>
    </w:p>
    <w:p w14:paraId="3E00B270"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Enhance understanding of nuanced ethics cases, particularly autonomy vs. safeguarding.</w:t>
      </w:r>
    </w:p>
    <w:p w14:paraId="3BCA48A1"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I must increase my communication effectiveness when interacting with individuals who have cognitive impairments.</w:t>
      </w:r>
    </w:p>
    <w:p w14:paraId="5A512F70" w14:textId="47A321E1"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lastRenderedPageBreak/>
        <w:t>I also need to improve my cultural competence to respond effectively to diverse requirements.</w:t>
      </w:r>
    </w:p>
    <w:p w14:paraId="7795CB8D" w14:textId="77777777" w:rsidR="00390C74" w:rsidRPr="00A2584B" w:rsidRDefault="00390C74" w:rsidP="00A2584B">
      <w:pPr>
        <w:spacing w:after="0" w:line="360" w:lineRule="auto"/>
        <w:ind w:left="360"/>
        <w:jc w:val="both"/>
        <w:rPr>
          <w:rFonts w:ascii="Arial" w:eastAsia="Times New Roman" w:hAnsi="Arial" w:cs="Arial"/>
          <w:sz w:val="22"/>
          <w:lang w:eastAsia="en-GB"/>
        </w:rPr>
      </w:pPr>
    </w:p>
    <w:p w14:paraId="48AEE7B1" w14:textId="77777777" w:rsidR="00390C74" w:rsidRPr="00A2584B" w:rsidRDefault="00390C74" w:rsidP="00A2584B">
      <w:pPr>
        <w:spacing w:after="0" w:line="360" w:lineRule="auto"/>
        <w:jc w:val="both"/>
        <w:rPr>
          <w:rFonts w:ascii="Arial" w:eastAsia="Times New Roman" w:hAnsi="Arial" w:cs="Arial"/>
          <w:b/>
          <w:bCs/>
          <w:sz w:val="22"/>
          <w:lang w:eastAsia="en-GB"/>
        </w:rPr>
      </w:pPr>
      <w:r w:rsidRPr="00A2584B">
        <w:rPr>
          <w:rFonts w:ascii="Arial" w:eastAsia="Times New Roman" w:hAnsi="Arial" w:cs="Arial"/>
          <w:b/>
          <w:bCs/>
          <w:color w:val="000000"/>
          <w:sz w:val="22"/>
          <w:lang w:eastAsia="en-GB"/>
        </w:rPr>
        <w:t>Strategies for Professional Development</w:t>
      </w:r>
    </w:p>
    <w:p w14:paraId="78FB5AB9"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To address these areas, I plan to:</w:t>
      </w:r>
    </w:p>
    <w:p w14:paraId="5DD45AD9" w14:textId="77777777" w:rsidR="00390C74" w:rsidRPr="00A2584B" w:rsidRDefault="00390C74" w:rsidP="00A2584B">
      <w:pPr>
        <w:spacing w:after="0" w:line="360" w:lineRule="auto"/>
        <w:ind w:left="360"/>
        <w:jc w:val="both"/>
        <w:rPr>
          <w:rFonts w:ascii="Arial" w:eastAsia="Times New Roman" w:hAnsi="Arial" w:cs="Arial"/>
          <w:sz w:val="22"/>
          <w:lang w:eastAsia="en-GB"/>
        </w:rPr>
      </w:pPr>
    </w:p>
    <w:p w14:paraId="36AE298C"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Participate in workshops on ethical decision-making, safeguarding processes, and cultural competence. Seek mentorship opportunities to analyse complex situations.</w:t>
      </w:r>
    </w:p>
    <w:p w14:paraId="527CBD38" w14:textId="585784FC"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Engage in reflective practice using Gibbs' (1988) cycle to critically assess my own learning experiences.</w:t>
      </w:r>
    </w:p>
    <w:p w14:paraId="1673F3A0" w14:textId="3095A5FE"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Stay updated on legislative developments, policies, and best practices through continuous professional development activities.</w:t>
      </w:r>
    </w:p>
    <w:p w14:paraId="7955F246"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Theoretical and Policy Frameworks</w:t>
      </w:r>
    </w:p>
    <w:p w14:paraId="713C6DA0" w14:textId="77777777" w:rsidR="00390C74" w:rsidRPr="00A2584B" w:rsidRDefault="00390C74" w:rsidP="00A2584B">
      <w:pPr>
        <w:spacing w:after="0" w:line="360" w:lineRule="auto"/>
        <w:jc w:val="both"/>
        <w:rPr>
          <w:rFonts w:ascii="Arial" w:eastAsia="Times New Roman" w:hAnsi="Arial" w:cs="Arial"/>
          <w:sz w:val="22"/>
          <w:lang w:eastAsia="en-GB"/>
        </w:rPr>
      </w:pPr>
      <w:r w:rsidRPr="00A2584B">
        <w:rPr>
          <w:rFonts w:ascii="Arial" w:eastAsia="Times New Roman" w:hAnsi="Arial" w:cs="Arial"/>
          <w:color w:val="000000"/>
          <w:sz w:val="22"/>
          <w:lang w:eastAsia="en-GB"/>
        </w:rPr>
        <w:t>Using Maslow's Hierarchy of Needs (1943), I understand the importance of prioritising basic needs such as 'safety' and 'belonging' before enabling others to attain their full potential. The Care Act 2014 supports 'dignity,' 'independence,' and 'personalisation,' which are parallel to principles of autonomy and respect for others' rights and rights to self-determination (Department of Health, 2014).</w:t>
      </w:r>
    </w:p>
    <w:p w14:paraId="370D6094" w14:textId="77777777" w:rsidR="006F768D" w:rsidRPr="00A2584B" w:rsidRDefault="006F768D" w:rsidP="00A2584B">
      <w:pPr>
        <w:spacing w:line="360" w:lineRule="auto"/>
        <w:jc w:val="both"/>
        <w:rPr>
          <w:rFonts w:ascii="Arial" w:hAnsi="Arial" w:cs="Arial"/>
          <w:b/>
          <w:bCs/>
          <w:sz w:val="22"/>
        </w:rPr>
      </w:pPr>
    </w:p>
    <w:p w14:paraId="5A4D465C" w14:textId="300A5250" w:rsidR="006524ED" w:rsidRPr="00A2584B" w:rsidRDefault="006D2F2D" w:rsidP="00A2584B">
      <w:pPr>
        <w:spacing w:line="360" w:lineRule="auto"/>
        <w:jc w:val="both"/>
        <w:rPr>
          <w:rFonts w:ascii="Arial" w:hAnsi="Arial" w:cs="Arial"/>
          <w:b/>
          <w:bCs/>
          <w:sz w:val="22"/>
        </w:rPr>
      </w:pPr>
      <w:r w:rsidRPr="00A2584B">
        <w:rPr>
          <w:rFonts w:ascii="Arial" w:hAnsi="Arial" w:cs="Arial"/>
          <w:b/>
          <w:bCs/>
          <w:sz w:val="22"/>
        </w:rPr>
        <w:t>Conclusion</w:t>
      </w:r>
    </w:p>
    <w:p w14:paraId="3CC1C1E8" w14:textId="77777777" w:rsidR="00FA02B6" w:rsidRPr="00A2584B" w:rsidRDefault="00267DCA" w:rsidP="00A2584B">
      <w:pPr>
        <w:spacing w:line="360" w:lineRule="auto"/>
        <w:jc w:val="both"/>
        <w:rPr>
          <w:rFonts w:ascii="Arial" w:hAnsi="Arial" w:cs="Arial"/>
          <w:sz w:val="22"/>
        </w:rPr>
      </w:pPr>
      <w:r w:rsidRPr="00A2584B">
        <w:rPr>
          <w:rFonts w:ascii="Arial" w:hAnsi="Arial" w:cs="Arial"/>
          <w:sz w:val="22"/>
        </w:rPr>
        <w:t>In conclusion, it is vital for health and social care professionals to incorporate the principles of person-centred care, partnership working, and ethics into their practice to treat individuals in a respectful, efficient, and legal manner within the UK framework of health and social care. These principles have been largely entrenched in legislation to address dignity, independence, and safeguarding concerns among social care users (Department of Health, 2014). The interlinking of all these principles fundamentally supports the delivery of care to individuals by addressing all aspects of care while considering the rights of service users. In my own professional development for effective social care practice, interlinking all these principles will continue to inform my practice to deliver care to individuals within high-quality ethics and person-centred care principles (Banks, 2012; Department of Health, 2010).</w:t>
      </w:r>
    </w:p>
    <w:p w14:paraId="48338B2E" w14:textId="77777777" w:rsidR="00FA02B6" w:rsidRDefault="00FA02B6" w:rsidP="00267DCA">
      <w:pPr>
        <w:spacing w:line="360" w:lineRule="auto"/>
        <w:rPr>
          <w:rFonts w:ascii="Arial" w:hAnsi="Arial" w:cs="Arial"/>
          <w:szCs w:val="24"/>
        </w:rPr>
      </w:pPr>
    </w:p>
    <w:p w14:paraId="7370177C" w14:textId="77777777" w:rsidR="00A2584B" w:rsidRDefault="00A2584B" w:rsidP="00267DCA">
      <w:pPr>
        <w:spacing w:line="360" w:lineRule="auto"/>
        <w:rPr>
          <w:rFonts w:ascii="Arial" w:hAnsi="Arial" w:cs="Arial"/>
          <w:szCs w:val="24"/>
        </w:rPr>
      </w:pPr>
    </w:p>
    <w:p w14:paraId="313D8959" w14:textId="77777777" w:rsidR="00A2584B" w:rsidRDefault="00A2584B" w:rsidP="00267DCA">
      <w:pPr>
        <w:spacing w:line="360" w:lineRule="auto"/>
        <w:rPr>
          <w:rFonts w:ascii="Arial" w:hAnsi="Arial" w:cs="Arial"/>
          <w:szCs w:val="24"/>
        </w:rPr>
      </w:pPr>
    </w:p>
    <w:p w14:paraId="230D231A" w14:textId="77777777" w:rsidR="00A2584B" w:rsidRDefault="00A2584B" w:rsidP="00267DCA">
      <w:pPr>
        <w:spacing w:line="360" w:lineRule="auto"/>
        <w:rPr>
          <w:rFonts w:ascii="Arial" w:hAnsi="Arial" w:cs="Arial"/>
          <w:szCs w:val="24"/>
        </w:rPr>
      </w:pPr>
    </w:p>
    <w:p w14:paraId="5A789721" w14:textId="7038A58A" w:rsidR="006D2F2D" w:rsidRPr="001D345E" w:rsidRDefault="006D2F2D" w:rsidP="00267DCA">
      <w:pPr>
        <w:spacing w:line="360" w:lineRule="auto"/>
        <w:rPr>
          <w:rFonts w:ascii="Arial" w:hAnsi="Arial" w:cs="Arial"/>
          <w:b/>
          <w:bCs/>
          <w:szCs w:val="24"/>
        </w:rPr>
      </w:pPr>
      <w:r w:rsidRPr="001D345E">
        <w:rPr>
          <w:rFonts w:ascii="Arial" w:hAnsi="Arial" w:cs="Arial"/>
          <w:b/>
          <w:bCs/>
          <w:szCs w:val="24"/>
        </w:rPr>
        <w:lastRenderedPageBreak/>
        <w:t>Reference</w:t>
      </w:r>
      <w:r w:rsidR="001D345E" w:rsidRPr="001D345E">
        <w:rPr>
          <w:rFonts w:ascii="Arial" w:hAnsi="Arial" w:cs="Arial"/>
          <w:b/>
          <w:bCs/>
          <w:szCs w:val="24"/>
        </w:rPr>
        <w:t>s</w:t>
      </w:r>
    </w:p>
    <w:p w14:paraId="6D485015" w14:textId="77777777" w:rsidR="000E7EA2" w:rsidRPr="000E7EA2" w:rsidRDefault="000E7EA2" w:rsidP="000E7EA2">
      <w:pPr>
        <w:spacing w:line="360" w:lineRule="auto"/>
        <w:rPr>
          <w:rFonts w:ascii="Arial" w:hAnsi="Arial" w:cs="Arial"/>
          <w:sz w:val="22"/>
        </w:rPr>
      </w:pPr>
      <w:r w:rsidRPr="000E7EA2">
        <w:rPr>
          <w:rFonts w:ascii="Arial" w:hAnsi="Arial" w:cs="Arial"/>
          <w:sz w:val="22"/>
        </w:rPr>
        <w:t xml:space="preserve">Baxter, K., Brumfitt, S. and Cooper, C., 2018. </w:t>
      </w:r>
      <w:r w:rsidRPr="000E7EA2">
        <w:rPr>
          <w:rFonts w:ascii="Arial" w:hAnsi="Arial" w:cs="Arial"/>
          <w:i/>
          <w:iCs/>
          <w:sz w:val="22"/>
        </w:rPr>
        <w:t>The Fundamentals of Interprofessional Practice</w:t>
      </w:r>
      <w:r w:rsidRPr="000E7EA2">
        <w:rPr>
          <w:rFonts w:ascii="Arial" w:hAnsi="Arial" w:cs="Arial"/>
          <w:sz w:val="22"/>
        </w:rPr>
        <w:t>. 2nd ed. Oxford: Wiley Blackwell.</w:t>
      </w:r>
    </w:p>
    <w:p w14:paraId="0A352520" w14:textId="4302B6F9" w:rsidR="000E7EA2" w:rsidRPr="000E7EA2" w:rsidRDefault="000E7EA2" w:rsidP="000E7EA2">
      <w:pPr>
        <w:spacing w:line="360" w:lineRule="auto"/>
        <w:rPr>
          <w:rFonts w:ascii="Arial" w:hAnsi="Arial" w:cs="Arial"/>
          <w:sz w:val="22"/>
        </w:rPr>
      </w:pPr>
      <w:r w:rsidRPr="000E7EA2">
        <w:rPr>
          <w:rFonts w:ascii="Arial" w:hAnsi="Arial" w:cs="Arial"/>
          <w:sz w:val="22"/>
        </w:rPr>
        <w:t xml:space="preserve">Care Quality Commission, 2020. </w:t>
      </w:r>
      <w:r w:rsidRPr="000E7EA2">
        <w:rPr>
          <w:rFonts w:ascii="Arial" w:hAnsi="Arial" w:cs="Arial"/>
          <w:i/>
          <w:iCs/>
          <w:sz w:val="22"/>
        </w:rPr>
        <w:t>The State of Health and Social Care in England</w:t>
      </w:r>
      <w:r w:rsidRPr="000E7EA2">
        <w:rPr>
          <w:rFonts w:ascii="Arial" w:hAnsi="Arial" w:cs="Arial"/>
          <w:sz w:val="22"/>
        </w:rPr>
        <w:t xml:space="preserve">. Available at: </w:t>
      </w:r>
      <w:hyperlink r:id="rId9" w:tgtFrame="_blank" w:tooltip="undefined" w:history="1">
        <w:r w:rsidRPr="000E7EA2">
          <w:rPr>
            <w:rStyle w:val="Hyperlink"/>
            <w:rFonts w:ascii="Arial" w:hAnsi="Arial" w:cs="Arial"/>
            <w:sz w:val="22"/>
          </w:rPr>
          <w:t>https://www.cqc.org.uk/publications/state-care</w:t>
        </w:r>
      </w:hyperlink>
      <w:r w:rsidRPr="000E7EA2">
        <w:rPr>
          <w:rFonts w:ascii="Arial" w:hAnsi="Arial" w:cs="Arial"/>
          <w:sz w:val="22"/>
        </w:rPr>
        <w:t xml:space="preserve"> (Accessed: </w:t>
      </w:r>
      <w:r w:rsidR="00362DCC">
        <w:rPr>
          <w:rFonts w:ascii="Arial" w:hAnsi="Arial" w:cs="Arial"/>
          <w:sz w:val="22"/>
        </w:rPr>
        <w:t>15</w:t>
      </w:r>
      <w:r w:rsidR="00362DCC" w:rsidRPr="000E7EA2">
        <w:rPr>
          <w:rFonts w:ascii="Arial" w:hAnsi="Arial" w:cs="Arial"/>
          <w:sz w:val="22"/>
        </w:rPr>
        <w:t xml:space="preserve"> </w:t>
      </w:r>
      <w:r w:rsidR="00362DCC">
        <w:rPr>
          <w:rFonts w:ascii="Arial" w:hAnsi="Arial" w:cs="Arial"/>
          <w:sz w:val="22"/>
        </w:rPr>
        <w:t xml:space="preserve">OCTOBER </w:t>
      </w:r>
      <w:r w:rsidR="00362DCC" w:rsidRPr="000E7EA2">
        <w:rPr>
          <w:rFonts w:ascii="Arial" w:hAnsi="Arial" w:cs="Arial"/>
          <w:sz w:val="22"/>
        </w:rPr>
        <w:t xml:space="preserve"> </w:t>
      </w:r>
      <w:r w:rsidR="00362DCC">
        <w:rPr>
          <w:rFonts w:ascii="Arial" w:hAnsi="Arial" w:cs="Arial"/>
          <w:sz w:val="22"/>
        </w:rPr>
        <w:t>2025</w:t>
      </w:r>
      <w:r w:rsidRPr="000E7EA2">
        <w:rPr>
          <w:rFonts w:ascii="Arial" w:hAnsi="Arial" w:cs="Arial"/>
          <w:sz w:val="22"/>
        </w:rPr>
        <w:t>).</w:t>
      </w:r>
    </w:p>
    <w:p w14:paraId="33DDFAE4" w14:textId="77777777" w:rsidR="000E7EA2" w:rsidRPr="000E7EA2" w:rsidRDefault="000E7EA2" w:rsidP="000E7EA2">
      <w:pPr>
        <w:spacing w:line="360" w:lineRule="auto"/>
        <w:rPr>
          <w:rFonts w:ascii="Arial" w:hAnsi="Arial" w:cs="Arial"/>
          <w:sz w:val="22"/>
        </w:rPr>
      </w:pPr>
      <w:r w:rsidRPr="000E7EA2">
        <w:rPr>
          <w:rFonts w:ascii="Arial" w:hAnsi="Arial" w:cs="Arial"/>
          <w:sz w:val="22"/>
        </w:rPr>
        <w:t xml:space="preserve">Department of Health and Social Care, 2014. </w:t>
      </w:r>
      <w:r w:rsidRPr="000E7EA2">
        <w:rPr>
          <w:rFonts w:ascii="Arial" w:hAnsi="Arial" w:cs="Arial"/>
          <w:i/>
          <w:iCs/>
          <w:sz w:val="22"/>
        </w:rPr>
        <w:t>The Care Act 2014</w:t>
      </w:r>
      <w:r w:rsidRPr="000E7EA2">
        <w:rPr>
          <w:rFonts w:ascii="Arial" w:hAnsi="Arial" w:cs="Arial"/>
          <w:sz w:val="22"/>
        </w:rPr>
        <w:t>. London: The Stationery Office.</w:t>
      </w:r>
    </w:p>
    <w:p w14:paraId="65EED47E" w14:textId="19EF2914" w:rsidR="000E7EA2" w:rsidRPr="000E7EA2" w:rsidRDefault="000E7EA2" w:rsidP="000E7EA2">
      <w:pPr>
        <w:spacing w:line="360" w:lineRule="auto"/>
        <w:rPr>
          <w:rFonts w:ascii="Arial" w:hAnsi="Arial" w:cs="Arial"/>
          <w:sz w:val="22"/>
        </w:rPr>
      </w:pPr>
      <w:r w:rsidRPr="000E7EA2">
        <w:rPr>
          <w:rFonts w:ascii="Arial" w:hAnsi="Arial" w:cs="Arial"/>
          <w:sz w:val="22"/>
        </w:rPr>
        <w:t xml:space="preserve">Department of Health and Social Care, 2019. </w:t>
      </w:r>
      <w:r w:rsidRPr="000E7EA2">
        <w:rPr>
          <w:rFonts w:ascii="Arial" w:hAnsi="Arial" w:cs="Arial"/>
          <w:i/>
          <w:iCs/>
          <w:sz w:val="22"/>
        </w:rPr>
        <w:t>Mental Capacity Act 2005: Code of Practice</w:t>
      </w:r>
      <w:r w:rsidRPr="000E7EA2">
        <w:rPr>
          <w:rFonts w:ascii="Arial" w:hAnsi="Arial" w:cs="Arial"/>
          <w:sz w:val="22"/>
        </w:rPr>
        <w:t xml:space="preserve">. Available at: </w:t>
      </w:r>
      <w:hyperlink r:id="rId10" w:tgtFrame="_blank" w:tooltip="undefined" w:history="1">
        <w:r w:rsidRPr="000E7EA2">
          <w:rPr>
            <w:rStyle w:val="Hyperlink"/>
            <w:rFonts w:ascii="Arial" w:hAnsi="Arial" w:cs="Arial"/>
            <w:sz w:val="22"/>
          </w:rPr>
          <w:t>https://www.gov.uk/government/publications/mental-capacity-act-code-of-practice</w:t>
        </w:r>
      </w:hyperlink>
      <w:r w:rsidRPr="000E7EA2">
        <w:rPr>
          <w:rFonts w:ascii="Arial" w:hAnsi="Arial" w:cs="Arial"/>
          <w:sz w:val="22"/>
        </w:rPr>
        <w:t xml:space="preserve"> (</w:t>
      </w:r>
      <w:r w:rsidR="00362DCC" w:rsidRPr="000E7EA2">
        <w:rPr>
          <w:rFonts w:ascii="Arial" w:hAnsi="Arial" w:cs="Arial"/>
          <w:sz w:val="22"/>
        </w:rPr>
        <w:t xml:space="preserve">Accessed: </w:t>
      </w:r>
      <w:r w:rsidR="00362DCC">
        <w:rPr>
          <w:rFonts w:ascii="Arial" w:hAnsi="Arial" w:cs="Arial"/>
          <w:sz w:val="22"/>
        </w:rPr>
        <w:t>15</w:t>
      </w:r>
      <w:r w:rsidR="00362DCC" w:rsidRPr="000E7EA2">
        <w:rPr>
          <w:rFonts w:ascii="Arial" w:hAnsi="Arial" w:cs="Arial"/>
          <w:sz w:val="22"/>
        </w:rPr>
        <w:t xml:space="preserve"> </w:t>
      </w:r>
      <w:r w:rsidR="00362DCC">
        <w:rPr>
          <w:rFonts w:ascii="Arial" w:hAnsi="Arial" w:cs="Arial"/>
          <w:sz w:val="22"/>
        </w:rPr>
        <w:t xml:space="preserve">OCTOBER </w:t>
      </w:r>
      <w:r w:rsidR="00362DCC" w:rsidRPr="000E7EA2">
        <w:rPr>
          <w:rFonts w:ascii="Arial" w:hAnsi="Arial" w:cs="Arial"/>
          <w:sz w:val="22"/>
        </w:rPr>
        <w:t xml:space="preserve"> </w:t>
      </w:r>
      <w:r w:rsidR="00362DCC">
        <w:rPr>
          <w:rFonts w:ascii="Arial" w:hAnsi="Arial" w:cs="Arial"/>
          <w:sz w:val="22"/>
        </w:rPr>
        <w:t>2025</w:t>
      </w:r>
      <w:r w:rsidRPr="000E7EA2">
        <w:rPr>
          <w:rFonts w:ascii="Arial" w:hAnsi="Arial" w:cs="Arial"/>
          <w:sz w:val="22"/>
        </w:rPr>
        <w:t>).</w:t>
      </w:r>
    </w:p>
    <w:p w14:paraId="165AD38C" w14:textId="2AE84CDE" w:rsidR="000E7EA2" w:rsidRPr="000E7EA2" w:rsidRDefault="000E7EA2" w:rsidP="000E7EA2">
      <w:pPr>
        <w:spacing w:line="360" w:lineRule="auto"/>
        <w:rPr>
          <w:rFonts w:ascii="Arial" w:hAnsi="Arial" w:cs="Arial"/>
          <w:sz w:val="22"/>
        </w:rPr>
      </w:pPr>
      <w:r w:rsidRPr="000E7EA2">
        <w:rPr>
          <w:rFonts w:ascii="Arial" w:hAnsi="Arial" w:cs="Arial"/>
          <w:sz w:val="22"/>
        </w:rPr>
        <w:t xml:space="preserve">NHS England, 2015. </w:t>
      </w:r>
      <w:r w:rsidRPr="000E7EA2">
        <w:rPr>
          <w:rFonts w:ascii="Arial" w:hAnsi="Arial" w:cs="Arial"/>
          <w:i/>
          <w:iCs/>
          <w:sz w:val="22"/>
        </w:rPr>
        <w:t>The NHS Constitution</w:t>
      </w:r>
      <w:r w:rsidRPr="000E7EA2">
        <w:rPr>
          <w:rFonts w:ascii="Arial" w:hAnsi="Arial" w:cs="Arial"/>
          <w:sz w:val="22"/>
        </w:rPr>
        <w:t xml:space="preserve">. Available at: </w:t>
      </w:r>
      <w:hyperlink r:id="rId11" w:tgtFrame="_blank" w:tooltip="undefined" w:history="1">
        <w:r w:rsidRPr="000E7EA2">
          <w:rPr>
            <w:rStyle w:val="Hyperlink"/>
            <w:rFonts w:ascii="Arial" w:hAnsi="Arial" w:cs="Arial"/>
            <w:sz w:val="22"/>
          </w:rPr>
          <w:t>https://www.nhs.uk/your-nhs/about-the-nhs/nhs-constitution/</w:t>
        </w:r>
      </w:hyperlink>
      <w:r w:rsidRPr="000E7EA2">
        <w:rPr>
          <w:rFonts w:ascii="Arial" w:hAnsi="Arial" w:cs="Arial"/>
          <w:sz w:val="22"/>
        </w:rPr>
        <w:t xml:space="preserve"> (</w:t>
      </w:r>
      <w:r w:rsidR="00362DCC">
        <w:rPr>
          <w:rFonts w:ascii="Arial" w:hAnsi="Arial" w:cs="Arial"/>
          <w:sz w:val="22"/>
        </w:rPr>
        <w:t>15</w:t>
      </w:r>
      <w:r w:rsidR="00362DCC" w:rsidRPr="000E7EA2">
        <w:rPr>
          <w:rFonts w:ascii="Arial" w:hAnsi="Arial" w:cs="Arial"/>
          <w:sz w:val="22"/>
        </w:rPr>
        <w:t xml:space="preserve"> </w:t>
      </w:r>
      <w:r w:rsidR="00362DCC">
        <w:rPr>
          <w:rFonts w:ascii="Arial" w:hAnsi="Arial" w:cs="Arial"/>
          <w:sz w:val="22"/>
        </w:rPr>
        <w:t xml:space="preserve">OCTOBER </w:t>
      </w:r>
      <w:r w:rsidR="00362DCC" w:rsidRPr="000E7EA2">
        <w:rPr>
          <w:rFonts w:ascii="Arial" w:hAnsi="Arial" w:cs="Arial"/>
          <w:sz w:val="22"/>
        </w:rPr>
        <w:t xml:space="preserve"> </w:t>
      </w:r>
      <w:r w:rsidR="00362DCC">
        <w:rPr>
          <w:rFonts w:ascii="Arial" w:hAnsi="Arial" w:cs="Arial"/>
          <w:sz w:val="22"/>
        </w:rPr>
        <w:t>2025</w:t>
      </w:r>
      <w:r w:rsidRPr="000E7EA2">
        <w:rPr>
          <w:rFonts w:ascii="Arial" w:hAnsi="Arial" w:cs="Arial"/>
          <w:sz w:val="22"/>
        </w:rPr>
        <w:t>).</w:t>
      </w:r>
    </w:p>
    <w:p w14:paraId="3572594F" w14:textId="134AD3E0" w:rsidR="000E7EA2" w:rsidRPr="000E7EA2" w:rsidRDefault="000E7EA2" w:rsidP="000E7EA2">
      <w:pPr>
        <w:spacing w:line="360" w:lineRule="auto"/>
        <w:rPr>
          <w:rFonts w:ascii="Arial" w:hAnsi="Arial" w:cs="Arial"/>
          <w:sz w:val="22"/>
        </w:rPr>
      </w:pPr>
      <w:r w:rsidRPr="000E7EA2">
        <w:rPr>
          <w:rFonts w:ascii="Arial" w:hAnsi="Arial" w:cs="Arial"/>
          <w:sz w:val="22"/>
        </w:rPr>
        <w:t xml:space="preserve">NHS England, 2019. </w:t>
      </w:r>
      <w:r w:rsidRPr="000E7EA2">
        <w:rPr>
          <w:rFonts w:ascii="Arial" w:hAnsi="Arial" w:cs="Arial"/>
          <w:i/>
          <w:iCs/>
          <w:sz w:val="22"/>
        </w:rPr>
        <w:t>The NHS Long Term Plan</w:t>
      </w:r>
      <w:r w:rsidRPr="000E7EA2">
        <w:rPr>
          <w:rFonts w:ascii="Arial" w:hAnsi="Arial" w:cs="Arial"/>
          <w:sz w:val="22"/>
        </w:rPr>
        <w:t xml:space="preserve">. Available at: </w:t>
      </w:r>
      <w:hyperlink r:id="rId12" w:tgtFrame="_blank" w:tooltip="undefined" w:history="1">
        <w:r w:rsidRPr="000E7EA2">
          <w:rPr>
            <w:rStyle w:val="Hyperlink"/>
            <w:rFonts w:ascii="Arial" w:hAnsi="Arial" w:cs="Arial"/>
            <w:sz w:val="22"/>
          </w:rPr>
          <w:t>https://www.england.nhs.uk/long-term-plan/</w:t>
        </w:r>
      </w:hyperlink>
      <w:r w:rsidRPr="000E7EA2">
        <w:rPr>
          <w:rFonts w:ascii="Arial" w:hAnsi="Arial" w:cs="Arial"/>
          <w:sz w:val="22"/>
        </w:rPr>
        <w:t xml:space="preserve"> (</w:t>
      </w:r>
      <w:r w:rsidR="00362DCC">
        <w:rPr>
          <w:rFonts w:ascii="Arial" w:hAnsi="Arial" w:cs="Arial"/>
          <w:sz w:val="22"/>
        </w:rPr>
        <w:t>15</w:t>
      </w:r>
      <w:r w:rsidR="00362DCC" w:rsidRPr="000E7EA2">
        <w:rPr>
          <w:rFonts w:ascii="Arial" w:hAnsi="Arial" w:cs="Arial"/>
          <w:sz w:val="22"/>
        </w:rPr>
        <w:t xml:space="preserve"> </w:t>
      </w:r>
      <w:r w:rsidR="00362DCC">
        <w:rPr>
          <w:rFonts w:ascii="Arial" w:hAnsi="Arial" w:cs="Arial"/>
          <w:sz w:val="22"/>
        </w:rPr>
        <w:t xml:space="preserve">OCTOBER </w:t>
      </w:r>
      <w:r w:rsidR="00362DCC" w:rsidRPr="000E7EA2">
        <w:rPr>
          <w:rFonts w:ascii="Arial" w:hAnsi="Arial" w:cs="Arial"/>
          <w:sz w:val="22"/>
        </w:rPr>
        <w:t xml:space="preserve"> </w:t>
      </w:r>
      <w:r w:rsidR="00362DCC">
        <w:rPr>
          <w:rFonts w:ascii="Arial" w:hAnsi="Arial" w:cs="Arial"/>
          <w:sz w:val="22"/>
        </w:rPr>
        <w:t>2025</w:t>
      </w:r>
      <w:r w:rsidRPr="000E7EA2">
        <w:rPr>
          <w:rFonts w:ascii="Arial" w:hAnsi="Arial" w:cs="Arial"/>
          <w:sz w:val="22"/>
        </w:rPr>
        <w:t>).</w:t>
      </w:r>
    </w:p>
    <w:p w14:paraId="7ED8EF0E" w14:textId="1993D01B" w:rsidR="000E7EA2" w:rsidRPr="000E7EA2" w:rsidRDefault="000E7EA2" w:rsidP="000E7EA2">
      <w:pPr>
        <w:spacing w:line="360" w:lineRule="auto"/>
        <w:rPr>
          <w:rFonts w:ascii="Arial" w:hAnsi="Arial" w:cs="Arial"/>
          <w:sz w:val="22"/>
        </w:rPr>
      </w:pPr>
      <w:r w:rsidRPr="000E7EA2">
        <w:rPr>
          <w:rFonts w:ascii="Arial" w:hAnsi="Arial" w:cs="Arial"/>
          <w:sz w:val="22"/>
        </w:rPr>
        <w:t xml:space="preserve">NICE, 2018. </w:t>
      </w:r>
      <w:r w:rsidRPr="000E7EA2">
        <w:rPr>
          <w:rFonts w:ascii="Arial" w:hAnsi="Arial" w:cs="Arial"/>
          <w:i/>
          <w:iCs/>
          <w:sz w:val="22"/>
        </w:rPr>
        <w:t>Dementia: Assessment, Management and Support for People Living with Dementia and Their Carers</w:t>
      </w:r>
      <w:r w:rsidRPr="000E7EA2">
        <w:rPr>
          <w:rFonts w:ascii="Arial" w:hAnsi="Arial" w:cs="Arial"/>
          <w:sz w:val="22"/>
        </w:rPr>
        <w:t xml:space="preserve">. NICE Guideline NG97. Available at: </w:t>
      </w:r>
      <w:hyperlink r:id="rId13" w:tgtFrame="_blank" w:tooltip="undefined" w:history="1">
        <w:r w:rsidRPr="000E7EA2">
          <w:rPr>
            <w:rStyle w:val="Hyperlink"/>
            <w:rFonts w:ascii="Arial" w:hAnsi="Arial" w:cs="Arial"/>
            <w:sz w:val="22"/>
          </w:rPr>
          <w:t>https://www.nice.org.uk/guidance/ng97</w:t>
        </w:r>
      </w:hyperlink>
      <w:r w:rsidRPr="000E7EA2">
        <w:rPr>
          <w:rFonts w:ascii="Arial" w:hAnsi="Arial" w:cs="Arial"/>
          <w:sz w:val="22"/>
        </w:rPr>
        <w:t xml:space="preserve"> (Accessed: </w:t>
      </w:r>
      <w:r w:rsidR="00362DCC">
        <w:rPr>
          <w:rFonts w:ascii="Arial" w:hAnsi="Arial" w:cs="Arial"/>
          <w:sz w:val="22"/>
        </w:rPr>
        <w:t>15</w:t>
      </w:r>
      <w:r w:rsidRPr="000E7EA2">
        <w:rPr>
          <w:rFonts w:ascii="Arial" w:hAnsi="Arial" w:cs="Arial"/>
          <w:sz w:val="22"/>
        </w:rPr>
        <w:t xml:space="preserve"> </w:t>
      </w:r>
      <w:r w:rsidR="00362DCC">
        <w:rPr>
          <w:rFonts w:ascii="Arial" w:hAnsi="Arial" w:cs="Arial"/>
          <w:sz w:val="22"/>
        </w:rPr>
        <w:t xml:space="preserve">OCTOBER </w:t>
      </w:r>
      <w:r w:rsidRPr="000E7EA2">
        <w:rPr>
          <w:rFonts w:ascii="Arial" w:hAnsi="Arial" w:cs="Arial"/>
          <w:sz w:val="22"/>
        </w:rPr>
        <w:t xml:space="preserve"> </w:t>
      </w:r>
      <w:proofErr w:type="gramStart"/>
      <w:r w:rsidR="00362DCC">
        <w:rPr>
          <w:rFonts w:ascii="Arial" w:hAnsi="Arial" w:cs="Arial"/>
          <w:sz w:val="22"/>
        </w:rPr>
        <w:t xml:space="preserve">2025 </w:t>
      </w:r>
      <w:r w:rsidRPr="000E7EA2">
        <w:rPr>
          <w:rFonts w:ascii="Arial" w:hAnsi="Arial" w:cs="Arial"/>
          <w:sz w:val="22"/>
        </w:rPr>
        <w:t>)</w:t>
      </w:r>
      <w:proofErr w:type="gramEnd"/>
      <w:r w:rsidRPr="000E7EA2">
        <w:rPr>
          <w:rFonts w:ascii="Arial" w:hAnsi="Arial" w:cs="Arial"/>
          <w:sz w:val="22"/>
        </w:rPr>
        <w:t>.</w:t>
      </w:r>
    </w:p>
    <w:p w14:paraId="6357F79A" w14:textId="77777777" w:rsidR="000E7EA2" w:rsidRPr="000E7EA2" w:rsidRDefault="000E7EA2" w:rsidP="000E7EA2">
      <w:pPr>
        <w:spacing w:line="360" w:lineRule="auto"/>
        <w:rPr>
          <w:rFonts w:ascii="Arial" w:hAnsi="Arial" w:cs="Arial"/>
          <w:sz w:val="22"/>
        </w:rPr>
      </w:pPr>
      <w:r w:rsidRPr="000E7EA2">
        <w:rPr>
          <w:rFonts w:ascii="Arial" w:hAnsi="Arial" w:cs="Arial"/>
          <w:sz w:val="22"/>
        </w:rPr>
        <w:t xml:space="preserve">Nursing and Midwifery Council, 2018. </w:t>
      </w:r>
      <w:r w:rsidRPr="000E7EA2">
        <w:rPr>
          <w:rFonts w:ascii="Arial" w:hAnsi="Arial" w:cs="Arial"/>
          <w:i/>
          <w:iCs/>
          <w:sz w:val="22"/>
        </w:rPr>
        <w:t>The Code: Professional Standards of Practice and Behaviour for Nurses, Midwives and Nursing Associates</w:t>
      </w:r>
      <w:r w:rsidRPr="000E7EA2">
        <w:rPr>
          <w:rFonts w:ascii="Arial" w:hAnsi="Arial" w:cs="Arial"/>
          <w:sz w:val="22"/>
        </w:rPr>
        <w:t>. London: NMC.</w:t>
      </w:r>
    </w:p>
    <w:p w14:paraId="40C2B12D" w14:textId="77777777" w:rsidR="000E7EA2" w:rsidRPr="000E7EA2" w:rsidRDefault="000E7EA2" w:rsidP="000E7EA2">
      <w:pPr>
        <w:spacing w:line="360" w:lineRule="auto"/>
        <w:rPr>
          <w:rFonts w:ascii="Arial" w:hAnsi="Arial" w:cs="Arial"/>
          <w:sz w:val="22"/>
        </w:rPr>
      </w:pPr>
      <w:r w:rsidRPr="000E7EA2">
        <w:rPr>
          <w:rFonts w:ascii="Arial" w:hAnsi="Arial" w:cs="Arial"/>
          <w:sz w:val="22"/>
        </w:rPr>
        <w:t xml:space="preserve">Reeves, S., Pelone, F., Harrison, R., Goldman, J. and Zwarenstein, M., 2017. 'Interprofessional Collaboration: The Need for a Framework', </w:t>
      </w:r>
      <w:r w:rsidRPr="000E7EA2">
        <w:rPr>
          <w:rFonts w:ascii="Arial" w:hAnsi="Arial" w:cs="Arial"/>
          <w:i/>
          <w:iCs/>
          <w:sz w:val="22"/>
        </w:rPr>
        <w:t>Journal of Interprofessional Care</w:t>
      </w:r>
      <w:r w:rsidRPr="000E7EA2">
        <w:rPr>
          <w:rFonts w:ascii="Arial" w:hAnsi="Arial" w:cs="Arial"/>
          <w:sz w:val="22"/>
        </w:rPr>
        <w:t>, 31(3), pp. 239-242.</w:t>
      </w:r>
    </w:p>
    <w:p w14:paraId="1E243764" w14:textId="77777777" w:rsidR="006D2F2D" w:rsidRPr="001D345E" w:rsidRDefault="006D2F2D" w:rsidP="00594FAC">
      <w:pPr>
        <w:spacing w:line="360" w:lineRule="auto"/>
        <w:rPr>
          <w:rFonts w:ascii="Arial" w:hAnsi="Arial" w:cs="Arial"/>
          <w:sz w:val="22"/>
        </w:rPr>
      </w:pPr>
    </w:p>
    <w:sectPr w:rsidR="006D2F2D"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847DB" w14:textId="77777777" w:rsidR="00C73A64" w:rsidRDefault="00C73A64" w:rsidP="00B21FE6">
      <w:pPr>
        <w:spacing w:after="0" w:line="240" w:lineRule="auto"/>
      </w:pPr>
      <w:r>
        <w:separator/>
      </w:r>
    </w:p>
  </w:endnote>
  <w:endnote w:type="continuationSeparator" w:id="0">
    <w:p w14:paraId="4651DB97" w14:textId="77777777" w:rsidR="00C73A64" w:rsidRDefault="00C73A64"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83202" w14:textId="77777777" w:rsidR="00C73A64" w:rsidRDefault="00C73A64" w:rsidP="00B21FE6">
      <w:pPr>
        <w:spacing w:after="0" w:line="240" w:lineRule="auto"/>
      </w:pPr>
      <w:r>
        <w:separator/>
      </w:r>
    </w:p>
  </w:footnote>
  <w:footnote w:type="continuationSeparator" w:id="0">
    <w:p w14:paraId="74AABB70" w14:textId="77777777" w:rsidR="00C73A64" w:rsidRDefault="00C73A64"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53F4425E"/>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4034D9"/>
    <w:multiLevelType w:val="hybridMultilevel"/>
    <w:tmpl w:val="5DEEFEB2"/>
    <w:lvl w:ilvl="0" w:tplc="42BC8A22">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 w15:restartNumberingAfterBreak="0">
    <w:nsid w:val="7A363B7A"/>
    <w:multiLevelType w:val="hybridMultilevel"/>
    <w:tmpl w:val="E93AE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624240078">
    <w:abstractNumId w:val="6"/>
  </w:num>
  <w:num w:numId="7" w16cid:durableId="7177769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93D42"/>
    <w:rsid w:val="000C48CB"/>
    <w:rsid w:val="000E7EA2"/>
    <w:rsid w:val="001333C2"/>
    <w:rsid w:val="00162D08"/>
    <w:rsid w:val="001D345E"/>
    <w:rsid w:val="00220640"/>
    <w:rsid w:val="00267DCA"/>
    <w:rsid w:val="002903A1"/>
    <w:rsid w:val="002D39BD"/>
    <w:rsid w:val="00317E3D"/>
    <w:rsid w:val="00350D4F"/>
    <w:rsid w:val="00362DCC"/>
    <w:rsid w:val="00390C74"/>
    <w:rsid w:val="004F5B88"/>
    <w:rsid w:val="00512845"/>
    <w:rsid w:val="0058218C"/>
    <w:rsid w:val="00594FAC"/>
    <w:rsid w:val="00610A5B"/>
    <w:rsid w:val="006524ED"/>
    <w:rsid w:val="006D2F2D"/>
    <w:rsid w:val="006E1FF9"/>
    <w:rsid w:val="006E38AB"/>
    <w:rsid w:val="006F768D"/>
    <w:rsid w:val="00785886"/>
    <w:rsid w:val="007F3A6A"/>
    <w:rsid w:val="00887FBB"/>
    <w:rsid w:val="008F6D4B"/>
    <w:rsid w:val="009923AC"/>
    <w:rsid w:val="009C1468"/>
    <w:rsid w:val="009E5C5F"/>
    <w:rsid w:val="009F67C6"/>
    <w:rsid w:val="00A04AA9"/>
    <w:rsid w:val="00A11336"/>
    <w:rsid w:val="00A2584B"/>
    <w:rsid w:val="00A73284"/>
    <w:rsid w:val="00AE7DDA"/>
    <w:rsid w:val="00B066C1"/>
    <w:rsid w:val="00B21FE6"/>
    <w:rsid w:val="00BC79FE"/>
    <w:rsid w:val="00BE0544"/>
    <w:rsid w:val="00C168D2"/>
    <w:rsid w:val="00C25372"/>
    <w:rsid w:val="00C42107"/>
    <w:rsid w:val="00C558B0"/>
    <w:rsid w:val="00C73A64"/>
    <w:rsid w:val="00CB3435"/>
    <w:rsid w:val="00D00A38"/>
    <w:rsid w:val="00D545BA"/>
    <w:rsid w:val="00D66C96"/>
    <w:rsid w:val="00DE279E"/>
    <w:rsid w:val="00E81204"/>
    <w:rsid w:val="00EA299A"/>
    <w:rsid w:val="00EF392F"/>
    <w:rsid w:val="00F42DF6"/>
    <w:rsid w:val="00F81510"/>
    <w:rsid w:val="00FA02B6"/>
    <w:rsid w:val="00FA5AB3"/>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semiHidden/>
    <w:unhideWhenUsed/>
    <w:rsid w:val="009C1468"/>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9C1468"/>
    <w:rPr>
      <w:b/>
      <w:bCs/>
    </w:rPr>
  </w:style>
  <w:style w:type="character" w:styleId="Hyperlink">
    <w:name w:val="Hyperlink"/>
    <w:basedOn w:val="DefaultParagraphFont"/>
    <w:uiPriority w:val="99"/>
    <w:unhideWhenUsed/>
    <w:rsid w:val="000E7EA2"/>
    <w:rPr>
      <w:color w:val="0563C1" w:themeColor="hyperlink"/>
      <w:u w:val="single"/>
    </w:rPr>
  </w:style>
  <w:style w:type="character" w:styleId="UnresolvedMention">
    <w:name w:val="Unresolved Mention"/>
    <w:basedOn w:val="DefaultParagraphFont"/>
    <w:uiPriority w:val="99"/>
    <w:semiHidden/>
    <w:unhideWhenUsed/>
    <w:rsid w:val="000E7EA2"/>
    <w:rPr>
      <w:color w:val="605E5C"/>
      <w:shd w:val="clear" w:color="auto" w:fill="E1DFDD"/>
    </w:rPr>
  </w:style>
  <w:style w:type="character" w:styleId="FollowedHyperlink">
    <w:name w:val="FollowedHyperlink"/>
    <w:basedOn w:val="DefaultParagraphFont"/>
    <w:uiPriority w:val="99"/>
    <w:semiHidden/>
    <w:unhideWhenUsed/>
    <w:rsid w:val="00362D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ng9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long-term-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your-nhs/about-the-nhs/nhs-constitu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mental-capacity-act-code-of-practice" TargetMode="External"/><Relationship Id="rId4" Type="http://schemas.openxmlformats.org/officeDocument/2006/relationships/webSettings" Target="webSettings.xml"/><Relationship Id="rId9" Type="http://schemas.openxmlformats.org/officeDocument/2006/relationships/hyperlink" Target="https://www.cqc.org.uk/publications/state-ca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2164</Words>
  <Characters>12337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Spogmay Ahmadzai</cp:lastModifiedBy>
  <cp:revision>20</cp:revision>
  <dcterms:created xsi:type="dcterms:W3CDTF">2025-11-20T11:52:00Z</dcterms:created>
  <dcterms:modified xsi:type="dcterms:W3CDTF">2025-11-20T12:23:00Z</dcterms:modified>
</cp:coreProperties>
</file>