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Body"/>
        <w:jc w:val="both"/>
        <w:rPr>
          <w:rFonts w:ascii="Times New Roman" w:cs="Times New Roman" w:hAnsi="Times New Roman" w:eastAsia="Times New Roman"/>
          <w:sz w:val="24"/>
          <w:szCs w:val="24"/>
          <w:lang w:val="en-US"/>
        </w:rPr>
      </w:pPr>
      <w:r>
        <w:rPr>
          <w:rFonts w:ascii="Times New Roman"/>
          <w:sz w:val="24"/>
          <w:szCs w:val="24"/>
          <w:u w:val="none"/>
          <w:rtl w:val="0"/>
          <w:lang w:val="en-US"/>
        </w:rPr>
        <w:t xml:space="preserve"> According to (Bourdieu and Passeron, 1990) Social Reproduction is the process that ensures that there is a continuum of social structure.  (Marx, 1990) suggests that Social Reproduction is linked to Capitalism and that any form of production also reproduces the conditions of its own existence and is used in relation to social inequalities meaning that members of society who are facing inequality continue to engage in situations where they are disadvantaged therefore, continuing Social Reproduction. Bourdieu and Passeron (1990) associate Social Reproduction with their concept of Habitus which is an individual or groups motivations, knowledge and perceptions that they have due to living in social environments where the individual or group are expectant to act in certain ways. Within each group common issues affect them which are due to power and oppression through Social Reproduction (Bourdieu and Passeron, 1990). This essay will critically explore the key influences of Social Reproduction of Race. This will include firstly discussing early socialisation within the Education System meaning how Racism, Stereotyping is learnt in the environment and how that socialisation impacts Race throughout life (Schaffer, 1995). It will also be mentioned how (Bourdieu and Passeron, 1990) suggested that the Education System promotes Social Reproduction of inequality for Race. The Labelling Theory which is the view of deviance in which being labelled as deviant leads to a person to act deviant but in this essay, it will be linked into Early Socialisation and throughout this essay as it will show how the Labelling Theory also influences the Social Reproduction of inequality for Race meaning that stereotypes that link into Race and how they lead to certain types of behaviour (Becker, 1997). Secondly, this essay will include the former Act that was previously in place within the UK the Race Relations Act (Glover, 1976) and what this included, whether or not this act was functioning correctly and benefited those individuals who were supposedly protected by this Act and also the Race Relations Amendment Act (Race Relations (Amendment) Act, 2000). This essay will also critically reflect on the Equality Act (</w:t>
      </w:r>
      <w:r>
        <w:rPr>
          <w:rFonts w:ascii="Times New Roman"/>
          <w:sz w:val="24"/>
          <w:szCs w:val="24"/>
          <w:rtl w:val="0"/>
          <w:lang w:val="en-US"/>
        </w:rPr>
        <w:t>The National Archives, 2017). This will mention what the Equality Act includes, whether or not this act is beneficial to those who are protected by this act under Race and how these influences or tries to prevent the Social Reproduction of inequalities for Race. Lastly,</w:t>
      </w:r>
      <w:r>
        <w:rPr>
          <w:rFonts w:ascii="Times New Roman"/>
          <w:sz w:val="24"/>
          <w:szCs w:val="24"/>
          <w:u w:val="none"/>
          <w:rtl w:val="0"/>
          <w:lang w:val="en-US"/>
        </w:rPr>
        <w:t xml:space="preserve"> this essay will include the inequality of opportunity for Race within employment meaning the unequal access to society due to background (Roemer, 2000). This will take into consideration how these inequalities influence the unfairness of Society and how this will then further impact the quality of life that those individuals will lead due to the inequality of Opportunity through Racism and Stereotyping (Roemer, 2000). </w:t>
      </w:r>
    </w:p>
    <w:p>
      <w:pPr>
        <w:pStyle w:val="Body"/>
        <w:jc w:val="both"/>
        <w:rPr>
          <w:rFonts w:ascii="Times New Roman" w:cs="Times New Roman" w:hAnsi="Times New Roman" w:eastAsia="Times New Roman"/>
          <w:sz w:val="24"/>
          <w:szCs w:val="24"/>
          <w:lang w:val="en-US"/>
        </w:rPr>
      </w:pPr>
    </w:p>
    <w:p>
      <w:pPr>
        <w:pStyle w:val="Body"/>
        <w:jc w:val="both"/>
        <w:rPr>
          <w:rFonts w:ascii="Times New Roman" w:cs="Times New Roman" w:hAnsi="Times New Roman" w:eastAsia="Times New Roman"/>
          <w:sz w:val="24"/>
          <w:szCs w:val="24"/>
          <w:lang w:val="en-US"/>
        </w:rPr>
      </w:pPr>
      <w:r>
        <w:rPr>
          <w:rFonts w:ascii="Times New Roman"/>
          <w:sz w:val="24"/>
          <w:szCs w:val="24"/>
          <w:rtl w:val="0"/>
          <w:lang w:val="en-US"/>
        </w:rPr>
        <w:t>Socialisation is a term for the different processes and ways in which children learn to function as members of their community (Schaffer, 1995). Schaffer (1995) also suggested that Socialisation is part of the process of being taught and learning their active roles in adjusting to their social roles and conforming their own ways of being part of their social group. Therefore, during this early socialisation process in children racial stereotyping and prejudice is conformed, this continues throughout an individual's lifetime (Flanagan, 1999). Flanagan (1999) states that children who learn negative traits early such as racial stereotyping and prejudice through their social groups, community and family members act negatively towards children with a different racial group.  Children within a different racial group who are being excluded from social groups because of the racial differences due to racial stereotyping and prejudice learnt among other children, those children who are excluded can develop poor socialisation skills (Flanagan, 1999). According to Flanagan (1999) this would mean that those children with poor socialisaton skills are more likely to experience further rejection from other social groups and have a higher chance of getting into trouble with the law either with the juvenile system or the adult legal system. Flanagan (1999) also suggested that academic performance is also impacted when students are excluded by their peers because they develop self-esteem issues and depression which would mean that students are less likely focus on their academic achievement. Therefore, if a child is not achieving well academically then they are less likely to achieve well later on in life, so the social reproduction of inequality of different racial groups is shown through schooling (Bourdieu and Passeron, 1990). Bourdieu and Passeron (1990) make reference to their concerns of the ways which the Educational System functions in a way that prevents individual social mobility rather than encourage social mobility. (Race and Lander, 2014) agree with (Bourdieu and Passeron, 1990) that the Education System is unfair to those individuals such as those in different racial groups who are facing the social reproductions of inequality as it further lessens the chance of equal opportunity for individuals when they are facing the problems of early socialisation and being 'labelled' through racial stereotyping. This links into the 'Labelling Theory' (Becker, 1997). Becker (1997) mentioned that the 'Labelling Theory' is the view of deviance to which being labelled as 'deviant' may lead a person to then act as deviant. This means according to Becker (1997) that it explains why an individual's behaviour may not link to the social norms of their peers meaning that if an individual is being labelled as a 'gang member' due to being from a different racial group where the stereotype is that all individuals within that racial group are 'gang members' even if it was not true, the individual assumed with that 'label' then may appear to start behaving like a 'gang member' and succumbing to the stereotypes that have been given to 'gang members' because of the assumption that the individual is a 'gang member' they will act on the label. (Moncrieffe and Eyben, 2007) indicate that labelling allows individuals to discriminate against other individuals with certain labels such as 'black'. This is because of the negative connotations that are used which have been linked into the labels which are usually offensive meaning that people then interpret the label and use other variations of the label to come up with their own (Moncrieffe and Eyben, 2007). Using labels therefore makes it easier for a person to be bullied due to the labels that have been put on them unknowingly at birth on the account of the fact that individuals are socialised into believing these labels are true (Moncrieffe and Eyben, 2007).  (Goode, 2016) agrees with (Moncrieffe and Eyben, 2007) and acknowledges that by stereotyping a person with a label you are putting that individual into a box meaning that it is hard to move a part from the stereotypes of that label. Goode (2016) suggests that even if a person is from the same racial group as another person it does not mean that they like the same things and that they have been through the same things other than the labelling. Therefore, Good (2016) suggests that labelling an individual ignores and lacks understanding of the individualism.</w:t>
      </w:r>
    </w:p>
    <w:p>
      <w:pPr>
        <w:pStyle w:val="Body"/>
        <w:jc w:val="both"/>
        <w:rPr>
          <w:rFonts w:ascii="Times New Roman" w:cs="Times New Roman" w:hAnsi="Times New Roman" w:eastAsia="Times New Roman"/>
          <w:sz w:val="24"/>
          <w:szCs w:val="24"/>
          <w:lang w:val="en-US"/>
        </w:rPr>
      </w:pPr>
    </w:p>
    <w:p>
      <w:pPr>
        <w:pStyle w:val="Body"/>
        <w:jc w:val="both"/>
        <w:rPr>
          <w:rFonts w:ascii="Times New Roman" w:cs="Times New Roman" w:hAnsi="Times New Roman" w:eastAsia="Times New Roman"/>
          <w:sz w:val="24"/>
          <w:szCs w:val="24"/>
          <w:u w:val="none"/>
        </w:rPr>
      </w:pPr>
      <w:r>
        <w:rPr>
          <w:rFonts w:ascii="Times New Roman"/>
          <w:sz w:val="24"/>
          <w:szCs w:val="24"/>
          <w:u w:val="none"/>
          <w:rtl w:val="0"/>
          <w:lang w:val="en-US"/>
        </w:rPr>
        <w:t xml:space="preserve">Before the Equality Act in 2010 (The National Archives, 2017) there was an act which protected individuals with different races. This Act was called the Race Relations Act (Glover, 1976). The Race Relations Act in 1976 meant that it would make racial discrimination illegal. This would include indirect discrimination which occurs when the circumstances or requirement which a smaller ratio of the victims racial group can comply with or cannot comply with and the indirect discrimination cannot be shown to be justifiable with race, colour, ethnic originality, nationality of the individual whom it is complied with (Glover, 1976). This would also include direct discrimination which occurs when an individual treats another person </w:t>
      </w:r>
      <w:r>
        <w:rPr>
          <w:rFonts w:ascii="Times New Roman"/>
          <w:sz w:val="24"/>
          <w:szCs w:val="24"/>
          <w:rtl w:val="0"/>
          <w:lang w:val="en-US"/>
        </w:rPr>
        <w:t xml:space="preserve">conflictingly due to colour, race, ethnicity and nationality (Glover, 1976). The Race Relations Act in 1976 would also include victimisation meaning those individuals affected by indirect or direct discrimination have a right to be able to complain and are safeguarded in order for them to be freely be able to practice their rights, this would include those individuals who help those affected by direct or indirect discrimination, </w:t>
      </w:r>
      <w:r>
        <w:rPr>
          <w:rFonts w:ascii="Times New Roman"/>
          <w:sz w:val="24"/>
          <w:szCs w:val="24"/>
          <w:u w:val="none"/>
          <w:rtl w:val="0"/>
          <w:lang w:val="en-US"/>
        </w:rPr>
        <w:t xml:space="preserve">within employment, within education, within training and the provision of goods, facilities and services (Glover, 1976). After this Act had been passed, another version of this Act with modifications was then put in place, this was called the Race Relations (Amendment) Act in 2000 (Race Relations (Amendment) Act, 2000). This Amendment Act was put into place in April 2001 and was very important regarding Education and Childcare (Race Relations (Amendment) Act, 2000). The Race Relations Amendment Act (2000) would require all public authorities to be able to promote racial equality in the </w:t>
      </w:r>
      <w:r>
        <w:rPr>
          <w:rFonts w:ascii="Times New Roman"/>
          <w:sz w:val="24"/>
          <w:szCs w:val="24"/>
          <w:u w:val="none"/>
          <w:rtl w:val="0"/>
          <w:lang w:val="en-US"/>
        </w:rPr>
        <w:t>centre</w:t>
      </w:r>
      <w:r>
        <w:rPr>
          <w:rFonts w:ascii="Times New Roman"/>
          <w:sz w:val="24"/>
          <w:szCs w:val="24"/>
          <w:u w:val="none"/>
          <w:rtl w:val="0"/>
          <w:lang w:val="en-US"/>
        </w:rPr>
        <w:t xml:space="preserve"> of all activities. The Race Relations Amendment Act (2000) would also expect all public authorities to be able to exclude all racial discrimination and promote equality of opportunity and promote a good relation between all individuals among different racial groups. This would also require all individuals to implement racial equality within employment including recruitment and selection for employment within training, promotion and discipline (Race Relations (Amendment) Act, 2000). The Race Relations Act (2000) also requires public authorities to have 'special duties' this includes implementing and developing racial equality, reflect on and monitor whether or not their policies are related to racial equality making sure that these reflections are publicised and that every individual is able to access them. This would mean that every Primary School, Secondary School, Social Services, NHS and all other public authority would have to follow this duty and include their own policies towards protecting 'protected characteristics' within those environments (Race Relations (Amendment) Act, 2000). This showed that the Government were trying to make changes that included every individual to promote and develop racial equality especially within schools, teaching children it would be unacceptable to treat another person unfairly due to racial differences (Race Relations (Amendment) Act, 2000). The Equality Act was then formed in 2010 (The National Archives, 2017) which replaced the Race Relations Act 2000 (Race Relations (Amendment) Act, 2000), it also replaced anti-discrimination acts including Sex Discrimination Act 1975 and Disability Discrimination Act 1995 in order for it to be easier for individuals to make a claim about discrimination and to make it easier for a claim to be resolved. (The National Archives, 2017). The Equality Act ensures that people with 'protected characteristics' are protected these include race meaning colour, nationality, ethnic or national origin, individuals are also protected against discrimination if they are associated with any individual with 'protected characteristics' and if an individual has complained about discrimination or has supported a claim against discrimination. (The National Archives, 2017). These 'protected characteristics' are protected from discrimination at work, in education, as a consumer, when using public services, when buying or renting property and as a member or guest at any association (The National Archives, 2017). The Equality Act (The National Archives, 2017) makes sure that any type of discrimination is against the law including indirect discrimination, direct discrimination, </w:t>
      </w:r>
      <w:r>
        <w:rPr>
          <w:rFonts w:ascii="Times New Roman"/>
          <w:sz w:val="24"/>
          <w:szCs w:val="24"/>
          <w:u w:val="none"/>
          <w:rtl w:val="0"/>
          <w:lang w:val="en-US"/>
        </w:rPr>
        <w:t>victimisation</w:t>
      </w:r>
      <w:r>
        <w:rPr>
          <w:rFonts w:ascii="Times New Roman"/>
          <w:sz w:val="24"/>
          <w:szCs w:val="24"/>
          <w:u w:val="none"/>
          <w:rtl w:val="0"/>
          <w:lang w:val="en-US"/>
        </w:rPr>
        <w:t xml:space="preserve">, and harassment. The Equality Act therefore makes sure that racial equality is promoted and developed in every aspect of life making sure that any individuals with different racial backgrounds can have equal opportunities and tries to prevent early socialisation of racism, stereotyping and excluding through education and throughout society (The National Archives, 2017). </w:t>
      </w:r>
    </w:p>
    <w:p>
      <w:pPr>
        <w:pStyle w:val="Body"/>
        <w:jc w:val="both"/>
        <w:rPr>
          <w:rFonts w:ascii="Times New Roman" w:cs="Times New Roman" w:hAnsi="Times New Roman" w:eastAsia="Times New Roman"/>
          <w:sz w:val="24"/>
          <w:szCs w:val="24"/>
          <w:u w:val="none"/>
        </w:rPr>
      </w:pPr>
    </w:p>
    <w:p>
      <w:pPr>
        <w:pStyle w:val="Body"/>
        <w:jc w:val="both"/>
        <w:rPr>
          <w:rFonts w:ascii="Times New Roman" w:cs="Times New Roman" w:hAnsi="Times New Roman" w:eastAsia="Times New Roman"/>
          <w:sz w:val="24"/>
          <w:szCs w:val="24"/>
          <w:u w:val="none"/>
        </w:rPr>
      </w:pPr>
      <w:r>
        <w:rPr>
          <w:rFonts w:ascii="Times New Roman"/>
          <w:sz w:val="24"/>
          <w:szCs w:val="24"/>
          <w:u w:val="none"/>
          <w:rtl w:val="0"/>
          <w:lang w:val="en-US"/>
        </w:rPr>
        <w:t>Inequality of opportunity within employment affect the social reproduction of inequalities for different racial groups (Roemer, 2000). The Government statistics show that during 2016 the percentage of white unemployed people was 4% which was lower than all other racial groups while black unemployed people accounted for 10% (GOV.UK, 2017).  Those statistics show that black racial groups are at a disadvantaged in comparison to white racial groups. The process of being undervalued as a racial group means that there is inequality of opportunity around the UK for non-white racial groups (Roemer, 2000). This means that by allowing a person to work it increases the person's ability to create an opportunity to better their lives financially and socially, which in turn would create further opportunities to increase the likelihood of them being able to achievement Maslow's Hierarchy of Needs (McGuire, 2012). Unemployment for racial groups would affect their potential to be able to achieve Basic Needs including Physiological Needs such as food and warmth and safety needs including safety and security (McGuire, 2012). Unemployment for racial groups would also affect their potential to be able to achieve Psychological Needs including Belonging and Love Needs such as intimate relationships and friends and Esteem Needs such as prestige and feelings of accomplishment (McGuire, 2012). The inability to be able to achieve such needs means that they would not be able to achieve Self</w:t>
      </w:r>
      <w:r>
        <w:rPr>
          <w:rFonts w:ascii="Times New Roman"/>
          <w:sz w:val="24"/>
          <w:szCs w:val="24"/>
          <w:u w:val="none"/>
          <w:rtl w:val="0"/>
          <w:lang w:val="en-US"/>
        </w:rPr>
        <w:t xml:space="preserve"> </w:t>
      </w:r>
      <w:r>
        <w:rPr>
          <w:rFonts w:ascii="Times New Roman"/>
          <w:sz w:val="24"/>
          <w:szCs w:val="24"/>
          <w:u w:val="none"/>
          <w:rtl w:val="0"/>
        </w:rPr>
        <w:t>-</w:t>
      </w:r>
      <w:r>
        <w:rPr>
          <w:rFonts w:ascii="Times New Roman"/>
          <w:sz w:val="24"/>
          <w:szCs w:val="24"/>
          <w:u w:val="none"/>
          <w:rtl w:val="0"/>
          <w:lang w:val="en-US"/>
        </w:rPr>
        <w:t>Fulfilment</w:t>
      </w:r>
      <w:r>
        <w:rPr>
          <w:rFonts w:ascii="Times New Roman"/>
          <w:sz w:val="24"/>
          <w:szCs w:val="24"/>
          <w:u w:val="none"/>
          <w:rtl w:val="0"/>
          <w:lang w:val="en-US"/>
        </w:rPr>
        <w:t xml:space="preserve"> Needs such as achieving one's potential (McGuire, 2012). (Drew, 1995) suggests that black racial groups not being able to achieve Maslow's Hierarchy of Needs means there is an inequality of social reproduction because unemployment means they have less money and less status than white racial groups who are more likely to be employed, which would affect the children who are categorised in black racial groups' future as they are more likely to face the same struggles as their parents who were not born into more privileged racial groups. In some cases of racial groups within unemployment it can lead to desperation in terms of being able to meet Maslow's Hierarchy of Needs therefore, this can lead to joining in criminal activity to meet those needs (McGuire, 2012). This has led there to be a stereotype of certain racial groups because of those cases which are based on the inequalities of social reproduction and not a matter of the person as an individual (Rock, 1973). Rock (1973) suggest that these stereotypes that have been placed onto certain racial groups prevent individuals who have been placed into that category to be able to achieve their potential in terms of careers and goals. This is because when an individual places negative stereotypes onto racial groups other individuals believe them to be true without looking at the person who is a part of that racial group as an individual, in terms of when they apply for a job (Rock, 1973). When a person within a racial group with negative stereotypes linked to them applies for a job in some cases companies and businesses will apply indirect racism and not proceed to process their application any further after learning of their racial group because of the negatives that have been placed onto them which makes it harder for an individual within certain racial groups to be able to be considered for a job (Rock, 1973). Rock (1973) suggests that this therefore makes different non-white racial groups at a much greater disadvantage on terms of being able to have an equal opportunity to be able to gain capital to be at an advantage for social reproduction.</w:t>
      </w:r>
    </w:p>
    <w:p>
      <w:pPr>
        <w:pStyle w:val="Body"/>
        <w:jc w:val="both"/>
        <w:rPr>
          <w:rFonts w:ascii="Times New Roman" w:cs="Times New Roman" w:hAnsi="Times New Roman" w:eastAsia="Times New Roman"/>
          <w:sz w:val="24"/>
          <w:szCs w:val="24"/>
          <w:u w:val="none"/>
        </w:rPr>
      </w:pPr>
    </w:p>
    <w:p>
      <w:pPr>
        <w:pStyle w:val="Body"/>
        <w:jc w:val="both"/>
        <w:rPr>
          <w:rFonts w:ascii="Times New Roman" w:cs="Times New Roman" w:hAnsi="Times New Roman" w:eastAsia="Times New Roman"/>
          <w:sz w:val="24"/>
          <w:szCs w:val="24"/>
          <w:u w:val="none"/>
        </w:rPr>
      </w:pPr>
      <w:r>
        <w:rPr>
          <w:rFonts w:ascii="Times New Roman"/>
          <w:sz w:val="24"/>
          <w:szCs w:val="24"/>
          <w:u w:val="none"/>
          <w:rtl w:val="0"/>
          <w:lang w:val="en-US"/>
        </w:rPr>
        <w:t>Overall this essay has shown that there is an inequality for racial groups within Education due to early socialisation which includes the teaching of racial stereotyping and prejudice (Flanagan, 1999). Flanagan (1999) also concluded that those children affected by racial stereotyping and prejudice would be impacted by performing negatively academically therefore not being able to achieve their full potential for their futures putting individuals at a disadvantage for social reproduction. (Bourdieu and Passeron, 1990) suggested that were issues within the Education System promoting social reproduction inequality by preventing individual social mobility and not encouraging social mobility due to racial labelling. (Becker, 1997) mentioned that the labelling theory causes issues within racial groups. (Moncrieffe and Eyben, 2007) and (Goode, 2016) also agreed with this as suggested that labelling individuals negatively despite individuals not being like the labels they have been given, they may still act like those labels, impacted them negatively. (Moncrieffe and Eyben, 2007) also suggested that labelling individuals makes it easier to discriminate against different racial groups. This essay has involved the Equality Act (The National Archives, 2017) and how that prevents different types of racial discrimination and victimisation. The essay also involved previous acts that were in place before the Equality Act (The National Archives, 2017) such as Race Relations Act (Glover, 1976) and Race Relations (Amendment) Act (Race Relations (Amendment) Act, 2000) and how those acts were in place to prevent different types of discrimination. This essay showed that there is inequality of opportunity within employment meaning that non-white racial groups are subjected to discrimination as shown by a large percentage of unemployed people within the UK are black, accounting for 10% (GOV.UK, 2017).  (McGuire, 2012) suggested that those who are under the black racial groups and are unemployed would struggle to be able to meet Maslow's Hierarchy of Needs. While (Rock, 1973) suggested that because those who are unemployed may struggle to meet the Maslow's Hierarchy of Needs (McGuire, 2012) certain members of those racial groups who are suffering may then resort to crime and because of that it has led to stereotypes for certain racial groups. Rock (1973) suggested that these stereotypes are the reason that some businesses and companies will not process applications for certain individuals within certain racial groups therefore suggested there is a disadvantage for certain racial groups to have an equal opportunity in order to do well within social reproduction.</w:t>
      </w:r>
    </w:p>
    <w:p>
      <w:pPr>
        <w:pStyle w:val="Body"/>
        <w:jc w:val="both"/>
        <w:rPr>
          <w:rFonts w:ascii="Times New Roman" w:cs="Times New Roman" w:hAnsi="Times New Roman" w:eastAsia="Times New Roman"/>
          <w:b w:val="1"/>
          <w:bCs w:val="1"/>
          <w:sz w:val="24"/>
          <w:szCs w:val="24"/>
          <w:u w:val="none"/>
        </w:rPr>
      </w:pPr>
    </w:p>
    <w:p>
      <w:pPr>
        <w:pStyle w:val="Body"/>
        <w:jc w:val="both"/>
        <w:rPr>
          <w:rFonts w:ascii="Times New Roman" w:cs="Times New Roman" w:hAnsi="Times New Roman" w:eastAsia="Times New Roman"/>
          <w:b w:val="1"/>
          <w:bCs w:val="1"/>
          <w:sz w:val="24"/>
          <w:szCs w:val="24"/>
          <w:u w:val="none"/>
        </w:rPr>
      </w:pPr>
    </w:p>
    <w:p>
      <w:pPr>
        <w:pStyle w:val="Body"/>
        <w:jc w:val="both"/>
        <w:rPr>
          <w:rFonts w:ascii="Times New Roman" w:cs="Times New Roman" w:hAnsi="Times New Roman" w:eastAsia="Times New Roman"/>
          <w:b w:val="1"/>
          <w:bCs w:val="1"/>
          <w:sz w:val="24"/>
          <w:szCs w:val="24"/>
          <w:u w:val="none"/>
        </w:rPr>
      </w:pPr>
      <w:r>
        <w:rPr>
          <w:rFonts w:ascii="Times New Roman"/>
          <w:b w:val="1"/>
          <w:bCs w:val="1"/>
          <w:sz w:val="24"/>
          <w:szCs w:val="24"/>
          <w:u w:val="none"/>
          <w:rtl w:val="0"/>
        </w:rPr>
        <w:t xml:space="preserve"> </w:t>
      </w:r>
    </w:p>
    <w:p>
      <w:pPr>
        <w:pStyle w:val="Body"/>
        <w:jc w:val="both"/>
        <w:rPr>
          <w:rFonts w:ascii="Times New Roman" w:cs="Times New Roman" w:hAnsi="Times New Roman" w:eastAsia="Times New Roman"/>
          <w:b w:val="1"/>
          <w:bCs w:val="1"/>
          <w:sz w:val="24"/>
          <w:szCs w:val="24"/>
          <w:u w:val="none"/>
        </w:rPr>
      </w:pPr>
    </w:p>
    <w:p>
      <w:pPr>
        <w:pStyle w:val="Body"/>
        <w:rPr>
          <w:rFonts w:ascii="Times New Roman" w:cs="Times New Roman" w:hAnsi="Times New Roman" w:eastAsia="Times New Roman"/>
          <w:b w:val="1"/>
          <w:bCs w:val="1"/>
          <w:sz w:val="24"/>
          <w:szCs w:val="24"/>
          <w:u w:val="none"/>
        </w:rPr>
      </w:pPr>
    </w:p>
    <w:p>
      <w:pPr>
        <w:pStyle w:val="Body"/>
        <w:rPr>
          <w:rFonts w:ascii="Times New Roman" w:cs="Times New Roman" w:hAnsi="Times New Roman" w:eastAsia="Times New Roman"/>
          <w:b w:val="1"/>
          <w:bCs w:val="1"/>
          <w:sz w:val="24"/>
          <w:szCs w:val="24"/>
          <w:u w:val="none"/>
        </w:rPr>
      </w:pPr>
    </w:p>
    <w:p>
      <w:pPr>
        <w:pStyle w:val="Body"/>
        <w:rPr>
          <w:rFonts w:ascii="Times New Roman" w:cs="Times New Roman" w:hAnsi="Times New Roman" w:eastAsia="Times New Roman"/>
          <w:b w:val="1"/>
          <w:bCs w:val="1"/>
          <w:sz w:val="24"/>
          <w:szCs w:val="24"/>
          <w:u w:val="none"/>
        </w:rPr>
      </w:pPr>
    </w:p>
    <w:p>
      <w:pPr>
        <w:pStyle w:val="Body"/>
        <w:rPr>
          <w:rFonts w:ascii="Times New Roman" w:cs="Times New Roman" w:hAnsi="Times New Roman" w:eastAsia="Times New Roman"/>
          <w:b w:val="1"/>
          <w:bCs w:val="1"/>
          <w:sz w:val="24"/>
          <w:szCs w:val="24"/>
          <w:u w:val="none"/>
        </w:rPr>
      </w:pPr>
    </w:p>
    <w:p>
      <w:pPr>
        <w:pStyle w:val="Body"/>
        <w:rPr>
          <w:rFonts w:ascii="Times New Roman" w:cs="Times New Roman" w:hAnsi="Times New Roman" w:eastAsia="Times New Roman"/>
          <w:b w:val="1"/>
          <w:bCs w:val="1"/>
          <w:sz w:val="24"/>
          <w:szCs w:val="24"/>
          <w:u w:val="none"/>
        </w:rPr>
      </w:pPr>
    </w:p>
    <w:p>
      <w:pPr>
        <w:pStyle w:val="Body"/>
        <w:rPr>
          <w:rFonts w:ascii="Times New Roman" w:cs="Times New Roman" w:hAnsi="Times New Roman" w:eastAsia="Times New Roman"/>
          <w:sz w:val="24"/>
          <w:szCs w:val="24"/>
          <w:u w:val="single"/>
        </w:rPr>
      </w:pPr>
      <w:r>
        <w:rPr>
          <w:rFonts w:ascii="Times New Roman"/>
          <w:sz w:val="24"/>
          <w:szCs w:val="24"/>
          <w:u w:val="single"/>
          <w:rtl w:val="0"/>
          <w:lang w:val="en-US"/>
        </w:rPr>
        <w:t>Reference List</w:t>
      </w:r>
    </w:p>
    <w:p>
      <w:pPr>
        <w:pStyle w:val="Body"/>
        <w:rPr>
          <w:rFonts w:ascii="Times New Roman" w:cs="Times New Roman" w:hAnsi="Times New Roman" w:eastAsia="Times New Roman"/>
          <w:sz w:val="24"/>
          <w:szCs w:val="24"/>
          <w:lang w:val="en-US"/>
        </w:rPr>
      </w:pPr>
      <w:r>
        <w:rPr>
          <w:rFonts w:ascii="Times New Roman"/>
          <w:sz w:val="24"/>
          <w:szCs w:val="24"/>
          <w:rtl w:val="0"/>
          <w:lang w:val="en-US"/>
        </w:rPr>
        <w:t>Becker, H. (1997). Outsiders Studies in the Sociology of Deviance. Free Press.</w:t>
      </w:r>
    </w:p>
    <w:p>
      <w:pPr>
        <w:pStyle w:val="Body"/>
        <w:rPr>
          <w:rFonts w:ascii="Times New Roman" w:cs="Times New Roman" w:hAnsi="Times New Roman" w:eastAsia="Times New Roman"/>
          <w:sz w:val="24"/>
          <w:szCs w:val="24"/>
          <w:rtl w:val="0"/>
          <w:lang w:val="en-US"/>
        </w:rPr>
      </w:pPr>
      <w:r>
        <w:rPr>
          <w:rFonts w:ascii="Times New Roman"/>
          <w:sz w:val="24"/>
          <w:szCs w:val="24"/>
          <w:rtl w:val="0"/>
          <w:lang w:val="en-US"/>
        </w:rPr>
        <w:t>Bourdieu, P. and Passeron, J. (1990). Reproduction in Education, Society and Culture. SAGE Publications.</w:t>
      </w:r>
    </w:p>
    <w:p>
      <w:pPr>
        <w:pStyle w:val="Body"/>
        <w:rPr>
          <w:rFonts w:ascii="Times New Roman" w:cs="Times New Roman" w:hAnsi="Times New Roman" w:eastAsia="Times New Roman"/>
          <w:sz w:val="24"/>
          <w:szCs w:val="24"/>
          <w:rtl w:val="0"/>
          <w:lang w:val="en-US"/>
        </w:rPr>
      </w:pPr>
      <w:r>
        <w:rPr>
          <w:rFonts w:ascii="Times New Roman"/>
          <w:sz w:val="24"/>
          <w:szCs w:val="24"/>
          <w:rtl w:val="0"/>
          <w:lang w:val="en-US"/>
        </w:rPr>
        <w:t xml:space="preserve">Drew, D. (1995). Race, Education, and Work: The Statistics of Inequality. Avebury.  </w:t>
      </w:r>
    </w:p>
    <w:p>
      <w:pPr>
        <w:pStyle w:val="Body"/>
        <w:rPr>
          <w:rFonts w:ascii="Times New Roman" w:cs="Times New Roman" w:hAnsi="Times New Roman" w:eastAsia="Times New Roman"/>
          <w:sz w:val="24"/>
          <w:szCs w:val="24"/>
          <w:rtl w:val="0"/>
          <w:lang w:val="en-US"/>
        </w:rPr>
      </w:pPr>
      <w:r>
        <w:rPr>
          <w:rFonts w:ascii="Times New Roman"/>
          <w:sz w:val="24"/>
          <w:szCs w:val="24"/>
          <w:rtl w:val="0"/>
          <w:lang w:val="en-US"/>
        </w:rPr>
        <w:t>Flanagan, C. (1999). Early Socialisation: Sociability and Attachment. Routledge.</w:t>
      </w:r>
    </w:p>
    <w:p>
      <w:pPr>
        <w:pStyle w:val="Body"/>
        <w:rPr>
          <w:rFonts w:ascii="Times New Roman" w:cs="Times New Roman" w:hAnsi="Times New Roman" w:eastAsia="Times New Roman"/>
          <w:sz w:val="24"/>
          <w:szCs w:val="24"/>
          <w:rtl w:val="0"/>
          <w:lang w:val="en-US"/>
        </w:rPr>
      </w:pPr>
      <w:r>
        <w:rPr>
          <w:rFonts w:ascii="Times New Roman"/>
          <w:sz w:val="24"/>
          <w:szCs w:val="24"/>
          <w:rtl w:val="0"/>
          <w:lang w:val="en-US"/>
        </w:rPr>
        <w:t xml:space="preserve">Glover, H. (1976). Race Relations Act 1976. [online] Legislation.gov.uk. Available at: </w:t>
      </w:r>
      <w:hyperlink r:id="rId4" w:history="1">
        <w:r>
          <w:rPr>
            <w:rStyle w:val="Hyperlink.0"/>
            <w:rFonts w:ascii="Times New Roman"/>
            <w:sz w:val="24"/>
            <w:szCs w:val="24"/>
            <w:rtl w:val="0"/>
            <w:lang w:val="en-US"/>
          </w:rPr>
          <w:t>http://www.legislation.gov.uk/ukpga/1976/74/pdfs/ukpga_19760074_en.pdf</w:t>
        </w:r>
      </w:hyperlink>
      <w:r>
        <w:rPr>
          <w:rFonts w:ascii="Times New Roman"/>
          <w:sz w:val="24"/>
          <w:szCs w:val="24"/>
          <w:rtl w:val="0"/>
          <w:lang w:val="en-US"/>
        </w:rPr>
        <w:t xml:space="preserve"> [Accessed 16 Nov. 2017].</w:t>
      </w:r>
    </w:p>
    <w:p>
      <w:pPr>
        <w:pStyle w:val="Body"/>
        <w:rPr>
          <w:rFonts w:ascii="Times New Roman" w:cs="Times New Roman" w:hAnsi="Times New Roman" w:eastAsia="Times New Roman"/>
          <w:sz w:val="24"/>
          <w:szCs w:val="24"/>
          <w:rtl w:val="0"/>
          <w:lang w:val="en-US"/>
        </w:rPr>
      </w:pPr>
      <w:r>
        <w:rPr>
          <w:rFonts w:ascii="Times New Roman"/>
          <w:sz w:val="24"/>
          <w:szCs w:val="24"/>
          <w:rtl w:val="0"/>
          <w:lang w:val="en-US"/>
        </w:rPr>
        <w:t>Goode, E. (2016). Deviant Behavior. 11th ed. Routledge.</w:t>
      </w:r>
    </w:p>
    <w:p>
      <w:pPr>
        <w:pStyle w:val="Body"/>
        <w:rPr>
          <w:rFonts w:ascii="Times New Roman" w:cs="Times New Roman" w:hAnsi="Times New Roman" w:eastAsia="Times New Roman"/>
          <w:sz w:val="24"/>
          <w:szCs w:val="24"/>
          <w:rtl w:val="0"/>
          <w:lang w:val="en-US"/>
        </w:rPr>
      </w:pPr>
      <w:r>
        <w:rPr>
          <w:rFonts w:ascii="Times New Roman"/>
          <w:sz w:val="24"/>
          <w:szCs w:val="24"/>
          <w:rtl w:val="0"/>
          <w:lang w:val="en-US"/>
        </w:rPr>
        <w:t xml:space="preserve">GOV.UK. (2017). Unemployment. [online] Available at: </w:t>
      </w:r>
      <w:hyperlink r:id="rId5" w:history="1">
        <w:r>
          <w:rPr>
            <w:rStyle w:val="Hyperlink.0"/>
            <w:rFonts w:ascii="Times New Roman"/>
            <w:sz w:val="24"/>
            <w:szCs w:val="24"/>
            <w:rtl w:val="0"/>
            <w:lang w:val="en-US"/>
          </w:rPr>
          <w:t>https://www.ethnicity-facts-figures.service.gov.uk/work-pay-and-benefits/unemployment-and-economic-inactivity/unemployment/latest</w:t>
        </w:r>
      </w:hyperlink>
      <w:r>
        <w:rPr>
          <w:rFonts w:ascii="Times New Roman"/>
          <w:sz w:val="24"/>
          <w:szCs w:val="24"/>
          <w:rtl w:val="0"/>
          <w:lang w:val="en-US"/>
        </w:rPr>
        <w:t xml:space="preserve"> [Accessed 24 Nov. 2017].</w:t>
      </w:r>
    </w:p>
    <w:p>
      <w:pPr>
        <w:pStyle w:val="Body"/>
        <w:rPr>
          <w:rFonts w:ascii="Times New Roman" w:cs="Times New Roman" w:hAnsi="Times New Roman" w:eastAsia="Times New Roman"/>
          <w:sz w:val="24"/>
          <w:szCs w:val="24"/>
          <w:rtl w:val="0"/>
          <w:lang w:val="en-US"/>
        </w:rPr>
      </w:pPr>
      <w:r>
        <w:rPr>
          <w:rFonts w:ascii="Times New Roman"/>
          <w:sz w:val="24"/>
          <w:szCs w:val="24"/>
          <w:rtl w:val="0"/>
          <w:lang w:val="en-US"/>
        </w:rPr>
        <w:t xml:space="preserve">Marx, K. (1990). Capital. Penguin Books Limited. </w:t>
      </w:r>
    </w:p>
    <w:p>
      <w:pPr>
        <w:pStyle w:val="Body"/>
        <w:rPr>
          <w:rFonts w:ascii="Times New Roman" w:cs="Times New Roman" w:hAnsi="Times New Roman" w:eastAsia="Times New Roman"/>
          <w:sz w:val="24"/>
          <w:szCs w:val="24"/>
          <w:rtl w:val="0"/>
          <w:lang w:val="en-US"/>
        </w:rPr>
      </w:pPr>
      <w:r>
        <w:rPr>
          <w:rFonts w:ascii="Times New Roman"/>
          <w:sz w:val="24"/>
          <w:szCs w:val="24"/>
          <w:rtl w:val="0"/>
          <w:lang w:val="en-US"/>
        </w:rPr>
        <w:t xml:space="preserve">McGuire, K. (2012). Maslow's hierarchy of needs. An introduction. GRIN Verlag. </w:t>
      </w:r>
    </w:p>
    <w:p>
      <w:pPr>
        <w:pStyle w:val="Body"/>
        <w:rPr>
          <w:rFonts w:ascii="Times New Roman" w:cs="Times New Roman" w:hAnsi="Times New Roman" w:eastAsia="Times New Roman"/>
          <w:sz w:val="24"/>
          <w:szCs w:val="24"/>
          <w:rtl w:val="0"/>
          <w:lang w:val="en-US"/>
        </w:rPr>
      </w:pPr>
      <w:r>
        <w:rPr>
          <w:rFonts w:ascii="Times New Roman"/>
          <w:sz w:val="24"/>
          <w:szCs w:val="24"/>
          <w:rtl w:val="0"/>
          <w:lang w:val="en-US"/>
        </w:rPr>
        <w:t>Moncrieffe, J. and Eyben, R. (2007). The Power of Labelling: How People are Categorized and why it Matters. Earthscan.</w:t>
      </w:r>
    </w:p>
    <w:p>
      <w:pPr>
        <w:pStyle w:val="Body"/>
        <w:rPr>
          <w:rFonts w:ascii="Times New Roman" w:cs="Times New Roman" w:hAnsi="Times New Roman" w:eastAsia="Times New Roman"/>
          <w:sz w:val="24"/>
          <w:szCs w:val="24"/>
          <w:rtl w:val="0"/>
          <w:lang w:val="en-US"/>
        </w:rPr>
      </w:pPr>
      <w:r>
        <w:rPr>
          <w:rFonts w:ascii="Times New Roman"/>
          <w:sz w:val="24"/>
          <w:szCs w:val="24"/>
          <w:rtl w:val="0"/>
          <w:lang w:val="en-US"/>
        </w:rPr>
        <w:t xml:space="preserve">Race, R. and Lander, V. (2014). Advancing Race and Ethnicity in Education. Palgrave Macmillan.  </w:t>
      </w:r>
    </w:p>
    <w:p>
      <w:pPr>
        <w:pStyle w:val="Body"/>
        <w:rPr>
          <w:rFonts w:ascii="Times New Roman" w:cs="Times New Roman" w:hAnsi="Times New Roman" w:eastAsia="Times New Roman"/>
          <w:sz w:val="24"/>
          <w:szCs w:val="24"/>
          <w:rtl w:val="0"/>
          <w:lang w:val="en-US"/>
        </w:rPr>
      </w:pPr>
      <w:r>
        <w:rPr>
          <w:rFonts w:ascii="Times New Roman"/>
          <w:sz w:val="24"/>
          <w:szCs w:val="24"/>
          <w:rtl w:val="0"/>
          <w:lang w:val="en-US"/>
        </w:rPr>
        <w:t xml:space="preserve">Race Relations (Amendment) Act. (2000). Race Relations (Amendment) Act 2000. [online] Available at: </w:t>
      </w:r>
      <w:hyperlink r:id="rId6" w:history="1">
        <w:r>
          <w:rPr>
            <w:rStyle w:val="Hyperlink.0"/>
            <w:rFonts w:ascii="Times New Roman"/>
            <w:sz w:val="24"/>
            <w:szCs w:val="24"/>
            <w:rtl w:val="0"/>
            <w:lang w:val="en-US"/>
          </w:rPr>
          <w:t>http://www.legislation.gov.uk/ukpga/2000/34/contents</w:t>
        </w:r>
      </w:hyperlink>
      <w:r>
        <w:rPr>
          <w:rFonts w:ascii="Times New Roman"/>
          <w:sz w:val="24"/>
          <w:szCs w:val="24"/>
          <w:rtl w:val="0"/>
          <w:lang w:val="en-US"/>
        </w:rPr>
        <w:t xml:space="preserve"> [Accessed 17 Nov. 2017].</w:t>
      </w:r>
    </w:p>
    <w:p>
      <w:pPr>
        <w:pStyle w:val="Body"/>
        <w:rPr>
          <w:rFonts w:ascii="Times New Roman" w:cs="Times New Roman" w:hAnsi="Times New Roman" w:eastAsia="Times New Roman"/>
          <w:sz w:val="24"/>
          <w:szCs w:val="24"/>
          <w:rtl w:val="0"/>
          <w:lang w:val="en-US"/>
        </w:rPr>
      </w:pPr>
      <w:r>
        <w:rPr>
          <w:rFonts w:ascii="Times New Roman"/>
          <w:sz w:val="24"/>
          <w:szCs w:val="24"/>
          <w:rtl w:val="0"/>
          <w:lang w:val="en-US"/>
        </w:rPr>
        <w:t xml:space="preserve">Rock, P. (1973). Deviant Behaviour. Hutchinson. </w:t>
      </w:r>
    </w:p>
    <w:p>
      <w:pPr>
        <w:pStyle w:val="Body"/>
        <w:rPr>
          <w:rFonts w:ascii="Times New Roman" w:cs="Times New Roman" w:hAnsi="Times New Roman" w:eastAsia="Times New Roman"/>
          <w:sz w:val="24"/>
          <w:szCs w:val="24"/>
          <w:rtl w:val="0"/>
          <w:lang w:val="en-US"/>
        </w:rPr>
      </w:pPr>
      <w:r>
        <w:rPr>
          <w:rFonts w:ascii="Times New Roman"/>
          <w:sz w:val="24"/>
          <w:szCs w:val="24"/>
          <w:rtl w:val="0"/>
          <w:lang w:val="en-US"/>
        </w:rPr>
        <w:t>Roemer, J. (2000). Equality of Opportunity. Harvard University Press.</w:t>
      </w:r>
    </w:p>
    <w:p>
      <w:pPr>
        <w:pStyle w:val="Body"/>
        <w:rPr>
          <w:rFonts w:ascii="Times New Roman" w:cs="Times New Roman" w:hAnsi="Times New Roman" w:eastAsia="Times New Roman"/>
          <w:sz w:val="24"/>
          <w:szCs w:val="24"/>
          <w:rtl w:val="0"/>
          <w:lang w:val="en-US"/>
        </w:rPr>
      </w:pPr>
      <w:r>
        <w:rPr>
          <w:rFonts w:ascii="Times New Roman"/>
          <w:sz w:val="24"/>
          <w:szCs w:val="24"/>
          <w:rtl w:val="0"/>
          <w:lang w:val="en-US"/>
        </w:rPr>
        <w:t>Schaffer, H. (1995). Early Socialization. Wiley.</w:t>
      </w:r>
    </w:p>
    <w:p>
      <w:pPr>
        <w:pStyle w:val="Body"/>
        <w:rPr>
          <w:rFonts w:ascii="Times New Roman" w:cs="Times New Roman" w:hAnsi="Times New Roman" w:eastAsia="Times New Roman"/>
          <w:sz w:val="24"/>
          <w:szCs w:val="24"/>
          <w:rtl w:val="0"/>
          <w:lang w:val="en-US"/>
        </w:rPr>
      </w:pPr>
      <w:r>
        <w:rPr>
          <w:rFonts w:ascii="Times New Roman"/>
          <w:sz w:val="24"/>
          <w:szCs w:val="24"/>
          <w:rtl w:val="0"/>
          <w:lang w:val="en-US"/>
        </w:rPr>
        <w:t xml:space="preserve">The National Archives. (2017). Equality Act 2010. [online] Available at: </w:t>
      </w:r>
      <w:hyperlink r:id="rId7" w:history="1">
        <w:r>
          <w:rPr>
            <w:rStyle w:val="Hyperlink.0"/>
            <w:rFonts w:ascii="Times New Roman"/>
            <w:sz w:val="24"/>
            <w:szCs w:val="24"/>
            <w:rtl w:val="0"/>
            <w:lang w:val="en-US"/>
          </w:rPr>
          <w:t>https://www.legislation.gov.uk/ukpga/2010/15/contents</w:t>
        </w:r>
      </w:hyperlink>
      <w:r>
        <w:rPr>
          <w:rFonts w:ascii="Times New Roman"/>
          <w:sz w:val="24"/>
          <w:szCs w:val="24"/>
          <w:rtl w:val="0"/>
          <w:lang w:val="en-US"/>
        </w:rPr>
        <w:t xml:space="preserve"> [Accessed 16 Nov. 2017].</w:t>
      </w:r>
    </w:p>
    <w:p>
      <w:pPr>
        <w:pStyle w:val="Body"/>
        <w:rPr>
          <w:rFonts w:ascii="Times New Roman" w:cs="Times New Roman" w:hAnsi="Times New Roman" w:eastAsia="Times New Roman"/>
          <w:sz w:val="24"/>
          <w:szCs w:val="24"/>
          <w:lang w:val="en-US"/>
        </w:rPr>
      </w:pPr>
    </w:p>
    <w:p>
      <w:pPr>
        <w:pStyle w:val="Body"/>
      </w:pPr>
      <w:r>
        <w:rPr>
          <w:rFonts w:ascii="Times New Roman" w:cs="Times New Roman" w:hAnsi="Times New Roman" w:eastAsia="Times New Roman"/>
          <w:sz w:val="24"/>
          <w:szCs w:val="24"/>
          <w:lang w:val="en-US"/>
        </w:rPr>
      </w:r>
    </w:p>
    <w:sectPr>
      <w:headerReference w:type="default" r:id="rId8"/>
      <w:footerReference w:type="default" r:id="rId9"/>
      <w:pgSz w:w="12240" w:h="15840" w:orient="portrait"/>
      <w:pgMar w:top="1440" w:right="1440" w:bottom="1440" w:left="144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widowControl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pPr>
      <w:pStyle w:val="Header &amp; Footer"/>
      <w:widowControl w:val="0"/>
    </w:pPr>
    <w:r>
      <mc:AlternateContent>
        <mc:Choice Requires="wps">
          <w:drawing>
            <wp:anchor distT="152400" distB="152400" distL="152400" distR="152400" simplePos="0" relativeHeight="251658240" behindDoc="1" locked="0" layoutInCell="1" allowOverlap="1">
              <wp:simplePos x="0" y="0"/>
              <wp:positionH relativeFrom="page">
                <wp:posOffset>914400</wp:posOffset>
              </wp:positionH>
              <wp:positionV relativeFrom="page">
                <wp:posOffset>457200</wp:posOffset>
              </wp:positionV>
              <wp:extent cx="5943600" cy="228600"/>
              <wp:effectExtent l="0" t="0" r="0" b="0"/>
              <wp:wrapNone/>
              <wp:docPr id="1073741825" name="officeArt object"/>
              <wp:cNvGraphicFramePr/>
              <a:graphic xmlns:a="http://schemas.openxmlformats.org/drawingml/2006/main">
                <a:graphicData uri="http://schemas.microsoft.com/office/word/2010/wordprocessingShape">
                  <wps:wsp>
                    <wps:cNvSpPr/>
                    <wps:spPr>
                      <a:xfrm>
                        <a:off x="0" y="0"/>
                        <a:ext cx="5943600" cy="228600"/>
                      </a:xfrm>
                      <a:prstGeom prst="rect">
                        <a:avLst/>
                      </a:prstGeom>
                    </wps:spPr>
                    <wps:txbx>
                      <w:txbxContent>
                        <w:tbl>
                          <w:tblPr>
                            <w:tblW w:w="9360" w:type="dxa"/>
                            <w:tblInd w:w="10"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3120"/>
                            <w:gridCol w:w="3120"/>
                            <w:gridCol w:w="3120"/>
                          </w:tblGrid>
                          <w:tr>
                            <w:tblPrEx>
                              <w:shd w:val="clear" w:color="auto" w:fill="auto"/>
                            </w:tblPrEx>
                            <w:trPr>
                              <w:trHeight w:val="240" w:hRule="atLeast"/>
                            </w:trPr>
                            <w:tc>
                              <w:tcPr>
                                <w:tcW w:type="dxa" w:w="3120"/>
                                <w:tcBorders>
                                  <w:top w:val="nil"/>
                                  <w:left w:val="nil"/>
                                  <w:bottom w:val="nil"/>
                                  <w:right w:val="nil"/>
                                </w:tcBorders>
                                <w:shd w:val="clear" w:color="auto" w:fill="auto"/>
                                <w:tcMar>
                                  <w:top w:type="dxa" w:w="80"/>
                                  <w:left w:type="dxa" w:w="80"/>
                                  <w:bottom w:type="dxa" w:w="80"/>
                                  <w:right w:type="dxa" w:w="80"/>
                                </w:tcMar>
                                <w:vAlign w:val="top"/>
                              </w:tcPr>
                              <w:p>
                                <w:pPr>
                                  <w:pStyle w:val="header"/>
                                  <w:tabs>
                                    <w:tab w:val="right" w:pos="9340"/>
                                    <w:tab w:val="clear" w:pos="9360"/>
                                  </w:tabs>
                                </w:pPr>
                                <w:r>
                                  <w:rPr>
                                    <w:rFonts w:ascii="Calibri" w:cs="Calibri" w:hAnsi="Calibri" w:eastAsia="Calibri"/>
                                    <w:caps w:val="0"/>
                                    <w:smallCaps w:val="0"/>
                                    <w:strike w:val="0"/>
                                    <w:dstrike w:val="0"/>
                                    <w:outline w:val="0"/>
                                    <w:color w:val="000000"/>
                                    <w:spacing w:val="0"/>
                                    <w:kern w:val="0"/>
                                    <w:position w:val="0"/>
                                    <w:sz w:val="22"/>
                                    <w:szCs w:val="22"/>
                                    <w:u w:val="none" w:color="000000"/>
                                    <w:vertAlign w:val="baseline"/>
                                    <w:rtl w:val="0"/>
                                    <w:lang w:val="en-US"/>
                                  </w:rPr>
                                  <w:t xml:space="preserve">Rebecca Graham </w:t>
                                </w:r>
                                <w:r>
                                  <w:rPr>
                                    <w:rFonts w:ascii="Calibri" w:cs="Calibri" w:hAnsi="Calibri" w:eastAsia="Calibri"/>
                                    <w:caps w:val="0"/>
                                    <w:smallCaps w:val="0"/>
                                    <w:strike w:val="0"/>
                                    <w:dstrike w:val="0"/>
                                    <w:outline w:val="0"/>
                                    <w:color w:val="000000"/>
                                    <w:spacing w:val="0"/>
                                    <w:kern w:val="0"/>
                                    <w:position w:val="0"/>
                                    <w:sz w:val="22"/>
                                    <w:szCs w:val="22"/>
                                    <w:u w:val="none" w:color="000000"/>
                                    <w:vertAlign w:val="baseline"/>
                                    <w:rtl w:val="0"/>
                                    <w:lang w:val="en-US"/>
                                  </w:rPr>
                                  <w:fldChar w:fldCharType="begin" w:fldLock="0"/>
                                </w:r>
                                <w:r>
                                  <w:rPr>
                                    <w:rFonts w:ascii="Calibri" w:cs="Calibri" w:hAnsi="Calibri" w:eastAsia="Calibri"/>
                                    <w:caps w:val="0"/>
                                    <w:smallCaps w:val="0"/>
                                    <w:strike w:val="0"/>
                                    <w:dstrike w:val="0"/>
                                    <w:outline w:val="0"/>
                                    <w:color w:val="000000"/>
                                    <w:spacing w:val="0"/>
                                    <w:kern w:val="0"/>
                                    <w:position w:val="0"/>
                                    <w:sz w:val="22"/>
                                    <w:szCs w:val="22"/>
                                    <w:u w:val="none" w:color="000000"/>
                                    <w:vertAlign w:val="baseline"/>
                                    <w:rtl w:val="0"/>
                                    <w:lang w:val="en-US"/>
                                  </w:rPr>
                                  <w:t xml:space="preserve"> PAGE </w:t>
                                </w:r>
                                <w:r>
                                  <w:rPr>
                                    <w:rFonts w:ascii="Calibri" w:cs="Calibri" w:hAnsi="Calibri" w:eastAsia="Calibri"/>
                                    <w:caps w:val="0"/>
                                    <w:smallCaps w:val="0"/>
                                    <w:strike w:val="0"/>
                                    <w:dstrike w:val="0"/>
                                    <w:outline w:val="0"/>
                                    <w:color w:val="000000"/>
                                    <w:spacing w:val="0"/>
                                    <w:kern w:val="0"/>
                                    <w:position w:val="0"/>
                                    <w:sz w:val="22"/>
                                    <w:szCs w:val="22"/>
                                    <w:u w:val="none" w:color="000000"/>
                                    <w:vertAlign w:val="baseline"/>
                                    <w:rtl w:val="0"/>
                                    <w:lang w:val="en-US"/>
                                  </w:rPr>
                                  <w:fldChar w:fldCharType="separate" w:fldLock="0"/>
                                </w:r>
                                <w:r>
                                  <w:rPr>
                                    <w:rFonts w:ascii="Calibri" w:cs="Calibri" w:hAnsi="Calibri" w:eastAsia="Calibri"/>
                                    <w:caps w:val="0"/>
                                    <w:smallCaps w:val="0"/>
                                    <w:strike w:val="0"/>
                                    <w:dstrike w:val="0"/>
                                    <w:outline w:val="0"/>
                                    <w:color w:val="000000"/>
                                    <w:spacing w:val="0"/>
                                    <w:kern w:val="0"/>
                                    <w:position w:val="0"/>
                                    <w:sz w:val="22"/>
                                    <w:szCs w:val="22"/>
                                    <w:u w:val="none" w:color="000000"/>
                                    <w:vertAlign w:val="baseline"/>
                                    <w:rtl w:val="0"/>
                                    <w:lang w:val="en-US"/>
                                  </w:rPr>
                                  <w:t>1</w:t>
                                </w:r>
                                <w:r>
                                  <w:rPr>
                                    <w:rFonts w:ascii="Calibri" w:cs="Calibri" w:hAnsi="Calibri" w:eastAsia="Calibri"/>
                                    <w:caps w:val="0"/>
                                    <w:smallCaps w:val="0"/>
                                    <w:strike w:val="0"/>
                                    <w:dstrike w:val="0"/>
                                    <w:outline w:val="0"/>
                                    <w:color w:val="000000"/>
                                    <w:spacing w:val="0"/>
                                    <w:kern w:val="0"/>
                                    <w:position w:val="0"/>
                                    <w:sz w:val="22"/>
                                    <w:szCs w:val="22"/>
                                    <w:u w:val="none" w:color="000000"/>
                                    <w:vertAlign w:val="baseline"/>
                                    <w:rtl w:val="0"/>
                                    <w:lang w:val="en-US"/>
                                  </w:rPr>
                                  <w:fldChar w:fldCharType="end" w:fldLock="0"/>
                                </w:r>
                              </w:p>
                            </w:tc>
                            <w:tc>
                              <w:tcPr>
                                <w:tcW w:type="dxa" w:w="3120"/>
                                <w:tcBorders>
                                  <w:top w:val="nil"/>
                                  <w:left w:val="nil"/>
                                  <w:bottom w:val="nil"/>
                                  <w:right w:val="nil"/>
                                </w:tcBorders>
                                <w:shd w:val="clear" w:color="auto" w:fill="auto"/>
                                <w:tcMar>
                                  <w:top w:type="dxa" w:w="80"/>
                                  <w:left w:type="dxa" w:w="80"/>
                                  <w:bottom w:type="dxa" w:w="80"/>
                                  <w:right w:type="dxa" w:w="80"/>
                                </w:tcMar>
                                <w:vAlign w:val="top"/>
                              </w:tcPr>
                              <w:p>
                                <w:pPr>
                                  <w:pStyle w:val="header"/>
                                  <w:tabs>
                                    <w:tab w:val="right" w:pos="9340"/>
                                    <w:tab w:val="clear" w:pos="9360"/>
                                  </w:tabs>
                                  <w:jc w:val="center"/>
                                </w:pPr>
                                <w:r>
                                  <w:rPr>
                                    <w:rFonts w:ascii="Calibri" w:cs="Calibri" w:hAnsi="Calibri" w:eastAsia="Calibri"/>
                                    <w:caps w:val="0"/>
                                    <w:smallCaps w:val="0"/>
                                    <w:strike w:val="0"/>
                                    <w:dstrike w:val="0"/>
                                    <w:outline w:val="0"/>
                                    <w:color w:val="000000"/>
                                    <w:spacing w:val="0"/>
                                    <w:kern w:val="0"/>
                                    <w:position w:val="0"/>
                                    <w:sz w:val="22"/>
                                    <w:szCs w:val="22"/>
                                    <w:u w:val="none" w:color="000000"/>
                                    <w:vertAlign w:val="baseline"/>
                                    <w:rtl w:val="0"/>
                                    <w:lang w:val="en-US"/>
                                  </w:rPr>
                                  <w:t>1500968</w:t>
                                </w:r>
                              </w:p>
                            </w:tc>
                            <w:tc>
                              <w:tcPr>
                                <w:tcW w:type="dxa" w:w="3120"/>
                                <w:tcBorders>
                                  <w:top w:val="nil"/>
                                  <w:left w:val="nil"/>
                                  <w:bottom w:val="nil"/>
                                  <w:right w:val="nil"/>
                                </w:tcBorders>
                                <w:shd w:val="clear" w:color="auto" w:fill="auto"/>
                                <w:tcMar>
                                  <w:top w:type="dxa" w:w="80"/>
                                  <w:left w:type="dxa" w:w="80"/>
                                  <w:bottom w:type="dxa" w:w="80"/>
                                  <w:right w:type="dxa" w:w="80"/>
                                </w:tcMar>
                                <w:vAlign w:val="top"/>
                              </w:tcPr>
                              <w:p>
                                <w:pPr>
                                  <w:pStyle w:val="header"/>
                                  <w:tabs>
                                    <w:tab w:val="right" w:pos="9340"/>
                                    <w:tab w:val="clear" w:pos="9360"/>
                                  </w:tabs>
                                  <w:jc w:val="right"/>
                                </w:pPr>
                                <w:r>
                                  <w:rPr>
                                    <w:rFonts w:ascii="Calibri" w:cs="Calibri" w:hAnsi="Calibri" w:eastAsia="Calibri"/>
                                    <w:caps w:val="0"/>
                                    <w:smallCaps w:val="0"/>
                                    <w:strike w:val="0"/>
                                    <w:dstrike w:val="0"/>
                                    <w:outline w:val="0"/>
                                    <w:color w:val="000000"/>
                                    <w:spacing w:val="0"/>
                                    <w:kern w:val="0"/>
                                    <w:position w:val="0"/>
                                    <w:sz w:val="22"/>
                                    <w:szCs w:val="22"/>
                                    <w:u w:val="none" w:color="000000"/>
                                    <w:vertAlign w:val="baseline"/>
                                    <w:rtl w:val="0"/>
                                    <w:lang w:val="en-US"/>
                                  </w:rPr>
                                  <w:t>SJSI5018</w:t>
                                </w:r>
                              </w:p>
                            </w:tc>
                          </w:tr>
                        </w:tbl>
                      </w:txbxContent>
                    </wps:txbx>
                    <wps:bodyPr lIns="0" tIns="0" rIns="0" bIns="0">
                      <a:spAutoFit/>
                    </wps:bodyPr>
                  </wps:wsp>
                </a:graphicData>
              </a:graphic>
            </wp:anchor>
          </w:drawing>
        </mc:Choice>
        <mc:Fallback>
          <w:pict>
            <v:shape id="_x0000_s1026" type="#_x0000_t202" style="visibility:visible;position:absolute;margin-left:72.0pt;margin-top:36.0pt;width:468.0pt;height:18.0pt;z-index:-251658240;mso-position-horizontal:absolute;mso-position-horizontal-relative:page;mso-position-vertical:absolute;mso-position-vertical-relative:page;mso-wrap-distance-left:12.0pt;mso-wrap-distance-top:12.0pt;mso-wrap-distance-right:12.0pt;mso-wrap-distance-bottom:12.0pt;">
              <v:fill on="f"/>
              <v:stroke on="f" weight="0.8pt" dashstyle="solid" endcap="flat" joinstyle="bevel" linestyle="single" startarrow="none" startarrowwidth="medium" startarrowlength="medium" endarrow="none" endarrowwidth="medium" endarrowlength="medium"/>
              <v:textbox>
                <w:txbxContent>
                  <w:tbl>
                    <w:tblPr>
                      <w:tblW w:w="9360" w:type="dxa"/>
                      <w:tblInd w:w="10"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3120"/>
                      <w:gridCol w:w="3120"/>
                      <w:gridCol w:w="3120"/>
                    </w:tblGrid>
                    <w:tr>
                      <w:tblPrEx>
                        <w:shd w:val="clear" w:color="auto" w:fill="auto"/>
                      </w:tblPrEx>
                      <w:trPr>
                        <w:trHeight w:val="240" w:hRule="atLeast"/>
                      </w:trPr>
                      <w:tc>
                        <w:tcPr>
                          <w:tcW w:type="dxa" w:w="3120"/>
                          <w:tcBorders>
                            <w:top w:val="nil"/>
                            <w:left w:val="nil"/>
                            <w:bottom w:val="nil"/>
                            <w:right w:val="nil"/>
                          </w:tcBorders>
                          <w:shd w:val="clear" w:color="auto" w:fill="auto"/>
                          <w:tcMar>
                            <w:top w:type="dxa" w:w="80"/>
                            <w:left w:type="dxa" w:w="80"/>
                            <w:bottom w:type="dxa" w:w="80"/>
                            <w:right w:type="dxa" w:w="80"/>
                          </w:tcMar>
                          <w:vAlign w:val="top"/>
                        </w:tcPr>
                        <w:p>
                          <w:pPr>
                            <w:pStyle w:val="header"/>
                            <w:tabs>
                              <w:tab w:val="right" w:pos="9340"/>
                              <w:tab w:val="clear" w:pos="9360"/>
                            </w:tabs>
                          </w:pPr>
                          <w:r>
                            <w:rPr>
                              <w:rFonts w:ascii="Calibri" w:cs="Calibri" w:hAnsi="Calibri" w:eastAsia="Calibri"/>
                              <w:caps w:val="0"/>
                              <w:smallCaps w:val="0"/>
                              <w:strike w:val="0"/>
                              <w:dstrike w:val="0"/>
                              <w:outline w:val="0"/>
                              <w:color w:val="000000"/>
                              <w:spacing w:val="0"/>
                              <w:kern w:val="0"/>
                              <w:position w:val="0"/>
                              <w:sz w:val="22"/>
                              <w:szCs w:val="22"/>
                              <w:u w:val="none" w:color="000000"/>
                              <w:vertAlign w:val="baseline"/>
                              <w:rtl w:val="0"/>
                              <w:lang w:val="en-US"/>
                            </w:rPr>
                            <w:t xml:space="preserve">Rebecca Graham </w:t>
                          </w:r>
                          <w:r>
                            <w:rPr>
                              <w:rFonts w:ascii="Calibri" w:cs="Calibri" w:hAnsi="Calibri" w:eastAsia="Calibri"/>
                              <w:caps w:val="0"/>
                              <w:smallCaps w:val="0"/>
                              <w:strike w:val="0"/>
                              <w:dstrike w:val="0"/>
                              <w:outline w:val="0"/>
                              <w:color w:val="000000"/>
                              <w:spacing w:val="0"/>
                              <w:kern w:val="0"/>
                              <w:position w:val="0"/>
                              <w:sz w:val="22"/>
                              <w:szCs w:val="22"/>
                              <w:u w:val="none" w:color="000000"/>
                              <w:vertAlign w:val="baseline"/>
                              <w:rtl w:val="0"/>
                              <w:lang w:val="en-US"/>
                            </w:rPr>
                            <w:fldChar w:fldCharType="begin" w:fldLock="0"/>
                          </w:r>
                          <w:r>
                            <w:rPr>
                              <w:rFonts w:ascii="Calibri" w:cs="Calibri" w:hAnsi="Calibri" w:eastAsia="Calibri"/>
                              <w:caps w:val="0"/>
                              <w:smallCaps w:val="0"/>
                              <w:strike w:val="0"/>
                              <w:dstrike w:val="0"/>
                              <w:outline w:val="0"/>
                              <w:color w:val="000000"/>
                              <w:spacing w:val="0"/>
                              <w:kern w:val="0"/>
                              <w:position w:val="0"/>
                              <w:sz w:val="22"/>
                              <w:szCs w:val="22"/>
                              <w:u w:val="none" w:color="000000"/>
                              <w:vertAlign w:val="baseline"/>
                              <w:rtl w:val="0"/>
                              <w:lang w:val="en-US"/>
                            </w:rPr>
                            <w:t xml:space="preserve"> PAGE </w:t>
                          </w:r>
                          <w:r>
                            <w:rPr>
                              <w:rFonts w:ascii="Calibri" w:cs="Calibri" w:hAnsi="Calibri" w:eastAsia="Calibri"/>
                              <w:caps w:val="0"/>
                              <w:smallCaps w:val="0"/>
                              <w:strike w:val="0"/>
                              <w:dstrike w:val="0"/>
                              <w:outline w:val="0"/>
                              <w:color w:val="000000"/>
                              <w:spacing w:val="0"/>
                              <w:kern w:val="0"/>
                              <w:position w:val="0"/>
                              <w:sz w:val="22"/>
                              <w:szCs w:val="22"/>
                              <w:u w:val="none" w:color="000000"/>
                              <w:vertAlign w:val="baseline"/>
                              <w:rtl w:val="0"/>
                              <w:lang w:val="en-US"/>
                            </w:rPr>
                            <w:fldChar w:fldCharType="separate" w:fldLock="0"/>
                          </w:r>
                          <w:r>
                            <w:rPr>
                              <w:rFonts w:ascii="Calibri" w:cs="Calibri" w:hAnsi="Calibri" w:eastAsia="Calibri"/>
                              <w:caps w:val="0"/>
                              <w:smallCaps w:val="0"/>
                              <w:strike w:val="0"/>
                              <w:dstrike w:val="0"/>
                              <w:outline w:val="0"/>
                              <w:color w:val="000000"/>
                              <w:spacing w:val="0"/>
                              <w:kern w:val="0"/>
                              <w:position w:val="0"/>
                              <w:sz w:val="22"/>
                              <w:szCs w:val="22"/>
                              <w:u w:val="none" w:color="000000"/>
                              <w:vertAlign w:val="baseline"/>
                              <w:rtl w:val="0"/>
                              <w:lang w:val="en-US"/>
                            </w:rPr>
                            <w:t>1</w:t>
                          </w:r>
                          <w:r>
                            <w:rPr>
                              <w:rFonts w:ascii="Calibri" w:cs="Calibri" w:hAnsi="Calibri" w:eastAsia="Calibri"/>
                              <w:caps w:val="0"/>
                              <w:smallCaps w:val="0"/>
                              <w:strike w:val="0"/>
                              <w:dstrike w:val="0"/>
                              <w:outline w:val="0"/>
                              <w:color w:val="000000"/>
                              <w:spacing w:val="0"/>
                              <w:kern w:val="0"/>
                              <w:position w:val="0"/>
                              <w:sz w:val="22"/>
                              <w:szCs w:val="22"/>
                              <w:u w:val="none" w:color="000000"/>
                              <w:vertAlign w:val="baseline"/>
                              <w:rtl w:val="0"/>
                              <w:lang w:val="en-US"/>
                            </w:rPr>
                            <w:fldChar w:fldCharType="end" w:fldLock="0"/>
                          </w:r>
                        </w:p>
                      </w:tc>
                      <w:tc>
                        <w:tcPr>
                          <w:tcW w:type="dxa" w:w="3120"/>
                          <w:tcBorders>
                            <w:top w:val="nil"/>
                            <w:left w:val="nil"/>
                            <w:bottom w:val="nil"/>
                            <w:right w:val="nil"/>
                          </w:tcBorders>
                          <w:shd w:val="clear" w:color="auto" w:fill="auto"/>
                          <w:tcMar>
                            <w:top w:type="dxa" w:w="80"/>
                            <w:left w:type="dxa" w:w="80"/>
                            <w:bottom w:type="dxa" w:w="80"/>
                            <w:right w:type="dxa" w:w="80"/>
                          </w:tcMar>
                          <w:vAlign w:val="top"/>
                        </w:tcPr>
                        <w:p>
                          <w:pPr>
                            <w:pStyle w:val="header"/>
                            <w:tabs>
                              <w:tab w:val="right" w:pos="9340"/>
                              <w:tab w:val="clear" w:pos="9360"/>
                            </w:tabs>
                            <w:jc w:val="center"/>
                          </w:pPr>
                          <w:r>
                            <w:rPr>
                              <w:rFonts w:ascii="Calibri" w:cs="Calibri" w:hAnsi="Calibri" w:eastAsia="Calibri"/>
                              <w:caps w:val="0"/>
                              <w:smallCaps w:val="0"/>
                              <w:strike w:val="0"/>
                              <w:dstrike w:val="0"/>
                              <w:outline w:val="0"/>
                              <w:color w:val="000000"/>
                              <w:spacing w:val="0"/>
                              <w:kern w:val="0"/>
                              <w:position w:val="0"/>
                              <w:sz w:val="22"/>
                              <w:szCs w:val="22"/>
                              <w:u w:val="none" w:color="000000"/>
                              <w:vertAlign w:val="baseline"/>
                              <w:rtl w:val="0"/>
                              <w:lang w:val="en-US"/>
                            </w:rPr>
                            <w:t>1500968</w:t>
                          </w:r>
                        </w:p>
                      </w:tc>
                      <w:tc>
                        <w:tcPr>
                          <w:tcW w:type="dxa" w:w="3120"/>
                          <w:tcBorders>
                            <w:top w:val="nil"/>
                            <w:left w:val="nil"/>
                            <w:bottom w:val="nil"/>
                            <w:right w:val="nil"/>
                          </w:tcBorders>
                          <w:shd w:val="clear" w:color="auto" w:fill="auto"/>
                          <w:tcMar>
                            <w:top w:type="dxa" w:w="80"/>
                            <w:left w:type="dxa" w:w="80"/>
                            <w:bottom w:type="dxa" w:w="80"/>
                            <w:right w:type="dxa" w:w="80"/>
                          </w:tcMar>
                          <w:vAlign w:val="top"/>
                        </w:tcPr>
                        <w:p>
                          <w:pPr>
                            <w:pStyle w:val="header"/>
                            <w:tabs>
                              <w:tab w:val="right" w:pos="9340"/>
                              <w:tab w:val="clear" w:pos="9360"/>
                            </w:tabs>
                            <w:jc w:val="right"/>
                          </w:pPr>
                          <w:r>
                            <w:rPr>
                              <w:rFonts w:ascii="Calibri" w:cs="Calibri" w:hAnsi="Calibri" w:eastAsia="Calibri"/>
                              <w:caps w:val="0"/>
                              <w:smallCaps w:val="0"/>
                              <w:strike w:val="0"/>
                              <w:dstrike w:val="0"/>
                              <w:outline w:val="0"/>
                              <w:color w:val="000000"/>
                              <w:spacing w:val="0"/>
                              <w:kern w:val="0"/>
                              <w:position w:val="0"/>
                              <w:sz w:val="22"/>
                              <w:szCs w:val="22"/>
                              <w:u w:val="none" w:color="000000"/>
                              <w:vertAlign w:val="baseline"/>
                              <w:rtl w:val="0"/>
                              <w:lang w:val="en-US"/>
                            </w:rPr>
                            <w:t>SJSI5018</w:t>
                          </w:r>
                        </w:p>
                      </w:tc>
                    </w:tr>
                  </w:tbl>
                </w:txbxContent>
              </v:textbox>
              <w10:wrap type="none" side="bothSides" anchorx="page" anchory="page"/>
            </v:shape>
          </w:pict>
        </mc:Fallback>
      </mc:AlternateContent>
    </w:r>
    <w:r>
      <mc:AlternateContent>
        <mc:Choice Requires="wps">
          <w:drawing>
            <wp:anchor distT="152400" distB="152400" distL="152400" distR="152400" simplePos="0" relativeHeight="251659264" behindDoc="1" locked="0" layoutInCell="1" allowOverlap="1">
              <wp:simplePos x="0" y="0"/>
              <wp:positionH relativeFrom="page">
                <wp:posOffset>914400</wp:posOffset>
              </wp:positionH>
              <wp:positionV relativeFrom="page">
                <wp:posOffset>8458200</wp:posOffset>
              </wp:positionV>
              <wp:extent cx="5943600" cy="228600"/>
              <wp:effectExtent l="0" t="0" r="0" b="0"/>
              <wp:wrapNone/>
              <wp:docPr id="1073741826" name="officeArt object"/>
              <wp:cNvGraphicFramePr/>
              <a:graphic xmlns:a="http://schemas.openxmlformats.org/drawingml/2006/main">
                <a:graphicData uri="http://schemas.microsoft.com/office/word/2010/wordprocessingShape">
                  <wps:wsp>
                    <wps:cNvSpPr/>
                    <wps:spPr>
                      <a:xfrm>
                        <a:off x="0" y="0"/>
                        <a:ext cx="5943600" cy="228600"/>
                      </a:xfrm>
                      <a:prstGeom prst="rect">
                        <a:avLst/>
                      </a:prstGeom>
                    </wps:spPr>
                    <wps:txbx>
                      <w:txbxContent>
                        <w:tbl>
                          <w:tblPr>
                            <w:tblW w:w="9360" w:type="dxa"/>
                            <w:tblInd w:w="10"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3120"/>
                            <w:gridCol w:w="3120"/>
                            <w:gridCol w:w="3120"/>
                          </w:tblGrid>
                          <w:tr>
                            <w:tblPrEx>
                              <w:shd w:val="clear" w:color="auto" w:fill="auto"/>
                            </w:tblPrEx>
                            <w:trPr>
                              <w:trHeight w:val="240" w:hRule="atLeast"/>
                            </w:trPr>
                            <w:tc>
                              <w:tcPr>
                                <w:tcW w:type="dxa" w:w="3120"/>
                                <w:tcBorders>
                                  <w:top w:val="nil"/>
                                  <w:left w:val="nil"/>
                                  <w:bottom w:val="nil"/>
                                  <w:right w:val="nil"/>
                                </w:tcBorders>
                                <w:shd w:val="clear" w:color="auto" w:fill="auto"/>
                                <w:tcMar>
                                  <w:top w:type="dxa" w:w="80"/>
                                  <w:left w:type="dxa" w:w="80"/>
                                  <w:bottom w:type="dxa" w:w="80"/>
                                  <w:right w:type="dxa" w:w="80"/>
                                </w:tcMar>
                                <w:vAlign w:val="top"/>
                              </w:tcPr>
                              <w:p/>
                            </w:tc>
                            <w:tc>
                              <w:tcPr>
                                <w:tcW w:type="dxa" w:w="3120"/>
                                <w:tcBorders>
                                  <w:top w:val="nil"/>
                                  <w:left w:val="nil"/>
                                  <w:bottom w:val="nil"/>
                                  <w:right w:val="nil"/>
                                </w:tcBorders>
                                <w:shd w:val="clear" w:color="auto" w:fill="auto"/>
                                <w:tcMar>
                                  <w:top w:type="dxa" w:w="80"/>
                                  <w:left w:type="dxa" w:w="80"/>
                                  <w:bottom w:type="dxa" w:w="80"/>
                                  <w:right w:type="dxa" w:w="80"/>
                                </w:tcMar>
                                <w:vAlign w:val="top"/>
                              </w:tcPr>
                              <w:p/>
                            </w:tc>
                            <w:tc>
                              <w:tcPr>
                                <w:tcW w:type="dxa" w:w="3120"/>
                                <w:tcBorders>
                                  <w:top w:val="nil"/>
                                  <w:left w:val="nil"/>
                                  <w:bottom w:val="nil"/>
                                  <w:right w:val="nil"/>
                                </w:tcBorders>
                                <w:shd w:val="clear" w:color="auto" w:fill="auto"/>
                                <w:tcMar>
                                  <w:top w:type="dxa" w:w="80"/>
                                  <w:left w:type="dxa" w:w="80"/>
                                  <w:bottom w:type="dxa" w:w="80"/>
                                  <w:right w:type="dxa" w:w="80"/>
                                </w:tcMar>
                                <w:vAlign w:val="top"/>
                              </w:tcPr>
                              <w:p/>
                            </w:tc>
                          </w:tr>
                        </w:tbl>
                      </w:txbxContent>
                    </wps:txbx>
                    <wps:bodyPr lIns="0" tIns="0" rIns="0" bIns="0">
                      <a:spAutoFit/>
                    </wps:bodyPr>
                  </wps:wsp>
                </a:graphicData>
              </a:graphic>
            </wp:anchor>
          </w:drawing>
        </mc:Choice>
        <mc:Fallback>
          <w:pict>
            <v:shape id="_x0000_s1027" type="#_x0000_t202" style="visibility:visible;position:absolute;margin-left:72.0pt;margin-top:666.0pt;width:468.0pt;height:18.0pt;z-index:-251657216;mso-position-horizontal:absolute;mso-position-horizontal-relative:page;mso-position-vertical:absolute;mso-position-vertical-relative:page;mso-wrap-distance-left:12.0pt;mso-wrap-distance-top:12.0pt;mso-wrap-distance-right:12.0pt;mso-wrap-distance-bottom:12.0pt;">
              <v:fill on="f"/>
              <v:stroke on="f" weight="0.8pt" dashstyle="solid" endcap="flat" joinstyle="bevel" linestyle="single" startarrow="none" startarrowwidth="medium" startarrowlength="medium" endarrow="none" endarrowwidth="medium" endarrowlength="medium"/>
              <v:textbox>
                <w:txbxContent>
                  <w:tbl>
                    <w:tblPr>
                      <w:tblW w:w="9360" w:type="dxa"/>
                      <w:tblInd w:w="10" w:type="dxa"/>
                      <w:tblBorders>
                        <w:top w:val="single" w:color="000000" w:sz="2" w:space="0" w:shadow="0" w:frame="0"/>
                        <w:left w:val="single" w:color="000000" w:sz="2" w:space="0" w:shadow="0" w:frame="0"/>
                        <w:bottom w:val="single" w:color="000000" w:sz="2" w:space="0" w:shadow="0" w:frame="0"/>
                        <w:right w:val="single" w:color="000000" w:sz="2" w:space="0" w:shadow="0" w:frame="0"/>
                        <w:insideH w:val="single" w:color="000000" w:sz="2" w:space="0" w:shadow="0" w:frame="0"/>
                        <w:insideV w:val="single" w:color="000000" w:sz="2" w:space="0" w:shadow="0" w:frame="0"/>
                      </w:tblBorders>
                      <w:shd w:val="clear" w:color="auto" w:fill="auto"/>
                      <w:tblLayout w:type="fixed"/>
                    </w:tblPr>
                    <w:tblGrid>
                      <w:gridCol w:w="3120"/>
                      <w:gridCol w:w="3120"/>
                      <w:gridCol w:w="3120"/>
                    </w:tblGrid>
                    <w:tr>
                      <w:tblPrEx>
                        <w:shd w:val="clear" w:color="auto" w:fill="auto"/>
                      </w:tblPrEx>
                      <w:trPr>
                        <w:trHeight w:val="240" w:hRule="atLeast"/>
                      </w:trPr>
                      <w:tc>
                        <w:tcPr>
                          <w:tcW w:type="dxa" w:w="3120"/>
                          <w:tcBorders>
                            <w:top w:val="nil"/>
                            <w:left w:val="nil"/>
                            <w:bottom w:val="nil"/>
                            <w:right w:val="nil"/>
                          </w:tcBorders>
                          <w:shd w:val="clear" w:color="auto" w:fill="auto"/>
                          <w:tcMar>
                            <w:top w:type="dxa" w:w="80"/>
                            <w:left w:type="dxa" w:w="80"/>
                            <w:bottom w:type="dxa" w:w="80"/>
                            <w:right w:type="dxa" w:w="80"/>
                          </w:tcMar>
                          <w:vAlign w:val="top"/>
                        </w:tcPr>
                        <w:p/>
                      </w:tc>
                      <w:tc>
                        <w:tcPr>
                          <w:tcW w:type="dxa" w:w="3120"/>
                          <w:tcBorders>
                            <w:top w:val="nil"/>
                            <w:left w:val="nil"/>
                            <w:bottom w:val="nil"/>
                            <w:right w:val="nil"/>
                          </w:tcBorders>
                          <w:shd w:val="clear" w:color="auto" w:fill="auto"/>
                          <w:tcMar>
                            <w:top w:type="dxa" w:w="80"/>
                            <w:left w:type="dxa" w:w="80"/>
                            <w:bottom w:type="dxa" w:w="80"/>
                            <w:right w:type="dxa" w:w="80"/>
                          </w:tcMar>
                          <w:vAlign w:val="top"/>
                        </w:tcPr>
                        <w:p/>
                      </w:tc>
                      <w:tc>
                        <w:tcPr>
                          <w:tcW w:type="dxa" w:w="3120"/>
                          <w:tcBorders>
                            <w:top w:val="nil"/>
                            <w:left w:val="nil"/>
                            <w:bottom w:val="nil"/>
                            <w:right w:val="nil"/>
                          </w:tcBorders>
                          <w:shd w:val="clear" w:color="auto" w:fill="auto"/>
                          <w:tcMar>
                            <w:top w:type="dxa" w:w="80"/>
                            <w:left w:type="dxa" w:w="80"/>
                            <w:bottom w:type="dxa" w:w="80"/>
                            <w:right w:type="dxa" w:w="80"/>
                          </w:tcMar>
                          <w:vAlign w:val="top"/>
                        </w:tcPr>
                        <w:p/>
                      </w:tc>
                    </w:tr>
                  </w:tbl>
                </w:txbxContent>
              </v:textbox>
              <w10:wrap type="none" side="bothSides" anchorx="page" anchory="page"/>
            </v:shape>
          </w:pict>
        </mc:Fallback>
      </mc:AlternateContent>
    </w:r>
  </w:p>
</w:hdr>
</file>

<file path=word/settings.xml><?xml version="1.0" encoding="utf-8"?>
<w:settings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 w:val="‘“(〔[{〈《「『【⦅〘〖«〝︵︷︹︻︽︿﹁﹃﹇﹙﹛﹝｢"/>
  <w:noLineBreaksBefore w:lang="" w:val="’”)〕]}〉"/>
  <w:compat>
    <w:compatSetting w:name="compatibilityMode" w:uri="http://schemas.microsoft.com/office/word" w:val="15"/>
  </w:compat>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w:cs="Arial Unicode MS" w:hAnsi="Arial Unicode MS" w:eastAsia="Arial Unicode MS"/>
      <w:b w:val="0"/>
      <w:bCs w:val="0"/>
      <w:i w:val="0"/>
      <w:iCs w:val="0"/>
      <w:caps w:val="0"/>
      <w:smallCaps w:val="0"/>
      <w:strike w:val="0"/>
      <w:dstrike w:val="0"/>
      <w:outline w:val="0"/>
      <w:color w:val="000000"/>
      <w:spacing w:val="0"/>
      <w:kern w:val="0"/>
      <w:position w:val="0"/>
      <w:sz w:val="24"/>
      <w:szCs w:val="24"/>
      <w:u w:val="none"/>
      <w:vertAlign w:val="baseline"/>
    </w:rPr>
  </w:style>
  <w:style w:type="paragraph" w:styleId="header">
    <w:name w:val="header"/>
    <w:next w:val="header"/>
    <w:pPr>
      <w:keepNext w:val="0"/>
      <w:keepLines w:val="0"/>
      <w:pageBreakBefore w:val="0"/>
      <w:widowControl w:val="1"/>
      <w:shd w:val="clear" w:color="auto" w:fill="auto"/>
      <w:tabs>
        <w:tab w:val="center" w:pos="4680"/>
        <w:tab w:val="right" w:pos="9360"/>
      </w:tabs>
      <w:suppressAutoHyphens w:val="0"/>
      <w:bidi w:val="0"/>
      <w:spacing w:before="0" w:after="0" w:line="240"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paragraph" w:styleId="Body">
    <w:name w:val="Body"/>
    <w:next w:val="Body"/>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vertAlign w:val="baseline"/>
      <w:lang w:val="en-US"/>
    </w:rPr>
  </w:style>
  <w:style w:type="character" w:styleId="Link">
    <w:name w:val="Link"/>
    <w:rPr>
      <w:color w:val="0563c1"/>
      <w:u w:val="single" w:color="0563c1"/>
    </w:rPr>
  </w:style>
  <w:style w:type="character" w:styleId="Hyperlink.0">
    <w:name w:val="Hyperlink.0"/>
    <w:basedOn w:val="Link"/>
    <w:next w:val="Hyperlink.0"/>
    <w:rPr>
      <w:sz w:val="24"/>
      <w:szCs w:val="24"/>
      <w:lang w:val="en-US"/>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yperlink" Target="http://www.legislation.gov.uk/ukpga/1976/74/pdfs/ukpga_19760074_en.pdf" TargetMode="External"/><Relationship Id="rId5" Type="http://schemas.openxmlformats.org/officeDocument/2006/relationships/hyperlink" Target="https://www.ethnicity-facts-figures.service.gov.uk/work-pay-and-benefits/unemployment-and-economic-inactivity/unemployment/latest" TargetMode="External"/><Relationship Id="rId6" Type="http://schemas.openxmlformats.org/officeDocument/2006/relationships/hyperlink" Target="http://www.legislation.gov.uk/ukpga/2000/34/contents" TargetMode="External"/><Relationship Id="rId7" Type="http://schemas.openxmlformats.org/officeDocument/2006/relationships/hyperlink" Target="https://www.legislation.gov.uk/ukpga/2010/15/contents" TargetMode="External"/><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theme" Target="theme/theme1.xml"/></Relationships>

</file>

<file path=word/theme/_rels/theme1.xml.rels><?xml version="1.0" encoding="UTF-8" standalone="yes"?><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40000" dist="20000" dir="5400000">
              <a:srgbClr val="000000">
                <a:alpha val="38000"/>
              </a:srgbClr>
            </a:outerShdw>
          </a:effectLst>
        </a:effectStyle>
        <a:effectStyle>
          <a:effectLst>
            <a:outerShdw sx="100000" sy="100000" kx="0" ky="0" algn="b" rotWithShape="0" blurRad="40000" dist="23000" dir="5400000">
              <a:srgbClr val="000000">
                <a:alpha val="35000"/>
              </a:srgbClr>
            </a:outerShdw>
          </a:effectLst>
        </a:effectStyle>
        <a:effectStyle>
          <a:effectLst>
            <a:outerShdw sx="100000" sy="100000" kx="0" ky="0" algn="b" rotWithShape="0" blurRad="40000" dist="23000" dir="540000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r:embed="rId1"/>
          <a:srcRect l="0" t="0" r="0" b="0"/>
          <a:tile tx="0" ty="0" sx="100000" sy="100000" flip="none" algn="tl"/>
        </a:blipFill>
        <a:ln w="12700" cap="flat">
          <a:noFill/>
          <a:miter lim="400000"/>
        </a:ln>
        <a:effectLst>
          <a:outerShdw sx="100000" sy="100000" kx="0" ky="0" algn="b" rotWithShape="0" blurRad="38100" dist="25400" dir="5400000">
            <a:srgbClr val="000000">
              <a:alpha val="50000"/>
            </a:srgbClr>
          </a:outerShdw>
        </a:effectLst>
      </a:spPr>
      <a:bodyPr rot="0" spcFirstLastPara="1" vertOverflow="overflow" horzOverflow="overflow" vert="horz" wrap="square" lIns="50800" tIns="50800" rIns="50800" bIns="50800" numCol="1" spcCol="38100" rtlCol="0" anchor="ctr" upright="0">
        <a:spAutoFit/>
      </a:bodyPr>
      <a:lstStyle>
        <a:defPPr marL="0" marR="0" indent="0" algn="ctr" defTabSz="457200" rtl="0" fontAlgn="auto" latinLnBrk="1"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outerShdw sx="100000" sy="100000" kx="0" ky="0" algn="b" rotWithShape="0" blurRad="25400" dist="23998" dir="270000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6350" cap="flat">
          <a:solidFill>
            <a:srgbClr val="000000"/>
          </a:solidFill>
          <a:prstDash val="solid"/>
          <a:miter lim="400000"/>
        </a:ln>
        <a:effectLst/>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1" hangingPunct="0">
          <a:lnSpc>
            <a:spcPct val="107916"/>
          </a:lnSpc>
          <a:spcBef>
            <a:spcPts val="800"/>
          </a:spcBef>
          <a:spcAft>
            <a:spcPts val="0"/>
          </a:spcAft>
          <a:buClrTx/>
          <a:buSzTx/>
          <a:buFontTx/>
          <a:buNone/>
          <a:tabLst/>
          <a:defRPr b="0" baseline="0" cap="none" i="0" spc="0" strike="noStrike" sz="1100" u="none" kumimoji="0" normalizeH="0">
            <a:ln>
              <a:noFill/>
            </a:ln>
            <a:solidFill>
              <a:srgbClr val="000000"/>
            </a:solidFill>
            <a:effectLst/>
            <a:uFill>
              <a:solidFill>
                <a:srgbClr val="000000"/>
              </a:solidFill>
            </a:uFill>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