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CCDED" w14:textId="77777777" w:rsidR="007D0C77" w:rsidRDefault="007D0C77" w:rsidP="007D0C77">
      <w:pPr>
        <w:pStyle w:val="Photo"/>
      </w:pPr>
      <w:r>
        <w:rPr>
          <w:noProof/>
        </w:rPr>
        <w:drawing>
          <wp:inline distT="0" distB="0" distL="0" distR="0" wp14:anchorId="48D6BCA5" wp14:editId="710FE480">
            <wp:extent cx="1272209" cy="1272209"/>
            <wp:effectExtent l="0" t="0" r="0" b="0"/>
            <wp:docPr id="786462888" name="Graphic 1" descr="Signatur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62888" name="Graphic 786462888" descr="Signature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1289364" cy="1289364"/>
                    </a:xfrm>
                    <a:prstGeom prst="rect">
                      <a:avLst/>
                    </a:prstGeom>
                  </pic:spPr>
                </pic:pic>
              </a:graphicData>
            </a:graphic>
          </wp:inline>
        </w:drawing>
      </w:r>
    </w:p>
    <w:p w14:paraId="4904D284" w14:textId="5E2865B6" w:rsidR="007D0C77" w:rsidRDefault="007D0C77" w:rsidP="007D0C77">
      <w:pPr>
        <w:pStyle w:val="NormalWeb"/>
        <w:spacing w:before="0" w:beforeAutospacing="0" w:after="0" w:afterAutospacing="0"/>
        <w:jc w:val="center"/>
        <w:rPr>
          <w:rFonts w:ascii="Arial" w:eastAsiaTheme="minorEastAsia" w:hAnsi="Arial" w:cs="Arial"/>
          <w:color w:val="000000" w:themeColor="text1"/>
          <w:kern w:val="24"/>
          <w:sz w:val="36"/>
          <w:szCs w:val="36"/>
        </w:rPr>
      </w:pPr>
      <w:r>
        <w:rPr>
          <w:rFonts w:ascii="Arial" w:eastAsiaTheme="minorEastAsia" w:hAnsi="Arial" w:cs="Arial"/>
          <w:color w:val="000000" w:themeColor="text1"/>
          <w:kern w:val="24"/>
          <w:sz w:val="36"/>
          <w:szCs w:val="36"/>
        </w:rPr>
        <w:t xml:space="preserve">ASSIGNMENT </w:t>
      </w:r>
      <w:r w:rsidRPr="007D0C77">
        <w:rPr>
          <w:rFonts w:ascii="Arial" w:eastAsiaTheme="minorEastAsia" w:hAnsi="Arial" w:cs="Arial"/>
          <w:color w:val="000000" w:themeColor="text1"/>
          <w:kern w:val="24"/>
          <w:sz w:val="36"/>
          <w:szCs w:val="36"/>
        </w:rPr>
        <w:t>REPORT</w:t>
      </w:r>
    </w:p>
    <w:p w14:paraId="231E0CDE" w14:textId="77777777" w:rsidR="007D0C77" w:rsidRPr="007D0C77" w:rsidRDefault="007D0C77" w:rsidP="007D0C77">
      <w:pPr>
        <w:pStyle w:val="NormalWeb"/>
        <w:spacing w:before="0" w:beforeAutospacing="0" w:after="0" w:afterAutospacing="0"/>
        <w:jc w:val="center"/>
        <w:rPr>
          <w:rFonts w:ascii="Arial" w:eastAsiaTheme="minorEastAsia" w:hAnsi="Arial" w:cs="Arial"/>
          <w:color w:val="000000" w:themeColor="text1"/>
          <w:kern w:val="24"/>
          <w:sz w:val="36"/>
          <w:szCs w:val="36"/>
        </w:rPr>
      </w:pPr>
    </w:p>
    <w:p w14:paraId="590CEE7D" w14:textId="75920946" w:rsidR="007D0C77" w:rsidRPr="007D0C77" w:rsidRDefault="007D0C77" w:rsidP="007D0C77">
      <w:pPr>
        <w:pStyle w:val="NormalWeb"/>
        <w:spacing w:before="0" w:beforeAutospacing="0" w:after="0" w:afterAutospacing="0"/>
        <w:jc w:val="center"/>
        <w:rPr>
          <w:rFonts w:ascii="Arial" w:eastAsiaTheme="minorEastAsia" w:hAnsi="Arial" w:cs="Arial"/>
          <w:color w:val="000000" w:themeColor="text1"/>
          <w:kern w:val="24"/>
          <w:sz w:val="36"/>
          <w:szCs w:val="36"/>
        </w:rPr>
      </w:pPr>
      <w:r w:rsidRPr="007D0C77">
        <w:rPr>
          <w:rFonts w:ascii="Arial" w:eastAsiaTheme="minorEastAsia" w:hAnsi="Arial" w:cs="Arial"/>
          <w:color w:val="000000" w:themeColor="text1"/>
          <w:kern w:val="24"/>
          <w:sz w:val="36"/>
          <w:szCs w:val="36"/>
        </w:rPr>
        <w:t xml:space="preserve">Course Title: </w:t>
      </w:r>
      <w:r w:rsidRPr="007D0C77">
        <w:rPr>
          <w:rFonts w:ascii="Arial" w:hAnsi="Arial" w:cs="Arial"/>
          <w:sz w:val="36"/>
          <w:szCs w:val="36"/>
        </w:rPr>
        <w:t>BMHP6030</w:t>
      </w:r>
    </w:p>
    <w:p w14:paraId="602617C3" w14:textId="33703217" w:rsidR="007D0C77" w:rsidRPr="007D0C77" w:rsidRDefault="007D0C77" w:rsidP="007D0C77">
      <w:pPr>
        <w:pStyle w:val="NormalWeb"/>
        <w:spacing w:before="0" w:beforeAutospacing="0" w:after="0" w:afterAutospacing="0"/>
        <w:jc w:val="center"/>
        <w:rPr>
          <w:rFonts w:ascii="Arial" w:hAnsi="Arial" w:cs="Arial"/>
          <w:color w:val="000000" w:themeColor="text1"/>
          <w:sz w:val="36"/>
          <w:szCs w:val="36"/>
        </w:rPr>
      </w:pPr>
      <w:r w:rsidRPr="007D0C77">
        <w:rPr>
          <w:rFonts w:ascii="Arial" w:eastAsia="Arial" w:hAnsi="Arial" w:cs="Arial"/>
          <w:color w:val="000000" w:themeColor="text1"/>
          <w:kern w:val="24"/>
          <w:sz w:val="36"/>
          <w:szCs w:val="36"/>
        </w:rPr>
        <w:t xml:space="preserve">Module: </w:t>
      </w:r>
      <w:r w:rsidRPr="007D0C77">
        <w:rPr>
          <w:rFonts w:ascii="Arial" w:hAnsi="Arial" w:cs="Arial"/>
          <w:sz w:val="36"/>
          <w:szCs w:val="36"/>
        </w:rPr>
        <w:t xml:space="preserve">Health, Wellbeing </w:t>
      </w:r>
      <w:r>
        <w:rPr>
          <w:rFonts w:ascii="Arial" w:hAnsi="Arial" w:cs="Arial"/>
          <w:sz w:val="36"/>
          <w:szCs w:val="36"/>
        </w:rPr>
        <w:t>&amp;</w:t>
      </w:r>
      <w:r w:rsidRPr="007D0C77">
        <w:rPr>
          <w:rFonts w:ascii="Arial" w:hAnsi="Arial" w:cs="Arial"/>
          <w:sz w:val="36"/>
          <w:szCs w:val="36"/>
        </w:rPr>
        <w:t xml:space="preserve"> Sustainable Development</w:t>
      </w:r>
    </w:p>
    <w:p w14:paraId="306A7253" w14:textId="407D6D77" w:rsidR="007D0C77" w:rsidRPr="007D0C77" w:rsidRDefault="007D0C77" w:rsidP="007D0C77">
      <w:pPr>
        <w:pStyle w:val="ContactInfo"/>
        <w:rPr>
          <w:rFonts w:ascii="Arial" w:hAnsi="Arial" w:cs="Arial"/>
          <w:color w:val="000000" w:themeColor="text1"/>
          <w:sz w:val="36"/>
          <w:szCs w:val="36"/>
          <w:lang w:val="en-GB" w:bidi="en-GB"/>
        </w:rPr>
      </w:pPr>
      <w:r w:rsidRPr="007D0C77">
        <w:rPr>
          <w:rFonts w:ascii="Arial" w:hAnsi="Arial" w:cs="Arial"/>
          <w:color w:val="000000" w:themeColor="text1"/>
          <w:sz w:val="36"/>
          <w:szCs w:val="36"/>
        </w:rPr>
        <w:t>Bethany Pittaway</w:t>
      </w:r>
      <w:r w:rsidRPr="007D0C77">
        <w:rPr>
          <w:rFonts w:ascii="Arial" w:hAnsi="Arial" w:cs="Arial"/>
          <w:color w:val="000000" w:themeColor="text1"/>
          <w:sz w:val="36"/>
          <w:szCs w:val="36"/>
          <w:lang w:val="en-GB" w:bidi="en-GB"/>
        </w:rPr>
        <w:t xml:space="preserve"> | ID: </w:t>
      </w:r>
      <w:r w:rsidRPr="007D0C77">
        <w:rPr>
          <w:rFonts w:ascii="Arial" w:hAnsi="Arial" w:cs="Arial"/>
          <w:color w:val="000000" w:themeColor="text1"/>
          <w:sz w:val="36"/>
          <w:szCs w:val="36"/>
        </w:rPr>
        <w:t>2241972</w:t>
      </w:r>
      <w:r w:rsidRPr="007D0C77">
        <w:rPr>
          <w:rFonts w:ascii="Arial" w:hAnsi="Arial" w:cs="Arial"/>
          <w:color w:val="000000" w:themeColor="text1"/>
          <w:sz w:val="36"/>
          <w:szCs w:val="36"/>
          <w:lang w:val="en-GB" w:bidi="en-GB"/>
        </w:rPr>
        <w:t xml:space="preserve"> | Date Due: 22/03/26</w:t>
      </w:r>
    </w:p>
    <w:p w14:paraId="5C3DC5B6" w14:textId="77777777" w:rsidR="007D0C77" w:rsidRDefault="007D0C77" w:rsidP="007D0C77">
      <w:pPr>
        <w:pStyle w:val="ContactInfo"/>
      </w:pPr>
      <w:r>
        <w:rPr>
          <w:lang w:val="en-GB" w:bidi="en-GB"/>
        </w:rPr>
        <w:br w:type="page"/>
      </w:r>
    </w:p>
    <w:p w14:paraId="45E79E19" w14:textId="78BC1C29" w:rsidR="007D0C77" w:rsidRPr="00D81420" w:rsidRDefault="007D0C77" w:rsidP="007D0C77">
      <w:pPr>
        <w:jc w:val="center"/>
        <w:rPr>
          <w:b/>
          <w:bCs/>
          <w:sz w:val="30"/>
          <w:szCs w:val="30"/>
          <w:u w:val="single"/>
        </w:rPr>
      </w:pPr>
      <w:r w:rsidRPr="00D81420">
        <w:rPr>
          <w:b/>
          <w:bCs/>
          <w:sz w:val="30"/>
          <w:szCs w:val="30"/>
          <w:u w:val="single"/>
        </w:rPr>
        <w:lastRenderedPageBreak/>
        <w:t>Introduction</w:t>
      </w:r>
    </w:p>
    <w:p w14:paraId="065B9091" w14:textId="77777777" w:rsidR="007A3D13" w:rsidRPr="007A3D13" w:rsidRDefault="007A3D13" w:rsidP="007A3D13">
      <w:pPr>
        <w:jc w:val="center"/>
        <w:rPr>
          <w:rFonts w:ascii="Arial" w:hAnsi="Arial" w:cs="Arial"/>
          <w:sz w:val="22"/>
          <w:szCs w:val="22"/>
        </w:rPr>
      </w:pPr>
      <w:r w:rsidRPr="007A3D13">
        <w:rPr>
          <w:rFonts w:ascii="Arial" w:hAnsi="Arial" w:cs="Arial"/>
          <w:sz w:val="22"/>
          <w:szCs w:val="22"/>
        </w:rPr>
        <w:t>The United Nations Sustainable Development Goals (SDGs) provide a global framework for addressing interconnected social, economic, and environmental challenges that influence population wellbeing (UN, 2024). Central to this agenda is SDG 3: Good Health and Wellbeing, which aims to ensure healthy lives and promote wellbeing for all at all ages. Achieving this goal requires coordinated action across sectors, recognising that health outcomes are shaped by wider determinants such as housing, education, environment, and socioeconomic conditions (UK SDG Indicators, 2024). However, global progress has been uneven, with widening inequalities, the long</w:t>
      </w:r>
      <w:r w:rsidRPr="007A3D13">
        <w:rPr>
          <w:rFonts w:ascii="Arial" w:hAnsi="Arial" w:cs="Arial"/>
          <w:sz w:val="22"/>
          <w:szCs w:val="22"/>
        </w:rPr>
        <w:noBreakHyphen/>
        <w:t>term impacts of COVID</w:t>
      </w:r>
      <w:r w:rsidRPr="007A3D13">
        <w:rPr>
          <w:rFonts w:ascii="Arial" w:hAnsi="Arial" w:cs="Arial"/>
          <w:sz w:val="22"/>
          <w:szCs w:val="22"/>
        </w:rPr>
        <w:noBreakHyphen/>
        <w:t>19, and pressures on health systems slowing advancement (Bond, 2023).</w:t>
      </w:r>
    </w:p>
    <w:p w14:paraId="01C5C68C" w14:textId="77777777" w:rsidR="007A3D13" w:rsidRPr="007A3D13" w:rsidRDefault="007A3D13" w:rsidP="007A3D13">
      <w:pPr>
        <w:jc w:val="center"/>
        <w:rPr>
          <w:rFonts w:ascii="Arial" w:hAnsi="Arial" w:cs="Arial"/>
          <w:sz w:val="22"/>
          <w:szCs w:val="22"/>
        </w:rPr>
      </w:pPr>
      <w:r w:rsidRPr="007A3D13">
        <w:rPr>
          <w:rFonts w:ascii="Arial" w:hAnsi="Arial" w:cs="Arial"/>
          <w:sz w:val="22"/>
          <w:szCs w:val="22"/>
        </w:rPr>
        <w:t>This report also examines SDG 13: Climate Action, acknowledging the growing recognition that climate change poses one of the most significant threats to global health. Rising temperatures, extreme weather events, and air pollution directly influence disease patterns, exacerbate existing inequalities, and place additional strain on health and social care systems (IPCC, 2023). The interdependence between SDG 3 and SDG 13 highlights the need for integrated, cross</w:t>
      </w:r>
      <w:r w:rsidRPr="007A3D13">
        <w:rPr>
          <w:rFonts w:ascii="Arial" w:hAnsi="Arial" w:cs="Arial"/>
          <w:sz w:val="22"/>
          <w:szCs w:val="22"/>
        </w:rPr>
        <w:noBreakHyphen/>
        <w:t>sector approaches to sustainable development.</w:t>
      </w:r>
    </w:p>
    <w:p w14:paraId="1B5EA15C" w14:textId="11C4B619" w:rsidR="007A3D13" w:rsidRPr="007A3D13" w:rsidRDefault="007A3D13" w:rsidP="007A3D13">
      <w:pPr>
        <w:jc w:val="center"/>
        <w:rPr>
          <w:b/>
          <w:bCs/>
          <w:sz w:val="30"/>
          <w:szCs w:val="30"/>
        </w:rPr>
      </w:pPr>
      <w:r w:rsidRPr="007A3D13">
        <w:rPr>
          <w:rFonts w:ascii="Arial" w:hAnsi="Arial" w:cs="Arial"/>
          <w:sz w:val="22"/>
          <w:szCs w:val="22"/>
        </w:rPr>
        <w:t>The aim of this report is to critically evaluate global, national, and local policies and initiatives related to SDG 3 and SDG 13, drawing on contemporary evidence, theoretical frameworks, and UK</w:t>
      </w:r>
      <w:r w:rsidRPr="007A3D13">
        <w:rPr>
          <w:rFonts w:ascii="Arial" w:hAnsi="Arial" w:cs="Arial"/>
          <w:sz w:val="22"/>
          <w:szCs w:val="22"/>
        </w:rPr>
        <w:noBreakHyphen/>
        <w:t>based case studies. Section 1 focuses on SDG 3, assessing progress and challenges across governance levels. Section 2 examines SDG 13, exploring climate action strategies and their implications for health. The report concludes by synthesising key findings, reflecting on the connections between the two goals, and considering broader implications for sustainable policy developmen</w:t>
      </w:r>
      <w:r>
        <w:rPr>
          <w:rFonts w:ascii="Arial" w:hAnsi="Arial" w:cs="Arial"/>
          <w:sz w:val="22"/>
          <w:szCs w:val="22"/>
        </w:rPr>
        <w:t>t.</w:t>
      </w:r>
    </w:p>
    <w:p w14:paraId="551E0914" w14:textId="77777777" w:rsidR="007D0C77" w:rsidRDefault="007D0C77" w:rsidP="007D0C77">
      <w:pPr>
        <w:jc w:val="center"/>
        <w:rPr>
          <w:b/>
          <w:bCs/>
          <w:sz w:val="30"/>
          <w:szCs w:val="30"/>
        </w:rPr>
      </w:pPr>
    </w:p>
    <w:p w14:paraId="021D652A" w14:textId="77777777" w:rsidR="007D0C77" w:rsidRDefault="007D0C77" w:rsidP="007D0C77">
      <w:pPr>
        <w:jc w:val="center"/>
        <w:rPr>
          <w:b/>
          <w:bCs/>
          <w:sz w:val="30"/>
          <w:szCs w:val="30"/>
        </w:rPr>
      </w:pPr>
    </w:p>
    <w:p w14:paraId="7CA1B75C" w14:textId="77777777" w:rsidR="007D0C77" w:rsidRDefault="007D0C77" w:rsidP="007D0C77">
      <w:pPr>
        <w:jc w:val="center"/>
        <w:rPr>
          <w:b/>
          <w:bCs/>
          <w:sz w:val="30"/>
          <w:szCs w:val="30"/>
        </w:rPr>
      </w:pPr>
    </w:p>
    <w:p w14:paraId="379E0ADE" w14:textId="77777777" w:rsidR="007D0C77" w:rsidRDefault="007D0C77" w:rsidP="007D0C77">
      <w:pPr>
        <w:jc w:val="center"/>
        <w:rPr>
          <w:b/>
          <w:bCs/>
          <w:sz w:val="30"/>
          <w:szCs w:val="30"/>
        </w:rPr>
      </w:pPr>
    </w:p>
    <w:p w14:paraId="20E3778F" w14:textId="77777777" w:rsidR="007D0C77" w:rsidRDefault="007D0C77" w:rsidP="007D0C77">
      <w:pPr>
        <w:jc w:val="center"/>
        <w:rPr>
          <w:b/>
          <w:bCs/>
          <w:sz w:val="30"/>
          <w:szCs w:val="30"/>
        </w:rPr>
      </w:pPr>
    </w:p>
    <w:p w14:paraId="32A6B13E" w14:textId="77777777" w:rsidR="00D81420" w:rsidRDefault="00D81420" w:rsidP="007D0C77">
      <w:pPr>
        <w:jc w:val="center"/>
        <w:rPr>
          <w:b/>
          <w:bCs/>
          <w:sz w:val="30"/>
          <w:szCs w:val="30"/>
        </w:rPr>
      </w:pPr>
    </w:p>
    <w:p w14:paraId="1E961F46" w14:textId="77777777" w:rsidR="00D81420" w:rsidRDefault="00D81420" w:rsidP="007D0C77">
      <w:pPr>
        <w:jc w:val="center"/>
        <w:rPr>
          <w:b/>
          <w:bCs/>
          <w:sz w:val="30"/>
          <w:szCs w:val="30"/>
        </w:rPr>
      </w:pPr>
    </w:p>
    <w:p w14:paraId="5D38600E" w14:textId="77777777" w:rsidR="00D81420" w:rsidRDefault="00D81420" w:rsidP="007D0C77">
      <w:pPr>
        <w:jc w:val="center"/>
        <w:rPr>
          <w:b/>
          <w:bCs/>
          <w:sz w:val="30"/>
          <w:szCs w:val="30"/>
        </w:rPr>
      </w:pPr>
    </w:p>
    <w:p w14:paraId="1AEF48A7" w14:textId="77777777" w:rsidR="00D81420" w:rsidRDefault="00D81420" w:rsidP="007D0C77">
      <w:pPr>
        <w:jc w:val="center"/>
        <w:rPr>
          <w:b/>
          <w:bCs/>
          <w:sz w:val="30"/>
          <w:szCs w:val="30"/>
        </w:rPr>
      </w:pPr>
    </w:p>
    <w:p w14:paraId="1079250B" w14:textId="77777777" w:rsidR="007A3D13" w:rsidRPr="007A3D13" w:rsidRDefault="007A3D13" w:rsidP="002F6883">
      <w:pPr>
        <w:rPr>
          <w:rFonts w:ascii="Arial" w:hAnsi="Arial" w:cs="Arial"/>
          <w:sz w:val="22"/>
          <w:szCs w:val="22"/>
          <w:u w:val="single"/>
        </w:rPr>
      </w:pPr>
    </w:p>
    <w:p w14:paraId="274BBB13" w14:textId="753B9B2C" w:rsidR="007A3D13" w:rsidRPr="007A3D13" w:rsidRDefault="007A3D13" w:rsidP="007A3D13">
      <w:pPr>
        <w:rPr>
          <w:rFonts w:ascii="Arial" w:hAnsi="Arial" w:cs="Arial"/>
          <w:b/>
          <w:bCs/>
          <w:sz w:val="22"/>
          <w:szCs w:val="22"/>
        </w:rPr>
      </w:pPr>
      <w:r w:rsidRPr="007A3D13">
        <w:rPr>
          <w:rFonts w:ascii="Arial" w:hAnsi="Arial" w:cs="Arial"/>
          <w:b/>
          <w:bCs/>
          <w:sz w:val="22"/>
          <w:szCs w:val="22"/>
        </w:rPr>
        <w:lastRenderedPageBreak/>
        <w:t xml:space="preserve">SECTION 1: SDG 3 – GOOD HEALTH AND WELLBEING </w:t>
      </w:r>
    </w:p>
    <w:p w14:paraId="1F5498D4"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Overview of SDG 3</w:t>
      </w:r>
    </w:p>
    <w:p w14:paraId="0B77B717" w14:textId="77777777" w:rsidR="007A3D13" w:rsidRPr="007A3D13" w:rsidRDefault="007A3D13" w:rsidP="007A3D13">
      <w:pPr>
        <w:rPr>
          <w:rFonts w:ascii="Arial" w:hAnsi="Arial" w:cs="Arial"/>
          <w:sz w:val="22"/>
          <w:szCs w:val="22"/>
        </w:rPr>
      </w:pPr>
      <w:r w:rsidRPr="007A3D13">
        <w:rPr>
          <w:rFonts w:ascii="Arial" w:hAnsi="Arial" w:cs="Arial"/>
          <w:sz w:val="22"/>
          <w:szCs w:val="22"/>
        </w:rPr>
        <w:t>SDG 3 aims to “ensure healthy lives and promote wellbeing for all at all ages,” reflecting the central role of health in sustainable development (UN, 2024). The goal encompasses a wide range of targets, including reducing maternal and child mortality, tackling communicable and non</w:t>
      </w:r>
      <w:r w:rsidRPr="007A3D13">
        <w:rPr>
          <w:rFonts w:ascii="Arial" w:hAnsi="Arial" w:cs="Arial"/>
          <w:sz w:val="22"/>
          <w:szCs w:val="22"/>
        </w:rPr>
        <w:noBreakHyphen/>
        <w:t>communicable diseases, strengthening mental health provision, and achieving universal health coverage (UK SDG Indicators, 2024). Progress towards SDG 3 is shaped by social, economic, and environmental determinants of health, meaning that effective action requires coordinated, cross</w:t>
      </w:r>
      <w:r w:rsidRPr="007A3D13">
        <w:rPr>
          <w:rFonts w:ascii="Arial" w:hAnsi="Arial" w:cs="Arial"/>
          <w:sz w:val="22"/>
          <w:szCs w:val="22"/>
        </w:rPr>
        <w:noBreakHyphen/>
        <w:t>sector approaches. However, global progress has slowed in recent years due to widening inequalities, the long</w:t>
      </w:r>
      <w:r w:rsidRPr="007A3D13">
        <w:rPr>
          <w:rFonts w:ascii="Arial" w:hAnsi="Arial" w:cs="Arial"/>
          <w:sz w:val="22"/>
          <w:szCs w:val="22"/>
        </w:rPr>
        <w:noBreakHyphen/>
        <w:t>term impacts of COVID</w:t>
      </w:r>
      <w:r w:rsidRPr="007A3D13">
        <w:rPr>
          <w:rFonts w:ascii="Arial" w:hAnsi="Arial" w:cs="Arial"/>
          <w:sz w:val="22"/>
          <w:szCs w:val="22"/>
        </w:rPr>
        <w:noBreakHyphen/>
        <w:t>19, and pressures on health systems worldwide (Bond, 2023). These challenges highlight the need for stronger governance, sustained investment, and targeted interventions to ensure equitable health outcomes.</w:t>
      </w:r>
    </w:p>
    <w:p w14:paraId="0AB79811"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Global Policies and Initiatives</w:t>
      </w:r>
    </w:p>
    <w:p w14:paraId="40518C2F" w14:textId="77777777" w:rsidR="007A3D13" w:rsidRPr="007A3D13" w:rsidRDefault="007A3D13" w:rsidP="007A3D13">
      <w:pPr>
        <w:rPr>
          <w:rFonts w:ascii="Arial" w:hAnsi="Arial" w:cs="Arial"/>
          <w:sz w:val="22"/>
          <w:szCs w:val="22"/>
        </w:rPr>
      </w:pPr>
      <w:r w:rsidRPr="007A3D13">
        <w:rPr>
          <w:rFonts w:ascii="Arial" w:hAnsi="Arial" w:cs="Arial"/>
          <w:sz w:val="22"/>
          <w:szCs w:val="22"/>
        </w:rPr>
        <w:t>A major global initiative supporting SDG 3 was the SDG3 Global Action Plan (GAP), launched in 2019 by 13 multilateral agencies including WHO, UNICEF, and the World Bank. The GAP aimed to strengthen collaboration and accelerate progress on health</w:t>
      </w:r>
      <w:r w:rsidRPr="007A3D13">
        <w:rPr>
          <w:rFonts w:ascii="Arial" w:hAnsi="Arial" w:cs="Arial"/>
          <w:sz w:val="22"/>
          <w:szCs w:val="22"/>
        </w:rPr>
        <w:noBreakHyphen/>
        <w:t>related SDGs. However, an independent evaluation in 2024 concluded that the GAP “had not delivered as intended and could not be sustained,” leading to its planned closure in 2025 (WHO, 2024). This outcome highlights a persistent challenge in global health governance: reliance on voluntary cooperation limits accountability, coordination, and long</w:t>
      </w:r>
      <w:r w:rsidRPr="007A3D13">
        <w:rPr>
          <w:rFonts w:ascii="Arial" w:hAnsi="Arial" w:cs="Arial"/>
          <w:sz w:val="22"/>
          <w:szCs w:val="22"/>
        </w:rPr>
        <w:noBreakHyphen/>
        <w:t>term impact.</w:t>
      </w:r>
    </w:p>
    <w:p w14:paraId="137BAFE8" w14:textId="77777777" w:rsidR="007A3D13" w:rsidRPr="007A3D13" w:rsidRDefault="007A3D13" w:rsidP="007A3D13">
      <w:pPr>
        <w:rPr>
          <w:rFonts w:ascii="Arial" w:hAnsi="Arial" w:cs="Arial"/>
          <w:sz w:val="22"/>
          <w:szCs w:val="22"/>
        </w:rPr>
      </w:pPr>
      <w:r w:rsidRPr="007A3D13">
        <w:rPr>
          <w:rFonts w:ascii="Arial" w:hAnsi="Arial" w:cs="Arial"/>
          <w:sz w:val="22"/>
          <w:szCs w:val="22"/>
        </w:rPr>
        <w:t>Despite the GAP’s closure, global frameworks such as the WHO Universal Health Coverage (UHC) agenda and the International Health Regulations (IHR) continue to guide national health systems. These frameworks emphasise preparedness, equity, and resilience—areas that have become increasingly important following the COVID</w:t>
      </w:r>
      <w:r w:rsidRPr="007A3D13">
        <w:rPr>
          <w:rFonts w:ascii="Arial" w:hAnsi="Arial" w:cs="Arial"/>
          <w:sz w:val="22"/>
          <w:szCs w:val="22"/>
        </w:rPr>
        <w:noBreakHyphen/>
        <w:t>19 pandemic. The UK’s Global Health Framework (2023) reinforces its commitment to global health security, pandemic preparedness, and reducing health inequalities worldwide (GOV.UK, 2023). However, Bond (2023) argues that global progress towards SDG 3 has been significantly affected by reduced funding, conflict, and climate</w:t>
      </w:r>
      <w:r w:rsidRPr="007A3D13">
        <w:rPr>
          <w:rFonts w:ascii="Arial" w:hAnsi="Arial" w:cs="Arial"/>
          <w:sz w:val="22"/>
          <w:szCs w:val="22"/>
        </w:rPr>
        <w:noBreakHyphen/>
        <w:t>related pressures, suggesting that global commitments must be matched with sustained investment and stronger accountability mechanisms.</w:t>
      </w:r>
    </w:p>
    <w:p w14:paraId="0B18200A"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National Policies and Initiatives (UK)</w:t>
      </w:r>
    </w:p>
    <w:p w14:paraId="3791E16C" w14:textId="77777777" w:rsidR="007A3D13" w:rsidRPr="007A3D13" w:rsidRDefault="007A3D13" w:rsidP="007A3D13">
      <w:pPr>
        <w:rPr>
          <w:rFonts w:ascii="Arial" w:hAnsi="Arial" w:cs="Arial"/>
          <w:sz w:val="22"/>
          <w:szCs w:val="22"/>
        </w:rPr>
      </w:pPr>
      <w:r w:rsidRPr="007A3D13">
        <w:rPr>
          <w:rFonts w:ascii="Arial" w:hAnsi="Arial" w:cs="Arial"/>
          <w:sz w:val="22"/>
          <w:szCs w:val="22"/>
        </w:rPr>
        <w:t>At the national level, the UK has embedded SDG 3 within several major health strategies. The NHS Long Term Plan (2019) outlines commitments to prevention, early intervention, and reducing health inequalities, emphasising a “more concerted and systematic approach” to tackling unwarranted variation in care (NHS England, 2019). Key priorities include improving mental health services, reducing smoking rates, addressing obesity, and expanding community</w:t>
      </w:r>
      <w:r w:rsidRPr="007A3D13">
        <w:rPr>
          <w:rFonts w:ascii="Arial" w:hAnsi="Arial" w:cs="Arial"/>
          <w:sz w:val="22"/>
          <w:szCs w:val="22"/>
        </w:rPr>
        <w:noBreakHyphen/>
        <w:t>based care.</w:t>
      </w:r>
    </w:p>
    <w:p w14:paraId="7281B224" w14:textId="77777777" w:rsidR="007A3D13" w:rsidRPr="007A3D13" w:rsidRDefault="007A3D13" w:rsidP="007A3D13">
      <w:pPr>
        <w:rPr>
          <w:rFonts w:ascii="Arial" w:hAnsi="Arial" w:cs="Arial"/>
          <w:sz w:val="22"/>
          <w:szCs w:val="22"/>
        </w:rPr>
      </w:pPr>
      <w:r w:rsidRPr="007A3D13">
        <w:rPr>
          <w:rFonts w:ascii="Arial" w:hAnsi="Arial" w:cs="Arial"/>
          <w:sz w:val="22"/>
          <w:szCs w:val="22"/>
        </w:rPr>
        <w:t xml:space="preserve">However, progress remains uneven. Bond (2023) highlights persistent health inequities linked to socioeconomic status, ethnicity, disability, and geography. These inequities are </w:t>
      </w:r>
      <w:r w:rsidRPr="007A3D13">
        <w:rPr>
          <w:rFonts w:ascii="Arial" w:hAnsi="Arial" w:cs="Arial"/>
          <w:sz w:val="22"/>
          <w:szCs w:val="22"/>
        </w:rPr>
        <w:lastRenderedPageBreak/>
        <w:t>often driven by limited access to services and structural barriers, which undermine progress towards universal health coverage. The NHS also faces significant workforce shortages, rising demand, and financial pressures, which constrain its ability to deliver SDG 3 targets effectively.</w:t>
      </w:r>
    </w:p>
    <w:p w14:paraId="749BFAF9" w14:textId="77777777" w:rsidR="007A3D13" w:rsidRPr="007A3D13" w:rsidRDefault="007A3D13" w:rsidP="007A3D13">
      <w:pPr>
        <w:rPr>
          <w:rFonts w:ascii="Arial" w:hAnsi="Arial" w:cs="Arial"/>
          <w:sz w:val="22"/>
          <w:szCs w:val="22"/>
        </w:rPr>
      </w:pPr>
      <w:r w:rsidRPr="007A3D13">
        <w:rPr>
          <w:rFonts w:ascii="Arial" w:hAnsi="Arial" w:cs="Arial"/>
          <w:sz w:val="22"/>
          <w:szCs w:val="22"/>
        </w:rPr>
        <w:t>The UK’s Global Health Framework (2023) outlines commitments to global health security and resilience, but domestic pressures—such as long waiting lists and regional inequalities—limit the extent to which the UK can lead internationally while meeting its own SDG 3 obligations (GOV.UK, 2023). Furthermore, austerity</w:t>
      </w:r>
      <w:r w:rsidRPr="007A3D13">
        <w:rPr>
          <w:rFonts w:ascii="Arial" w:hAnsi="Arial" w:cs="Arial"/>
          <w:sz w:val="22"/>
          <w:szCs w:val="22"/>
        </w:rPr>
        <w:noBreakHyphen/>
        <w:t>related reductions in public health funding have weakened prevention efforts, contributing to widening health inequalities.</w:t>
      </w:r>
    </w:p>
    <w:p w14:paraId="1EF811E1"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Local Policies and Initiatives (Solihull and West Midlands)</w:t>
      </w:r>
    </w:p>
    <w:p w14:paraId="2DD29C1D" w14:textId="77777777" w:rsidR="007A3D13" w:rsidRPr="007A3D13" w:rsidRDefault="007A3D13" w:rsidP="007A3D13">
      <w:pPr>
        <w:rPr>
          <w:rFonts w:ascii="Arial" w:hAnsi="Arial" w:cs="Arial"/>
          <w:sz w:val="22"/>
          <w:szCs w:val="22"/>
        </w:rPr>
      </w:pPr>
      <w:r w:rsidRPr="007A3D13">
        <w:rPr>
          <w:rFonts w:ascii="Arial" w:hAnsi="Arial" w:cs="Arial"/>
          <w:sz w:val="22"/>
          <w:szCs w:val="22"/>
        </w:rPr>
        <w:t>Local authorities play a critical role in delivering SDG 3 through public health programmes, community services, and targeted interventions. In Solihull and the wider West Midlands, local health strategies focus on reducing inequalities, improving mental health, and promoting active lifestyles. Initiatives include community wellbeing hubs, smoking cessation programmes, and targeted support for vulnerable groups (Solihull Council, 2022).</w:t>
      </w:r>
    </w:p>
    <w:p w14:paraId="03BBC0EE" w14:textId="77777777" w:rsidR="007A3D13" w:rsidRPr="007A3D13" w:rsidRDefault="007A3D13" w:rsidP="007A3D13">
      <w:pPr>
        <w:rPr>
          <w:rFonts w:ascii="Arial" w:hAnsi="Arial" w:cs="Arial"/>
          <w:sz w:val="22"/>
          <w:szCs w:val="22"/>
        </w:rPr>
      </w:pPr>
      <w:r w:rsidRPr="007A3D13">
        <w:rPr>
          <w:rFonts w:ascii="Arial" w:hAnsi="Arial" w:cs="Arial"/>
          <w:sz w:val="22"/>
          <w:szCs w:val="22"/>
        </w:rPr>
        <w:t>However, local authorities have experienced substantial budget reductions over the past decade, limiting their capacity to deliver comprehensive public health services. This has contributed to widening health inequalities between affluent and deprived areas. For example, life expectancy in parts of the West Midlands remains below the national average, reflecting socioeconomic disparities that local programmes alone cannot fully address (Public Health England, 2021).</w:t>
      </w:r>
    </w:p>
    <w:p w14:paraId="54E52D5F" w14:textId="77777777" w:rsidR="007A3D13" w:rsidRPr="007A3D13" w:rsidRDefault="007A3D13" w:rsidP="007A3D13">
      <w:pPr>
        <w:rPr>
          <w:rFonts w:ascii="Arial" w:hAnsi="Arial" w:cs="Arial"/>
          <w:sz w:val="22"/>
          <w:szCs w:val="22"/>
        </w:rPr>
      </w:pPr>
      <w:r w:rsidRPr="007A3D13">
        <w:rPr>
          <w:rFonts w:ascii="Arial" w:hAnsi="Arial" w:cs="Arial"/>
          <w:sz w:val="22"/>
          <w:szCs w:val="22"/>
        </w:rPr>
        <w:t>The introduction of Integrated Care Systems (ICSs) aims to strengthen collaboration between councils, NHS trusts, and voluntary organisations. While ICSs offer potential for more coordinated, place</w:t>
      </w:r>
      <w:r w:rsidRPr="007A3D13">
        <w:rPr>
          <w:rFonts w:ascii="Arial" w:hAnsi="Arial" w:cs="Arial"/>
          <w:sz w:val="22"/>
          <w:szCs w:val="22"/>
        </w:rPr>
        <w:noBreakHyphen/>
        <w:t>based approaches, their impact varies across regions, and long</w:t>
      </w:r>
      <w:r w:rsidRPr="007A3D13">
        <w:rPr>
          <w:rFonts w:ascii="Arial" w:hAnsi="Arial" w:cs="Arial"/>
          <w:sz w:val="22"/>
          <w:szCs w:val="22"/>
        </w:rPr>
        <w:noBreakHyphen/>
        <w:t>term evaluation is still emerging (NHS England, 2020). In Solihull, ICS priorities include improving mental health access, reducing smoking prevalence, and addressing childhood obesity—issues closely aligned with SDG 3.</w:t>
      </w:r>
    </w:p>
    <w:p w14:paraId="770A7737"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Use of Theories and Models</w:t>
      </w:r>
    </w:p>
    <w:p w14:paraId="678C73C9"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Health Belief Model (HBM)</w:t>
      </w:r>
    </w:p>
    <w:p w14:paraId="1242DB23" w14:textId="77777777" w:rsidR="007A3D13" w:rsidRPr="007A3D13" w:rsidRDefault="007A3D13" w:rsidP="007A3D13">
      <w:pPr>
        <w:rPr>
          <w:rFonts w:ascii="Arial" w:hAnsi="Arial" w:cs="Arial"/>
          <w:sz w:val="22"/>
          <w:szCs w:val="22"/>
        </w:rPr>
      </w:pPr>
      <w:r w:rsidRPr="007A3D13">
        <w:rPr>
          <w:rFonts w:ascii="Arial" w:hAnsi="Arial" w:cs="Arial"/>
          <w:sz w:val="22"/>
          <w:szCs w:val="22"/>
        </w:rPr>
        <w:t>The HBM suggests that individuals’ health behaviours depend on perceived susceptibility, severity, benefits, and barriers. Many UK public health campaigns—such as vaccination and smoking cessation—use HBM principles by emphasising risk and promoting self</w:t>
      </w:r>
      <w:r w:rsidRPr="007A3D13">
        <w:rPr>
          <w:rFonts w:ascii="Arial" w:hAnsi="Arial" w:cs="Arial"/>
          <w:sz w:val="22"/>
          <w:szCs w:val="22"/>
        </w:rPr>
        <w:noBreakHyphen/>
        <w:t>efficacy (Rosenstock, 1974). However, the model assumes individuals have equal capacity to act, which overlooks structural barriers such as poverty, housing, and access to services. This limits its effectiveness in addressing health inequalities.</w:t>
      </w:r>
    </w:p>
    <w:p w14:paraId="0B5CF56E" w14:textId="77777777" w:rsidR="007A3D13" w:rsidRDefault="007A3D13" w:rsidP="007A3D13">
      <w:pPr>
        <w:rPr>
          <w:rFonts w:ascii="Arial" w:hAnsi="Arial" w:cs="Arial"/>
          <w:sz w:val="22"/>
          <w:szCs w:val="22"/>
        </w:rPr>
      </w:pPr>
    </w:p>
    <w:p w14:paraId="0AE7710E" w14:textId="77777777" w:rsidR="007A3D13" w:rsidRDefault="007A3D13" w:rsidP="007A3D13">
      <w:pPr>
        <w:rPr>
          <w:rFonts w:ascii="Arial" w:hAnsi="Arial" w:cs="Arial"/>
          <w:b/>
          <w:bCs/>
          <w:sz w:val="22"/>
          <w:szCs w:val="22"/>
        </w:rPr>
      </w:pPr>
    </w:p>
    <w:p w14:paraId="29DD7D85" w14:textId="73AE906C" w:rsidR="007A3D13" w:rsidRPr="007A3D13" w:rsidRDefault="007A3D13" w:rsidP="007A3D13">
      <w:pPr>
        <w:rPr>
          <w:rFonts w:ascii="Arial" w:hAnsi="Arial" w:cs="Arial"/>
          <w:b/>
          <w:bCs/>
          <w:sz w:val="22"/>
          <w:szCs w:val="22"/>
        </w:rPr>
      </w:pPr>
      <w:r w:rsidRPr="007A3D13">
        <w:rPr>
          <w:rFonts w:ascii="Arial" w:hAnsi="Arial" w:cs="Arial"/>
          <w:b/>
          <w:bCs/>
          <w:sz w:val="22"/>
          <w:szCs w:val="22"/>
        </w:rPr>
        <w:lastRenderedPageBreak/>
        <w:t>Social Cognitive Theory (SCT)</w:t>
      </w:r>
    </w:p>
    <w:p w14:paraId="31252CD0" w14:textId="77777777" w:rsidR="007A3D13" w:rsidRPr="007A3D13" w:rsidRDefault="007A3D13" w:rsidP="007A3D13">
      <w:pPr>
        <w:rPr>
          <w:rFonts w:ascii="Arial" w:hAnsi="Arial" w:cs="Arial"/>
          <w:sz w:val="22"/>
          <w:szCs w:val="22"/>
        </w:rPr>
      </w:pPr>
      <w:r w:rsidRPr="007A3D13">
        <w:rPr>
          <w:rFonts w:ascii="Arial" w:hAnsi="Arial" w:cs="Arial"/>
          <w:sz w:val="22"/>
          <w:szCs w:val="22"/>
        </w:rPr>
        <w:t>SCT highlights the role of social environments, observational learning, and self</w:t>
      </w:r>
      <w:r w:rsidRPr="007A3D13">
        <w:rPr>
          <w:rFonts w:ascii="Arial" w:hAnsi="Arial" w:cs="Arial"/>
          <w:sz w:val="22"/>
          <w:szCs w:val="22"/>
        </w:rPr>
        <w:noBreakHyphen/>
        <w:t>efficacy (Bandura, 1986). Community</w:t>
      </w:r>
      <w:r w:rsidRPr="007A3D13">
        <w:rPr>
          <w:rFonts w:ascii="Arial" w:hAnsi="Arial" w:cs="Arial"/>
          <w:sz w:val="22"/>
          <w:szCs w:val="22"/>
        </w:rPr>
        <w:noBreakHyphen/>
        <w:t>based programmes in Solihull and Birmingham often use SCT by promoting peer support, role modelling, and community engagement. These approaches can be effective but require sustained investment and culturally tailored interventions.</w:t>
      </w:r>
    </w:p>
    <w:p w14:paraId="7A34E4B3"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Socio</w:t>
      </w:r>
      <w:r w:rsidRPr="007A3D13">
        <w:rPr>
          <w:rFonts w:ascii="Arial" w:hAnsi="Arial" w:cs="Arial"/>
          <w:b/>
          <w:bCs/>
          <w:sz w:val="22"/>
          <w:szCs w:val="22"/>
        </w:rPr>
        <w:noBreakHyphen/>
        <w:t>Ecological Model (SEM)</w:t>
      </w:r>
    </w:p>
    <w:p w14:paraId="5A36AF9F" w14:textId="77777777" w:rsidR="007A3D13" w:rsidRPr="007A3D13" w:rsidRDefault="007A3D13" w:rsidP="007A3D13">
      <w:pPr>
        <w:rPr>
          <w:rFonts w:ascii="Arial" w:hAnsi="Arial" w:cs="Arial"/>
          <w:sz w:val="22"/>
          <w:szCs w:val="22"/>
        </w:rPr>
      </w:pPr>
      <w:r w:rsidRPr="007A3D13">
        <w:rPr>
          <w:rFonts w:ascii="Arial" w:hAnsi="Arial" w:cs="Arial"/>
          <w:sz w:val="22"/>
          <w:szCs w:val="22"/>
        </w:rPr>
        <w:t>The SEM emphasises the interaction between individual, community, organisational, and policy factors (Bronfenbrenner, 1979). It aligns closely with SDG 3, which recognises that health is shaped by social determinants. UK policies increasingly adopt this model, but implementation remains inconsistent due to resource constraints and fragmented services.</w:t>
      </w:r>
    </w:p>
    <w:p w14:paraId="7EFC45B1" w14:textId="77777777" w:rsidR="007A3D13" w:rsidRPr="007A3D13" w:rsidRDefault="007A3D13" w:rsidP="007A3D13">
      <w:pPr>
        <w:rPr>
          <w:rFonts w:ascii="Arial" w:hAnsi="Arial" w:cs="Arial"/>
          <w:b/>
          <w:bCs/>
          <w:sz w:val="22"/>
          <w:szCs w:val="22"/>
        </w:rPr>
      </w:pPr>
      <w:r w:rsidRPr="007A3D13">
        <w:rPr>
          <w:rFonts w:ascii="Arial" w:hAnsi="Arial" w:cs="Arial"/>
          <w:b/>
          <w:bCs/>
          <w:sz w:val="22"/>
          <w:szCs w:val="22"/>
        </w:rPr>
        <w:t>Recommendations</w:t>
      </w:r>
    </w:p>
    <w:p w14:paraId="2F0A9CD3" w14:textId="77777777" w:rsidR="007A3D13" w:rsidRPr="007A3D13" w:rsidRDefault="007A3D13" w:rsidP="007A3D13">
      <w:pPr>
        <w:numPr>
          <w:ilvl w:val="0"/>
          <w:numId w:val="4"/>
        </w:numPr>
        <w:rPr>
          <w:rFonts w:ascii="Arial" w:hAnsi="Arial" w:cs="Arial"/>
          <w:sz w:val="22"/>
          <w:szCs w:val="22"/>
        </w:rPr>
      </w:pPr>
      <w:r w:rsidRPr="007A3D13">
        <w:rPr>
          <w:rFonts w:ascii="Arial" w:hAnsi="Arial" w:cs="Arial"/>
          <w:sz w:val="22"/>
          <w:szCs w:val="22"/>
        </w:rPr>
        <w:t>Strengthen cross</w:t>
      </w:r>
      <w:r w:rsidRPr="007A3D13">
        <w:rPr>
          <w:rFonts w:ascii="Arial" w:hAnsi="Arial" w:cs="Arial"/>
          <w:sz w:val="22"/>
          <w:szCs w:val="22"/>
        </w:rPr>
        <w:noBreakHyphen/>
        <w:t>sector collaboration: Health outcomes depend on housing, education, environment, and employment. National and local policies should adopt whole</w:t>
      </w:r>
      <w:r w:rsidRPr="007A3D13">
        <w:rPr>
          <w:rFonts w:ascii="Arial" w:hAnsi="Arial" w:cs="Arial"/>
          <w:sz w:val="22"/>
          <w:szCs w:val="22"/>
        </w:rPr>
        <w:noBreakHyphen/>
        <w:t>system approaches that integrate health with wider social policy (NHS England, 2019).</w:t>
      </w:r>
    </w:p>
    <w:p w14:paraId="452F1881" w14:textId="77777777" w:rsidR="007A3D13" w:rsidRPr="007A3D13" w:rsidRDefault="007A3D13" w:rsidP="007A3D13">
      <w:pPr>
        <w:numPr>
          <w:ilvl w:val="0"/>
          <w:numId w:val="4"/>
        </w:numPr>
        <w:rPr>
          <w:rFonts w:ascii="Arial" w:hAnsi="Arial" w:cs="Arial"/>
          <w:sz w:val="22"/>
          <w:szCs w:val="22"/>
        </w:rPr>
      </w:pPr>
      <w:r w:rsidRPr="007A3D13">
        <w:rPr>
          <w:rFonts w:ascii="Arial" w:hAnsi="Arial" w:cs="Arial"/>
          <w:sz w:val="22"/>
          <w:szCs w:val="22"/>
        </w:rPr>
        <w:t>Increase investment in prevention and public health: Budget cuts have weakened local capacity. Restoring and expanding public health funding would support early intervention and reduce long</w:t>
      </w:r>
      <w:r w:rsidRPr="007A3D13">
        <w:rPr>
          <w:rFonts w:ascii="Arial" w:hAnsi="Arial" w:cs="Arial"/>
          <w:sz w:val="22"/>
          <w:szCs w:val="22"/>
        </w:rPr>
        <w:noBreakHyphen/>
        <w:t>term NHS pressures (Public Health England, 2021).</w:t>
      </w:r>
    </w:p>
    <w:p w14:paraId="3ACBDC23" w14:textId="77777777" w:rsidR="007A3D13" w:rsidRPr="007A3D13" w:rsidRDefault="007A3D13" w:rsidP="007A3D13">
      <w:pPr>
        <w:numPr>
          <w:ilvl w:val="0"/>
          <w:numId w:val="4"/>
        </w:numPr>
        <w:rPr>
          <w:rFonts w:ascii="Arial" w:hAnsi="Arial" w:cs="Arial"/>
          <w:sz w:val="22"/>
          <w:szCs w:val="22"/>
        </w:rPr>
      </w:pPr>
      <w:r w:rsidRPr="007A3D13">
        <w:rPr>
          <w:rFonts w:ascii="Arial" w:hAnsi="Arial" w:cs="Arial"/>
          <w:sz w:val="22"/>
          <w:szCs w:val="22"/>
        </w:rPr>
        <w:t>Address structural inequalities: Policies must target the root causes of health disparities, including poverty, discrimination, and unequal access to services (Bond, 2023).</w:t>
      </w:r>
    </w:p>
    <w:p w14:paraId="39C90B4C" w14:textId="77777777" w:rsidR="007A3D13" w:rsidRPr="007A3D13" w:rsidRDefault="007A3D13" w:rsidP="007A3D13">
      <w:pPr>
        <w:numPr>
          <w:ilvl w:val="0"/>
          <w:numId w:val="4"/>
        </w:numPr>
        <w:rPr>
          <w:rFonts w:ascii="Arial" w:hAnsi="Arial" w:cs="Arial"/>
          <w:sz w:val="22"/>
          <w:szCs w:val="22"/>
        </w:rPr>
      </w:pPr>
      <w:r w:rsidRPr="007A3D13">
        <w:rPr>
          <w:rFonts w:ascii="Arial" w:hAnsi="Arial" w:cs="Arial"/>
          <w:sz w:val="22"/>
          <w:szCs w:val="22"/>
        </w:rPr>
        <w:t>Enhance accountability in global health commitments: The closure of the SDG3 GAP highlights the need for stronger governance and measurable targets in global health partnerships (WHO, 2024).</w:t>
      </w:r>
    </w:p>
    <w:p w14:paraId="70C3419E" w14:textId="77777777" w:rsidR="007A3D13" w:rsidRPr="007A3D13" w:rsidRDefault="007A3D13" w:rsidP="007A3D13">
      <w:pPr>
        <w:numPr>
          <w:ilvl w:val="0"/>
          <w:numId w:val="4"/>
        </w:numPr>
        <w:rPr>
          <w:rFonts w:ascii="Arial" w:hAnsi="Arial" w:cs="Arial"/>
          <w:sz w:val="22"/>
          <w:szCs w:val="22"/>
        </w:rPr>
      </w:pPr>
      <w:r w:rsidRPr="007A3D13">
        <w:rPr>
          <w:rFonts w:ascii="Arial" w:hAnsi="Arial" w:cs="Arial"/>
          <w:sz w:val="22"/>
          <w:szCs w:val="22"/>
        </w:rPr>
        <w:t>Embed behavioural theory into programme design: Using models such as HBM and SCT can improve the effectiveness of health interventions, but they must be combined with structural support to ensure equitable outcomes.</w:t>
      </w:r>
    </w:p>
    <w:p w14:paraId="09D802B2" w14:textId="77777777" w:rsidR="007A3D13" w:rsidRDefault="007A3D13" w:rsidP="002F6883">
      <w:pPr>
        <w:rPr>
          <w:b/>
          <w:bCs/>
          <w:sz w:val="22"/>
          <w:szCs w:val="22"/>
        </w:rPr>
      </w:pPr>
    </w:p>
    <w:p w14:paraId="5E70C0AC" w14:textId="77777777" w:rsidR="007A3D13" w:rsidRDefault="007A3D13" w:rsidP="002F6883">
      <w:pPr>
        <w:rPr>
          <w:b/>
          <w:bCs/>
          <w:sz w:val="22"/>
          <w:szCs w:val="22"/>
        </w:rPr>
      </w:pPr>
    </w:p>
    <w:p w14:paraId="5C49F23B" w14:textId="77777777" w:rsidR="007A3D13" w:rsidRDefault="007A3D13" w:rsidP="002F6883">
      <w:pPr>
        <w:rPr>
          <w:b/>
          <w:bCs/>
          <w:sz w:val="22"/>
          <w:szCs w:val="22"/>
        </w:rPr>
      </w:pPr>
    </w:p>
    <w:p w14:paraId="48983FD7" w14:textId="77777777" w:rsidR="007A3D13" w:rsidRDefault="007A3D13" w:rsidP="002F6883">
      <w:pPr>
        <w:rPr>
          <w:b/>
          <w:bCs/>
          <w:sz w:val="22"/>
          <w:szCs w:val="22"/>
        </w:rPr>
      </w:pPr>
    </w:p>
    <w:p w14:paraId="1148436B" w14:textId="77777777" w:rsidR="007A3D13" w:rsidRDefault="007A3D13" w:rsidP="002F6883">
      <w:pPr>
        <w:rPr>
          <w:b/>
          <w:bCs/>
          <w:sz w:val="22"/>
          <w:szCs w:val="22"/>
        </w:rPr>
      </w:pPr>
    </w:p>
    <w:p w14:paraId="218644EB" w14:textId="77777777" w:rsidR="007A3D13" w:rsidRDefault="007A3D13" w:rsidP="002F6883">
      <w:pPr>
        <w:rPr>
          <w:b/>
          <w:bCs/>
          <w:sz w:val="22"/>
          <w:szCs w:val="22"/>
        </w:rPr>
      </w:pPr>
    </w:p>
    <w:p w14:paraId="4A719427" w14:textId="77777777" w:rsidR="007A3D13" w:rsidRDefault="007A3D13" w:rsidP="002F6883">
      <w:pPr>
        <w:rPr>
          <w:b/>
          <w:bCs/>
          <w:sz w:val="22"/>
          <w:szCs w:val="22"/>
        </w:rPr>
      </w:pPr>
    </w:p>
    <w:p w14:paraId="736C9D19" w14:textId="77777777" w:rsidR="007A3D13" w:rsidRDefault="007A3D13" w:rsidP="002F6883">
      <w:pPr>
        <w:rPr>
          <w:b/>
          <w:bCs/>
          <w:sz w:val="22"/>
          <w:szCs w:val="22"/>
        </w:rPr>
      </w:pPr>
    </w:p>
    <w:p w14:paraId="1DF7CCCB" w14:textId="5F49D3B2" w:rsidR="00DC210D" w:rsidRPr="00DC210D" w:rsidRDefault="00DC210D" w:rsidP="00DC210D">
      <w:pPr>
        <w:pStyle w:val="NoSpacing"/>
        <w:rPr>
          <w:rFonts w:ascii="Arial" w:hAnsi="Arial" w:cs="Arial"/>
          <w:b/>
          <w:bCs/>
          <w:sz w:val="22"/>
          <w:szCs w:val="22"/>
          <w:u w:val="single"/>
        </w:rPr>
      </w:pPr>
      <w:r w:rsidRPr="00DC210D">
        <w:rPr>
          <w:rFonts w:ascii="Arial" w:hAnsi="Arial" w:cs="Arial"/>
          <w:b/>
          <w:bCs/>
          <w:sz w:val="22"/>
          <w:szCs w:val="22"/>
          <w:u w:val="single"/>
        </w:rPr>
        <w:lastRenderedPageBreak/>
        <w:t>Section 2: SDG 13- Climate Action.</w:t>
      </w:r>
    </w:p>
    <w:p w14:paraId="15541D15" w14:textId="77777777" w:rsidR="00DC210D" w:rsidRDefault="00DC210D" w:rsidP="00DC210D">
      <w:pPr>
        <w:pStyle w:val="NoSpacing"/>
        <w:rPr>
          <w:rFonts w:ascii="Arial" w:hAnsi="Arial" w:cs="Arial"/>
          <w:b/>
          <w:bCs/>
          <w:sz w:val="22"/>
          <w:szCs w:val="22"/>
        </w:rPr>
      </w:pPr>
    </w:p>
    <w:p w14:paraId="517B38CF" w14:textId="2420EB83" w:rsidR="00DC210D" w:rsidRDefault="00DC210D" w:rsidP="00DC210D">
      <w:pPr>
        <w:pStyle w:val="NoSpacing"/>
        <w:rPr>
          <w:rFonts w:ascii="Arial" w:hAnsi="Arial" w:cs="Arial"/>
          <w:b/>
          <w:bCs/>
          <w:sz w:val="22"/>
          <w:szCs w:val="22"/>
        </w:rPr>
      </w:pPr>
      <w:r w:rsidRPr="00DC210D">
        <w:rPr>
          <w:rFonts w:ascii="Arial" w:hAnsi="Arial" w:cs="Arial"/>
          <w:b/>
          <w:bCs/>
          <w:sz w:val="22"/>
          <w:szCs w:val="22"/>
        </w:rPr>
        <w:t>Overview of SDG 13</w:t>
      </w:r>
    </w:p>
    <w:p w14:paraId="25645153" w14:textId="77777777" w:rsidR="00DC210D" w:rsidRPr="00DC210D" w:rsidRDefault="00DC210D" w:rsidP="00DC210D">
      <w:pPr>
        <w:pStyle w:val="NoSpacing"/>
        <w:rPr>
          <w:rFonts w:ascii="Arial" w:hAnsi="Arial" w:cs="Arial"/>
          <w:b/>
          <w:bCs/>
          <w:sz w:val="22"/>
          <w:szCs w:val="22"/>
        </w:rPr>
      </w:pPr>
    </w:p>
    <w:p w14:paraId="1F5E1938" w14:textId="77777777" w:rsidR="00DC210D" w:rsidRDefault="00DC210D" w:rsidP="00DC210D">
      <w:pPr>
        <w:pStyle w:val="NoSpacing"/>
        <w:rPr>
          <w:rFonts w:ascii="Arial" w:hAnsi="Arial" w:cs="Arial"/>
          <w:sz w:val="22"/>
          <w:szCs w:val="22"/>
        </w:rPr>
      </w:pPr>
      <w:r w:rsidRPr="00DC210D">
        <w:rPr>
          <w:rFonts w:ascii="Arial" w:hAnsi="Arial" w:cs="Arial"/>
          <w:sz w:val="22"/>
          <w:szCs w:val="22"/>
        </w:rPr>
        <w:t xml:space="preserve">SDG 13 focuses on taking urgent action to tackle climate change and reduce its impacts (UN, 2024). Climate change is now widely recognised as a major threat to global health and wellbeing, as rising temperatures, extreme weather, and poor air quality all contribute to illness, premature deaths, and pressure on health systems (IPCC, 2023). </w:t>
      </w:r>
    </w:p>
    <w:p w14:paraId="53C443E4" w14:textId="77777777" w:rsidR="00DC210D" w:rsidRDefault="00DC210D" w:rsidP="00DC210D">
      <w:pPr>
        <w:pStyle w:val="NoSpacing"/>
        <w:rPr>
          <w:rFonts w:ascii="Arial" w:hAnsi="Arial" w:cs="Arial"/>
          <w:sz w:val="22"/>
          <w:szCs w:val="22"/>
        </w:rPr>
      </w:pPr>
    </w:p>
    <w:p w14:paraId="7F3F2B0C" w14:textId="5C7D4B6E" w:rsidR="00DC210D" w:rsidRPr="00DC210D" w:rsidRDefault="00DC210D" w:rsidP="00DC210D">
      <w:pPr>
        <w:pStyle w:val="NoSpacing"/>
        <w:rPr>
          <w:rFonts w:ascii="Arial" w:hAnsi="Arial" w:cs="Arial"/>
          <w:sz w:val="22"/>
          <w:szCs w:val="22"/>
        </w:rPr>
      </w:pPr>
      <w:r w:rsidRPr="00DC210D">
        <w:rPr>
          <w:rFonts w:ascii="Arial" w:hAnsi="Arial" w:cs="Arial"/>
          <w:sz w:val="22"/>
          <w:szCs w:val="22"/>
        </w:rPr>
        <w:t>The</w:t>
      </w:r>
      <w:r>
        <w:rPr>
          <w:rFonts w:ascii="Arial" w:hAnsi="Arial" w:cs="Arial"/>
          <w:sz w:val="22"/>
          <w:szCs w:val="22"/>
        </w:rPr>
        <w:t xml:space="preserve"> </w:t>
      </w:r>
      <w:r w:rsidRPr="00DC210D">
        <w:rPr>
          <w:rFonts w:ascii="Arial" w:hAnsi="Arial" w:cs="Arial"/>
          <w:sz w:val="22"/>
          <w:szCs w:val="22"/>
        </w:rPr>
        <w:t>environmental changes affect everyone, but the impacts are often worse for vulnerable groups such as older adults, people with long</w:t>
      </w:r>
      <w:r w:rsidRPr="00DC210D">
        <w:rPr>
          <w:rFonts w:ascii="Arial" w:hAnsi="Arial" w:cs="Arial"/>
          <w:sz w:val="22"/>
          <w:szCs w:val="22"/>
        </w:rPr>
        <w:noBreakHyphen/>
        <w:t>term conditions, and communities already facing social and economic disadvantage. Because of this, SDG 13 links closely with SDG 3, as climate</w:t>
      </w:r>
      <w:r w:rsidRPr="00DC210D">
        <w:rPr>
          <w:rFonts w:ascii="Arial" w:hAnsi="Arial" w:cs="Arial"/>
          <w:sz w:val="22"/>
          <w:szCs w:val="22"/>
        </w:rPr>
        <w:noBreakHyphen/>
        <w:t xml:space="preserve">related risks directly influence health </w:t>
      </w:r>
      <w:r w:rsidRPr="00DC210D">
        <w:rPr>
          <w:rFonts w:ascii="Arial" w:hAnsi="Arial" w:cs="Arial"/>
          <w:sz w:val="22"/>
          <w:szCs w:val="22"/>
        </w:rPr>
        <w:t>outcomes. Despite</w:t>
      </w:r>
      <w:r w:rsidRPr="00DC210D">
        <w:rPr>
          <w:rFonts w:ascii="Arial" w:hAnsi="Arial" w:cs="Arial"/>
          <w:sz w:val="22"/>
          <w:szCs w:val="22"/>
        </w:rPr>
        <w:t xml:space="preserve"> global efforts, the UN (2023) reports that the world is not on track to limit warming to 1.5°C, which raises serious concerns for future health, food security, and sustainable development.</w:t>
      </w:r>
    </w:p>
    <w:p w14:paraId="0AF1EC2E" w14:textId="77777777" w:rsidR="00DC210D" w:rsidRPr="00DC210D" w:rsidRDefault="00DC210D" w:rsidP="00DC210D">
      <w:pPr>
        <w:pStyle w:val="NoSpacing"/>
        <w:rPr>
          <w:rFonts w:ascii="Arial" w:hAnsi="Arial" w:cs="Arial"/>
          <w:b/>
          <w:bCs/>
          <w:sz w:val="22"/>
          <w:szCs w:val="22"/>
        </w:rPr>
      </w:pPr>
    </w:p>
    <w:p w14:paraId="356360FF" w14:textId="14909D5E"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Global Policies and Initiatives</w:t>
      </w:r>
    </w:p>
    <w:p w14:paraId="772EE170" w14:textId="77777777" w:rsidR="00DC210D" w:rsidRPr="00DC210D" w:rsidRDefault="00DC210D" w:rsidP="00DC210D">
      <w:pPr>
        <w:pStyle w:val="NoSpacing"/>
        <w:rPr>
          <w:rFonts w:ascii="Arial" w:hAnsi="Arial" w:cs="Arial"/>
          <w:sz w:val="22"/>
          <w:szCs w:val="22"/>
        </w:rPr>
      </w:pPr>
    </w:p>
    <w:p w14:paraId="408CF75F" w14:textId="77777777" w:rsidR="00DC210D" w:rsidRDefault="00DC210D" w:rsidP="00DC210D">
      <w:pPr>
        <w:pStyle w:val="NoSpacing"/>
        <w:rPr>
          <w:rFonts w:ascii="Arial" w:hAnsi="Arial" w:cs="Arial"/>
          <w:sz w:val="22"/>
          <w:szCs w:val="22"/>
        </w:rPr>
      </w:pPr>
      <w:r w:rsidRPr="00DC210D">
        <w:rPr>
          <w:rFonts w:ascii="Arial" w:hAnsi="Arial" w:cs="Arial"/>
          <w:sz w:val="22"/>
          <w:szCs w:val="22"/>
        </w:rPr>
        <w:t>The main global agreement driving climate action is the Paris Agreement (2015), which aims to limit global warming and requires countries to set out their own emission</w:t>
      </w:r>
      <w:r w:rsidRPr="00DC210D">
        <w:rPr>
          <w:rFonts w:ascii="Arial" w:hAnsi="Arial" w:cs="Arial"/>
          <w:sz w:val="22"/>
          <w:szCs w:val="22"/>
        </w:rPr>
        <w:noBreakHyphen/>
        <w:t>reduction plans, known as Nationally Determined Contributions (NDCs) (UNFCCC, 2015). However, many countries’ NDCs are not ambitious enough, and progress has been slowed by political disagreements, financial barriers, and uneven global responsibility (UNEP, 2023). This highlights a key challenge: while climate change is a global issue, countries vary widely in their ability and willingness to act.</w:t>
      </w:r>
    </w:p>
    <w:p w14:paraId="6CB6AEF0" w14:textId="77777777" w:rsidR="00DC210D" w:rsidRPr="00DC210D" w:rsidRDefault="00DC210D" w:rsidP="00DC210D">
      <w:pPr>
        <w:pStyle w:val="NoSpacing"/>
        <w:rPr>
          <w:rFonts w:ascii="Arial" w:hAnsi="Arial" w:cs="Arial"/>
          <w:sz w:val="22"/>
          <w:szCs w:val="22"/>
        </w:rPr>
      </w:pPr>
    </w:p>
    <w:p w14:paraId="7AFABE17" w14:textId="77777777" w:rsidR="00DC210D" w:rsidRPr="00DC210D" w:rsidRDefault="00DC210D" w:rsidP="00DC210D">
      <w:pPr>
        <w:pStyle w:val="NoSpacing"/>
        <w:rPr>
          <w:rFonts w:ascii="Arial" w:hAnsi="Arial" w:cs="Arial"/>
          <w:sz w:val="22"/>
          <w:szCs w:val="22"/>
        </w:rPr>
      </w:pPr>
      <w:r w:rsidRPr="00DC210D">
        <w:rPr>
          <w:rFonts w:ascii="Arial" w:hAnsi="Arial" w:cs="Arial"/>
          <w:sz w:val="22"/>
          <w:szCs w:val="22"/>
        </w:rPr>
        <w:t>The Intergovernmental Panel on Climate Change (IPCC) provides scientific evidence showing that climate</w:t>
      </w:r>
      <w:r w:rsidRPr="00DC210D">
        <w:rPr>
          <w:rFonts w:ascii="Arial" w:hAnsi="Arial" w:cs="Arial"/>
          <w:sz w:val="22"/>
          <w:szCs w:val="22"/>
        </w:rPr>
        <w:noBreakHyphen/>
        <w:t>related health risks are increasing, including heat</w:t>
      </w:r>
      <w:r w:rsidRPr="00DC210D">
        <w:rPr>
          <w:rFonts w:ascii="Arial" w:hAnsi="Arial" w:cs="Arial"/>
          <w:sz w:val="22"/>
          <w:szCs w:val="22"/>
        </w:rPr>
        <w:noBreakHyphen/>
        <w:t>related deaths, worsening air pollution, and the spread of vector</w:t>
      </w:r>
      <w:r w:rsidRPr="00DC210D">
        <w:rPr>
          <w:rFonts w:ascii="Arial" w:hAnsi="Arial" w:cs="Arial"/>
          <w:sz w:val="22"/>
          <w:szCs w:val="22"/>
        </w:rPr>
        <w:noBreakHyphen/>
        <w:t>borne diseases (IPCC, 2023). For example, recent European heatwaves have caused thousands of excess deaths, especially among older people and those with existing health conditions.</w:t>
      </w:r>
    </w:p>
    <w:p w14:paraId="65D0EFE1" w14:textId="77777777" w:rsidR="00DC210D" w:rsidRDefault="00DC210D" w:rsidP="00DC210D">
      <w:pPr>
        <w:pStyle w:val="NoSpacing"/>
        <w:rPr>
          <w:rFonts w:ascii="Arial" w:hAnsi="Arial" w:cs="Arial"/>
          <w:sz w:val="22"/>
          <w:szCs w:val="22"/>
        </w:rPr>
      </w:pPr>
    </w:p>
    <w:p w14:paraId="005B7C9C" w14:textId="1B8F8540" w:rsidR="00DC210D" w:rsidRDefault="00DC210D" w:rsidP="00DC210D">
      <w:pPr>
        <w:pStyle w:val="NoSpacing"/>
        <w:rPr>
          <w:rFonts w:ascii="Arial" w:hAnsi="Arial" w:cs="Arial"/>
          <w:sz w:val="22"/>
          <w:szCs w:val="22"/>
        </w:rPr>
      </w:pPr>
      <w:r w:rsidRPr="00DC210D">
        <w:rPr>
          <w:rFonts w:ascii="Arial" w:hAnsi="Arial" w:cs="Arial"/>
          <w:sz w:val="22"/>
          <w:szCs w:val="22"/>
        </w:rPr>
        <w:t>Financial support is also essential. The Green Climate Fund (GCF) was created to help low</w:t>
      </w:r>
      <w:r w:rsidRPr="00DC210D">
        <w:rPr>
          <w:rFonts w:ascii="Arial" w:hAnsi="Arial" w:cs="Arial"/>
          <w:sz w:val="22"/>
          <w:szCs w:val="22"/>
        </w:rPr>
        <w:noBreakHyphen/>
        <w:t xml:space="preserve"> and middle</w:t>
      </w:r>
      <w:r w:rsidRPr="00DC210D">
        <w:rPr>
          <w:rFonts w:ascii="Arial" w:hAnsi="Arial" w:cs="Arial"/>
          <w:sz w:val="22"/>
          <w:szCs w:val="22"/>
        </w:rPr>
        <w:noBreakHyphen/>
        <w:t>income countries adapt to climate impacts, but wealthier nations have been criticised for failing to meet funding commitments (GCF, 2023). This lack of financial support limits the ability of vulnerable countries to protect their populations, raising concerns about global fairness and responsibility.</w:t>
      </w:r>
    </w:p>
    <w:p w14:paraId="4AFBFF1A" w14:textId="77777777" w:rsidR="00DC210D" w:rsidRPr="00DC210D" w:rsidRDefault="00DC210D" w:rsidP="00DC210D">
      <w:pPr>
        <w:pStyle w:val="NoSpacing"/>
        <w:rPr>
          <w:rFonts w:ascii="Arial" w:hAnsi="Arial" w:cs="Arial"/>
          <w:sz w:val="22"/>
          <w:szCs w:val="22"/>
        </w:rPr>
      </w:pPr>
    </w:p>
    <w:p w14:paraId="50C810B6"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National Policies and Initiatives (UK)</w:t>
      </w:r>
    </w:p>
    <w:p w14:paraId="15042169" w14:textId="77777777" w:rsidR="00DC210D" w:rsidRPr="00DC210D" w:rsidRDefault="00DC210D" w:rsidP="00DC210D">
      <w:pPr>
        <w:pStyle w:val="NoSpacing"/>
        <w:rPr>
          <w:rFonts w:ascii="Arial" w:hAnsi="Arial" w:cs="Arial"/>
          <w:sz w:val="22"/>
          <w:szCs w:val="22"/>
        </w:rPr>
      </w:pPr>
    </w:p>
    <w:p w14:paraId="2635FE1F" w14:textId="77777777" w:rsidR="00DC210D" w:rsidRDefault="00DC210D" w:rsidP="00DC210D">
      <w:pPr>
        <w:pStyle w:val="NoSpacing"/>
        <w:rPr>
          <w:rFonts w:ascii="Arial" w:hAnsi="Arial" w:cs="Arial"/>
          <w:sz w:val="22"/>
          <w:szCs w:val="22"/>
        </w:rPr>
      </w:pPr>
      <w:r w:rsidRPr="00DC210D">
        <w:rPr>
          <w:rFonts w:ascii="Arial" w:hAnsi="Arial" w:cs="Arial"/>
          <w:sz w:val="22"/>
          <w:szCs w:val="22"/>
        </w:rPr>
        <w:t>The UK has made several commitments to climate action, including becoming the first major economy to set a legal target for net</w:t>
      </w:r>
      <w:r w:rsidRPr="00DC210D">
        <w:rPr>
          <w:rFonts w:ascii="Arial" w:hAnsi="Arial" w:cs="Arial"/>
          <w:sz w:val="22"/>
          <w:szCs w:val="22"/>
        </w:rPr>
        <w:noBreakHyphen/>
        <w:t>zero emissions by 2050 (GOV.UK, 2019). Key national strategies include:</w:t>
      </w:r>
    </w:p>
    <w:p w14:paraId="584EA447" w14:textId="77777777" w:rsidR="00DC210D" w:rsidRPr="00DC210D" w:rsidRDefault="00DC210D" w:rsidP="00DC210D">
      <w:pPr>
        <w:pStyle w:val="NoSpacing"/>
        <w:rPr>
          <w:rFonts w:ascii="Arial" w:hAnsi="Arial" w:cs="Arial"/>
          <w:sz w:val="22"/>
          <w:szCs w:val="22"/>
        </w:rPr>
      </w:pPr>
    </w:p>
    <w:p w14:paraId="0062B1A0" w14:textId="77777777" w:rsidR="00DC210D" w:rsidRPr="00DC210D" w:rsidRDefault="00DC210D" w:rsidP="00DC210D">
      <w:pPr>
        <w:pStyle w:val="NoSpacing"/>
        <w:numPr>
          <w:ilvl w:val="0"/>
          <w:numId w:val="11"/>
        </w:numPr>
        <w:rPr>
          <w:rFonts w:ascii="Arial" w:hAnsi="Arial" w:cs="Arial"/>
          <w:sz w:val="22"/>
          <w:szCs w:val="22"/>
        </w:rPr>
      </w:pPr>
      <w:r w:rsidRPr="00DC210D">
        <w:rPr>
          <w:rFonts w:ascii="Arial" w:hAnsi="Arial" w:cs="Arial"/>
          <w:sz w:val="22"/>
          <w:szCs w:val="22"/>
        </w:rPr>
        <w:t>The UK Net Zero Strategy (2021), which outlines plans to reduce emissions across transport, housing, energy, and industry (BEIS, 2021).</w:t>
      </w:r>
    </w:p>
    <w:p w14:paraId="6544E9BD" w14:textId="77777777" w:rsidR="00DC210D" w:rsidRPr="00DC210D" w:rsidRDefault="00DC210D" w:rsidP="00DC210D">
      <w:pPr>
        <w:pStyle w:val="NoSpacing"/>
        <w:numPr>
          <w:ilvl w:val="0"/>
          <w:numId w:val="11"/>
        </w:numPr>
        <w:rPr>
          <w:rFonts w:ascii="Arial" w:hAnsi="Arial" w:cs="Arial"/>
          <w:sz w:val="22"/>
          <w:szCs w:val="22"/>
        </w:rPr>
      </w:pPr>
      <w:r w:rsidRPr="00DC210D">
        <w:rPr>
          <w:rFonts w:ascii="Arial" w:hAnsi="Arial" w:cs="Arial"/>
          <w:sz w:val="22"/>
          <w:szCs w:val="22"/>
        </w:rPr>
        <w:t>The Clean Air Strategy (2019), which aims to reduce harmful pollutants linked to respiratory and cardiovascular disease (DEFRA, 2019).</w:t>
      </w:r>
    </w:p>
    <w:p w14:paraId="1FC7F4B8" w14:textId="77777777" w:rsidR="00DC210D" w:rsidRPr="00DC210D" w:rsidRDefault="00DC210D" w:rsidP="00DC210D">
      <w:pPr>
        <w:pStyle w:val="NoSpacing"/>
        <w:numPr>
          <w:ilvl w:val="0"/>
          <w:numId w:val="11"/>
        </w:numPr>
        <w:rPr>
          <w:rFonts w:ascii="Arial" w:hAnsi="Arial" w:cs="Arial"/>
          <w:sz w:val="22"/>
          <w:szCs w:val="22"/>
        </w:rPr>
      </w:pPr>
      <w:r w:rsidRPr="00DC210D">
        <w:rPr>
          <w:rFonts w:ascii="Arial" w:hAnsi="Arial" w:cs="Arial"/>
          <w:sz w:val="22"/>
          <w:szCs w:val="22"/>
        </w:rPr>
        <w:t>The National Adaptation Programme (NAP3, 2023), which focuses on preparing communities and services for climate impacts such as heatwaves and flooding (DEFRA, 2023).</w:t>
      </w:r>
    </w:p>
    <w:p w14:paraId="3213AE3F" w14:textId="77777777" w:rsidR="00DC210D" w:rsidRDefault="00DC210D" w:rsidP="00DC210D">
      <w:pPr>
        <w:pStyle w:val="NoSpacing"/>
        <w:rPr>
          <w:rFonts w:ascii="Arial" w:hAnsi="Arial" w:cs="Arial"/>
          <w:sz w:val="22"/>
          <w:szCs w:val="22"/>
        </w:rPr>
      </w:pPr>
    </w:p>
    <w:p w14:paraId="5503FEC6" w14:textId="6A278843" w:rsidR="00DC210D" w:rsidRDefault="00DC210D" w:rsidP="00DC210D">
      <w:pPr>
        <w:pStyle w:val="NoSpacing"/>
        <w:rPr>
          <w:rFonts w:ascii="Arial" w:hAnsi="Arial" w:cs="Arial"/>
          <w:sz w:val="22"/>
          <w:szCs w:val="22"/>
        </w:rPr>
      </w:pPr>
      <w:r w:rsidRPr="00DC210D">
        <w:rPr>
          <w:rFonts w:ascii="Arial" w:hAnsi="Arial" w:cs="Arial"/>
          <w:sz w:val="22"/>
          <w:szCs w:val="22"/>
        </w:rPr>
        <w:t xml:space="preserve">Despite the commitments, the Climate Change Committee (CCC) reported in 2023 that the UK is not on track to meet many of its climate targets, mainly due to slow progress in home </w:t>
      </w:r>
      <w:r w:rsidRPr="00DC210D">
        <w:rPr>
          <w:rFonts w:ascii="Arial" w:hAnsi="Arial" w:cs="Arial"/>
          <w:sz w:val="22"/>
          <w:szCs w:val="22"/>
        </w:rPr>
        <w:lastRenderedPageBreak/>
        <w:t>insulation, renewable energy, and transport decarbonisation (CCC, 2023). These delays have real health consequences. Poorly insulated homes contribute to fuel poverty and cold</w:t>
      </w:r>
      <w:r w:rsidRPr="00DC210D">
        <w:rPr>
          <w:rFonts w:ascii="Arial" w:hAnsi="Arial" w:cs="Arial"/>
          <w:sz w:val="22"/>
          <w:szCs w:val="22"/>
        </w:rPr>
        <w:noBreakHyphen/>
        <w:t>related illness, while slow progress on clean transport means continued exposure to harmful air pollution.</w:t>
      </w:r>
    </w:p>
    <w:p w14:paraId="70EA9470" w14:textId="77777777" w:rsidR="00DC210D" w:rsidRPr="00DC210D" w:rsidRDefault="00DC210D" w:rsidP="00DC210D">
      <w:pPr>
        <w:pStyle w:val="NoSpacing"/>
        <w:rPr>
          <w:rFonts w:ascii="Arial" w:hAnsi="Arial" w:cs="Arial"/>
          <w:sz w:val="22"/>
          <w:szCs w:val="22"/>
        </w:rPr>
      </w:pPr>
    </w:p>
    <w:p w14:paraId="1551DA28" w14:textId="77777777" w:rsidR="00DC210D" w:rsidRDefault="00DC210D" w:rsidP="00DC210D">
      <w:pPr>
        <w:pStyle w:val="NoSpacing"/>
        <w:rPr>
          <w:rFonts w:ascii="Arial" w:hAnsi="Arial" w:cs="Arial"/>
          <w:sz w:val="22"/>
          <w:szCs w:val="22"/>
        </w:rPr>
      </w:pPr>
      <w:r w:rsidRPr="00DC210D">
        <w:rPr>
          <w:rFonts w:ascii="Arial" w:hAnsi="Arial" w:cs="Arial"/>
          <w:sz w:val="22"/>
          <w:szCs w:val="22"/>
        </w:rPr>
        <w:t>The NHS has also recognised the importance of climate action through its Greener NHS programme, which aims to become the world’s first net</w:t>
      </w:r>
      <w:r w:rsidRPr="00DC210D">
        <w:rPr>
          <w:rFonts w:ascii="Arial" w:hAnsi="Arial" w:cs="Arial"/>
          <w:sz w:val="22"/>
          <w:szCs w:val="22"/>
        </w:rPr>
        <w:noBreakHyphen/>
        <w:t>zero health system (NHS England, 2020). This includes reducing emissions from buildings, travel, and medical equipment. However, financial pressures and workforce shortages make it difficult to implement large</w:t>
      </w:r>
      <w:r w:rsidRPr="00DC210D">
        <w:rPr>
          <w:rFonts w:ascii="Arial" w:hAnsi="Arial" w:cs="Arial"/>
          <w:sz w:val="22"/>
          <w:szCs w:val="22"/>
        </w:rPr>
        <w:noBreakHyphen/>
        <w:t>scale changes quickly.</w:t>
      </w:r>
    </w:p>
    <w:p w14:paraId="22EF4657" w14:textId="77777777" w:rsidR="00DC210D" w:rsidRPr="00DC210D" w:rsidRDefault="00DC210D" w:rsidP="00DC210D">
      <w:pPr>
        <w:pStyle w:val="NoSpacing"/>
        <w:rPr>
          <w:rFonts w:ascii="Arial" w:hAnsi="Arial" w:cs="Arial"/>
          <w:sz w:val="22"/>
          <w:szCs w:val="22"/>
        </w:rPr>
      </w:pPr>
    </w:p>
    <w:p w14:paraId="002AFD69"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Local Policies and Initiatives (Solihull and West Midlands)</w:t>
      </w:r>
    </w:p>
    <w:p w14:paraId="16CC763B" w14:textId="77777777" w:rsidR="00DC210D" w:rsidRPr="00DC210D" w:rsidRDefault="00DC210D" w:rsidP="00DC210D">
      <w:pPr>
        <w:pStyle w:val="NoSpacing"/>
        <w:rPr>
          <w:rFonts w:ascii="Arial" w:hAnsi="Arial" w:cs="Arial"/>
          <w:sz w:val="22"/>
          <w:szCs w:val="22"/>
        </w:rPr>
      </w:pPr>
    </w:p>
    <w:p w14:paraId="0A252D4D" w14:textId="77777777" w:rsidR="00DC210D" w:rsidRDefault="00DC210D" w:rsidP="00DC210D">
      <w:pPr>
        <w:pStyle w:val="NoSpacing"/>
        <w:rPr>
          <w:rFonts w:ascii="Arial" w:hAnsi="Arial" w:cs="Arial"/>
          <w:sz w:val="22"/>
          <w:szCs w:val="22"/>
        </w:rPr>
      </w:pPr>
      <w:r w:rsidRPr="00DC210D">
        <w:rPr>
          <w:rFonts w:ascii="Arial" w:hAnsi="Arial" w:cs="Arial"/>
          <w:sz w:val="22"/>
          <w:szCs w:val="22"/>
        </w:rPr>
        <w:t>Local authorities play a key role in delivering SDG 13 because they manage areas such as transport, housing, planning, and community resilience. Solihull Council has committed to reaching net</w:t>
      </w:r>
      <w:r w:rsidRPr="00DC210D">
        <w:rPr>
          <w:rFonts w:ascii="Arial" w:hAnsi="Arial" w:cs="Arial"/>
          <w:sz w:val="22"/>
          <w:szCs w:val="22"/>
        </w:rPr>
        <w:noBreakHyphen/>
        <w:t xml:space="preserve">zero emissions by 2041 as part of the West Midlands Combined Authority (WMCA, 2021). </w:t>
      </w:r>
    </w:p>
    <w:p w14:paraId="07A0143F" w14:textId="77777777" w:rsidR="00DC210D" w:rsidRPr="00DC210D" w:rsidRDefault="00DC210D" w:rsidP="00DC210D">
      <w:pPr>
        <w:pStyle w:val="NoSpacing"/>
        <w:rPr>
          <w:rFonts w:ascii="Arial" w:hAnsi="Arial" w:cs="Arial"/>
          <w:b/>
          <w:bCs/>
          <w:sz w:val="22"/>
          <w:szCs w:val="22"/>
        </w:rPr>
      </w:pPr>
    </w:p>
    <w:p w14:paraId="0C48668F" w14:textId="4F47915A"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Local initiatives include:</w:t>
      </w:r>
    </w:p>
    <w:p w14:paraId="0EB81124" w14:textId="77777777" w:rsidR="00DC210D" w:rsidRPr="00DC210D" w:rsidRDefault="00DC210D" w:rsidP="00DC210D">
      <w:pPr>
        <w:pStyle w:val="NoSpacing"/>
        <w:rPr>
          <w:rFonts w:ascii="Arial" w:hAnsi="Arial" w:cs="Arial"/>
          <w:sz w:val="22"/>
          <w:szCs w:val="22"/>
        </w:rPr>
      </w:pPr>
    </w:p>
    <w:p w14:paraId="50934561" w14:textId="77777777" w:rsidR="00DC210D" w:rsidRP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Solihull’s Net Zero Action Plan, which focuses on improving energy efficiency, promoting sustainable transport, and expanding green spaces (Solihull Council, 2022).</w:t>
      </w:r>
    </w:p>
    <w:p w14:paraId="3CD982C1" w14:textId="77777777" w:rsidR="00DC210D" w:rsidRP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The Birmingham Clean Air Zone (CAZ), which aims to reduce traffic</w:t>
      </w:r>
      <w:r w:rsidRPr="00DC210D">
        <w:rPr>
          <w:rFonts w:ascii="Arial" w:hAnsi="Arial" w:cs="Arial"/>
          <w:sz w:val="22"/>
          <w:szCs w:val="22"/>
        </w:rPr>
        <w:noBreakHyphen/>
        <w:t>related air pollution and improve respiratory health (Birmingham City Council, 2021).</w:t>
      </w:r>
    </w:p>
    <w:p w14:paraId="7F79FF93" w14:textId="77777777" w:rsidR="00DC210D" w:rsidRP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Tree</w:t>
      </w:r>
      <w:r w:rsidRPr="00DC210D">
        <w:rPr>
          <w:rFonts w:ascii="Arial" w:hAnsi="Arial" w:cs="Arial"/>
          <w:sz w:val="22"/>
          <w:szCs w:val="22"/>
        </w:rPr>
        <w:noBreakHyphen/>
        <w:t>planting and biodiversity projects, which support climate adaptation and improve wellbeing (Solihull Council, 2022).</w:t>
      </w:r>
    </w:p>
    <w:p w14:paraId="064EA5F7" w14:textId="26931312" w:rsid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Heatwave and flood</w:t>
      </w:r>
      <w:r w:rsidRPr="00DC210D">
        <w:rPr>
          <w:rFonts w:ascii="Arial" w:hAnsi="Arial" w:cs="Arial"/>
          <w:sz w:val="22"/>
          <w:szCs w:val="22"/>
        </w:rPr>
        <w:noBreakHyphen/>
        <w:t>risk planning, which is increasingly important as the region experiences more extreme weather (Environment Agency, 2023).</w:t>
      </w:r>
    </w:p>
    <w:p w14:paraId="4735C280" w14:textId="77777777" w:rsidR="00DC210D" w:rsidRPr="00DC210D" w:rsidRDefault="00DC210D" w:rsidP="00DC210D">
      <w:pPr>
        <w:pStyle w:val="NoSpacing"/>
        <w:rPr>
          <w:rFonts w:ascii="Arial" w:hAnsi="Arial" w:cs="Arial"/>
          <w:sz w:val="22"/>
          <w:szCs w:val="22"/>
        </w:rPr>
      </w:pPr>
    </w:p>
    <w:p w14:paraId="12419614" w14:textId="77777777" w:rsidR="00DC210D" w:rsidRDefault="00DC210D" w:rsidP="00DC210D">
      <w:pPr>
        <w:pStyle w:val="NoSpacing"/>
        <w:rPr>
          <w:rFonts w:ascii="Arial" w:hAnsi="Arial" w:cs="Arial"/>
          <w:sz w:val="22"/>
          <w:szCs w:val="22"/>
        </w:rPr>
      </w:pPr>
      <w:r w:rsidRPr="00DC210D">
        <w:rPr>
          <w:rFonts w:ascii="Arial" w:hAnsi="Arial" w:cs="Arial"/>
          <w:sz w:val="22"/>
          <w:szCs w:val="22"/>
        </w:rPr>
        <w:t>However, local progress is limited by funding cuts and competing priorities. Air pollution remains a major issue in parts of the West Midlands, and deprived communities are more likely to live in areas with poor air quality and fewer green spaces (Public Health England, 2021). This shows how climate change can worsen existing inequalities, reinforcing the need for targeted, place</w:t>
      </w:r>
      <w:r w:rsidRPr="00DC210D">
        <w:rPr>
          <w:rFonts w:ascii="Arial" w:hAnsi="Arial" w:cs="Arial"/>
          <w:sz w:val="22"/>
          <w:szCs w:val="22"/>
        </w:rPr>
        <w:noBreakHyphen/>
        <w:t>based action.</w:t>
      </w:r>
    </w:p>
    <w:p w14:paraId="6699B884" w14:textId="77777777" w:rsidR="00DC210D" w:rsidRPr="00DC210D" w:rsidRDefault="00DC210D" w:rsidP="00DC210D">
      <w:pPr>
        <w:pStyle w:val="NoSpacing"/>
        <w:rPr>
          <w:rFonts w:ascii="Arial" w:hAnsi="Arial" w:cs="Arial"/>
          <w:sz w:val="22"/>
          <w:szCs w:val="22"/>
        </w:rPr>
      </w:pPr>
    </w:p>
    <w:p w14:paraId="79272A38"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Use of Theories and Models</w:t>
      </w:r>
    </w:p>
    <w:p w14:paraId="21A0507B" w14:textId="77777777" w:rsidR="00DC210D" w:rsidRPr="00DC210D" w:rsidRDefault="00DC210D" w:rsidP="00DC210D">
      <w:pPr>
        <w:pStyle w:val="NoSpacing"/>
        <w:rPr>
          <w:rFonts w:ascii="Arial" w:hAnsi="Arial" w:cs="Arial"/>
          <w:b/>
          <w:bCs/>
          <w:sz w:val="22"/>
          <w:szCs w:val="22"/>
        </w:rPr>
      </w:pPr>
    </w:p>
    <w:p w14:paraId="6E8BA5F2"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Socio</w:t>
      </w:r>
      <w:r w:rsidRPr="00DC210D">
        <w:rPr>
          <w:rFonts w:ascii="Arial" w:hAnsi="Arial" w:cs="Arial"/>
          <w:b/>
          <w:bCs/>
          <w:sz w:val="22"/>
          <w:szCs w:val="22"/>
        </w:rPr>
        <w:noBreakHyphen/>
        <w:t>Ecological Model (SEM)</w:t>
      </w:r>
    </w:p>
    <w:p w14:paraId="0887E79C" w14:textId="77777777" w:rsidR="00DC210D" w:rsidRPr="00DC210D" w:rsidRDefault="00DC210D" w:rsidP="00DC210D">
      <w:pPr>
        <w:pStyle w:val="NoSpacing"/>
        <w:rPr>
          <w:rFonts w:ascii="Arial" w:hAnsi="Arial" w:cs="Arial"/>
          <w:sz w:val="22"/>
          <w:szCs w:val="22"/>
        </w:rPr>
      </w:pPr>
    </w:p>
    <w:p w14:paraId="7E6A1BA3" w14:textId="77777777" w:rsidR="00DC210D" w:rsidRDefault="00DC210D" w:rsidP="00DC210D">
      <w:pPr>
        <w:pStyle w:val="NoSpacing"/>
        <w:rPr>
          <w:rFonts w:ascii="Arial" w:hAnsi="Arial" w:cs="Arial"/>
          <w:sz w:val="22"/>
          <w:szCs w:val="22"/>
        </w:rPr>
      </w:pPr>
      <w:r w:rsidRPr="00DC210D">
        <w:rPr>
          <w:rFonts w:ascii="Arial" w:hAnsi="Arial" w:cs="Arial"/>
          <w:sz w:val="22"/>
          <w:szCs w:val="22"/>
        </w:rPr>
        <w:t>The SEM is useful for understanding SDG 13 because climate change affects people at multiple levels—from individual behaviour to national policy (Bronfenbrenner, 1979). Local initiatives such as active travel schemes show how environmental design can support healthier, more sustainable lifestyles.</w:t>
      </w:r>
    </w:p>
    <w:p w14:paraId="34DDB589" w14:textId="77777777" w:rsidR="00DC210D" w:rsidRPr="00DC210D" w:rsidRDefault="00DC210D" w:rsidP="00DC210D">
      <w:pPr>
        <w:pStyle w:val="NoSpacing"/>
        <w:rPr>
          <w:rFonts w:ascii="Arial" w:hAnsi="Arial" w:cs="Arial"/>
          <w:sz w:val="22"/>
          <w:szCs w:val="22"/>
        </w:rPr>
      </w:pPr>
    </w:p>
    <w:p w14:paraId="47B33D9E"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Systems Thinking</w:t>
      </w:r>
    </w:p>
    <w:p w14:paraId="424FA48D" w14:textId="77777777" w:rsidR="00DC210D" w:rsidRDefault="00DC210D" w:rsidP="00DC210D">
      <w:pPr>
        <w:pStyle w:val="NoSpacing"/>
        <w:rPr>
          <w:rFonts w:ascii="Arial" w:hAnsi="Arial" w:cs="Arial"/>
          <w:sz w:val="22"/>
          <w:szCs w:val="22"/>
        </w:rPr>
      </w:pPr>
      <w:r w:rsidRPr="00DC210D">
        <w:rPr>
          <w:rFonts w:ascii="Arial" w:hAnsi="Arial" w:cs="Arial"/>
          <w:sz w:val="22"/>
          <w:szCs w:val="22"/>
        </w:rPr>
        <w:t>Climate change is a complex issue that requires joined</w:t>
      </w:r>
      <w:r w:rsidRPr="00DC210D">
        <w:rPr>
          <w:rFonts w:ascii="Arial" w:hAnsi="Arial" w:cs="Arial"/>
          <w:sz w:val="22"/>
          <w:szCs w:val="22"/>
        </w:rPr>
        <w:noBreakHyphen/>
        <w:t>up thinking across sectors. Systems thinking helps explain how energy, housing, transport, and health are interconnected, and why fragmented approaches often fail (BEIS, 2021).</w:t>
      </w:r>
    </w:p>
    <w:p w14:paraId="25E2F1E8" w14:textId="77777777" w:rsidR="00DC210D" w:rsidRPr="00DC210D" w:rsidRDefault="00DC210D" w:rsidP="00DC210D">
      <w:pPr>
        <w:pStyle w:val="NoSpacing"/>
        <w:rPr>
          <w:rFonts w:ascii="Arial" w:hAnsi="Arial" w:cs="Arial"/>
          <w:sz w:val="22"/>
          <w:szCs w:val="22"/>
        </w:rPr>
      </w:pPr>
    </w:p>
    <w:p w14:paraId="04687A03"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Environmental Justice Framework</w:t>
      </w:r>
    </w:p>
    <w:p w14:paraId="371D6ED3" w14:textId="77777777" w:rsidR="00DC210D" w:rsidRPr="00DC210D" w:rsidRDefault="00DC210D" w:rsidP="00DC210D">
      <w:pPr>
        <w:pStyle w:val="NoSpacing"/>
        <w:rPr>
          <w:rFonts w:ascii="Arial" w:hAnsi="Arial" w:cs="Arial"/>
          <w:sz w:val="22"/>
          <w:szCs w:val="22"/>
        </w:rPr>
      </w:pPr>
      <w:r w:rsidRPr="00DC210D">
        <w:rPr>
          <w:rFonts w:ascii="Arial" w:hAnsi="Arial" w:cs="Arial"/>
          <w:sz w:val="22"/>
          <w:szCs w:val="22"/>
        </w:rPr>
        <w:t>This framework highlights how disadvantaged communities face greater environmental risks. In the West Midlands, deprived areas experience higher pollution levels and fewer green spaces, which contributes to poorer health outcomes (Public Health England, 2021).</w:t>
      </w:r>
    </w:p>
    <w:p w14:paraId="7F317528" w14:textId="01832732" w:rsidR="00DC210D" w:rsidRDefault="00DC210D" w:rsidP="00DC210D">
      <w:pPr>
        <w:pStyle w:val="NoSpacing"/>
        <w:rPr>
          <w:rFonts w:ascii="Arial" w:hAnsi="Arial" w:cs="Arial"/>
          <w:b/>
          <w:bCs/>
          <w:sz w:val="22"/>
          <w:szCs w:val="22"/>
        </w:rPr>
      </w:pPr>
      <w:r w:rsidRPr="00DC210D">
        <w:rPr>
          <w:rFonts w:ascii="Arial" w:hAnsi="Arial" w:cs="Arial"/>
          <w:b/>
          <w:bCs/>
          <w:sz w:val="22"/>
          <w:szCs w:val="22"/>
        </w:rPr>
        <w:lastRenderedPageBreak/>
        <w:t>Recommendations</w:t>
      </w:r>
    </w:p>
    <w:p w14:paraId="4AE912E2" w14:textId="77777777" w:rsidR="00DC210D" w:rsidRPr="00DC210D" w:rsidRDefault="00DC210D" w:rsidP="00DC210D">
      <w:pPr>
        <w:pStyle w:val="NoSpacing"/>
        <w:rPr>
          <w:rFonts w:ascii="Arial" w:hAnsi="Arial" w:cs="Arial"/>
          <w:b/>
          <w:bCs/>
          <w:sz w:val="22"/>
          <w:szCs w:val="22"/>
        </w:rPr>
      </w:pPr>
    </w:p>
    <w:p w14:paraId="27687DF0"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Improve national accountability to ensure the UK meets its net</w:t>
      </w:r>
      <w:r w:rsidRPr="00DC210D">
        <w:rPr>
          <w:rFonts w:ascii="Arial" w:hAnsi="Arial" w:cs="Arial"/>
          <w:sz w:val="22"/>
          <w:szCs w:val="22"/>
        </w:rPr>
        <w:noBreakHyphen/>
        <w:t>zero targets and aligns climate policy with public health goals (CCC, 2023).</w:t>
      </w:r>
    </w:p>
    <w:p w14:paraId="6EB42425"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Increase funding for local climate adaptation, especially in deprived areas vulnerable to heat, flooding, and pollution (Environment Agency, 2023).</w:t>
      </w:r>
    </w:p>
    <w:p w14:paraId="0FDB95FB"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Strengthen links between climate and health planning within Integrated Care Systems (NHS England, 2020).</w:t>
      </w:r>
    </w:p>
    <w:p w14:paraId="76157F71"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Support behaviour</w:t>
      </w:r>
      <w:r w:rsidRPr="00DC210D">
        <w:rPr>
          <w:rFonts w:ascii="Arial" w:hAnsi="Arial" w:cs="Arial"/>
          <w:sz w:val="22"/>
          <w:szCs w:val="22"/>
        </w:rPr>
        <w:noBreakHyphen/>
        <w:t>change initiatives that are culturally appropriate and backed by structural support (DEFRA, 2019).</w:t>
      </w:r>
    </w:p>
    <w:p w14:paraId="31C71A46"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Improve monitoring of climate</w:t>
      </w:r>
      <w:r w:rsidRPr="00DC210D">
        <w:rPr>
          <w:rFonts w:ascii="Arial" w:hAnsi="Arial" w:cs="Arial"/>
          <w:sz w:val="22"/>
          <w:szCs w:val="22"/>
        </w:rPr>
        <w:noBreakHyphen/>
        <w:t>related health impacts to guide targeted interventions (UKHSA, 2023).</w:t>
      </w:r>
    </w:p>
    <w:p w14:paraId="59BBA20E" w14:textId="77777777" w:rsidR="007A3D13" w:rsidRDefault="007A3D13" w:rsidP="007A3D13">
      <w:pPr>
        <w:tabs>
          <w:tab w:val="left" w:pos="2710"/>
        </w:tabs>
        <w:rPr>
          <w:sz w:val="22"/>
          <w:szCs w:val="22"/>
        </w:rPr>
      </w:pPr>
    </w:p>
    <w:p w14:paraId="03A10D4E" w14:textId="77777777" w:rsidR="007A3D13" w:rsidRDefault="007A3D13" w:rsidP="007A3D13">
      <w:pPr>
        <w:tabs>
          <w:tab w:val="left" w:pos="2710"/>
        </w:tabs>
        <w:rPr>
          <w:sz w:val="22"/>
          <w:szCs w:val="22"/>
        </w:rPr>
      </w:pPr>
    </w:p>
    <w:p w14:paraId="0305BD6A" w14:textId="77777777" w:rsidR="007A3D13" w:rsidRDefault="007A3D13" w:rsidP="007A3D13">
      <w:pPr>
        <w:tabs>
          <w:tab w:val="left" w:pos="2710"/>
        </w:tabs>
        <w:rPr>
          <w:sz w:val="22"/>
          <w:szCs w:val="22"/>
        </w:rPr>
      </w:pPr>
    </w:p>
    <w:p w14:paraId="3D967576" w14:textId="386AF0FF" w:rsidR="00DC210D" w:rsidRDefault="00DC210D" w:rsidP="007A3D13">
      <w:pPr>
        <w:tabs>
          <w:tab w:val="left" w:pos="2710"/>
        </w:tabs>
        <w:rPr>
          <w:sz w:val="22"/>
          <w:szCs w:val="22"/>
        </w:rPr>
      </w:pPr>
    </w:p>
    <w:p w14:paraId="5D2FFCA6" w14:textId="539243CC" w:rsidR="00DC210D" w:rsidRPr="00DC210D" w:rsidRDefault="00DC210D" w:rsidP="00DC210D">
      <w:pPr>
        <w:tabs>
          <w:tab w:val="left" w:pos="2710"/>
        </w:tabs>
        <w:jc w:val="center"/>
        <w:rPr>
          <w:b/>
          <w:bCs/>
          <w:sz w:val="22"/>
          <w:szCs w:val="22"/>
          <w:u w:val="single"/>
        </w:rPr>
      </w:pPr>
      <w:r w:rsidRPr="00DC210D">
        <w:rPr>
          <w:b/>
          <w:bCs/>
          <w:sz w:val="22"/>
          <w:szCs w:val="22"/>
          <w:u w:val="single"/>
        </w:rPr>
        <w:t>Conclusion</w:t>
      </w:r>
    </w:p>
    <w:p w14:paraId="49CF156A" w14:textId="77777777" w:rsidR="00DC210D" w:rsidRDefault="00DC210D" w:rsidP="00DC210D">
      <w:pPr>
        <w:pStyle w:val="NoSpacing"/>
        <w:jc w:val="center"/>
        <w:rPr>
          <w:rFonts w:ascii="Arial" w:hAnsi="Arial" w:cs="Arial"/>
          <w:sz w:val="22"/>
          <w:szCs w:val="22"/>
        </w:rPr>
      </w:pPr>
      <w:r w:rsidRPr="00DC210D">
        <w:rPr>
          <w:rFonts w:ascii="Arial" w:hAnsi="Arial" w:cs="Arial"/>
          <w:sz w:val="22"/>
          <w:szCs w:val="22"/>
        </w:rPr>
        <w:t>This report has examined SDG 3 and SDG 13, highlighting how health and climate action are closely connected within the wider sustainable development agenda. The analysis of SDG 3 showed that although global and national frameworks provide strong foundations for improving health and reducing inequalities, progress remains uneven. Factors such as funding pressures, workforce shortages, and persistent social inequalities continue to limit the UK’s ability to fully meet SDG 3 targets. Local examples from Solihull and the West Midlands demonstrated how place</w:t>
      </w:r>
      <w:r w:rsidRPr="00DC210D">
        <w:rPr>
          <w:rFonts w:ascii="Arial" w:hAnsi="Arial" w:cs="Arial"/>
          <w:sz w:val="22"/>
          <w:szCs w:val="22"/>
        </w:rPr>
        <w:noBreakHyphen/>
        <w:t>based initiatives can support health improvement, but also revealed the challenges created by long</w:t>
      </w:r>
      <w:r w:rsidRPr="00DC210D">
        <w:rPr>
          <w:rFonts w:ascii="Arial" w:hAnsi="Arial" w:cs="Arial"/>
          <w:sz w:val="22"/>
          <w:szCs w:val="22"/>
        </w:rPr>
        <w:noBreakHyphen/>
        <w:t>term reductions in public health budgets.</w:t>
      </w:r>
    </w:p>
    <w:p w14:paraId="17B20A6D" w14:textId="77777777" w:rsidR="00DC210D" w:rsidRPr="00DC210D" w:rsidRDefault="00DC210D" w:rsidP="00DC210D">
      <w:pPr>
        <w:pStyle w:val="NoSpacing"/>
        <w:jc w:val="center"/>
        <w:rPr>
          <w:rFonts w:ascii="Arial" w:hAnsi="Arial" w:cs="Arial"/>
          <w:sz w:val="22"/>
          <w:szCs w:val="22"/>
        </w:rPr>
      </w:pPr>
    </w:p>
    <w:p w14:paraId="28755CE6" w14:textId="69E08F69" w:rsidR="00DC210D" w:rsidRPr="00DC210D" w:rsidRDefault="00DC210D" w:rsidP="00DC210D">
      <w:pPr>
        <w:pStyle w:val="NoSpacing"/>
        <w:jc w:val="center"/>
        <w:rPr>
          <w:rFonts w:ascii="Arial" w:hAnsi="Arial" w:cs="Arial"/>
          <w:sz w:val="22"/>
          <w:szCs w:val="22"/>
        </w:rPr>
      </w:pPr>
      <w:r w:rsidRPr="00DC210D">
        <w:rPr>
          <w:rFonts w:ascii="Arial" w:hAnsi="Arial" w:cs="Arial"/>
          <w:sz w:val="22"/>
          <w:szCs w:val="22"/>
        </w:rPr>
        <w:t>The evaluation of SDG 13 showed that climate change poses significant risks to population health, reinforcing the need for coordinated action across sectors. While the UK has made ambitious commitments to net</w:t>
      </w:r>
      <w:r w:rsidRPr="00DC210D">
        <w:rPr>
          <w:rFonts w:ascii="Arial" w:hAnsi="Arial" w:cs="Arial"/>
          <w:sz w:val="22"/>
          <w:szCs w:val="22"/>
        </w:rPr>
        <w:noBreakHyphen/>
        <w:t xml:space="preserve">zero emissions, progress has been slower than planned, and deprived communities continue to face the greatest environmental risks. Local climate initiatives in the West Midlands illustrate positive steps towards adaptation and </w:t>
      </w:r>
      <w:r w:rsidRPr="00DC210D">
        <w:rPr>
          <w:rFonts w:ascii="Arial" w:hAnsi="Arial" w:cs="Arial"/>
          <w:sz w:val="22"/>
          <w:szCs w:val="22"/>
        </w:rPr>
        <w:t>mitigation but</w:t>
      </w:r>
      <w:r w:rsidRPr="00DC210D">
        <w:rPr>
          <w:rFonts w:ascii="Arial" w:hAnsi="Arial" w:cs="Arial"/>
          <w:sz w:val="22"/>
          <w:szCs w:val="22"/>
        </w:rPr>
        <w:t xml:space="preserve"> also highlight the need for sustained investment and stronger national leadership.</w:t>
      </w:r>
    </w:p>
    <w:p w14:paraId="4579F0F2" w14:textId="77777777" w:rsidR="00DC210D" w:rsidRDefault="00DC210D" w:rsidP="00DC210D">
      <w:pPr>
        <w:pStyle w:val="NoSpacing"/>
        <w:jc w:val="center"/>
        <w:rPr>
          <w:rFonts w:ascii="Arial" w:hAnsi="Arial" w:cs="Arial"/>
          <w:sz w:val="22"/>
          <w:szCs w:val="22"/>
        </w:rPr>
      </w:pPr>
    </w:p>
    <w:p w14:paraId="3979B1C8" w14:textId="2446A6CE" w:rsidR="00DC210D" w:rsidRPr="00DC210D" w:rsidRDefault="00DC210D" w:rsidP="00DC210D">
      <w:pPr>
        <w:pStyle w:val="NoSpacing"/>
        <w:jc w:val="center"/>
        <w:rPr>
          <w:rFonts w:ascii="Arial" w:hAnsi="Arial" w:cs="Arial"/>
          <w:sz w:val="22"/>
          <w:szCs w:val="22"/>
        </w:rPr>
      </w:pPr>
      <w:r w:rsidRPr="00DC210D">
        <w:rPr>
          <w:rFonts w:ascii="Arial" w:hAnsi="Arial" w:cs="Arial"/>
          <w:sz w:val="22"/>
          <w:szCs w:val="22"/>
        </w:rPr>
        <w:t>Overall, the findings suggest that SDG 3 and SDG 13 cannot be addressed in isolation. Climate change directly affects health outcomes, while health inequalities shape how communities experience environmental risks. Achieving meaningful progress requires integrated policies, long</w:t>
      </w:r>
      <w:r w:rsidRPr="00DC210D">
        <w:rPr>
          <w:rFonts w:ascii="Arial" w:hAnsi="Arial" w:cs="Arial"/>
          <w:sz w:val="22"/>
          <w:szCs w:val="22"/>
        </w:rPr>
        <w:noBreakHyphen/>
        <w:t>term investment, and a stronger focus on equity. Strengthening collaboration across global, national, and local levels will be essential for delivering sustainable and resilient futures.</w:t>
      </w:r>
    </w:p>
    <w:p w14:paraId="32159AD3" w14:textId="77777777" w:rsidR="00DC210D" w:rsidRDefault="00DC210D" w:rsidP="00DC210D">
      <w:pPr>
        <w:tabs>
          <w:tab w:val="left" w:pos="2710"/>
        </w:tabs>
        <w:jc w:val="center"/>
        <w:rPr>
          <w:b/>
          <w:bCs/>
          <w:sz w:val="22"/>
          <w:szCs w:val="22"/>
        </w:rPr>
      </w:pPr>
    </w:p>
    <w:p w14:paraId="03D5E28E" w14:textId="77777777" w:rsidR="00DC210D" w:rsidRDefault="00DC210D" w:rsidP="00DC210D">
      <w:pPr>
        <w:tabs>
          <w:tab w:val="left" w:pos="2710"/>
        </w:tabs>
        <w:jc w:val="center"/>
        <w:rPr>
          <w:b/>
          <w:bCs/>
          <w:sz w:val="22"/>
          <w:szCs w:val="22"/>
        </w:rPr>
      </w:pPr>
    </w:p>
    <w:p w14:paraId="09B9E0C4" w14:textId="77777777" w:rsidR="00DC210D" w:rsidRDefault="00DC210D" w:rsidP="00DC210D">
      <w:pPr>
        <w:tabs>
          <w:tab w:val="left" w:pos="2710"/>
        </w:tabs>
        <w:jc w:val="center"/>
        <w:rPr>
          <w:b/>
          <w:bCs/>
          <w:sz w:val="22"/>
          <w:szCs w:val="22"/>
        </w:rPr>
      </w:pPr>
    </w:p>
    <w:p w14:paraId="34A317F0" w14:textId="77777777" w:rsidR="00DC210D" w:rsidRDefault="00DC210D" w:rsidP="00DC210D">
      <w:pPr>
        <w:tabs>
          <w:tab w:val="left" w:pos="2710"/>
        </w:tabs>
        <w:jc w:val="center"/>
        <w:rPr>
          <w:b/>
          <w:bCs/>
          <w:sz w:val="22"/>
          <w:szCs w:val="22"/>
        </w:rPr>
      </w:pPr>
    </w:p>
    <w:p w14:paraId="1D037ACF" w14:textId="77777777" w:rsidR="00DC210D" w:rsidRDefault="00DC210D" w:rsidP="00DC210D">
      <w:pPr>
        <w:tabs>
          <w:tab w:val="left" w:pos="2710"/>
        </w:tabs>
        <w:jc w:val="center"/>
        <w:rPr>
          <w:b/>
          <w:bCs/>
          <w:sz w:val="22"/>
          <w:szCs w:val="22"/>
        </w:rPr>
      </w:pPr>
    </w:p>
    <w:p w14:paraId="56815C61" w14:textId="77777777" w:rsidR="00DC210D" w:rsidRDefault="00DC210D" w:rsidP="00DC210D">
      <w:pPr>
        <w:tabs>
          <w:tab w:val="left" w:pos="2710"/>
        </w:tabs>
        <w:jc w:val="center"/>
        <w:rPr>
          <w:b/>
          <w:bCs/>
          <w:sz w:val="22"/>
          <w:szCs w:val="22"/>
        </w:rPr>
      </w:pPr>
    </w:p>
    <w:p w14:paraId="02C655ED" w14:textId="45FC4A19" w:rsidR="00BF4568" w:rsidRPr="00BF4568" w:rsidRDefault="00BF4568" w:rsidP="00DC210D">
      <w:pPr>
        <w:tabs>
          <w:tab w:val="left" w:pos="2710"/>
        </w:tabs>
        <w:rPr>
          <w:b/>
          <w:bCs/>
          <w:sz w:val="22"/>
          <w:szCs w:val="22"/>
        </w:rPr>
      </w:pPr>
      <w:r>
        <w:rPr>
          <w:b/>
          <w:bCs/>
          <w:sz w:val="22"/>
          <w:szCs w:val="22"/>
        </w:rPr>
        <w:lastRenderedPageBreak/>
        <w:t>References:</w:t>
      </w:r>
    </w:p>
    <w:p w14:paraId="0DDB1295"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Bandura, A. (1986) </w:t>
      </w:r>
      <w:r w:rsidRPr="00BF4568">
        <w:rPr>
          <w:rFonts w:ascii="Arial" w:hAnsi="Arial" w:cs="Arial"/>
          <w:i/>
          <w:iCs/>
          <w:sz w:val="20"/>
          <w:szCs w:val="20"/>
        </w:rPr>
        <w:t>Social foundations of thought and action: A social cognitive theory</w:t>
      </w:r>
      <w:r w:rsidRPr="00BF4568">
        <w:rPr>
          <w:rFonts w:ascii="Arial" w:hAnsi="Arial" w:cs="Arial"/>
          <w:sz w:val="20"/>
          <w:szCs w:val="20"/>
        </w:rPr>
        <w:t>. Englewood Cliffs, NJ: Prentice Hall.</w:t>
      </w:r>
    </w:p>
    <w:p w14:paraId="28649B6D"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BEIS (2021) </w:t>
      </w:r>
      <w:r w:rsidRPr="00BF4568">
        <w:rPr>
          <w:rFonts w:ascii="Arial" w:hAnsi="Arial" w:cs="Arial"/>
          <w:i/>
          <w:iCs/>
          <w:sz w:val="20"/>
          <w:szCs w:val="20"/>
        </w:rPr>
        <w:t>Net Zero Strategy: Build Back Greener</w:t>
      </w:r>
      <w:r w:rsidRPr="00BF4568">
        <w:rPr>
          <w:rFonts w:ascii="Arial" w:hAnsi="Arial" w:cs="Arial"/>
          <w:sz w:val="20"/>
          <w:szCs w:val="20"/>
        </w:rPr>
        <w:t>. Department for Business, Energy &amp; Industrial Strategy. Available at: https://www.gov.uk (Accessed: 10 March 2026).</w:t>
      </w:r>
    </w:p>
    <w:p w14:paraId="36AB5F0B"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Birmingham City Council (2021) </w:t>
      </w:r>
      <w:r w:rsidRPr="00BF4568">
        <w:rPr>
          <w:rFonts w:ascii="Arial" w:hAnsi="Arial" w:cs="Arial"/>
          <w:i/>
          <w:iCs/>
          <w:sz w:val="20"/>
          <w:szCs w:val="20"/>
        </w:rPr>
        <w:t>Birmingham Clean Air Zone</w:t>
      </w:r>
      <w:r w:rsidRPr="00BF4568">
        <w:rPr>
          <w:rFonts w:ascii="Arial" w:hAnsi="Arial" w:cs="Arial"/>
          <w:sz w:val="20"/>
          <w:szCs w:val="20"/>
        </w:rPr>
        <w:t>. Available at: https://www.birmingham.gov.uk (Accessed: 12 March 2026).</w:t>
      </w:r>
    </w:p>
    <w:p w14:paraId="6769F68B"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Bond, K. (2023) </w:t>
      </w:r>
      <w:r w:rsidRPr="00BF4568">
        <w:rPr>
          <w:rFonts w:ascii="Arial" w:hAnsi="Arial" w:cs="Arial"/>
          <w:i/>
          <w:iCs/>
          <w:sz w:val="20"/>
          <w:szCs w:val="20"/>
        </w:rPr>
        <w:t>Progress towards the Sustainable Development Goals: UK analysis</w:t>
      </w:r>
      <w:r w:rsidRPr="00BF4568">
        <w:rPr>
          <w:rFonts w:ascii="Arial" w:hAnsi="Arial" w:cs="Arial"/>
          <w:sz w:val="20"/>
          <w:szCs w:val="20"/>
        </w:rPr>
        <w:t>. London: Bond.</w:t>
      </w:r>
    </w:p>
    <w:p w14:paraId="6724329F"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Bronfenbrenner, U. (1979) </w:t>
      </w:r>
      <w:r w:rsidRPr="00BF4568">
        <w:rPr>
          <w:rFonts w:ascii="Arial" w:hAnsi="Arial" w:cs="Arial"/>
          <w:i/>
          <w:iCs/>
          <w:sz w:val="20"/>
          <w:szCs w:val="20"/>
        </w:rPr>
        <w:t>The ecology of human development</w:t>
      </w:r>
      <w:r w:rsidRPr="00BF4568">
        <w:rPr>
          <w:rFonts w:ascii="Arial" w:hAnsi="Arial" w:cs="Arial"/>
          <w:sz w:val="20"/>
          <w:szCs w:val="20"/>
        </w:rPr>
        <w:t>. Cambridge, MA: Harvard University Press.</w:t>
      </w:r>
    </w:p>
    <w:p w14:paraId="72B6EED3"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CCC (2023) </w:t>
      </w:r>
      <w:r w:rsidRPr="00BF4568">
        <w:rPr>
          <w:rFonts w:ascii="Arial" w:hAnsi="Arial" w:cs="Arial"/>
          <w:i/>
          <w:iCs/>
          <w:sz w:val="20"/>
          <w:szCs w:val="20"/>
        </w:rPr>
        <w:t>Progress in reducing emissions: 2023 Report to Parliament</w:t>
      </w:r>
      <w:r w:rsidRPr="00BF4568">
        <w:rPr>
          <w:rFonts w:ascii="Arial" w:hAnsi="Arial" w:cs="Arial"/>
          <w:sz w:val="20"/>
          <w:szCs w:val="20"/>
        </w:rPr>
        <w:t>. Climate Change Committee. Available at: https://www.theccc.org.uk (Accessed: 8 March 2026).</w:t>
      </w:r>
    </w:p>
    <w:p w14:paraId="6EF51886"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DEFRA (2019) </w:t>
      </w:r>
      <w:r w:rsidRPr="00BF4568">
        <w:rPr>
          <w:rFonts w:ascii="Arial" w:hAnsi="Arial" w:cs="Arial"/>
          <w:i/>
          <w:iCs/>
          <w:sz w:val="20"/>
          <w:szCs w:val="20"/>
        </w:rPr>
        <w:t>Clean Air Strategy 2019</w:t>
      </w:r>
      <w:r w:rsidRPr="00BF4568">
        <w:rPr>
          <w:rFonts w:ascii="Arial" w:hAnsi="Arial" w:cs="Arial"/>
          <w:sz w:val="20"/>
          <w:szCs w:val="20"/>
        </w:rPr>
        <w:t>. Department for Environment, Food &amp; Rural Affairs. Available at: https://www.gov.uk (Accessed: 10 March 2026)</w:t>
      </w:r>
      <w:r>
        <w:rPr>
          <w:rFonts w:ascii="Arial" w:hAnsi="Arial" w:cs="Arial"/>
          <w:sz w:val="20"/>
          <w:szCs w:val="20"/>
        </w:rPr>
        <w:t>.</w:t>
      </w:r>
    </w:p>
    <w:p w14:paraId="4BBAC0E5"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DEFRA (2023) </w:t>
      </w:r>
      <w:r w:rsidRPr="00BF4568">
        <w:rPr>
          <w:rFonts w:ascii="Arial" w:hAnsi="Arial" w:cs="Arial"/>
          <w:i/>
          <w:iCs/>
          <w:sz w:val="20"/>
          <w:szCs w:val="20"/>
        </w:rPr>
        <w:t>National Adaptation Programme (NAP3)</w:t>
      </w:r>
      <w:r w:rsidRPr="00BF4568">
        <w:rPr>
          <w:rFonts w:ascii="Arial" w:hAnsi="Arial" w:cs="Arial"/>
          <w:sz w:val="20"/>
          <w:szCs w:val="20"/>
        </w:rPr>
        <w:t>. Department for Environment, Food &amp; Rural Affairs. Available at: https://www.gov.uk (Accessed: 10 March 2026).</w:t>
      </w:r>
    </w:p>
    <w:p w14:paraId="5686E08A"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Environment Agency (2023) </w:t>
      </w:r>
      <w:r w:rsidRPr="00BF4568">
        <w:rPr>
          <w:rFonts w:ascii="Arial" w:hAnsi="Arial" w:cs="Arial"/>
          <w:i/>
          <w:iCs/>
          <w:sz w:val="20"/>
          <w:szCs w:val="20"/>
        </w:rPr>
        <w:t>Climate change impacts and adaptation</w:t>
      </w:r>
      <w:r w:rsidRPr="00BF4568">
        <w:rPr>
          <w:rFonts w:ascii="Arial" w:hAnsi="Arial" w:cs="Arial"/>
          <w:sz w:val="20"/>
          <w:szCs w:val="20"/>
        </w:rPr>
        <w:t>. Available at: https://www.gov.uk (Accessed: 11 March 2026).</w:t>
      </w:r>
    </w:p>
    <w:p w14:paraId="0F60F5B0"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GCF (2023) </w:t>
      </w:r>
      <w:r w:rsidRPr="00BF4568">
        <w:rPr>
          <w:rFonts w:ascii="Arial" w:hAnsi="Arial" w:cs="Arial"/>
          <w:i/>
          <w:iCs/>
          <w:sz w:val="20"/>
          <w:szCs w:val="20"/>
        </w:rPr>
        <w:t>Green Climate Fund Annual Report 2023</w:t>
      </w:r>
      <w:r w:rsidRPr="00BF4568">
        <w:rPr>
          <w:rFonts w:ascii="Arial" w:hAnsi="Arial" w:cs="Arial"/>
          <w:sz w:val="20"/>
          <w:szCs w:val="20"/>
        </w:rPr>
        <w:t>. Available at: https://www.greenclimate.fund (Accessed: 9 March 2026).</w:t>
      </w:r>
    </w:p>
    <w:p w14:paraId="15BE1577"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GOV.UK (2019) </w:t>
      </w:r>
      <w:r w:rsidRPr="00BF4568">
        <w:rPr>
          <w:rFonts w:ascii="Arial" w:hAnsi="Arial" w:cs="Arial"/>
          <w:i/>
          <w:iCs/>
          <w:sz w:val="20"/>
          <w:szCs w:val="20"/>
        </w:rPr>
        <w:t>UK becomes first major economy to pass net zero emissions law</w:t>
      </w:r>
      <w:r w:rsidRPr="00BF4568">
        <w:rPr>
          <w:rFonts w:ascii="Arial" w:hAnsi="Arial" w:cs="Arial"/>
          <w:sz w:val="20"/>
          <w:szCs w:val="20"/>
        </w:rPr>
        <w:t>. Available at: https://www.gov.uk (Accessed: 8 March 2026).</w:t>
      </w:r>
    </w:p>
    <w:p w14:paraId="384A365F"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GOV.UK (2021) </w:t>
      </w:r>
      <w:r w:rsidRPr="00BF4568">
        <w:rPr>
          <w:rFonts w:ascii="Arial" w:hAnsi="Arial" w:cs="Arial"/>
          <w:i/>
          <w:iCs/>
          <w:sz w:val="20"/>
          <w:szCs w:val="20"/>
        </w:rPr>
        <w:t>Implementing the Sustainable Development Goals</w:t>
      </w:r>
      <w:r w:rsidRPr="00BF4568">
        <w:rPr>
          <w:rFonts w:ascii="Arial" w:hAnsi="Arial" w:cs="Arial"/>
          <w:sz w:val="20"/>
          <w:szCs w:val="20"/>
        </w:rPr>
        <w:t>. Available at: https://www.gov.uk (Accessed: 7 March 2026).</w:t>
      </w:r>
    </w:p>
    <w:p w14:paraId="1214A093"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GOV.UK (2023) </w:t>
      </w:r>
      <w:r w:rsidRPr="00BF4568">
        <w:rPr>
          <w:rFonts w:ascii="Arial" w:hAnsi="Arial" w:cs="Arial"/>
          <w:i/>
          <w:iCs/>
          <w:sz w:val="20"/>
          <w:szCs w:val="20"/>
        </w:rPr>
        <w:t>UK Global Health Framework</w:t>
      </w:r>
      <w:r w:rsidRPr="00BF4568">
        <w:rPr>
          <w:rFonts w:ascii="Arial" w:hAnsi="Arial" w:cs="Arial"/>
          <w:sz w:val="20"/>
          <w:szCs w:val="20"/>
        </w:rPr>
        <w:t>. Available at: https://www.gov.uk (Accessed: 7 March 2026).</w:t>
      </w:r>
    </w:p>
    <w:p w14:paraId="3C60D482"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IPCC (2023) </w:t>
      </w:r>
      <w:r w:rsidRPr="00BF4568">
        <w:rPr>
          <w:rFonts w:ascii="Arial" w:hAnsi="Arial" w:cs="Arial"/>
          <w:i/>
          <w:iCs/>
          <w:sz w:val="20"/>
          <w:szCs w:val="20"/>
        </w:rPr>
        <w:t>Sixth Assessment Report: Impacts, Adaptation and Vulnerability</w:t>
      </w:r>
      <w:r w:rsidRPr="00BF4568">
        <w:rPr>
          <w:rFonts w:ascii="Arial" w:hAnsi="Arial" w:cs="Arial"/>
          <w:sz w:val="20"/>
          <w:szCs w:val="20"/>
        </w:rPr>
        <w:t>. Intergovernmental Panel on Climate Change. Available at: https://www.ipcc.ch (Accessed: 9 March 2026).</w:t>
      </w:r>
    </w:p>
    <w:p w14:paraId="69C56667"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NHS England (2019) </w:t>
      </w:r>
      <w:r w:rsidRPr="00BF4568">
        <w:rPr>
          <w:rFonts w:ascii="Arial" w:hAnsi="Arial" w:cs="Arial"/>
          <w:i/>
          <w:iCs/>
          <w:sz w:val="20"/>
          <w:szCs w:val="20"/>
        </w:rPr>
        <w:t>The NHS Long Term Plan</w:t>
      </w:r>
      <w:r w:rsidRPr="00BF4568">
        <w:rPr>
          <w:rFonts w:ascii="Arial" w:hAnsi="Arial" w:cs="Arial"/>
          <w:sz w:val="20"/>
          <w:szCs w:val="20"/>
        </w:rPr>
        <w:t>. Available at: https://www.longtermplan.nhs.uk (longtermplan.nhs.uk in Bing) (Accessed: 6 March 2026).</w:t>
      </w:r>
    </w:p>
    <w:p w14:paraId="54F65BD4"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NHS England (2020) </w:t>
      </w:r>
      <w:r w:rsidRPr="00BF4568">
        <w:rPr>
          <w:rFonts w:ascii="Arial" w:hAnsi="Arial" w:cs="Arial"/>
          <w:i/>
          <w:iCs/>
          <w:sz w:val="20"/>
          <w:szCs w:val="20"/>
        </w:rPr>
        <w:t>Delivering a Net Zero NHS</w:t>
      </w:r>
      <w:r w:rsidRPr="00BF4568">
        <w:rPr>
          <w:rFonts w:ascii="Arial" w:hAnsi="Arial" w:cs="Arial"/>
          <w:sz w:val="20"/>
          <w:szCs w:val="20"/>
        </w:rPr>
        <w:t>. Available at: https://www.england.nhs.uk (Accessed: 10 March 2026).</w:t>
      </w:r>
    </w:p>
    <w:p w14:paraId="0A2DA8C3"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Public Health England (2021) </w:t>
      </w:r>
      <w:r w:rsidRPr="00BF4568">
        <w:rPr>
          <w:rFonts w:ascii="Arial" w:hAnsi="Arial" w:cs="Arial"/>
          <w:i/>
          <w:iCs/>
          <w:sz w:val="20"/>
          <w:szCs w:val="20"/>
        </w:rPr>
        <w:t>Health inequalities and environmental risks</w:t>
      </w:r>
      <w:r w:rsidRPr="00BF4568">
        <w:rPr>
          <w:rFonts w:ascii="Arial" w:hAnsi="Arial" w:cs="Arial"/>
          <w:sz w:val="20"/>
          <w:szCs w:val="20"/>
        </w:rPr>
        <w:t>. Available at: https://www.gov.uk (Accessed: 11 March 2026).</w:t>
      </w:r>
    </w:p>
    <w:p w14:paraId="3FBD9C42"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Rosenstock, I. (1974) ‘The Health Belief Model and preventive health behaviour’, </w:t>
      </w:r>
      <w:r w:rsidRPr="00BF4568">
        <w:rPr>
          <w:rFonts w:ascii="Arial" w:hAnsi="Arial" w:cs="Arial"/>
          <w:i/>
          <w:iCs/>
          <w:sz w:val="20"/>
          <w:szCs w:val="20"/>
        </w:rPr>
        <w:t>Health Education Monographs</w:t>
      </w:r>
      <w:r w:rsidRPr="00BF4568">
        <w:rPr>
          <w:rFonts w:ascii="Arial" w:hAnsi="Arial" w:cs="Arial"/>
          <w:sz w:val="20"/>
          <w:szCs w:val="20"/>
        </w:rPr>
        <w:t>, 2(4), pp. 354–386.</w:t>
      </w:r>
    </w:p>
    <w:p w14:paraId="68206B16"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Solihull Council (2022) </w:t>
      </w:r>
      <w:r w:rsidRPr="00BF4568">
        <w:rPr>
          <w:rFonts w:ascii="Arial" w:hAnsi="Arial" w:cs="Arial"/>
          <w:i/>
          <w:iCs/>
          <w:sz w:val="20"/>
          <w:szCs w:val="20"/>
        </w:rPr>
        <w:t>Solihull Net Zero Action Plan</w:t>
      </w:r>
      <w:r w:rsidRPr="00BF4568">
        <w:rPr>
          <w:rFonts w:ascii="Arial" w:hAnsi="Arial" w:cs="Arial"/>
          <w:sz w:val="20"/>
          <w:szCs w:val="20"/>
        </w:rPr>
        <w:t>. Available at: https://www.solihull.gov.uk (Accessed: 12 March 2026).</w:t>
      </w:r>
    </w:p>
    <w:p w14:paraId="3EB92666"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UK Data for SDGs (2024) </w:t>
      </w:r>
      <w:r w:rsidRPr="00BF4568">
        <w:rPr>
          <w:rFonts w:ascii="Arial" w:hAnsi="Arial" w:cs="Arial"/>
          <w:i/>
          <w:iCs/>
          <w:sz w:val="20"/>
          <w:szCs w:val="20"/>
        </w:rPr>
        <w:t>SDG 3 Indicators</w:t>
      </w:r>
      <w:r w:rsidRPr="00BF4568">
        <w:rPr>
          <w:rFonts w:ascii="Arial" w:hAnsi="Arial" w:cs="Arial"/>
          <w:sz w:val="20"/>
          <w:szCs w:val="20"/>
        </w:rPr>
        <w:t>. Available at: https://sdgdata.gov.uk (Accessed: 5 March 2026).</w:t>
      </w:r>
    </w:p>
    <w:p w14:paraId="6002F71C"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UKHSA (2023) </w:t>
      </w:r>
      <w:r w:rsidRPr="00BF4568">
        <w:rPr>
          <w:rFonts w:ascii="Arial" w:hAnsi="Arial" w:cs="Arial"/>
          <w:i/>
          <w:iCs/>
          <w:sz w:val="20"/>
          <w:szCs w:val="20"/>
        </w:rPr>
        <w:t>Health effects of climate change in the UK</w:t>
      </w:r>
      <w:r w:rsidRPr="00BF4568">
        <w:rPr>
          <w:rFonts w:ascii="Arial" w:hAnsi="Arial" w:cs="Arial"/>
          <w:sz w:val="20"/>
          <w:szCs w:val="20"/>
        </w:rPr>
        <w:t>. UK Health Security Agency. Available at: https://www.gov.uk (Accessed: 11 March 2026).</w:t>
      </w:r>
    </w:p>
    <w:p w14:paraId="6CCEE820"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UN (2023) </w:t>
      </w:r>
      <w:r w:rsidRPr="00BF4568">
        <w:rPr>
          <w:rFonts w:ascii="Arial" w:hAnsi="Arial" w:cs="Arial"/>
          <w:i/>
          <w:iCs/>
          <w:sz w:val="20"/>
          <w:szCs w:val="20"/>
        </w:rPr>
        <w:t>Sustainable Development Goals Report 2023</w:t>
      </w:r>
      <w:r w:rsidRPr="00BF4568">
        <w:rPr>
          <w:rFonts w:ascii="Arial" w:hAnsi="Arial" w:cs="Arial"/>
          <w:sz w:val="20"/>
          <w:szCs w:val="20"/>
        </w:rPr>
        <w:t>. United Nations. Available at: https://www.un.org (Accessed: 5 March 2026).</w:t>
      </w:r>
    </w:p>
    <w:p w14:paraId="58AC1699"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lastRenderedPageBreak/>
        <w:t xml:space="preserve">UN (2024) </w:t>
      </w:r>
      <w:r w:rsidRPr="00BF4568">
        <w:rPr>
          <w:rFonts w:ascii="Arial" w:hAnsi="Arial" w:cs="Arial"/>
          <w:i/>
          <w:iCs/>
          <w:sz w:val="20"/>
          <w:szCs w:val="20"/>
        </w:rPr>
        <w:t>Sustainable Development Goals</w:t>
      </w:r>
      <w:r w:rsidRPr="00BF4568">
        <w:rPr>
          <w:rFonts w:ascii="Arial" w:hAnsi="Arial" w:cs="Arial"/>
          <w:sz w:val="20"/>
          <w:szCs w:val="20"/>
        </w:rPr>
        <w:t>. United Nations. Available at: https://sdgs.un.org (Accessed: 5 March 2026).</w:t>
      </w:r>
    </w:p>
    <w:p w14:paraId="5CEBD8E7"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UNEP (2023) </w:t>
      </w:r>
      <w:r w:rsidRPr="00BF4568">
        <w:rPr>
          <w:rFonts w:ascii="Arial" w:hAnsi="Arial" w:cs="Arial"/>
          <w:i/>
          <w:iCs/>
          <w:sz w:val="20"/>
          <w:szCs w:val="20"/>
        </w:rPr>
        <w:t>Emissions Gap Report 2023</w:t>
      </w:r>
      <w:r w:rsidRPr="00BF4568">
        <w:rPr>
          <w:rFonts w:ascii="Arial" w:hAnsi="Arial" w:cs="Arial"/>
          <w:sz w:val="20"/>
          <w:szCs w:val="20"/>
        </w:rPr>
        <w:t>. United Nations Environment Programme. Available at: https://www.unep.org (Accessed: 9 March 2026).</w:t>
      </w:r>
    </w:p>
    <w:p w14:paraId="5EECF048"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UNFCCC (2015) </w:t>
      </w:r>
      <w:r w:rsidRPr="00BF4568">
        <w:rPr>
          <w:rFonts w:ascii="Arial" w:hAnsi="Arial" w:cs="Arial"/>
          <w:i/>
          <w:iCs/>
          <w:sz w:val="20"/>
          <w:szCs w:val="20"/>
        </w:rPr>
        <w:t>Paris Agreement</w:t>
      </w:r>
      <w:r w:rsidRPr="00BF4568">
        <w:rPr>
          <w:rFonts w:ascii="Arial" w:hAnsi="Arial" w:cs="Arial"/>
          <w:sz w:val="20"/>
          <w:szCs w:val="20"/>
        </w:rPr>
        <w:t>. United Nations Framework Convention on Climate Change. Available at: https://unfccc.int (Accessed: 8 March 2026).</w:t>
      </w:r>
    </w:p>
    <w:p w14:paraId="42CAD63E"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WHO (2024) </w:t>
      </w:r>
      <w:r w:rsidRPr="00BF4568">
        <w:rPr>
          <w:rFonts w:ascii="Arial" w:hAnsi="Arial" w:cs="Arial"/>
          <w:i/>
          <w:iCs/>
          <w:sz w:val="20"/>
          <w:szCs w:val="20"/>
        </w:rPr>
        <w:t>Independent Evaluation of the SDG3 Global Action Plan</w:t>
      </w:r>
      <w:r w:rsidRPr="00BF4568">
        <w:rPr>
          <w:rFonts w:ascii="Arial" w:hAnsi="Arial" w:cs="Arial"/>
          <w:sz w:val="20"/>
          <w:szCs w:val="20"/>
        </w:rPr>
        <w:t>. World Health Organization. Available at: https://www.who.int (Accessed: 6 March 2026).</w:t>
      </w:r>
    </w:p>
    <w:p w14:paraId="7A89EB6D"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WMCA (2021) </w:t>
      </w:r>
      <w:r w:rsidRPr="00BF4568">
        <w:rPr>
          <w:rFonts w:ascii="Arial" w:hAnsi="Arial" w:cs="Arial"/>
          <w:i/>
          <w:iCs/>
          <w:sz w:val="20"/>
          <w:szCs w:val="20"/>
        </w:rPr>
        <w:t>West Midlands Net Zero Strategy</w:t>
      </w:r>
      <w:r w:rsidRPr="00BF4568">
        <w:rPr>
          <w:rFonts w:ascii="Arial" w:hAnsi="Arial" w:cs="Arial"/>
          <w:sz w:val="20"/>
          <w:szCs w:val="20"/>
        </w:rPr>
        <w:t>. West Midlands Combined Authority. Available at: https://www.wmca.org.uk (Accessed: 12 March 2026).</w:t>
      </w:r>
    </w:p>
    <w:sectPr w:rsidR="00BF4568" w:rsidRPr="00BF456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972A3" w14:textId="77777777" w:rsidR="00C47A4E" w:rsidRDefault="00C47A4E" w:rsidP="00E2690C">
      <w:pPr>
        <w:spacing w:after="0" w:line="240" w:lineRule="auto"/>
      </w:pPr>
      <w:r>
        <w:separator/>
      </w:r>
    </w:p>
  </w:endnote>
  <w:endnote w:type="continuationSeparator" w:id="0">
    <w:p w14:paraId="4FEBAEF7" w14:textId="77777777" w:rsidR="00C47A4E" w:rsidRDefault="00C47A4E" w:rsidP="00E26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C35F" w14:textId="77777777" w:rsidR="00E2690C" w:rsidRDefault="00E269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7542002"/>
      <w:docPartObj>
        <w:docPartGallery w:val="Page Numbers (Bottom of Page)"/>
        <w:docPartUnique/>
      </w:docPartObj>
    </w:sdtPr>
    <w:sdtEndPr>
      <w:rPr>
        <w:noProof/>
      </w:rPr>
    </w:sdtEndPr>
    <w:sdtContent>
      <w:p w14:paraId="01F5C1F6" w14:textId="3F73FD52" w:rsidR="00E2690C" w:rsidRDefault="00E269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CAB82E" w14:textId="77777777" w:rsidR="00E2690C" w:rsidRDefault="00E269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5CF7D" w14:textId="77777777" w:rsidR="00E2690C" w:rsidRDefault="00E26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AF48E" w14:textId="77777777" w:rsidR="00C47A4E" w:rsidRDefault="00C47A4E" w:rsidP="00E2690C">
      <w:pPr>
        <w:spacing w:after="0" w:line="240" w:lineRule="auto"/>
      </w:pPr>
      <w:r>
        <w:separator/>
      </w:r>
    </w:p>
  </w:footnote>
  <w:footnote w:type="continuationSeparator" w:id="0">
    <w:p w14:paraId="25C6972A" w14:textId="77777777" w:rsidR="00C47A4E" w:rsidRDefault="00C47A4E" w:rsidP="00E26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F9C25" w14:textId="77777777" w:rsidR="00E2690C" w:rsidRDefault="00E269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CA694" w14:textId="77777777" w:rsidR="00E2690C" w:rsidRDefault="00E269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73FF" w14:textId="77777777" w:rsidR="00E2690C" w:rsidRDefault="00E269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758C"/>
    <w:multiLevelType w:val="hybridMultilevel"/>
    <w:tmpl w:val="B036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D6A0E"/>
    <w:multiLevelType w:val="multilevel"/>
    <w:tmpl w:val="EC2871BC"/>
    <w:lvl w:ilvl="0">
      <w:start w:val="1"/>
      <w:numFmt w:val="decimal"/>
      <w:lvlText w:val="%1."/>
      <w:lvlJc w:val="left"/>
      <w:pPr>
        <w:tabs>
          <w:tab w:val="num" w:pos="927"/>
        </w:tabs>
        <w:ind w:left="927" w:hanging="360"/>
      </w:pPr>
      <w:rPr>
        <w:b w:val="0"/>
        <w:bCs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619B1"/>
    <w:multiLevelType w:val="multilevel"/>
    <w:tmpl w:val="8A26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45A63"/>
    <w:multiLevelType w:val="hybridMultilevel"/>
    <w:tmpl w:val="C770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72487"/>
    <w:multiLevelType w:val="multilevel"/>
    <w:tmpl w:val="FC56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01767"/>
    <w:multiLevelType w:val="hybridMultilevel"/>
    <w:tmpl w:val="1A50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3225A"/>
    <w:multiLevelType w:val="multilevel"/>
    <w:tmpl w:val="22B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E22A0"/>
    <w:multiLevelType w:val="multilevel"/>
    <w:tmpl w:val="03E6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F75C11"/>
    <w:multiLevelType w:val="hybridMultilevel"/>
    <w:tmpl w:val="8B50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53DC5"/>
    <w:multiLevelType w:val="multilevel"/>
    <w:tmpl w:val="0154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E76CB0"/>
    <w:multiLevelType w:val="multilevel"/>
    <w:tmpl w:val="F75C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2218CC"/>
    <w:multiLevelType w:val="hybridMultilevel"/>
    <w:tmpl w:val="255E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A43B44"/>
    <w:multiLevelType w:val="multilevel"/>
    <w:tmpl w:val="E374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B42F70"/>
    <w:multiLevelType w:val="multilevel"/>
    <w:tmpl w:val="3574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1844516">
    <w:abstractNumId w:val="9"/>
  </w:num>
  <w:num w:numId="2" w16cid:durableId="1916473209">
    <w:abstractNumId w:val="1"/>
  </w:num>
  <w:num w:numId="3" w16cid:durableId="476000599">
    <w:abstractNumId w:val="5"/>
  </w:num>
  <w:num w:numId="4" w16cid:durableId="154272282">
    <w:abstractNumId w:val="12"/>
  </w:num>
  <w:num w:numId="5" w16cid:durableId="890771664">
    <w:abstractNumId w:val="4"/>
  </w:num>
  <w:num w:numId="6" w16cid:durableId="1691107940">
    <w:abstractNumId w:val="6"/>
  </w:num>
  <w:num w:numId="7" w16cid:durableId="75396138">
    <w:abstractNumId w:val="7"/>
  </w:num>
  <w:num w:numId="8" w16cid:durableId="70586213">
    <w:abstractNumId w:val="2"/>
  </w:num>
  <w:num w:numId="9" w16cid:durableId="409617638">
    <w:abstractNumId w:val="10"/>
  </w:num>
  <w:num w:numId="10" w16cid:durableId="500465542">
    <w:abstractNumId w:val="13"/>
  </w:num>
  <w:num w:numId="11" w16cid:durableId="1516654082">
    <w:abstractNumId w:val="11"/>
  </w:num>
  <w:num w:numId="12" w16cid:durableId="1640956747">
    <w:abstractNumId w:val="0"/>
  </w:num>
  <w:num w:numId="13" w16cid:durableId="389809876">
    <w:abstractNumId w:val="3"/>
  </w:num>
  <w:num w:numId="14" w16cid:durableId="4289393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77"/>
    <w:rsid w:val="00133F4D"/>
    <w:rsid w:val="001F53B1"/>
    <w:rsid w:val="00232BC8"/>
    <w:rsid w:val="002F6883"/>
    <w:rsid w:val="003C6B14"/>
    <w:rsid w:val="003E4390"/>
    <w:rsid w:val="003F3295"/>
    <w:rsid w:val="007A3D13"/>
    <w:rsid w:val="007D0C77"/>
    <w:rsid w:val="007F591E"/>
    <w:rsid w:val="00893889"/>
    <w:rsid w:val="00BF4568"/>
    <w:rsid w:val="00C47A4E"/>
    <w:rsid w:val="00CF3FB7"/>
    <w:rsid w:val="00D81420"/>
    <w:rsid w:val="00DC210D"/>
    <w:rsid w:val="00E20EF5"/>
    <w:rsid w:val="00E2690C"/>
    <w:rsid w:val="00E85D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031BF"/>
  <w15:chartTrackingRefBased/>
  <w15:docId w15:val="{E2E01AD7-E650-43F0-8F30-764A511C4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3B1"/>
  </w:style>
  <w:style w:type="paragraph" w:styleId="Heading1">
    <w:name w:val="heading 1"/>
    <w:basedOn w:val="Normal"/>
    <w:next w:val="Normal"/>
    <w:link w:val="Heading1Char"/>
    <w:uiPriority w:val="9"/>
    <w:qFormat/>
    <w:rsid w:val="001F53B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3B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F53B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F53B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F53B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F53B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F53B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F53B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F53B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3B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F53B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F53B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F53B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F53B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F53B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F53B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F53B1"/>
    <w:rPr>
      <w:b/>
      <w:bCs/>
      <w:i/>
      <w:iCs/>
    </w:rPr>
  </w:style>
  <w:style w:type="paragraph" w:styleId="Caption">
    <w:name w:val="caption"/>
    <w:basedOn w:val="Normal"/>
    <w:next w:val="Normal"/>
    <w:uiPriority w:val="35"/>
    <w:semiHidden/>
    <w:unhideWhenUsed/>
    <w:qFormat/>
    <w:rsid w:val="001F53B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F53B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1F53B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1F53B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1F53B1"/>
    <w:rPr>
      <w:color w:val="0E2841" w:themeColor="text2"/>
      <w:sz w:val="28"/>
      <w:szCs w:val="28"/>
    </w:rPr>
  </w:style>
  <w:style w:type="character" w:styleId="Strong">
    <w:name w:val="Strong"/>
    <w:basedOn w:val="DefaultParagraphFont"/>
    <w:uiPriority w:val="22"/>
    <w:qFormat/>
    <w:rsid w:val="001F53B1"/>
    <w:rPr>
      <w:b/>
      <w:bCs/>
    </w:rPr>
  </w:style>
  <w:style w:type="character" w:styleId="Emphasis">
    <w:name w:val="Emphasis"/>
    <w:basedOn w:val="DefaultParagraphFont"/>
    <w:uiPriority w:val="20"/>
    <w:qFormat/>
    <w:rsid w:val="001F53B1"/>
    <w:rPr>
      <w:i/>
      <w:iCs/>
      <w:color w:val="000000" w:themeColor="text1"/>
    </w:rPr>
  </w:style>
  <w:style w:type="paragraph" w:styleId="NoSpacing">
    <w:name w:val="No Spacing"/>
    <w:uiPriority w:val="1"/>
    <w:qFormat/>
    <w:rsid w:val="001F53B1"/>
    <w:pPr>
      <w:spacing w:after="0" w:line="240" w:lineRule="auto"/>
    </w:pPr>
  </w:style>
  <w:style w:type="paragraph" w:styleId="Quote">
    <w:name w:val="Quote"/>
    <w:basedOn w:val="Normal"/>
    <w:next w:val="Normal"/>
    <w:link w:val="QuoteChar"/>
    <w:uiPriority w:val="29"/>
    <w:qFormat/>
    <w:rsid w:val="001F53B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1F53B1"/>
    <w:rPr>
      <w:i/>
      <w:iCs/>
      <w:color w:val="124F1A" w:themeColor="accent3" w:themeShade="BF"/>
      <w:sz w:val="24"/>
      <w:szCs w:val="24"/>
    </w:rPr>
  </w:style>
  <w:style w:type="paragraph" w:styleId="IntenseQuote">
    <w:name w:val="Intense Quote"/>
    <w:basedOn w:val="Normal"/>
    <w:next w:val="Normal"/>
    <w:link w:val="IntenseQuoteChar"/>
    <w:uiPriority w:val="30"/>
    <w:qFormat/>
    <w:rsid w:val="001F53B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1F53B1"/>
    <w:rPr>
      <w:rFonts w:asciiTheme="majorHAnsi" w:eastAsiaTheme="majorEastAsia" w:hAnsiTheme="majorHAnsi" w:cstheme="majorBidi"/>
      <w:caps/>
      <w:color w:val="0F4761" w:themeColor="accent1" w:themeShade="BF"/>
      <w:sz w:val="28"/>
      <w:szCs w:val="28"/>
    </w:rPr>
  </w:style>
  <w:style w:type="character" w:styleId="SubtleEmphasis">
    <w:name w:val="Subtle Emphasis"/>
    <w:basedOn w:val="DefaultParagraphFont"/>
    <w:uiPriority w:val="19"/>
    <w:qFormat/>
    <w:rsid w:val="001F53B1"/>
    <w:rPr>
      <w:i/>
      <w:iCs/>
      <w:color w:val="595959" w:themeColor="text1" w:themeTint="A6"/>
    </w:rPr>
  </w:style>
  <w:style w:type="character" w:styleId="IntenseEmphasis">
    <w:name w:val="Intense Emphasis"/>
    <w:basedOn w:val="DefaultParagraphFont"/>
    <w:uiPriority w:val="21"/>
    <w:qFormat/>
    <w:rsid w:val="001F53B1"/>
    <w:rPr>
      <w:b/>
      <w:bCs/>
      <w:i/>
      <w:iCs/>
      <w:color w:val="auto"/>
    </w:rPr>
  </w:style>
  <w:style w:type="character" w:styleId="SubtleReference">
    <w:name w:val="Subtle Reference"/>
    <w:basedOn w:val="DefaultParagraphFont"/>
    <w:uiPriority w:val="31"/>
    <w:qFormat/>
    <w:rsid w:val="001F53B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F53B1"/>
    <w:rPr>
      <w:b/>
      <w:bCs/>
      <w:caps w:val="0"/>
      <w:smallCaps/>
      <w:color w:val="auto"/>
      <w:spacing w:val="0"/>
      <w:u w:val="single"/>
    </w:rPr>
  </w:style>
  <w:style w:type="character" w:styleId="BookTitle">
    <w:name w:val="Book Title"/>
    <w:basedOn w:val="DefaultParagraphFont"/>
    <w:uiPriority w:val="33"/>
    <w:qFormat/>
    <w:rsid w:val="001F53B1"/>
    <w:rPr>
      <w:b/>
      <w:bCs/>
      <w:caps w:val="0"/>
      <w:smallCaps/>
      <w:spacing w:val="0"/>
    </w:rPr>
  </w:style>
  <w:style w:type="paragraph" w:styleId="TOCHeading">
    <w:name w:val="TOC Heading"/>
    <w:basedOn w:val="Heading1"/>
    <w:next w:val="Normal"/>
    <w:uiPriority w:val="39"/>
    <w:semiHidden/>
    <w:unhideWhenUsed/>
    <w:qFormat/>
    <w:rsid w:val="001F53B1"/>
    <w:pPr>
      <w:outlineLvl w:val="9"/>
    </w:pPr>
  </w:style>
  <w:style w:type="paragraph" w:styleId="ListParagraph">
    <w:name w:val="List Paragraph"/>
    <w:basedOn w:val="Normal"/>
    <w:uiPriority w:val="34"/>
    <w:qFormat/>
    <w:rsid w:val="007D0C77"/>
    <w:pPr>
      <w:ind w:left="720"/>
      <w:contextualSpacing/>
    </w:pPr>
  </w:style>
  <w:style w:type="paragraph" w:customStyle="1" w:styleId="ContactInfo">
    <w:name w:val="Contact Info"/>
    <w:basedOn w:val="Normal"/>
    <w:uiPriority w:val="4"/>
    <w:qFormat/>
    <w:rsid w:val="007D0C77"/>
    <w:pPr>
      <w:spacing w:before="360" w:after="0" w:line="264" w:lineRule="auto"/>
      <w:contextualSpacing/>
      <w:jc w:val="center"/>
    </w:pPr>
    <w:rPr>
      <w:color w:val="0E2841" w:themeColor="text2"/>
      <w:sz w:val="22"/>
      <w:szCs w:val="22"/>
      <w:lang w:val="en-US" w:eastAsia="ja-JP"/>
    </w:rPr>
  </w:style>
  <w:style w:type="paragraph" w:customStyle="1" w:styleId="Photo">
    <w:name w:val="Photo"/>
    <w:basedOn w:val="Normal"/>
    <w:uiPriority w:val="1"/>
    <w:qFormat/>
    <w:rsid w:val="007D0C77"/>
    <w:pPr>
      <w:spacing w:before="2400" w:after="400" w:line="264" w:lineRule="auto"/>
      <w:jc w:val="center"/>
    </w:pPr>
    <w:rPr>
      <w:color w:val="0E2841" w:themeColor="text2"/>
      <w:sz w:val="22"/>
      <w:szCs w:val="22"/>
      <w:lang w:val="en-US" w:eastAsia="ja-JP"/>
    </w:rPr>
  </w:style>
  <w:style w:type="paragraph" w:styleId="NormalWeb">
    <w:name w:val="Normal (Web)"/>
    <w:basedOn w:val="Normal"/>
    <w:uiPriority w:val="99"/>
    <w:unhideWhenUsed/>
    <w:rsid w:val="007D0C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26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90C"/>
  </w:style>
  <w:style w:type="paragraph" w:styleId="Footer">
    <w:name w:val="footer"/>
    <w:basedOn w:val="Normal"/>
    <w:link w:val="FooterChar"/>
    <w:uiPriority w:val="99"/>
    <w:unhideWhenUsed/>
    <w:rsid w:val="00E26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5146">
      <w:bodyDiv w:val="1"/>
      <w:marLeft w:val="0"/>
      <w:marRight w:val="0"/>
      <w:marTop w:val="0"/>
      <w:marBottom w:val="0"/>
      <w:divBdr>
        <w:top w:val="none" w:sz="0" w:space="0" w:color="auto"/>
        <w:left w:val="none" w:sz="0" w:space="0" w:color="auto"/>
        <w:bottom w:val="none" w:sz="0" w:space="0" w:color="auto"/>
        <w:right w:val="none" w:sz="0" w:space="0" w:color="auto"/>
      </w:divBdr>
    </w:div>
    <w:div w:id="145514856">
      <w:bodyDiv w:val="1"/>
      <w:marLeft w:val="0"/>
      <w:marRight w:val="0"/>
      <w:marTop w:val="0"/>
      <w:marBottom w:val="0"/>
      <w:divBdr>
        <w:top w:val="none" w:sz="0" w:space="0" w:color="auto"/>
        <w:left w:val="none" w:sz="0" w:space="0" w:color="auto"/>
        <w:bottom w:val="none" w:sz="0" w:space="0" w:color="auto"/>
        <w:right w:val="none" w:sz="0" w:space="0" w:color="auto"/>
      </w:divBdr>
    </w:div>
    <w:div w:id="148795343">
      <w:bodyDiv w:val="1"/>
      <w:marLeft w:val="0"/>
      <w:marRight w:val="0"/>
      <w:marTop w:val="0"/>
      <w:marBottom w:val="0"/>
      <w:divBdr>
        <w:top w:val="none" w:sz="0" w:space="0" w:color="auto"/>
        <w:left w:val="none" w:sz="0" w:space="0" w:color="auto"/>
        <w:bottom w:val="none" w:sz="0" w:space="0" w:color="auto"/>
        <w:right w:val="none" w:sz="0" w:space="0" w:color="auto"/>
      </w:divBdr>
    </w:div>
    <w:div w:id="173158451">
      <w:bodyDiv w:val="1"/>
      <w:marLeft w:val="0"/>
      <w:marRight w:val="0"/>
      <w:marTop w:val="0"/>
      <w:marBottom w:val="0"/>
      <w:divBdr>
        <w:top w:val="none" w:sz="0" w:space="0" w:color="auto"/>
        <w:left w:val="none" w:sz="0" w:space="0" w:color="auto"/>
        <w:bottom w:val="none" w:sz="0" w:space="0" w:color="auto"/>
        <w:right w:val="none" w:sz="0" w:space="0" w:color="auto"/>
      </w:divBdr>
    </w:div>
    <w:div w:id="215507686">
      <w:bodyDiv w:val="1"/>
      <w:marLeft w:val="0"/>
      <w:marRight w:val="0"/>
      <w:marTop w:val="0"/>
      <w:marBottom w:val="0"/>
      <w:divBdr>
        <w:top w:val="none" w:sz="0" w:space="0" w:color="auto"/>
        <w:left w:val="none" w:sz="0" w:space="0" w:color="auto"/>
        <w:bottom w:val="none" w:sz="0" w:space="0" w:color="auto"/>
        <w:right w:val="none" w:sz="0" w:space="0" w:color="auto"/>
      </w:divBdr>
    </w:div>
    <w:div w:id="282419087">
      <w:bodyDiv w:val="1"/>
      <w:marLeft w:val="0"/>
      <w:marRight w:val="0"/>
      <w:marTop w:val="0"/>
      <w:marBottom w:val="0"/>
      <w:divBdr>
        <w:top w:val="none" w:sz="0" w:space="0" w:color="auto"/>
        <w:left w:val="none" w:sz="0" w:space="0" w:color="auto"/>
        <w:bottom w:val="none" w:sz="0" w:space="0" w:color="auto"/>
        <w:right w:val="none" w:sz="0" w:space="0" w:color="auto"/>
      </w:divBdr>
    </w:div>
    <w:div w:id="311713733">
      <w:bodyDiv w:val="1"/>
      <w:marLeft w:val="0"/>
      <w:marRight w:val="0"/>
      <w:marTop w:val="0"/>
      <w:marBottom w:val="0"/>
      <w:divBdr>
        <w:top w:val="none" w:sz="0" w:space="0" w:color="auto"/>
        <w:left w:val="none" w:sz="0" w:space="0" w:color="auto"/>
        <w:bottom w:val="none" w:sz="0" w:space="0" w:color="auto"/>
        <w:right w:val="none" w:sz="0" w:space="0" w:color="auto"/>
      </w:divBdr>
    </w:div>
    <w:div w:id="354119402">
      <w:bodyDiv w:val="1"/>
      <w:marLeft w:val="0"/>
      <w:marRight w:val="0"/>
      <w:marTop w:val="0"/>
      <w:marBottom w:val="0"/>
      <w:divBdr>
        <w:top w:val="none" w:sz="0" w:space="0" w:color="auto"/>
        <w:left w:val="none" w:sz="0" w:space="0" w:color="auto"/>
        <w:bottom w:val="none" w:sz="0" w:space="0" w:color="auto"/>
        <w:right w:val="none" w:sz="0" w:space="0" w:color="auto"/>
      </w:divBdr>
    </w:div>
    <w:div w:id="380637537">
      <w:bodyDiv w:val="1"/>
      <w:marLeft w:val="0"/>
      <w:marRight w:val="0"/>
      <w:marTop w:val="0"/>
      <w:marBottom w:val="0"/>
      <w:divBdr>
        <w:top w:val="none" w:sz="0" w:space="0" w:color="auto"/>
        <w:left w:val="none" w:sz="0" w:space="0" w:color="auto"/>
        <w:bottom w:val="none" w:sz="0" w:space="0" w:color="auto"/>
        <w:right w:val="none" w:sz="0" w:space="0" w:color="auto"/>
      </w:divBdr>
    </w:div>
    <w:div w:id="509636229">
      <w:bodyDiv w:val="1"/>
      <w:marLeft w:val="0"/>
      <w:marRight w:val="0"/>
      <w:marTop w:val="0"/>
      <w:marBottom w:val="0"/>
      <w:divBdr>
        <w:top w:val="none" w:sz="0" w:space="0" w:color="auto"/>
        <w:left w:val="none" w:sz="0" w:space="0" w:color="auto"/>
        <w:bottom w:val="none" w:sz="0" w:space="0" w:color="auto"/>
        <w:right w:val="none" w:sz="0" w:space="0" w:color="auto"/>
      </w:divBdr>
    </w:div>
    <w:div w:id="711417735">
      <w:bodyDiv w:val="1"/>
      <w:marLeft w:val="0"/>
      <w:marRight w:val="0"/>
      <w:marTop w:val="0"/>
      <w:marBottom w:val="0"/>
      <w:divBdr>
        <w:top w:val="none" w:sz="0" w:space="0" w:color="auto"/>
        <w:left w:val="none" w:sz="0" w:space="0" w:color="auto"/>
        <w:bottom w:val="none" w:sz="0" w:space="0" w:color="auto"/>
        <w:right w:val="none" w:sz="0" w:space="0" w:color="auto"/>
      </w:divBdr>
    </w:div>
    <w:div w:id="1091269595">
      <w:bodyDiv w:val="1"/>
      <w:marLeft w:val="0"/>
      <w:marRight w:val="0"/>
      <w:marTop w:val="0"/>
      <w:marBottom w:val="0"/>
      <w:divBdr>
        <w:top w:val="none" w:sz="0" w:space="0" w:color="auto"/>
        <w:left w:val="none" w:sz="0" w:space="0" w:color="auto"/>
        <w:bottom w:val="none" w:sz="0" w:space="0" w:color="auto"/>
        <w:right w:val="none" w:sz="0" w:space="0" w:color="auto"/>
      </w:divBdr>
    </w:div>
    <w:div w:id="1093354144">
      <w:bodyDiv w:val="1"/>
      <w:marLeft w:val="0"/>
      <w:marRight w:val="0"/>
      <w:marTop w:val="0"/>
      <w:marBottom w:val="0"/>
      <w:divBdr>
        <w:top w:val="none" w:sz="0" w:space="0" w:color="auto"/>
        <w:left w:val="none" w:sz="0" w:space="0" w:color="auto"/>
        <w:bottom w:val="none" w:sz="0" w:space="0" w:color="auto"/>
        <w:right w:val="none" w:sz="0" w:space="0" w:color="auto"/>
      </w:divBdr>
    </w:div>
    <w:div w:id="1097024835">
      <w:bodyDiv w:val="1"/>
      <w:marLeft w:val="0"/>
      <w:marRight w:val="0"/>
      <w:marTop w:val="0"/>
      <w:marBottom w:val="0"/>
      <w:divBdr>
        <w:top w:val="none" w:sz="0" w:space="0" w:color="auto"/>
        <w:left w:val="none" w:sz="0" w:space="0" w:color="auto"/>
        <w:bottom w:val="none" w:sz="0" w:space="0" w:color="auto"/>
        <w:right w:val="none" w:sz="0" w:space="0" w:color="auto"/>
      </w:divBdr>
    </w:div>
    <w:div w:id="1109620408">
      <w:bodyDiv w:val="1"/>
      <w:marLeft w:val="0"/>
      <w:marRight w:val="0"/>
      <w:marTop w:val="0"/>
      <w:marBottom w:val="0"/>
      <w:divBdr>
        <w:top w:val="none" w:sz="0" w:space="0" w:color="auto"/>
        <w:left w:val="none" w:sz="0" w:space="0" w:color="auto"/>
        <w:bottom w:val="none" w:sz="0" w:space="0" w:color="auto"/>
        <w:right w:val="none" w:sz="0" w:space="0" w:color="auto"/>
      </w:divBdr>
    </w:div>
    <w:div w:id="1205026573">
      <w:bodyDiv w:val="1"/>
      <w:marLeft w:val="0"/>
      <w:marRight w:val="0"/>
      <w:marTop w:val="0"/>
      <w:marBottom w:val="0"/>
      <w:divBdr>
        <w:top w:val="none" w:sz="0" w:space="0" w:color="auto"/>
        <w:left w:val="none" w:sz="0" w:space="0" w:color="auto"/>
        <w:bottom w:val="none" w:sz="0" w:space="0" w:color="auto"/>
        <w:right w:val="none" w:sz="0" w:space="0" w:color="auto"/>
      </w:divBdr>
    </w:div>
    <w:div w:id="1238591933">
      <w:bodyDiv w:val="1"/>
      <w:marLeft w:val="0"/>
      <w:marRight w:val="0"/>
      <w:marTop w:val="0"/>
      <w:marBottom w:val="0"/>
      <w:divBdr>
        <w:top w:val="none" w:sz="0" w:space="0" w:color="auto"/>
        <w:left w:val="none" w:sz="0" w:space="0" w:color="auto"/>
        <w:bottom w:val="none" w:sz="0" w:space="0" w:color="auto"/>
        <w:right w:val="none" w:sz="0" w:space="0" w:color="auto"/>
      </w:divBdr>
    </w:div>
    <w:div w:id="1296644418">
      <w:bodyDiv w:val="1"/>
      <w:marLeft w:val="0"/>
      <w:marRight w:val="0"/>
      <w:marTop w:val="0"/>
      <w:marBottom w:val="0"/>
      <w:divBdr>
        <w:top w:val="none" w:sz="0" w:space="0" w:color="auto"/>
        <w:left w:val="none" w:sz="0" w:space="0" w:color="auto"/>
        <w:bottom w:val="none" w:sz="0" w:space="0" w:color="auto"/>
        <w:right w:val="none" w:sz="0" w:space="0" w:color="auto"/>
      </w:divBdr>
    </w:div>
    <w:div w:id="1360621733">
      <w:bodyDiv w:val="1"/>
      <w:marLeft w:val="0"/>
      <w:marRight w:val="0"/>
      <w:marTop w:val="0"/>
      <w:marBottom w:val="0"/>
      <w:divBdr>
        <w:top w:val="none" w:sz="0" w:space="0" w:color="auto"/>
        <w:left w:val="none" w:sz="0" w:space="0" w:color="auto"/>
        <w:bottom w:val="none" w:sz="0" w:space="0" w:color="auto"/>
        <w:right w:val="none" w:sz="0" w:space="0" w:color="auto"/>
      </w:divBdr>
    </w:div>
    <w:div w:id="1467813087">
      <w:bodyDiv w:val="1"/>
      <w:marLeft w:val="0"/>
      <w:marRight w:val="0"/>
      <w:marTop w:val="0"/>
      <w:marBottom w:val="0"/>
      <w:divBdr>
        <w:top w:val="none" w:sz="0" w:space="0" w:color="auto"/>
        <w:left w:val="none" w:sz="0" w:space="0" w:color="auto"/>
        <w:bottom w:val="none" w:sz="0" w:space="0" w:color="auto"/>
        <w:right w:val="none" w:sz="0" w:space="0" w:color="auto"/>
      </w:divBdr>
    </w:div>
    <w:div w:id="1615557165">
      <w:bodyDiv w:val="1"/>
      <w:marLeft w:val="0"/>
      <w:marRight w:val="0"/>
      <w:marTop w:val="0"/>
      <w:marBottom w:val="0"/>
      <w:divBdr>
        <w:top w:val="none" w:sz="0" w:space="0" w:color="auto"/>
        <w:left w:val="none" w:sz="0" w:space="0" w:color="auto"/>
        <w:bottom w:val="none" w:sz="0" w:space="0" w:color="auto"/>
        <w:right w:val="none" w:sz="0" w:space="0" w:color="auto"/>
      </w:divBdr>
    </w:div>
    <w:div w:id="1675571808">
      <w:bodyDiv w:val="1"/>
      <w:marLeft w:val="0"/>
      <w:marRight w:val="0"/>
      <w:marTop w:val="0"/>
      <w:marBottom w:val="0"/>
      <w:divBdr>
        <w:top w:val="none" w:sz="0" w:space="0" w:color="auto"/>
        <w:left w:val="none" w:sz="0" w:space="0" w:color="auto"/>
        <w:bottom w:val="none" w:sz="0" w:space="0" w:color="auto"/>
        <w:right w:val="none" w:sz="0" w:space="0" w:color="auto"/>
      </w:divBdr>
    </w:div>
    <w:div w:id="1814562125">
      <w:bodyDiv w:val="1"/>
      <w:marLeft w:val="0"/>
      <w:marRight w:val="0"/>
      <w:marTop w:val="0"/>
      <w:marBottom w:val="0"/>
      <w:divBdr>
        <w:top w:val="none" w:sz="0" w:space="0" w:color="auto"/>
        <w:left w:val="none" w:sz="0" w:space="0" w:color="auto"/>
        <w:bottom w:val="none" w:sz="0" w:space="0" w:color="auto"/>
        <w:right w:val="none" w:sz="0" w:space="0" w:color="auto"/>
      </w:divBdr>
    </w:div>
    <w:div w:id="192121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3069</TotalTime>
  <Pages>10</Pages>
  <Words>3241</Words>
  <Characters>18476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Patricia Ann Pittaway (2241972)</dc:creator>
  <cp:keywords/>
  <dc:description/>
  <cp:lastModifiedBy>Bethany Patricia Ann Pittaway (2241972)</cp:lastModifiedBy>
  <cp:revision>2</cp:revision>
  <dcterms:created xsi:type="dcterms:W3CDTF">2026-03-03T18:34:00Z</dcterms:created>
  <dcterms:modified xsi:type="dcterms:W3CDTF">2026-03-22T13:31:00Z</dcterms:modified>
</cp:coreProperties>
</file>