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BDDBFE" w14:textId="77777777" w:rsidR="00210271" w:rsidRPr="00A930CB" w:rsidRDefault="00210271" w:rsidP="00210271">
      <w:pPr>
        <w:spacing w:after="165" w:line="360" w:lineRule="auto"/>
        <w:rPr>
          <w:rFonts w:ascii="Tahoma" w:hAnsi="Tahoma" w:cs="Tahoma"/>
          <w:color w:val="000000"/>
          <w:sz w:val="40"/>
          <w:szCs w:val="40"/>
        </w:rPr>
      </w:pPr>
      <w:r>
        <w:rPr>
          <w:b/>
          <w:noProof/>
          <w:lang w:eastAsia="en-GB"/>
        </w:rPr>
        <w:drawing>
          <wp:inline distT="0" distB="0" distL="0" distR="0" wp14:anchorId="6D892CC2" wp14:editId="4286F5A7">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23AD4D95" w14:textId="77777777" w:rsidR="00210271" w:rsidRPr="00A930CB" w:rsidRDefault="00210271" w:rsidP="00210271">
      <w:pPr>
        <w:spacing w:after="165" w:line="360" w:lineRule="auto"/>
        <w:jc w:val="center"/>
        <w:rPr>
          <w:rFonts w:ascii="Tahoma" w:hAnsi="Tahoma" w:cs="Tahoma"/>
          <w:color w:val="000000"/>
          <w:sz w:val="40"/>
          <w:szCs w:val="40"/>
        </w:rPr>
      </w:pPr>
      <w:r>
        <w:rPr>
          <w:rFonts w:ascii="Tahoma" w:hAnsi="Tahoma" w:cs="Tahoma"/>
          <w:color w:val="000000"/>
          <w:sz w:val="40"/>
          <w:szCs w:val="40"/>
        </w:rPr>
        <w:t>BA (Hons) Leadership and Management Skills in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210271" w:rsidRPr="00D14017" w14:paraId="41E43B5C" w14:textId="77777777" w:rsidTr="004C45B7">
        <w:tc>
          <w:tcPr>
            <w:tcW w:w="3438" w:type="dxa"/>
            <w:shd w:val="clear" w:color="auto" w:fill="D9D9D9"/>
          </w:tcPr>
          <w:p w14:paraId="4A860A58" w14:textId="77777777" w:rsidR="00210271" w:rsidRPr="00D14017" w:rsidRDefault="00210271" w:rsidP="004C45B7">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1347BB2C" w14:textId="77777777" w:rsidR="00210271" w:rsidRPr="00D14017" w:rsidRDefault="00210271" w:rsidP="004C45B7">
            <w:pPr>
              <w:spacing w:before="120" w:after="120" w:line="360" w:lineRule="auto"/>
              <w:rPr>
                <w:rFonts w:ascii="Tahoma" w:hAnsi="Tahoma" w:cs="Tahoma"/>
                <w:sz w:val="28"/>
                <w:szCs w:val="28"/>
              </w:rPr>
            </w:pPr>
            <w:r>
              <w:rPr>
                <w:rFonts w:ascii="Tahoma" w:hAnsi="Tahoma" w:cs="Tahoma"/>
                <w:sz w:val="28"/>
                <w:szCs w:val="28"/>
              </w:rPr>
              <w:t>Jessica Rudall</w:t>
            </w:r>
          </w:p>
        </w:tc>
      </w:tr>
      <w:tr w:rsidR="00210271" w:rsidRPr="00D14017" w14:paraId="4C24526A" w14:textId="77777777" w:rsidTr="004C45B7">
        <w:tc>
          <w:tcPr>
            <w:tcW w:w="3438" w:type="dxa"/>
            <w:shd w:val="clear" w:color="auto" w:fill="D9D9D9"/>
          </w:tcPr>
          <w:p w14:paraId="6BC610FC" w14:textId="77777777" w:rsidR="00210271" w:rsidRPr="00D14017" w:rsidRDefault="00210271" w:rsidP="004C45B7">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28868836" w14:textId="77777777" w:rsidR="00210271" w:rsidRPr="00D14017" w:rsidRDefault="00210271" w:rsidP="004C45B7">
            <w:pPr>
              <w:spacing w:before="120" w:after="120" w:line="360" w:lineRule="auto"/>
              <w:rPr>
                <w:rFonts w:ascii="Tahoma" w:hAnsi="Tahoma" w:cs="Tahoma"/>
                <w:sz w:val="28"/>
                <w:szCs w:val="28"/>
              </w:rPr>
            </w:pPr>
            <w:r>
              <w:rPr>
                <w:rFonts w:ascii="Tahoma" w:hAnsi="Tahoma" w:cs="Tahoma"/>
                <w:sz w:val="28"/>
                <w:szCs w:val="28"/>
              </w:rPr>
              <w:t>2308141</w:t>
            </w:r>
          </w:p>
        </w:tc>
      </w:tr>
      <w:tr w:rsidR="00210271" w:rsidRPr="00D14017" w14:paraId="3A2FEFD3" w14:textId="77777777" w:rsidTr="004C45B7">
        <w:tc>
          <w:tcPr>
            <w:tcW w:w="3438" w:type="dxa"/>
            <w:shd w:val="clear" w:color="auto" w:fill="D9D9D9"/>
          </w:tcPr>
          <w:p w14:paraId="287A7B56" w14:textId="77777777" w:rsidR="00210271" w:rsidRPr="00D14017" w:rsidRDefault="00210271" w:rsidP="004C45B7">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7DDA4903" w14:textId="62AA668E" w:rsidR="00210271" w:rsidRPr="00D14017" w:rsidRDefault="00210271" w:rsidP="004C45B7">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Pr>
                <w:rFonts w:ascii="Tahoma" w:hAnsi="Tahoma" w:cs="Tahoma"/>
                <w:color w:val="FF0000"/>
                <w:sz w:val="28"/>
                <w:szCs w:val="28"/>
              </w:rPr>
              <w:t>5012</w:t>
            </w:r>
          </w:p>
        </w:tc>
      </w:tr>
      <w:tr w:rsidR="00210271" w:rsidRPr="00D14017" w14:paraId="04C619F0" w14:textId="77777777" w:rsidTr="004C45B7">
        <w:trPr>
          <w:trHeight w:val="413"/>
        </w:trPr>
        <w:tc>
          <w:tcPr>
            <w:tcW w:w="3438" w:type="dxa"/>
            <w:shd w:val="clear" w:color="auto" w:fill="D9D9D9"/>
          </w:tcPr>
          <w:p w14:paraId="5C1055AE" w14:textId="77777777" w:rsidR="00210271" w:rsidRPr="00D14017" w:rsidRDefault="00210271" w:rsidP="004C45B7">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79B3E0DB" w14:textId="48191821" w:rsidR="00210271" w:rsidRPr="00D14017" w:rsidRDefault="00210271" w:rsidP="004C45B7">
            <w:pPr>
              <w:spacing w:before="120" w:after="120" w:line="360" w:lineRule="auto"/>
              <w:rPr>
                <w:rFonts w:ascii="Tahoma" w:hAnsi="Tahoma" w:cs="Tahoma"/>
                <w:color w:val="FF0000"/>
                <w:sz w:val="28"/>
                <w:szCs w:val="28"/>
              </w:rPr>
            </w:pPr>
            <w:r>
              <w:rPr>
                <w:rFonts w:ascii="Tahoma" w:hAnsi="Tahoma" w:cs="Tahoma"/>
                <w:color w:val="FF0000"/>
                <w:sz w:val="28"/>
                <w:szCs w:val="28"/>
              </w:rPr>
              <w:t>Understanding &amp; Engaging in the Customer Experience</w:t>
            </w:r>
          </w:p>
        </w:tc>
      </w:tr>
    </w:tbl>
    <w:p w14:paraId="3EDDC0B6" w14:textId="77777777" w:rsidR="00210271" w:rsidRDefault="00210271" w:rsidP="00210271">
      <w:pPr>
        <w:spacing w:before="120" w:after="120" w:line="360" w:lineRule="auto"/>
        <w:rPr>
          <w:rFonts w:ascii="Tahoma" w:hAnsi="Tahoma" w:cs="Tahoma"/>
          <w:color w:val="000000"/>
          <w:sz w:val="24"/>
          <w:szCs w:val="24"/>
        </w:rPr>
      </w:pPr>
    </w:p>
    <w:p w14:paraId="5C36EC9E" w14:textId="77777777" w:rsidR="00210271" w:rsidRDefault="00210271" w:rsidP="00210271">
      <w:pPr>
        <w:spacing w:before="120" w:after="120" w:line="360" w:lineRule="auto"/>
        <w:rPr>
          <w:rFonts w:ascii="Tahoma" w:hAnsi="Tahoma" w:cs="Tahoma"/>
          <w:color w:val="000000"/>
          <w:sz w:val="24"/>
          <w:szCs w:val="24"/>
        </w:rPr>
      </w:pPr>
    </w:p>
    <w:p w14:paraId="422055D2" w14:textId="05BF85EE" w:rsidR="00210271" w:rsidRDefault="00210271">
      <w:pPr>
        <w:rPr>
          <w:rFonts w:ascii="Tahoma" w:hAnsi="Tahoma" w:cs="Tahoma"/>
          <w:color w:val="000000"/>
          <w:sz w:val="24"/>
          <w:szCs w:val="24"/>
        </w:rPr>
      </w:pPr>
      <w:r>
        <w:rPr>
          <w:rFonts w:ascii="Tahoma" w:hAnsi="Tahoma" w:cs="Tahoma"/>
          <w:color w:val="000000"/>
          <w:sz w:val="24"/>
          <w:szCs w:val="24"/>
        </w:rPr>
        <w:br w:type="page"/>
      </w:r>
    </w:p>
    <w:sdt>
      <w:sdtPr>
        <w:id w:val="-592088720"/>
        <w:docPartObj>
          <w:docPartGallery w:val="Table of Contents"/>
          <w:docPartUnique/>
        </w:docPartObj>
      </w:sdtPr>
      <w:sdtEndPr>
        <w:rPr>
          <w:rFonts w:asciiTheme="minorHAnsi" w:eastAsiaTheme="minorHAnsi" w:hAnsiTheme="minorHAnsi" w:cstheme="minorBidi"/>
          <w:b/>
          <w:bCs/>
          <w:color w:val="auto"/>
          <w:sz w:val="22"/>
          <w:szCs w:val="22"/>
          <w:lang w:eastAsia="en-US"/>
        </w:rPr>
      </w:sdtEndPr>
      <w:sdtContent>
        <w:p w14:paraId="35278E62" w14:textId="2D06864E" w:rsidR="005667C5" w:rsidRDefault="005667C5">
          <w:pPr>
            <w:pStyle w:val="TOCHeading"/>
          </w:pPr>
          <w:r>
            <w:t>Table of Contents</w:t>
          </w:r>
        </w:p>
        <w:p w14:paraId="262A3E63" w14:textId="17F04982" w:rsidR="005667C5" w:rsidRDefault="005667C5">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02386420" w:history="1">
            <w:r w:rsidRPr="005100FE">
              <w:rPr>
                <w:rStyle w:val="Hyperlink"/>
                <w:rFonts w:ascii="Calibri" w:hAnsi="Calibri" w:cs="Calibri"/>
                <w:noProof/>
              </w:rPr>
              <w:t>1. Introduction</w:t>
            </w:r>
            <w:r>
              <w:rPr>
                <w:noProof/>
                <w:webHidden/>
              </w:rPr>
              <w:tab/>
            </w:r>
            <w:r>
              <w:rPr>
                <w:noProof/>
                <w:webHidden/>
              </w:rPr>
              <w:fldChar w:fldCharType="begin"/>
            </w:r>
            <w:r>
              <w:rPr>
                <w:noProof/>
                <w:webHidden/>
              </w:rPr>
              <w:instrText xml:space="preserve"> PAGEREF _Toc202386420 \h </w:instrText>
            </w:r>
            <w:r>
              <w:rPr>
                <w:noProof/>
                <w:webHidden/>
              </w:rPr>
            </w:r>
            <w:r>
              <w:rPr>
                <w:noProof/>
                <w:webHidden/>
              </w:rPr>
              <w:fldChar w:fldCharType="separate"/>
            </w:r>
            <w:r>
              <w:rPr>
                <w:noProof/>
                <w:webHidden/>
              </w:rPr>
              <w:t>3</w:t>
            </w:r>
            <w:r>
              <w:rPr>
                <w:noProof/>
                <w:webHidden/>
              </w:rPr>
              <w:fldChar w:fldCharType="end"/>
            </w:r>
          </w:hyperlink>
        </w:p>
        <w:p w14:paraId="3DA825EB" w14:textId="64941990" w:rsidR="005667C5" w:rsidRDefault="005667C5">
          <w:pPr>
            <w:pStyle w:val="TOC1"/>
            <w:tabs>
              <w:tab w:val="right" w:leader="dot" w:pos="9016"/>
            </w:tabs>
            <w:rPr>
              <w:rFonts w:eastAsiaTheme="minorEastAsia"/>
              <w:noProof/>
              <w:kern w:val="2"/>
              <w:sz w:val="24"/>
              <w:szCs w:val="24"/>
              <w:lang w:eastAsia="en-GB"/>
              <w14:ligatures w14:val="standardContextual"/>
            </w:rPr>
          </w:pPr>
          <w:hyperlink w:anchor="_Toc202386421" w:history="1">
            <w:r w:rsidRPr="005100FE">
              <w:rPr>
                <w:rStyle w:val="Hyperlink"/>
                <w:rFonts w:ascii="Calibri" w:hAnsi="Calibri" w:cs="Calibri"/>
                <w:noProof/>
              </w:rPr>
              <w:t>2. The Customer Lifecycle in Healthcare</w:t>
            </w:r>
            <w:r>
              <w:rPr>
                <w:noProof/>
                <w:webHidden/>
              </w:rPr>
              <w:tab/>
            </w:r>
            <w:r>
              <w:rPr>
                <w:noProof/>
                <w:webHidden/>
              </w:rPr>
              <w:fldChar w:fldCharType="begin"/>
            </w:r>
            <w:r>
              <w:rPr>
                <w:noProof/>
                <w:webHidden/>
              </w:rPr>
              <w:instrText xml:space="preserve"> PAGEREF _Toc202386421 \h </w:instrText>
            </w:r>
            <w:r>
              <w:rPr>
                <w:noProof/>
                <w:webHidden/>
              </w:rPr>
            </w:r>
            <w:r>
              <w:rPr>
                <w:noProof/>
                <w:webHidden/>
              </w:rPr>
              <w:fldChar w:fldCharType="separate"/>
            </w:r>
            <w:r>
              <w:rPr>
                <w:noProof/>
                <w:webHidden/>
              </w:rPr>
              <w:t>4</w:t>
            </w:r>
            <w:r>
              <w:rPr>
                <w:noProof/>
                <w:webHidden/>
              </w:rPr>
              <w:fldChar w:fldCharType="end"/>
            </w:r>
          </w:hyperlink>
        </w:p>
        <w:p w14:paraId="76C38CEC" w14:textId="09E7325C" w:rsidR="005667C5" w:rsidRDefault="005667C5">
          <w:pPr>
            <w:pStyle w:val="TOC1"/>
            <w:tabs>
              <w:tab w:val="right" w:leader="dot" w:pos="9016"/>
            </w:tabs>
            <w:rPr>
              <w:rFonts w:eastAsiaTheme="minorEastAsia"/>
              <w:noProof/>
              <w:kern w:val="2"/>
              <w:sz w:val="24"/>
              <w:szCs w:val="24"/>
              <w:lang w:eastAsia="en-GB"/>
              <w14:ligatures w14:val="standardContextual"/>
            </w:rPr>
          </w:pPr>
          <w:hyperlink w:anchor="_Toc202386422" w:history="1">
            <w:r w:rsidRPr="005100FE">
              <w:rPr>
                <w:rStyle w:val="Hyperlink"/>
                <w:rFonts w:ascii="Calibri" w:hAnsi="Calibri" w:cs="Calibri"/>
                <w:noProof/>
              </w:rPr>
              <w:t>3. Quality Processes and Customer Value</w:t>
            </w:r>
            <w:r>
              <w:rPr>
                <w:noProof/>
                <w:webHidden/>
              </w:rPr>
              <w:tab/>
            </w:r>
            <w:r>
              <w:rPr>
                <w:noProof/>
                <w:webHidden/>
              </w:rPr>
              <w:fldChar w:fldCharType="begin"/>
            </w:r>
            <w:r>
              <w:rPr>
                <w:noProof/>
                <w:webHidden/>
              </w:rPr>
              <w:instrText xml:space="preserve"> PAGEREF _Toc202386422 \h </w:instrText>
            </w:r>
            <w:r>
              <w:rPr>
                <w:noProof/>
                <w:webHidden/>
              </w:rPr>
            </w:r>
            <w:r>
              <w:rPr>
                <w:noProof/>
                <w:webHidden/>
              </w:rPr>
              <w:fldChar w:fldCharType="separate"/>
            </w:r>
            <w:r>
              <w:rPr>
                <w:noProof/>
                <w:webHidden/>
              </w:rPr>
              <w:t>7</w:t>
            </w:r>
            <w:r>
              <w:rPr>
                <w:noProof/>
                <w:webHidden/>
              </w:rPr>
              <w:fldChar w:fldCharType="end"/>
            </w:r>
          </w:hyperlink>
        </w:p>
        <w:p w14:paraId="470230CC" w14:textId="26675A13" w:rsidR="005667C5" w:rsidRDefault="005667C5">
          <w:pPr>
            <w:pStyle w:val="TOC2"/>
            <w:tabs>
              <w:tab w:val="right" w:leader="dot" w:pos="9016"/>
            </w:tabs>
            <w:rPr>
              <w:rFonts w:eastAsiaTheme="minorEastAsia"/>
              <w:noProof/>
              <w:kern w:val="2"/>
              <w:sz w:val="24"/>
              <w:szCs w:val="24"/>
              <w:lang w:eastAsia="en-GB"/>
              <w14:ligatures w14:val="standardContextual"/>
            </w:rPr>
          </w:pPr>
          <w:hyperlink w:anchor="_Toc202386423" w:history="1">
            <w:r w:rsidRPr="005100FE">
              <w:rPr>
                <w:rStyle w:val="Hyperlink"/>
                <w:rFonts w:ascii="Calibri" w:hAnsi="Calibri" w:cs="Calibri"/>
                <w:noProof/>
              </w:rPr>
              <w:t>3.1 Defining Quality in Healthcare</w:t>
            </w:r>
            <w:r>
              <w:rPr>
                <w:noProof/>
                <w:webHidden/>
              </w:rPr>
              <w:tab/>
            </w:r>
            <w:r>
              <w:rPr>
                <w:noProof/>
                <w:webHidden/>
              </w:rPr>
              <w:fldChar w:fldCharType="begin"/>
            </w:r>
            <w:r>
              <w:rPr>
                <w:noProof/>
                <w:webHidden/>
              </w:rPr>
              <w:instrText xml:space="preserve"> PAGEREF _Toc202386423 \h </w:instrText>
            </w:r>
            <w:r>
              <w:rPr>
                <w:noProof/>
                <w:webHidden/>
              </w:rPr>
            </w:r>
            <w:r>
              <w:rPr>
                <w:noProof/>
                <w:webHidden/>
              </w:rPr>
              <w:fldChar w:fldCharType="separate"/>
            </w:r>
            <w:r>
              <w:rPr>
                <w:noProof/>
                <w:webHidden/>
              </w:rPr>
              <w:t>7</w:t>
            </w:r>
            <w:r>
              <w:rPr>
                <w:noProof/>
                <w:webHidden/>
              </w:rPr>
              <w:fldChar w:fldCharType="end"/>
            </w:r>
          </w:hyperlink>
        </w:p>
        <w:p w14:paraId="3A16CDB6" w14:textId="5B2649A1" w:rsidR="005667C5" w:rsidRDefault="005667C5">
          <w:pPr>
            <w:pStyle w:val="TOC2"/>
            <w:tabs>
              <w:tab w:val="right" w:leader="dot" w:pos="9016"/>
            </w:tabs>
            <w:rPr>
              <w:rFonts w:eastAsiaTheme="minorEastAsia"/>
              <w:noProof/>
              <w:kern w:val="2"/>
              <w:sz w:val="24"/>
              <w:szCs w:val="24"/>
              <w:lang w:eastAsia="en-GB"/>
              <w14:ligatures w14:val="standardContextual"/>
            </w:rPr>
          </w:pPr>
          <w:hyperlink w:anchor="_Toc202386424" w:history="1">
            <w:r w:rsidRPr="005100FE">
              <w:rPr>
                <w:rStyle w:val="Hyperlink"/>
                <w:rFonts w:ascii="Calibri" w:hAnsi="Calibri" w:cs="Calibri"/>
                <w:noProof/>
              </w:rPr>
              <w:t>3.2 Comparison of The Juran Model and Eight Dimensions of Quality</w:t>
            </w:r>
            <w:r>
              <w:rPr>
                <w:noProof/>
                <w:webHidden/>
              </w:rPr>
              <w:tab/>
            </w:r>
            <w:r>
              <w:rPr>
                <w:noProof/>
                <w:webHidden/>
              </w:rPr>
              <w:fldChar w:fldCharType="begin"/>
            </w:r>
            <w:r>
              <w:rPr>
                <w:noProof/>
                <w:webHidden/>
              </w:rPr>
              <w:instrText xml:space="preserve"> PAGEREF _Toc202386424 \h </w:instrText>
            </w:r>
            <w:r>
              <w:rPr>
                <w:noProof/>
                <w:webHidden/>
              </w:rPr>
            </w:r>
            <w:r>
              <w:rPr>
                <w:noProof/>
                <w:webHidden/>
              </w:rPr>
              <w:fldChar w:fldCharType="separate"/>
            </w:r>
            <w:r>
              <w:rPr>
                <w:noProof/>
                <w:webHidden/>
              </w:rPr>
              <w:t>10</w:t>
            </w:r>
            <w:r>
              <w:rPr>
                <w:noProof/>
                <w:webHidden/>
              </w:rPr>
              <w:fldChar w:fldCharType="end"/>
            </w:r>
          </w:hyperlink>
        </w:p>
        <w:p w14:paraId="17DEA386" w14:textId="44589FFE" w:rsidR="005667C5" w:rsidRDefault="005667C5">
          <w:pPr>
            <w:pStyle w:val="TOC2"/>
            <w:tabs>
              <w:tab w:val="right" w:leader="dot" w:pos="9016"/>
            </w:tabs>
            <w:rPr>
              <w:rFonts w:eastAsiaTheme="minorEastAsia"/>
              <w:noProof/>
              <w:kern w:val="2"/>
              <w:sz w:val="24"/>
              <w:szCs w:val="24"/>
              <w:lang w:eastAsia="en-GB"/>
              <w14:ligatures w14:val="standardContextual"/>
            </w:rPr>
          </w:pPr>
          <w:hyperlink w:anchor="_Toc202386425" w:history="1">
            <w:r w:rsidRPr="005100FE">
              <w:rPr>
                <w:rStyle w:val="Hyperlink"/>
                <w:rFonts w:ascii="Calibri" w:hAnsi="Calibri" w:cs="Calibri"/>
                <w:noProof/>
              </w:rPr>
              <w:t>3.3 Perceived vs Actual Value</w:t>
            </w:r>
            <w:r>
              <w:rPr>
                <w:noProof/>
                <w:webHidden/>
              </w:rPr>
              <w:tab/>
            </w:r>
            <w:r>
              <w:rPr>
                <w:noProof/>
                <w:webHidden/>
              </w:rPr>
              <w:fldChar w:fldCharType="begin"/>
            </w:r>
            <w:r>
              <w:rPr>
                <w:noProof/>
                <w:webHidden/>
              </w:rPr>
              <w:instrText xml:space="preserve"> PAGEREF _Toc202386425 \h </w:instrText>
            </w:r>
            <w:r>
              <w:rPr>
                <w:noProof/>
                <w:webHidden/>
              </w:rPr>
            </w:r>
            <w:r>
              <w:rPr>
                <w:noProof/>
                <w:webHidden/>
              </w:rPr>
              <w:fldChar w:fldCharType="separate"/>
            </w:r>
            <w:r>
              <w:rPr>
                <w:noProof/>
                <w:webHidden/>
              </w:rPr>
              <w:t>10</w:t>
            </w:r>
            <w:r>
              <w:rPr>
                <w:noProof/>
                <w:webHidden/>
              </w:rPr>
              <w:fldChar w:fldCharType="end"/>
            </w:r>
          </w:hyperlink>
        </w:p>
        <w:p w14:paraId="53340E71" w14:textId="43E4FBF7" w:rsidR="005667C5" w:rsidRDefault="005667C5">
          <w:pPr>
            <w:pStyle w:val="TOC1"/>
            <w:tabs>
              <w:tab w:val="right" w:leader="dot" w:pos="9016"/>
            </w:tabs>
            <w:rPr>
              <w:rFonts w:eastAsiaTheme="minorEastAsia"/>
              <w:noProof/>
              <w:kern w:val="2"/>
              <w:sz w:val="24"/>
              <w:szCs w:val="24"/>
              <w:lang w:eastAsia="en-GB"/>
              <w14:ligatures w14:val="standardContextual"/>
            </w:rPr>
          </w:pPr>
          <w:hyperlink w:anchor="_Toc202386426" w:history="1">
            <w:r w:rsidRPr="005100FE">
              <w:rPr>
                <w:rStyle w:val="Hyperlink"/>
                <w:rFonts w:ascii="Calibri" w:hAnsi="Calibri" w:cs="Calibri"/>
                <w:noProof/>
              </w:rPr>
              <w:t>4. CRM and Customer Relationship Development</w:t>
            </w:r>
            <w:r>
              <w:rPr>
                <w:noProof/>
                <w:webHidden/>
              </w:rPr>
              <w:tab/>
            </w:r>
            <w:r>
              <w:rPr>
                <w:noProof/>
                <w:webHidden/>
              </w:rPr>
              <w:fldChar w:fldCharType="begin"/>
            </w:r>
            <w:r>
              <w:rPr>
                <w:noProof/>
                <w:webHidden/>
              </w:rPr>
              <w:instrText xml:space="preserve"> PAGEREF _Toc202386426 \h </w:instrText>
            </w:r>
            <w:r>
              <w:rPr>
                <w:noProof/>
                <w:webHidden/>
              </w:rPr>
            </w:r>
            <w:r>
              <w:rPr>
                <w:noProof/>
                <w:webHidden/>
              </w:rPr>
              <w:fldChar w:fldCharType="separate"/>
            </w:r>
            <w:r>
              <w:rPr>
                <w:noProof/>
                <w:webHidden/>
              </w:rPr>
              <w:t>11</w:t>
            </w:r>
            <w:r>
              <w:rPr>
                <w:noProof/>
                <w:webHidden/>
              </w:rPr>
              <w:fldChar w:fldCharType="end"/>
            </w:r>
          </w:hyperlink>
        </w:p>
        <w:p w14:paraId="0F1AD8D3" w14:textId="03FDD087" w:rsidR="005667C5" w:rsidRDefault="005667C5">
          <w:pPr>
            <w:pStyle w:val="TOC2"/>
            <w:tabs>
              <w:tab w:val="right" w:leader="dot" w:pos="9016"/>
            </w:tabs>
            <w:rPr>
              <w:rFonts w:eastAsiaTheme="minorEastAsia"/>
              <w:noProof/>
              <w:kern w:val="2"/>
              <w:sz w:val="24"/>
              <w:szCs w:val="24"/>
              <w:lang w:eastAsia="en-GB"/>
              <w14:ligatures w14:val="standardContextual"/>
            </w:rPr>
          </w:pPr>
          <w:hyperlink w:anchor="_Toc202386427" w:history="1">
            <w:r w:rsidRPr="005100FE">
              <w:rPr>
                <w:rStyle w:val="Hyperlink"/>
                <w:rFonts w:ascii="Calibri" w:hAnsi="Calibri" w:cs="Calibri"/>
                <w:noProof/>
              </w:rPr>
              <w:t>4.1 Customer Value</w:t>
            </w:r>
            <w:r>
              <w:rPr>
                <w:noProof/>
                <w:webHidden/>
              </w:rPr>
              <w:tab/>
            </w:r>
            <w:r>
              <w:rPr>
                <w:noProof/>
                <w:webHidden/>
              </w:rPr>
              <w:fldChar w:fldCharType="begin"/>
            </w:r>
            <w:r>
              <w:rPr>
                <w:noProof/>
                <w:webHidden/>
              </w:rPr>
              <w:instrText xml:space="preserve"> PAGEREF _Toc202386427 \h </w:instrText>
            </w:r>
            <w:r>
              <w:rPr>
                <w:noProof/>
                <w:webHidden/>
              </w:rPr>
            </w:r>
            <w:r>
              <w:rPr>
                <w:noProof/>
                <w:webHidden/>
              </w:rPr>
              <w:fldChar w:fldCharType="separate"/>
            </w:r>
            <w:r>
              <w:rPr>
                <w:noProof/>
                <w:webHidden/>
              </w:rPr>
              <w:t>12</w:t>
            </w:r>
            <w:r>
              <w:rPr>
                <w:noProof/>
                <w:webHidden/>
              </w:rPr>
              <w:fldChar w:fldCharType="end"/>
            </w:r>
          </w:hyperlink>
        </w:p>
        <w:p w14:paraId="13FCCCFA" w14:textId="0B58279E" w:rsidR="005667C5" w:rsidRDefault="005667C5">
          <w:pPr>
            <w:pStyle w:val="TOC1"/>
            <w:tabs>
              <w:tab w:val="right" w:leader="dot" w:pos="9016"/>
            </w:tabs>
            <w:rPr>
              <w:rFonts w:eastAsiaTheme="minorEastAsia"/>
              <w:noProof/>
              <w:kern w:val="2"/>
              <w:sz w:val="24"/>
              <w:szCs w:val="24"/>
              <w:lang w:eastAsia="en-GB"/>
              <w14:ligatures w14:val="standardContextual"/>
            </w:rPr>
          </w:pPr>
          <w:hyperlink w:anchor="_Toc202386428" w:history="1">
            <w:r w:rsidRPr="005100FE">
              <w:rPr>
                <w:rStyle w:val="Hyperlink"/>
                <w:rFonts w:ascii="Calibri" w:hAnsi="Calibri" w:cs="Calibri"/>
                <w:noProof/>
              </w:rPr>
              <w:t>5. Customer Centrality and Segmentation</w:t>
            </w:r>
            <w:r>
              <w:rPr>
                <w:noProof/>
                <w:webHidden/>
              </w:rPr>
              <w:tab/>
            </w:r>
            <w:r>
              <w:rPr>
                <w:noProof/>
                <w:webHidden/>
              </w:rPr>
              <w:fldChar w:fldCharType="begin"/>
            </w:r>
            <w:r>
              <w:rPr>
                <w:noProof/>
                <w:webHidden/>
              </w:rPr>
              <w:instrText xml:space="preserve"> PAGEREF _Toc202386428 \h </w:instrText>
            </w:r>
            <w:r>
              <w:rPr>
                <w:noProof/>
                <w:webHidden/>
              </w:rPr>
            </w:r>
            <w:r>
              <w:rPr>
                <w:noProof/>
                <w:webHidden/>
              </w:rPr>
              <w:fldChar w:fldCharType="separate"/>
            </w:r>
            <w:r>
              <w:rPr>
                <w:noProof/>
                <w:webHidden/>
              </w:rPr>
              <w:t>12</w:t>
            </w:r>
            <w:r>
              <w:rPr>
                <w:noProof/>
                <w:webHidden/>
              </w:rPr>
              <w:fldChar w:fldCharType="end"/>
            </w:r>
          </w:hyperlink>
        </w:p>
        <w:p w14:paraId="645060BE" w14:textId="4CE4279D" w:rsidR="005667C5" w:rsidRDefault="005667C5">
          <w:pPr>
            <w:pStyle w:val="TOC2"/>
            <w:tabs>
              <w:tab w:val="left" w:pos="960"/>
              <w:tab w:val="right" w:leader="dot" w:pos="9016"/>
            </w:tabs>
            <w:rPr>
              <w:rFonts w:eastAsiaTheme="minorEastAsia"/>
              <w:noProof/>
              <w:kern w:val="2"/>
              <w:sz w:val="24"/>
              <w:szCs w:val="24"/>
              <w:lang w:eastAsia="en-GB"/>
              <w14:ligatures w14:val="standardContextual"/>
            </w:rPr>
          </w:pPr>
          <w:hyperlink w:anchor="_Toc202386429" w:history="1">
            <w:r w:rsidRPr="005100FE">
              <w:rPr>
                <w:rStyle w:val="Hyperlink"/>
                <w:rFonts w:ascii="Calibri" w:hAnsi="Calibri" w:cs="Calibri"/>
                <w:noProof/>
              </w:rPr>
              <w:t>5.1</w:t>
            </w:r>
            <w:r>
              <w:rPr>
                <w:rFonts w:eastAsiaTheme="minorEastAsia"/>
                <w:noProof/>
                <w:kern w:val="2"/>
                <w:sz w:val="24"/>
                <w:szCs w:val="24"/>
                <w:lang w:eastAsia="en-GB"/>
                <w14:ligatures w14:val="standardContextual"/>
              </w:rPr>
              <w:t xml:space="preserve"> </w:t>
            </w:r>
            <w:r w:rsidRPr="005100FE">
              <w:rPr>
                <w:rStyle w:val="Hyperlink"/>
                <w:rFonts w:ascii="Calibri" w:hAnsi="Calibri" w:cs="Calibri"/>
                <w:noProof/>
              </w:rPr>
              <w:t>Barriers to Customer Centrality in the NHS</w:t>
            </w:r>
            <w:r>
              <w:rPr>
                <w:noProof/>
                <w:webHidden/>
              </w:rPr>
              <w:tab/>
            </w:r>
            <w:r>
              <w:rPr>
                <w:noProof/>
                <w:webHidden/>
              </w:rPr>
              <w:fldChar w:fldCharType="begin"/>
            </w:r>
            <w:r>
              <w:rPr>
                <w:noProof/>
                <w:webHidden/>
              </w:rPr>
              <w:instrText xml:space="preserve"> PAGEREF _Toc202386429 \h </w:instrText>
            </w:r>
            <w:r>
              <w:rPr>
                <w:noProof/>
                <w:webHidden/>
              </w:rPr>
            </w:r>
            <w:r>
              <w:rPr>
                <w:noProof/>
                <w:webHidden/>
              </w:rPr>
              <w:fldChar w:fldCharType="separate"/>
            </w:r>
            <w:r>
              <w:rPr>
                <w:noProof/>
                <w:webHidden/>
              </w:rPr>
              <w:t>14</w:t>
            </w:r>
            <w:r>
              <w:rPr>
                <w:noProof/>
                <w:webHidden/>
              </w:rPr>
              <w:fldChar w:fldCharType="end"/>
            </w:r>
          </w:hyperlink>
        </w:p>
        <w:p w14:paraId="7A9C55A0" w14:textId="3255CE89" w:rsidR="005667C5" w:rsidRDefault="005667C5">
          <w:pPr>
            <w:pStyle w:val="TOC2"/>
            <w:tabs>
              <w:tab w:val="right" w:leader="dot" w:pos="9016"/>
            </w:tabs>
            <w:rPr>
              <w:rFonts w:eastAsiaTheme="minorEastAsia"/>
              <w:noProof/>
              <w:kern w:val="2"/>
              <w:sz w:val="24"/>
              <w:szCs w:val="24"/>
              <w:lang w:eastAsia="en-GB"/>
              <w14:ligatures w14:val="standardContextual"/>
            </w:rPr>
          </w:pPr>
          <w:hyperlink w:anchor="_Toc202386430" w:history="1">
            <w:r w:rsidRPr="005100FE">
              <w:rPr>
                <w:rStyle w:val="Hyperlink"/>
                <w:rFonts w:ascii="Calibri" w:hAnsi="Calibri" w:cs="Calibri"/>
                <w:noProof/>
              </w:rPr>
              <w:t>5.2 The Kano Model</w:t>
            </w:r>
            <w:r>
              <w:rPr>
                <w:noProof/>
                <w:webHidden/>
              </w:rPr>
              <w:tab/>
            </w:r>
            <w:r>
              <w:rPr>
                <w:noProof/>
                <w:webHidden/>
              </w:rPr>
              <w:fldChar w:fldCharType="begin"/>
            </w:r>
            <w:r>
              <w:rPr>
                <w:noProof/>
                <w:webHidden/>
              </w:rPr>
              <w:instrText xml:space="preserve"> PAGEREF _Toc202386430 \h </w:instrText>
            </w:r>
            <w:r>
              <w:rPr>
                <w:noProof/>
                <w:webHidden/>
              </w:rPr>
            </w:r>
            <w:r>
              <w:rPr>
                <w:noProof/>
                <w:webHidden/>
              </w:rPr>
              <w:fldChar w:fldCharType="separate"/>
            </w:r>
            <w:r>
              <w:rPr>
                <w:noProof/>
                <w:webHidden/>
              </w:rPr>
              <w:t>14</w:t>
            </w:r>
            <w:r>
              <w:rPr>
                <w:noProof/>
                <w:webHidden/>
              </w:rPr>
              <w:fldChar w:fldCharType="end"/>
            </w:r>
          </w:hyperlink>
        </w:p>
        <w:p w14:paraId="5A8DDDF3" w14:textId="79396332" w:rsidR="005667C5" w:rsidRDefault="005667C5">
          <w:pPr>
            <w:pStyle w:val="TOC1"/>
            <w:tabs>
              <w:tab w:val="right" w:leader="dot" w:pos="9016"/>
            </w:tabs>
            <w:rPr>
              <w:rFonts w:eastAsiaTheme="minorEastAsia"/>
              <w:noProof/>
              <w:kern w:val="2"/>
              <w:sz w:val="24"/>
              <w:szCs w:val="24"/>
              <w:lang w:eastAsia="en-GB"/>
              <w14:ligatures w14:val="standardContextual"/>
            </w:rPr>
          </w:pPr>
          <w:hyperlink w:anchor="_Toc202386431" w:history="1">
            <w:r w:rsidRPr="005100FE">
              <w:rPr>
                <w:rStyle w:val="Hyperlink"/>
                <w:rFonts w:ascii="Calibri" w:hAnsi="Calibri" w:cs="Calibri"/>
                <w:noProof/>
              </w:rPr>
              <w:t>6. Conclusion</w:t>
            </w:r>
            <w:r>
              <w:rPr>
                <w:noProof/>
                <w:webHidden/>
              </w:rPr>
              <w:tab/>
            </w:r>
            <w:r>
              <w:rPr>
                <w:noProof/>
                <w:webHidden/>
              </w:rPr>
              <w:fldChar w:fldCharType="begin"/>
            </w:r>
            <w:r>
              <w:rPr>
                <w:noProof/>
                <w:webHidden/>
              </w:rPr>
              <w:instrText xml:space="preserve"> PAGEREF _Toc202386431 \h </w:instrText>
            </w:r>
            <w:r>
              <w:rPr>
                <w:noProof/>
                <w:webHidden/>
              </w:rPr>
            </w:r>
            <w:r>
              <w:rPr>
                <w:noProof/>
                <w:webHidden/>
              </w:rPr>
              <w:fldChar w:fldCharType="separate"/>
            </w:r>
            <w:r>
              <w:rPr>
                <w:noProof/>
                <w:webHidden/>
              </w:rPr>
              <w:t>16</w:t>
            </w:r>
            <w:r>
              <w:rPr>
                <w:noProof/>
                <w:webHidden/>
              </w:rPr>
              <w:fldChar w:fldCharType="end"/>
            </w:r>
          </w:hyperlink>
        </w:p>
        <w:p w14:paraId="0F8892D0" w14:textId="66383F61" w:rsidR="005667C5" w:rsidRDefault="005667C5">
          <w:pPr>
            <w:pStyle w:val="TOC1"/>
            <w:tabs>
              <w:tab w:val="right" w:leader="dot" w:pos="9016"/>
            </w:tabs>
            <w:rPr>
              <w:rFonts w:eastAsiaTheme="minorEastAsia"/>
              <w:noProof/>
              <w:kern w:val="2"/>
              <w:sz w:val="24"/>
              <w:szCs w:val="24"/>
              <w:lang w:eastAsia="en-GB"/>
              <w14:ligatures w14:val="standardContextual"/>
            </w:rPr>
          </w:pPr>
          <w:hyperlink w:anchor="_Toc202386432" w:history="1">
            <w:r w:rsidRPr="005100FE">
              <w:rPr>
                <w:rStyle w:val="Hyperlink"/>
                <w:rFonts w:ascii="Calibri" w:hAnsi="Calibri" w:cs="Calibri"/>
                <w:noProof/>
              </w:rPr>
              <w:t>References</w:t>
            </w:r>
            <w:r>
              <w:rPr>
                <w:noProof/>
                <w:webHidden/>
              </w:rPr>
              <w:tab/>
            </w:r>
            <w:r>
              <w:rPr>
                <w:noProof/>
                <w:webHidden/>
              </w:rPr>
              <w:fldChar w:fldCharType="begin"/>
            </w:r>
            <w:r>
              <w:rPr>
                <w:noProof/>
                <w:webHidden/>
              </w:rPr>
              <w:instrText xml:space="preserve"> PAGEREF _Toc202386432 \h </w:instrText>
            </w:r>
            <w:r>
              <w:rPr>
                <w:noProof/>
                <w:webHidden/>
              </w:rPr>
            </w:r>
            <w:r>
              <w:rPr>
                <w:noProof/>
                <w:webHidden/>
              </w:rPr>
              <w:fldChar w:fldCharType="separate"/>
            </w:r>
            <w:r>
              <w:rPr>
                <w:noProof/>
                <w:webHidden/>
              </w:rPr>
              <w:t>18</w:t>
            </w:r>
            <w:r>
              <w:rPr>
                <w:noProof/>
                <w:webHidden/>
              </w:rPr>
              <w:fldChar w:fldCharType="end"/>
            </w:r>
          </w:hyperlink>
        </w:p>
        <w:p w14:paraId="0574FFBF" w14:textId="4F38D53D" w:rsidR="005667C5" w:rsidRDefault="005667C5">
          <w:pPr>
            <w:pStyle w:val="TOC1"/>
            <w:tabs>
              <w:tab w:val="right" w:leader="dot" w:pos="9016"/>
            </w:tabs>
            <w:rPr>
              <w:rFonts w:eastAsiaTheme="minorEastAsia"/>
              <w:noProof/>
              <w:kern w:val="2"/>
              <w:sz w:val="24"/>
              <w:szCs w:val="24"/>
              <w:lang w:eastAsia="en-GB"/>
              <w14:ligatures w14:val="standardContextual"/>
            </w:rPr>
          </w:pPr>
          <w:hyperlink w:anchor="_Toc202386433" w:history="1">
            <w:r w:rsidRPr="005100FE">
              <w:rPr>
                <w:rStyle w:val="Hyperlink"/>
                <w:rFonts w:ascii="Calibri" w:hAnsi="Calibri" w:cs="Calibri"/>
                <w:noProof/>
              </w:rPr>
              <w:t>Appendices</w:t>
            </w:r>
            <w:r>
              <w:rPr>
                <w:noProof/>
                <w:webHidden/>
              </w:rPr>
              <w:tab/>
            </w:r>
            <w:r>
              <w:rPr>
                <w:noProof/>
                <w:webHidden/>
              </w:rPr>
              <w:fldChar w:fldCharType="begin"/>
            </w:r>
            <w:r>
              <w:rPr>
                <w:noProof/>
                <w:webHidden/>
              </w:rPr>
              <w:instrText xml:space="preserve"> PAGEREF _Toc202386433 \h </w:instrText>
            </w:r>
            <w:r>
              <w:rPr>
                <w:noProof/>
                <w:webHidden/>
              </w:rPr>
            </w:r>
            <w:r>
              <w:rPr>
                <w:noProof/>
                <w:webHidden/>
              </w:rPr>
              <w:fldChar w:fldCharType="separate"/>
            </w:r>
            <w:r>
              <w:rPr>
                <w:noProof/>
                <w:webHidden/>
              </w:rPr>
              <w:t>20</w:t>
            </w:r>
            <w:r>
              <w:rPr>
                <w:noProof/>
                <w:webHidden/>
              </w:rPr>
              <w:fldChar w:fldCharType="end"/>
            </w:r>
          </w:hyperlink>
        </w:p>
        <w:p w14:paraId="7483EF1E" w14:textId="4939B933" w:rsidR="005667C5" w:rsidRDefault="005667C5">
          <w:pPr>
            <w:pStyle w:val="TOC2"/>
            <w:tabs>
              <w:tab w:val="right" w:leader="dot" w:pos="9016"/>
            </w:tabs>
            <w:rPr>
              <w:rFonts w:eastAsiaTheme="minorEastAsia"/>
              <w:noProof/>
              <w:kern w:val="2"/>
              <w:sz w:val="24"/>
              <w:szCs w:val="24"/>
              <w:lang w:eastAsia="en-GB"/>
              <w14:ligatures w14:val="standardContextual"/>
            </w:rPr>
          </w:pPr>
          <w:hyperlink w:anchor="_Toc202386434" w:history="1">
            <w:r w:rsidRPr="005100FE">
              <w:rPr>
                <w:rStyle w:val="Hyperlink"/>
                <w:rFonts w:ascii="Calibri" w:hAnsi="Calibri" w:cs="Calibri"/>
                <w:noProof/>
              </w:rPr>
              <w:t>Appendix A</w:t>
            </w:r>
            <w:r>
              <w:rPr>
                <w:noProof/>
                <w:webHidden/>
              </w:rPr>
              <w:tab/>
            </w:r>
            <w:r>
              <w:rPr>
                <w:noProof/>
                <w:webHidden/>
              </w:rPr>
              <w:fldChar w:fldCharType="begin"/>
            </w:r>
            <w:r>
              <w:rPr>
                <w:noProof/>
                <w:webHidden/>
              </w:rPr>
              <w:instrText xml:space="preserve"> PAGEREF _Toc202386434 \h </w:instrText>
            </w:r>
            <w:r>
              <w:rPr>
                <w:noProof/>
                <w:webHidden/>
              </w:rPr>
            </w:r>
            <w:r>
              <w:rPr>
                <w:noProof/>
                <w:webHidden/>
              </w:rPr>
              <w:fldChar w:fldCharType="separate"/>
            </w:r>
            <w:r>
              <w:rPr>
                <w:noProof/>
                <w:webHidden/>
              </w:rPr>
              <w:t>20</w:t>
            </w:r>
            <w:r>
              <w:rPr>
                <w:noProof/>
                <w:webHidden/>
              </w:rPr>
              <w:fldChar w:fldCharType="end"/>
            </w:r>
          </w:hyperlink>
        </w:p>
        <w:p w14:paraId="04793C9A" w14:textId="1DB51F81" w:rsidR="005667C5" w:rsidRDefault="005667C5">
          <w:pPr>
            <w:pStyle w:val="TOC2"/>
            <w:tabs>
              <w:tab w:val="right" w:leader="dot" w:pos="9016"/>
            </w:tabs>
            <w:rPr>
              <w:rFonts w:eastAsiaTheme="minorEastAsia"/>
              <w:noProof/>
              <w:kern w:val="2"/>
              <w:sz w:val="24"/>
              <w:szCs w:val="24"/>
              <w:lang w:eastAsia="en-GB"/>
              <w14:ligatures w14:val="standardContextual"/>
            </w:rPr>
          </w:pPr>
          <w:hyperlink w:anchor="_Toc202386435" w:history="1">
            <w:r w:rsidRPr="005100FE">
              <w:rPr>
                <w:rStyle w:val="Hyperlink"/>
                <w:rFonts w:ascii="Calibri" w:hAnsi="Calibri" w:cs="Calibri"/>
                <w:noProof/>
              </w:rPr>
              <w:t>Appendix B</w:t>
            </w:r>
            <w:r>
              <w:rPr>
                <w:noProof/>
                <w:webHidden/>
              </w:rPr>
              <w:tab/>
            </w:r>
            <w:r>
              <w:rPr>
                <w:noProof/>
                <w:webHidden/>
              </w:rPr>
              <w:fldChar w:fldCharType="begin"/>
            </w:r>
            <w:r>
              <w:rPr>
                <w:noProof/>
                <w:webHidden/>
              </w:rPr>
              <w:instrText xml:space="preserve"> PAGEREF _Toc202386435 \h </w:instrText>
            </w:r>
            <w:r>
              <w:rPr>
                <w:noProof/>
                <w:webHidden/>
              </w:rPr>
            </w:r>
            <w:r>
              <w:rPr>
                <w:noProof/>
                <w:webHidden/>
              </w:rPr>
              <w:fldChar w:fldCharType="separate"/>
            </w:r>
            <w:r>
              <w:rPr>
                <w:noProof/>
                <w:webHidden/>
              </w:rPr>
              <w:t>24</w:t>
            </w:r>
            <w:r>
              <w:rPr>
                <w:noProof/>
                <w:webHidden/>
              </w:rPr>
              <w:fldChar w:fldCharType="end"/>
            </w:r>
          </w:hyperlink>
        </w:p>
        <w:p w14:paraId="3A16863C" w14:textId="67E1C247" w:rsidR="005667C5" w:rsidRDefault="005667C5">
          <w:pPr>
            <w:pStyle w:val="TOC2"/>
            <w:tabs>
              <w:tab w:val="right" w:leader="dot" w:pos="9016"/>
            </w:tabs>
            <w:rPr>
              <w:rFonts w:eastAsiaTheme="minorEastAsia"/>
              <w:noProof/>
              <w:kern w:val="2"/>
              <w:sz w:val="24"/>
              <w:szCs w:val="24"/>
              <w:lang w:eastAsia="en-GB"/>
              <w14:ligatures w14:val="standardContextual"/>
            </w:rPr>
          </w:pPr>
          <w:hyperlink w:anchor="_Toc202386436" w:history="1">
            <w:r w:rsidRPr="005100FE">
              <w:rPr>
                <w:rStyle w:val="Hyperlink"/>
                <w:rFonts w:ascii="Calibri" w:hAnsi="Calibri" w:cs="Calibri"/>
                <w:noProof/>
              </w:rPr>
              <w:t>Appendix C</w:t>
            </w:r>
            <w:r>
              <w:rPr>
                <w:noProof/>
                <w:webHidden/>
              </w:rPr>
              <w:tab/>
            </w:r>
            <w:r>
              <w:rPr>
                <w:noProof/>
                <w:webHidden/>
              </w:rPr>
              <w:fldChar w:fldCharType="begin"/>
            </w:r>
            <w:r>
              <w:rPr>
                <w:noProof/>
                <w:webHidden/>
              </w:rPr>
              <w:instrText xml:space="preserve"> PAGEREF _Toc202386436 \h </w:instrText>
            </w:r>
            <w:r>
              <w:rPr>
                <w:noProof/>
                <w:webHidden/>
              </w:rPr>
            </w:r>
            <w:r>
              <w:rPr>
                <w:noProof/>
                <w:webHidden/>
              </w:rPr>
              <w:fldChar w:fldCharType="separate"/>
            </w:r>
            <w:r>
              <w:rPr>
                <w:noProof/>
                <w:webHidden/>
              </w:rPr>
              <w:t>25</w:t>
            </w:r>
            <w:r>
              <w:rPr>
                <w:noProof/>
                <w:webHidden/>
              </w:rPr>
              <w:fldChar w:fldCharType="end"/>
            </w:r>
          </w:hyperlink>
        </w:p>
        <w:p w14:paraId="0D287EAC" w14:textId="6C715418" w:rsidR="005667C5" w:rsidRDefault="005667C5">
          <w:pPr>
            <w:pStyle w:val="TOC2"/>
            <w:tabs>
              <w:tab w:val="right" w:leader="dot" w:pos="9016"/>
            </w:tabs>
            <w:rPr>
              <w:rFonts w:eastAsiaTheme="minorEastAsia"/>
              <w:noProof/>
              <w:kern w:val="2"/>
              <w:sz w:val="24"/>
              <w:szCs w:val="24"/>
              <w:lang w:eastAsia="en-GB"/>
              <w14:ligatures w14:val="standardContextual"/>
            </w:rPr>
          </w:pPr>
          <w:hyperlink w:anchor="_Toc202386437" w:history="1">
            <w:r w:rsidRPr="005100FE">
              <w:rPr>
                <w:rStyle w:val="Hyperlink"/>
                <w:rFonts w:ascii="Calibri" w:hAnsi="Calibri" w:cs="Calibri"/>
                <w:noProof/>
              </w:rPr>
              <w:t>Appendix D</w:t>
            </w:r>
            <w:r>
              <w:rPr>
                <w:noProof/>
                <w:webHidden/>
              </w:rPr>
              <w:tab/>
            </w:r>
            <w:r>
              <w:rPr>
                <w:noProof/>
                <w:webHidden/>
              </w:rPr>
              <w:fldChar w:fldCharType="begin"/>
            </w:r>
            <w:r>
              <w:rPr>
                <w:noProof/>
                <w:webHidden/>
              </w:rPr>
              <w:instrText xml:space="preserve"> PAGEREF _Toc202386437 \h </w:instrText>
            </w:r>
            <w:r>
              <w:rPr>
                <w:noProof/>
                <w:webHidden/>
              </w:rPr>
            </w:r>
            <w:r>
              <w:rPr>
                <w:noProof/>
                <w:webHidden/>
              </w:rPr>
              <w:fldChar w:fldCharType="separate"/>
            </w:r>
            <w:r>
              <w:rPr>
                <w:noProof/>
                <w:webHidden/>
              </w:rPr>
              <w:t>26</w:t>
            </w:r>
            <w:r>
              <w:rPr>
                <w:noProof/>
                <w:webHidden/>
              </w:rPr>
              <w:fldChar w:fldCharType="end"/>
            </w:r>
          </w:hyperlink>
        </w:p>
        <w:p w14:paraId="65903BE9" w14:textId="621CC309" w:rsidR="005667C5" w:rsidRDefault="005667C5">
          <w:pPr>
            <w:pStyle w:val="TOC2"/>
            <w:tabs>
              <w:tab w:val="right" w:leader="dot" w:pos="9016"/>
            </w:tabs>
            <w:rPr>
              <w:rFonts w:eastAsiaTheme="minorEastAsia"/>
              <w:noProof/>
              <w:kern w:val="2"/>
              <w:sz w:val="24"/>
              <w:szCs w:val="24"/>
              <w:lang w:eastAsia="en-GB"/>
              <w14:ligatures w14:val="standardContextual"/>
            </w:rPr>
          </w:pPr>
          <w:hyperlink w:anchor="_Toc202386438" w:history="1">
            <w:r w:rsidRPr="005100FE">
              <w:rPr>
                <w:rStyle w:val="Hyperlink"/>
                <w:rFonts w:ascii="Calibri" w:hAnsi="Calibri" w:cs="Calibri"/>
                <w:noProof/>
              </w:rPr>
              <w:t>Appendix E</w:t>
            </w:r>
            <w:r>
              <w:rPr>
                <w:noProof/>
                <w:webHidden/>
              </w:rPr>
              <w:tab/>
            </w:r>
            <w:r>
              <w:rPr>
                <w:noProof/>
                <w:webHidden/>
              </w:rPr>
              <w:fldChar w:fldCharType="begin"/>
            </w:r>
            <w:r>
              <w:rPr>
                <w:noProof/>
                <w:webHidden/>
              </w:rPr>
              <w:instrText xml:space="preserve"> PAGEREF _Toc202386438 \h </w:instrText>
            </w:r>
            <w:r>
              <w:rPr>
                <w:noProof/>
                <w:webHidden/>
              </w:rPr>
            </w:r>
            <w:r>
              <w:rPr>
                <w:noProof/>
                <w:webHidden/>
              </w:rPr>
              <w:fldChar w:fldCharType="separate"/>
            </w:r>
            <w:r>
              <w:rPr>
                <w:noProof/>
                <w:webHidden/>
              </w:rPr>
              <w:t>27</w:t>
            </w:r>
            <w:r>
              <w:rPr>
                <w:noProof/>
                <w:webHidden/>
              </w:rPr>
              <w:fldChar w:fldCharType="end"/>
            </w:r>
          </w:hyperlink>
        </w:p>
        <w:p w14:paraId="69575905" w14:textId="4E37B03F" w:rsidR="005667C5" w:rsidRDefault="005667C5">
          <w:pPr>
            <w:pStyle w:val="TOC2"/>
            <w:tabs>
              <w:tab w:val="right" w:leader="dot" w:pos="9016"/>
            </w:tabs>
            <w:rPr>
              <w:rFonts w:eastAsiaTheme="minorEastAsia"/>
              <w:noProof/>
              <w:kern w:val="2"/>
              <w:sz w:val="24"/>
              <w:szCs w:val="24"/>
              <w:lang w:eastAsia="en-GB"/>
              <w14:ligatures w14:val="standardContextual"/>
            </w:rPr>
          </w:pPr>
          <w:hyperlink w:anchor="_Toc202386439" w:history="1">
            <w:r w:rsidRPr="005100FE">
              <w:rPr>
                <w:rStyle w:val="Hyperlink"/>
                <w:rFonts w:ascii="Calibri" w:hAnsi="Calibri" w:cs="Calibri"/>
                <w:noProof/>
              </w:rPr>
              <w:t>Appendix F</w:t>
            </w:r>
            <w:r>
              <w:rPr>
                <w:noProof/>
                <w:webHidden/>
              </w:rPr>
              <w:tab/>
            </w:r>
            <w:r>
              <w:rPr>
                <w:noProof/>
                <w:webHidden/>
              </w:rPr>
              <w:fldChar w:fldCharType="begin"/>
            </w:r>
            <w:r>
              <w:rPr>
                <w:noProof/>
                <w:webHidden/>
              </w:rPr>
              <w:instrText xml:space="preserve"> PAGEREF _Toc202386439 \h </w:instrText>
            </w:r>
            <w:r>
              <w:rPr>
                <w:noProof/>
                <w:webHidden/>
              </w:rPr>
            </w:r>
            <w:r>
              <w:rPr>
                <w:noProof/>
                <w:webHidden/>
              </w:rPr>
              <w:fldChar w:fldCharType="separate"/>
            </w:r>
            <w:r>
              <w:rPr>
                <w:noProof/>
                <w:webHidden/>
              </w:rPr>
              <w:t>28</w:t>
            </w:r>
            <w:r>
              <w:rPr>
                <w:noProof/>
                <w:webHidden/>
              </w:rPr>
              <w:fldChar w:fldCharType="end"/>
            </w:r>
          </w:hyperlink>
        </w:p>
        <w:p w14:paraId="56FF0CED" w14:textId="182EA003" w:rsidR="005667C5" w:rsidRDefault="005667C5">
          <w:pPr>
            <w:pStyle w:val="TOC1"/>
            <w:tabs>
              <w:tab w:val="right" w:leader="dot" w:pos="9016"/>
            </w:tabs>
            <w:rPr>
              <w:rFonts w:eastAsiaTheme="minorEastAsia"/>
              <w:noProof/>
              <w:kern w:val="2"/>
              <w:sz w:val="24"/>
              <w:szCs w:val="24"/>
              <w:lang w:eastAsia="en-GB"/>
              <w14:ligatures w14:val="standardContextual"/>
            </w:rPr>
          </w:pPr>
          <w:hyperlink w:anchor="_Toc202386440" w:history="1">
            <w:r w:rsidRPr="005100FE">
              <w:rPr>
                <w:rStyle w:val="Hyperlink"/>
                <w:rFonts w:ascii="Calibri" w:hAnsi="Calibri" w:cs="Calibri"/>
                <w:noProof/>
              </w:rPr>
              <w:t>Bibliography</w:t>
            </w:r>
            <w:r>
              <w:rPr>
                <w:noProof/>
                <w:webHidden/>
              </w:rPr>
              <w:tab/>
            </w:r>
            <w:r>
              <w:rPr>
                <w:noProof/>
                <w:webHidden/>
              </w:rPr>
              <w:fldChar w:fldCharType="begin"/>
            </w:r>
            <w:r>
              <w:rPr>
                <w:noProof/>
                <w:webHidden/>
              </w:rPr>
              <w:instrText xml:space="preserve"> PAGEREF _Toc202386440 \h </w:instrText>
            </w:r>
            <w:r>
              <w:rPr>
                <w:noProof/>
                <w:webHidden/>
              </w:rPr>
            </w:r>
            <w:r>
              <w:rPr>
                <w:noProof/>
                <w:webHidden/>
              </w:rPr>
              <w:fldChar w:fldCharType="separate"/>
            </w:r>
            <w:r>
              <w:rPr>
                <w:noProof/>
                <w:webHidden/>
              </w:rPr>
              <w:t>29</w:t>
            </w:r>
            <w:r>
              <w:rPr>
                <w:noProof/>
                <w:webHidden/>
              </w:rPr>
              <w:fldChar w:fldCharType="end"/>
            </w:r>
          </w:hyperlink>
        </w:p>
        <w:p w14:paraId="498E110E" w14:textId="4FBD522E" w:rsidR="005667C5" w:rsidRDefault="005667C5">
          <w:r>
            <w:rPr>
              <w:b/>
              <w:bCs/>
            </w:rPr>
            <w:fldChar w:fldCharType="end"/>
          </w:r>
        </w:p>
      </w:sdtContent>
    </w:sdt>
    <w:p w14:paraId="1F81AA12" w14:textId="3BE5F212" w:rsidR="00210271" w:rsidRDefault="00210271">
      <w:pPr>
        <w:rPr>
          <w:rFonts w:ascii="Tahoma" w:hAnsi="Tahoma" w:cs="Tahoma"/>
          <w:color w:val="000000"/>
          <w:sz w:val="24"/>
          <w:szCs w:val="24"/>
        </w:rPr>
      </w:pPr>
      <w:r>
        <w:rPr>
          <w:rFonts w:ascii="Tahoma" w:hAnsi="Tahoma" w:cs="Tahoma"/>
          <w:color w:val="000000"/>
          <w:sz w:val="24"/>
          <w:szCs w:val="24"/>
        </w:rPr>
        <w:br w:type="page"/>
      </w:r>
    </w:p>
    <w:p w14:paraId="060EA778" w14:textId="3FD2F772" w:rsidR="00210271" w:rsidRPr="00210271" w:rsidRDefault="00210271" w:rsidP="006058BA">
      <w:pPr>
        <w:pStyle w:val="Title"/>
        <w:rPr>
          <w:rFonts w:ascii="Calibri" w:hAnsi="Calibri" w:cs="Calibri"/>
          <w:color w:val="0F4761" w:themeColor="accent1" w:themeShade="BF"/>
          <w:kern w:val="2"/>
          <w:sz w:val="24"/>
          <w:szCs w:val="24"/>
          <w14:ligatures w14:val="standardContextual"/>
        </w:rPr>
      </w:pPr>
      <w:r>
        <w:lastRenderedPageBreak/>
        <w:t>Understanding &amp; Engaging in the Customer Experience</w:t>
      </w:r>
    </w:p>
    <w:p w14:paraId="3396CBC4" w14:textId="6084E97F" w:rsidR="00210271" w:rsidRPr="00652074" w:rsidRDefault="001A539B" w:rsidP="00210271">
      <w:pPr>
        <w:pStyle w:val="Heading1"/>
        <w:rPr>
          <w:rFonts w:ascii="Calibri" w:hAnsi="Calibri" w:cs="Calibri"/>
        </w:rPr>
      </w:pPr>
      <w:bookmarkStart w:id="0" w:name="_Toc202386420"/>
      <w:r w:rsidRPr="00652074">
        <w:rPr>
          <w:rFonts w:ascii="Calibri" w:hAnsi="Calibri" w:cs="Calibri"/>
        </w:rPr>
        <w:t xml:space="preserve">1. </w:t>
      </w:r>
      <w:r w:rsidR="00210271" w:rsidRPr="00652074">
        <w:rPr>
          <w:rFonts w:ascii="Calibri" w:hAnsi="Calibri" w:cs="Calibri"/>
        </w:rPr>
        <w:t>Introduction</w:t>
      </w:r>
      <w:bookmarkEnd w:id="0"/>
    </w:p>
    <w:p w14:paraId="1F2C3F63" w14:textId="6CEE3892" w:rsidR="00210271" w:rsidRDefault="00B919C0" w:rsidP="00B919C0">
      <w:pPr>
        <w:spacing w:line="360" w:lineRule="auto"/>
        <w:rPr>
          <w:rFonts w:ascii="Calibri" w:hAnsi="Calibri" w:cs="Calibri"/>
          <w:sz w:val="24"/>
          <w:szCs w:val="24"/>
        </w:rPr>
      </w:pPr>
      <w:r>
        <w:rPr>
          <w:rFonts w:ascii="Calibri" w:hAnsi="Calibri" w:cs="Calibri"/>
          <w:sz w:val="24"/>
          <w:szCs w:val="24"/>
        </w:rPr>
        <w:t xml:space="preserve">The UK healthcare landscape currently is characterised by rising patient expectations, increasing demand, and the growing reliance on private sector alternative treatments (whether that be in the UK, or abroad) to overcome the limitations of the National Health Service (NHS). As individuals are seeking faster access to services and more personalised care, it is essential to understand the customer lifecycle, quality processes, and customer relationship management (CRM). </w:t>
      </w:r>
      <w:r w:rsidR="00F665A8">
        <w:rPr>
          <w:rFonts w:ascii="Calibri" w:hAnsi="Calibri" w:cs="Calibri"/>
          <w:sz w:val="24"/>
          <w:szCs w:val="24"/>
        </w:rPr>
        <w:t xml:space="preserve">This report will explore these dynamics within the healthcare sector, comparing NHS services with private clinics, while also incorporating an analysis of the current trend which is the increasing demand for </w:t>
      </w:r>
      <w:proofErr w:type="spellStart"/>
      <w:r w:rsidR="00F665A8">
        <w:rPr>
          <w:rFonts w:ascii="Calibri" w:hAnsi="Calibri" w:cs="Calibri"/>
          <w:sz w:val="24"/>
          <w:szCs w:val="24"/>
        </w:rPr>
        <w:t>Mounjaro</w:t>
      </w:r>
      <w:proofErr w:type="spellEnd"/>
      <w:r w:rsidR="00F665A8">
        <w:rPr>
          <w:rFonts w:ascii="Calibri" w:hAnsi="Calibri" w:cs="Calibri"/>
          <w:sz w:val="24"/>
          <w:szCs w:val="24"/>
        </w:rPr>
        <w:t xml:space="preserve">, a weight loss injection. This increasing trend highlights the tension between regulated clinical pathways and patient-driven demand, which leads to the rise of black-market alternatives and exposing gaps in healthcare delivery. </w:t>
      </w:r>
    </w:p>
    <w:p w14:paraId="7D355B40" w14:textId="64C29FD7" w:rsidR="00D17720" w:rsidRPr="00D17720" w:rsidRDefault="00D17720" w:rsidP="00B919C0">
      <w:pPr>
        <w:spacing w:line="360" w:lineRule="auto"/>
        <w:rPr>
          <w:rFonts w:ascii="Calibri" w:hAnsi="Calibri" w:cs="Calibri"/>
          <w:color w:val="EE0000"/>
          <w:sz w:val="24"/>
          <w:szCs w:val="24"/>
        </w:rPr>
      </w:pPr>
      <w:r>
        <w:rPr>
          <w:rFonts w:ascii="Calibri" w:hAnsi="Calibri" w:cs="Calibri"/>
          <w:sz w:val="24"/>
          <w:szCs w:val="24"/>
        </w:rPr>
        <w:t>The report will provide a comprehensive analysis of the customer lifecycle within the healthcare sector, with a specific focus on the patient experience, quality processes, customer segmentation, and CRM strategies. This analysis will be shown through appropriate academic theories and models including</w:t>
      </w:r>
      <w:r w:rsidR="00923D52">
        <w:rPr>
          <w:rFonts w:ascii="Calibri" w:hAnsi="Calibri" w:cs="Calibri"/>
          <w:sz w:val="24"/>
          <w:szCs w:val="24"/>
        </w:rPr>
        <w:t xml:space="preserve">, </w:t>
      </w:r>
      <w:r w:rsidR="0076064D">
        <w:rPr>
          <w:rFonts w:ascii="Calibri" w:hAnsi="Calibri" w:cs="Calibri"/>
          <w:sz w:val="24"/>
          <w:szCs w:val="24"/>
        </w:rPr>
        <w:t xml:space="preserve">The Juran Model, </w:t>
      </w:r>
      <w:proofErr w:type="spellStart"/>
      <w:r w:rsidR="0076064D">
        <w:rPr>
          <w:rFonts w:ascii="Calibri" w:hAnsi="Calibri" w:cs="Calibri"/>
          <w:sz w:val="24"/>
          <w:szCs w:val="24"/>
        </w:rPr>
        <w:t>Garvins</w:t>
      </w:r>
      <w:proofErr w:type="spellEnd"/>
      <w:r w:rsidR="0076064D">
        <w:rPr>
          <w:rFonts w:ascii="Calibri" w:hAnsi="Calibri" w:cs="Calibri"/>
          <w:sz w:val="24"/>
          <w:szCs w:val="24"/>
        </w:rPr>
        <w:t xml:space="preserve"> 8 Dimensions of Quality</w:t>
      </w:r>
      <w:r w:rsidR="00923D52">
        <w:rPr>
          <w:rFonts w:ascii="Calibri" w:hAnsi="Calibri" w:cs="Calibri"/>
          <w:sz w:val="24"/>
          <w:szCs w:val="24"/>
        </w:rPr>
        <w:t xml:space="preserve">, </w:t>
      </w:r>
      <w:r w:rsidR="00137C74">
        <w:rPr>
          <w:rFonts w:ascii="Calibri" w:hAnsi="Calibri" w:cs="Calibri"/>
          <w:sz w:val="24"/>
          <w:szCs w:val="24"/>
        </w:rPr>
        <w:t xml:space="preserve">The Kano Model and </w:t>
      </w:r>
      <w:proofErr w:type="spellStart"/>
      <w:r w:rsidR="00137C74">
        <w:rPr>
          <w:rFonts w:ascii="Calibri" w:hAnsi="Calibri" w:cs="Calibri"/>
          <w:sz w:val="24"/>
          <w:szCs w:val="24"/>
        </w:rPr>
        <w:t>MoSCoW</w:t>
      </w:r>
      <w:proofErr w:type="spellEnd"/>
      <w:r w:rsidR="00137C74">
        <w:rPr>
          <w:rFonts w:ascii="Calibri" w:hAnsi="Calibri" w:cs="Calibri"/>
          <w:sz w:val="24"/>
          <w:szCs w:val="24"/>
        </w:rPr>
        <w:t xml:space="preserve"> model, and customer value frameworks, to examine how organisations manage customer acquisition, retention, and loyalty. The report will also consider the implications of customer centrality and the challenges of aligning organisational processes with diverse and complex patient needs.</w:t>
      </w:r>
    </w:p>
    <w:p w14:paraId="17D4F39E" w14:textId="3DE8CAA9" w:rsidR="00137C74" w:rsidRDefault="00137C74" w:rsidP="00054D1F">
      <w:pPr>
        <w:spacing w:line="360" w:lineRule="auto"/>
      </w:pPr>
      <w:r w:rsidRPr="00137C74">
        <w:rPr>
          <w:rFonts w:ascii="Calibri" w:hAnsi="Calibri" w:cs="Calibri"/>
          <w:sz w:val="24"/>
          <w:szCs w:val="24"/>
        </w:rPr>
        <w:t>The NHS and private clinics operate under different mandates</w:t>
      </w:r>
      <w:r>
        <w:rPr>
          <w:rFonts w:ascii="Calibri" w:hAnsi="Calibri" w:cs="Calibri"/>
          <w:sz w:val="24"/>
          <w:szCs w:val="24"/>
        </w:rPr>
        <w:t xml:space="preserve">: public service against profit driven care, while both face increasing pressure to improve outcomes, enhance patient satisfaction, and maintain high standards of quality. </w:t>
      </w:r>
      <w:r w:rsidR="00054D1F">
        <w:rPr>
          <w:rFonts w:ascii="Calibri" w:hAnsi="Calibri" w:cs="Calibri"/>
          <w:sz w:val="24"/>
          <w:szCs w:val="24"/>
        </w:rPr>
        <w:t xml:space="preserve">In particular, private healthcare often serves as a solution for patients seeking alternatives to long NHS waiting lists or difficult eligibility criteria, especially for elective and lifestyle-related treatments like weight management. The </w:t>
      </w:r>
      <w:proofErr w:type="spellStart"/>
      <w:r w:rsidR="00054D1F">
        <w:rPr>
          <w:rFonts w:ascii="Calibri" w:hAnsi="Calibri" w:cs="Calibri"/>
          <w:sz w:val="24"/>
          <w:szCs w:val="24"/>
        </w:rPr>
        <w:t>Mounjaro</w:t>
      </w:r>
      <w:proofErr w:type="spellEnd"/>
      <w:r w:rsidR="00054D1F">
        <w:rPr>
          <w:rFonts w:ascii="Calibri" w:hAnsi="Calibri" w:cs="Calibri"/>
          <w:sz w:val="24"/>
          <w:szCs w:val="24"/>
        </w:rPr>
        <w:t xml:space="preserve">, “skinny jabs” as they are currently being advertised, offers an </w:t>
      </w:r>
      <w:r w:rsidR="00054D1F">
        <w:rPr>
          <w:rFonts w:ascii="Calibri" w:hAnsi="Calibri" w:cs="Calibri"/>
          <w:sz w:val="24"/>
          <w:szCs w:val="24"/>
        </w:rPr>
        <w:lastRenderedPageBreak/>
        <w:t>insight into evaluating customer behaviours, expectations, and value perceptions. Including the ethical and operational considerations involved in service delivery.</w:t>
      </w:r>
    </w:p>
    <w:p w14:paraId="2BB452C0" w14:textId="08E5E025" w:rsidR="001A539B" w:rsidRDefault="00054D1F" w:rsidP="00054D1F">
      <w:pPr>
        <w:spacing w:line="360" w:lineRule="auto"/>
        <w:rPr>
          <w:rFonts w:ascii="Calibri" w:hAnsi="Calibri" w:cs="Calibri"/>
          <w:sz w:val="24"/>
          <w:szCs w:val="24"/>
        </w:rPr>
      </w:pPr>
      <w:r w:rsidRPr="00054D1F">
        <w:rPr>
          <w:rFonts w:ascii="Calibri" w:hAnsi="Calibri" w:cs="Calibri"/>
          <w:sz w:val="24"/>
          <w:szCs w:val="24"/>
        </w:rPr>
        <w:t xml:space="preserve">This report critically evaluates how healthcare providers can develop and maintain effective customer relationships, improve service quality, and </w:t>
      </w:r>
      <w:r w:rsidR="001A75D0">
        <w:rPr>
          <w:rFonts w:ascii="Calibri" w:hAnsi="Calibri" w:cs="Calibri"/>
          <w:sz w:val="24"/>
          <w:szCs w:val="24"/>
        </w:rPr>
        <w:t>in</w:t>
      </w:r>
      <w:r w:rsidRPr="00054D1F">
        <w:rPr>
          <w:rFonts w:ascii="Calibri" w:hAnsi="Calibri" w:cs="Calibri"/>
          <w:sz w:val="24"/>
          <w:szCs w:val="24"/>
        </w:rPr>
        <w:t>crease systems that respond to both direct and indirect indicators of customer value. By mapping the customer journey and examining quality processes in practice, the report will indicate how healthcare organisations can enhance efficiency, trust, and loyalty in an increasingly competitive and patient-centric environment.</w:t>
      </w:r>
    </w:p>
    <w:p w14:paraId="446829A2" w14:textId="02EE44AC" w:rsidR="001A539B" w:rsidRPr="00652074" w:rsidRDefault="001A539B" w:rsidP="001A539B">
      <w:pPr>
        <w:pStyle w:val="Heading1"/>
        <w:rPr>
          <w:rFonts w:ascii="Calibri" w:hAnsi="Calibri" w:cs="Calibri"/>
        </w:rPr>
      </w:pPr>
      <w:bookmarkStart w:id="1" w:name="_Toc202386421"/>
      <w:r w:rsidRPr="00652074">
        <w:rPr>
          <w:rFonts w:ascii="Calibri" w:hAnsi="Calibri" w:cs="Calibri"/>
        </w:rPr>
        <w:t>2. The Customer Lifecycle in Healthcare</w:t>
      </w:r>
      <w:bookmarkEnd w:id="1"/>
    </w:p>
    <w:p w14:paraId="483CC21B" w14:textId="77777777" w:rsidR="00BB1075" w:rsidRDefault="002C6DEE" w:rsidP="002C6DEE">
      <w:pPr>
        <w:spacing w:line="360" w:lineRule="auto"/>
        <w:rPr>
          <w:rFonts w:ascii="Calibri" w:hAnsi="Calibri" w:cs="Calibri"/>
          <w:sz w:val="24"/>
          <w:szCs w:val="24"/>
        </w:rPr>
      </w:pPr>
      <w:r w:rsidRPr="002C6DEE">
        <w:rPr>
          <w:rFonts w:ascii="Calibri" w:hAnsi="Calibri" w:cs="Calibri"/>
          <w:sz w:val="24"/>
          <w:szCs w:val="24"/>
        </w:rPr>
        <w:t>The healthcare customer lifecycle covers a patient's experience from their initial symptoms to the aftercare and long-term treatment given. For healthcare marketers and providers, understanding this journey highlights pain points and improvement opportunities within the patient experience. It also identifies knowledge gaps and areas for additional care. By refining this journey, providers can enhance patient engagement, satisfaction, and treatment outcomes.</w:t>
      </w:r>
      <w:r>
        <w:rPr>
          <w:rFonts w:ascii="Calibri" w:hAnsi="Calibri" w:cs="Calibri"/>
          <w:sz w:val="24"/>
          <w:szCs w:val="24"/>
        </w:rPr>
        <w:t xml:space="preserve"> </w:t>
      </w:r>
      <w:r w:rsidR="000E3633">
        <w:rPr>
          <w:rFonts w:ascii="Calibri" w:hAnsi="Calibri" w:cs="Calibri"/>
          <w:sz w:val="24"/>
          <w:szCs w:val="24"/>
        </w:rPr>
        <w:t>As stated by Healthier Weight (2019), 60,000 adults in the UK every year are classed as obese or severely obese and have a body mass index that passes 40. It is estimated that 2.6 million people in the country are eligible for w</w:t>
      </w:r>
      <w:r w:rsidR="00F60D57">
        <w:rPr>
          <w:rFonts w:ascii="Calibri" w:hAnsi="Calibri" w:cs="Calibri"/>
          <w:sz w:val="24"/>
          <w:szCs w:val="24"/>
        </w:rPr>
        <w:t>e</w:t>
      </w:r>
      <w:r w:rsidR="000E3633">
        <w:rPr>
          <w:rFonts w:ascii="Calibri" w:hAnsi="Calibri" w:cs="Calibri"/>
          <w:sz w:val="24"/>
          <w:szCs w:val="24"/>
        </w:rPr>
        <w:t xml:space="preserve">ight loss surgery using the NICE guidelines (shown in appendix A), and the number is rising quickly. As the NHS have budget constraints, a significant number of individuals who would benefit from getting the weight loss surgery are unable to get their procedure. This then encourages these individuals to get their procedure done privately either in the UK or abroad, while there are many benefits for patients having their procedure done privately, there are also significant costs that come with this, and in this </w:t>
      </w:r>
      <w:r w:rsidR="002B26FF">
        <w:rPr>
          <w:rFonts w:ascii="Calibri" w:hAnsi="Calibri" w:cs="Calibri"/>
          <w:sz w:val="24"/>
          <w:szCs w:val="24"/>
        </w:rPr>
        <w:t>case,</w:t>
      </w:r>
      <w:r w:rsidR="000E3633">
        <w:rPr>
          <w:rFonts w:ascii="Calibri" w:hAnsi="Calibri" w:cs="Calibri"/>
          <w:sz w:val="24"/>
          <w:szCs w:val="24"/>
        </w:rPr>
        <w:t xml:space="preserve"> individuals are categorised as customers. </w:t>
      </w:r>
    </w:p>
    <w:p w14:paraId="2553763E" w14:textId="2B59C54A" w:rsidR="000E3633" w:rsidRDefault="00FE75A7" w:rsidP="002C6DEE">
      <w:pPr>
        <w:spacing w:line="360" w:lineRule="auto"/>
        <w:rPr>
          <w:rFonts w:ascii="Calibri" w:hAnsi="Calibri" w:cs="Calibri"/>
          <w:sz w:val="24"/>
          <w:szCs w:val="24"/>
        </w:rPr>
      </w:pPr>
      <w:r>
        <w:rPr>
          <w:rFonts w:ascii="Calibri" w:hAnsi="Calibri" w:cs="Calibri"/>
          <w:sz w:val="24"/>
          <w:szCs w:val="24"/>
        </w:rPr>
        <w:t>Soni, (2025) identifies that f</w:t>
      </w:r>
      <w:r w:rsidR="00BB1075">
        <w:rPr>
          <w:rFonts w:ascii="Calibri" w:hAnsi="Calibri" w:cs="Calibri"/>
          <w:sz w:val="24"/>
          <w:szCs w:val="24"/>
        </w:rPr>
        <w:t xml:space="preserve">rom a healthcare context, a patient’s journey can be mapped along a lifecycle that begins before any clinical engagement. Initially, individuals are prospective patients who may be seeking information or assessing their healthcare needs but not yet in contact with a healthcare provider. Once they engage with a healthcare service through consultation, diagnosis, or treatment, they transition from prospective to active patients. Through each interaction with </w:t>
      </w:r>
      <w:r>
        <w:rPr>
          <w:rFonts w:ascii="Calibri" w:hAnsi="Calibri" w:cs="Calibri"/>
          <w:sz w:val="24"/>
          <w:szCs w:val="24"/>
        </w:rPr>
        <w:t xml:space="preserve">their healthcare provider, shapes their overall experience. This lifecycle further involves follow-up care and ongoing management, tracking </w:t>
      </w:r>
      <w:r>
        <w:rPr>
          <w:rFonts w:ascii="Calibri" w:hAnsi="Calibri" w:cs="Calibri"/>
          <w:sz w:val="24"/>
          <w:szCs w:val="24"/>
        </w:rPr>
        <w:lastRenderedPageBreak/>
        <w:t>the patient’s relationship with providers until they no longer require the service, or they transition to another health system. It is important to recognise and understand the patient lifecycle at it enables healthcare organisations to tailor communication, care pathways, and support at each stage. This enables healthcare providers to improve patient satisfaction, meet patient expectations, strengthen trust, and foster long-term loyalty in an increasingly competitive and patient-centr</w:t>
      </w:r>
      <w:r w:rsidR="000F32C9">
        <w:rPr>
          <w:rFonts w:ascii="Calibri" w:hAnsi="Calibri" w:cs="Calibri"/>
          <w:sz w:val="24"/>
          <w:szCs w:val="24"/>
        </w:rPr>
        <w:t>ed</w:t>
      </w:r>
      <w:r>
        <w:rPr>
          <w:rFonts w:ascii="Calibri" w:hAnsi="Calibri" w:cs="Calibri"/>
          <w:sz w:val="24"/>
          <w:szCs w:val="24"/>
        </w:rPr>
        <w:t xml:space="preserve"> sector. </w:t>
      </w:r>
    </w:p>
    <w:p w14:paraId="2EA82C3D" w14:textId="1018840B" w:rsidR="004737D0" w:rsidRPr="004737D0" w:rsidRDefault="00414FB3" w:rsidP="004737D0">
      <w:pPr>
        <w:spacing w:line="360" w:lineRule="auto"/>
        <w:rPr>
          <w:rFonts w:ascii="Calibri" w:hAnsi="Calibri" w:cs="Calibri"/>
          <w:sz w:val="24"/>
          <w:szCs w:val="24"/>
        </w:rPr>
      </w:pPr>
      <w:r>
        <w:rPr>
          <w:rFonts w:ascii="Calibri" w:hAnsi="Calibri" w:cs="Calibri"/>
          <w:sz w:val="24"/>
          <w:szCs w:val="24"/>
        </w:rPr>
        <w:t xml:space="preserve">Team </w:t>
      </w:r>
      <w:proofErr w:type="spellStart"/>
      <w:r>
        <w:rPr>
          <w:rFonts w:ascii="Calibri" w:hAnsi="Calibri" w:cs="Calibri"/>
          <w:sz w:val="24"/>
          <w:szCs w:val="24"/>
        </w:rPr>
        <w:t>Zoggle</w:t>
      </w:r>
      <w:proofErr w:type="spellEnd"/>
      <w:r>
        <w:rPr>
          <w:rFonts w:ascii="Calibri" w:hAnsi="Calibri" w:cs="Calibri"/>
          <w:sz w:val="24"/>
          <w:szCs w:val="24"/>
        </w:rPr>
        <w:t xml:space="preserve"> (2024) identifies t</w:t>
      </w:r>
      <w:r w:rsidR="004737D0" w:rsidRPr="004737D0">
        <w:rPr>
          <w:rFonts w:ascii="Calibri" w:hAnsi="Calibri" w:cs="Calibri"/>
          <w:sz w:val="24"/>
          <w:szCs w:val="24"/>
        </w:rPr>
        <w:t>he customer lifecycle in healthcare</w:t>
      </w:r>
      <w:r>
        <w:rPr>
          <w:rFonts w:ascii="Calibri" w:hAnsi="Calibri" w:cs="Calibri"/>
          <w:sz w:val="24"/>
          <w:szCs w:val="24"/>
        </w:rPr>
        <w:t xml:space="preserve"> and shows that it</w:t>
      </w:r>
      <w:r w:rsidR="004737D0" w:rsidRPr="004737D0">
        <w:rPr>
          <w:rFonts w:ascii="Calibri" w:hAnsi="Calibri" w:cs="Calibri"/>
          <w:sz w:val="24"/>
          <w:szCs w:val="24"/>
        </w:rPr>
        <w:t xml:space="preserve"> includes several key stages: Awareness, Acquisition, Service Delivery, Retention, and Loyalty/Advocacy. </w:t>
      </w:r>
    </w:p>
    <w:p w14:paraId="4076EF89" w14:textId="52D37226" w:rsidR="004737D0" w:rsidRPr="004737D0" w:rsidRDefault="004737D0" w:rsidP="004737D0">
      <w:pPr>
        <w:spacing w:line="360" w:lineRule="auto"/>
        <w:rPr>
          <w:rFonts w:ascii="Calibri" w:hAnsi="Calibri" w:cs="Calibri"/>
          <w:sz w:val="24"/>
          <w:szCs w:val="24"/>
          <w:highlight w:val="yellow"/>
        </w:rPr>
      </w:pPr>
      <w:r w:rsidRPr="004737D0">
        <w:rPr>
          <w:rFonts w:ascii="Calibri" w:hAnsi="Calibri" w:cs="Calibri"/>
          <w:sz w:val="24"/>
          <w:szCs w:val="24"/>
        </w:rPr>
        <w:t xml:space="preserve">The awareness stage is where the patients journey typically begins, individuals recognise symptoms or health concerns and become aware of available treatment options with various healthcare providers (NHS or private clinics). This is a critical point for healthcare organisations to present clear, accessible information and demonstrate the experience provided. </w:t>
      </w:r>
    </w:p>
    <w:p w14:paraId="344AB437" w14:textId="51613B2F" w:rsidR="004737D0" w:rsidRDefault="004737D0" w:rsidP="004737D0">
      <w:pPr>
        <w:spacing w:line="360" w:lineRule="auto"/>
        <w:rPr>
          <w:rFonts w:ascii="Calibri" w:hAnsi="Calibri" w:cs="Calibri"/>
          <w:sz w:val="24"/>
          <w:szCs w:val="24"/>
        </w:rPr>
      </w:pPr>
      <w:r w:rsidRPr="004737D0">
        <w:rPr>
          <w:rFonts w:ascii="Calibri" w:hAnsi="Calibri" w:cs="Calibri"/>
          <w:sz w:val="24"/>
          <w:szCs w:val="24"/>
        </w:rPr>
        <w:t xml:space="preserve">Following this is the acquisition stage, during this stage individuals research and evaluate various providers, services </w:t>
      </w:r>
      <w:r>
        <w:rPr>
          <w:rFonts w:ascii="Calibri" w:hAnsi="Calibri" w:cs="Calibri"/>
          <w:sz w:val="24"/>
          <w:szCs w:val="24"/>
        </w:rPr>
        <w:t>or treatment pathways. Here, patients weigh the pros and cons of NHS versus private care, assess waiting times, and examine the potential outcomes of different treatment options. Effective communication and evidence-based information are essential to guide patients through this stage.</w:t>
      </w:r>
    </w:p>
    <w:p w14:paraId="7B296A96" w14:textId="37305F9C" w:rsidR="000805E3" w:rsidRPr="00DF62C3" w:rsidRDefault="00DF62C3" w:rsidP="004737D0">
      <w:pPr>
        <w:spacing w:line="360" w:lineRule="auto"/>
        <w:rPr>
          <w:rFonts w:ascii="Calibri" w:hAnsi="Calibri" w:cs="Calibri"/>
          <w:sz w:val="24"/>
          <w:szCs w:val="24"/>
        </w:rPr>
      </w:pPr>
      <w:r>
        <w:rPr>
          <w:rFonts w:ascii="Calibri" w:hAnsi="Calibri" w:cs="Calibri"/>
          <w:sz w:val="24"/>
          <w:szCs w:val="24"/>
        </w:rPr>
        <w:t xml:space="preserve">Jane </w:t>
      </w:r>
      <w:r>
        <w:rPr>
          <w:rFonts w:ascii="Calibri" w:hAnsi="Calibri" w:cs="Calibri"/>
          <w:i/>
          <w:iCs/>
          <w:sz w:val="24"/>
          <w:szCs w:val="24"/>
        </w:rPr>
        <w:t xml:space="preserve">et al. </w:t>
      </w:r>
      <w:r w:rsidR="00CC2EA7">
        <w:rPr>
          <w:rFonts w:ascii="Calibri" w:hAnsi="Calibri" w:cs="Calibri"/>
          <w:sz w:val="24"/>
          <w:szCs w:val="24"/>
        </w:rPr>
        <w:t xml:space="preserve">(2018) </w:t>
      </w:r>
      <w:r w:rsidR="00B746AA">
        <w:rPr>
          <w:rFonts w:ascii="Calibri" w:hAnsi="Calibri" w:cs="Calibri"/>
          <w:sz w:val="24"/>
          <w:szCs w:val="24"/>
        </w:rPr>
        <w:t>identifies that</w:t>
      </w:r>
      <w:r w:rsidR="005C616D">
        <w:rPr>
          <w:rFonts w:ascii="Calibri" w:hAnsi="Calibri" w:cs="Calibri"/>
          <w:sz w:val="24"/>
          <w:szCs w:val="24"/>
        </w:rPr>
        <w:t xml:space="preserve"> social media has become a significant channel for raising awareness about weight management options, especially treatments like </w:t>
      </w:r>
      <w:proofErr w:type="spellStart"/>
      <w:r w:rsidR="005C616D">
        <w:rPr>
          <w:rFonts w:ascii="Calibri" w:hAnsi="Calibri" w:cs="Calibri"/>
          <w:sz w:val="24"/>
          <w:szCs w:val="24"/>
        </w:rPr>
        <w:t>Mounjaro</w:t>
      </w:r>
      <w:proofErr w:type="spellEnd"/>
      <w:r w:rsidR="005C616D">
        <w:rPr>
          <w:rFonts w:ascii="Calibri" w:hAnsi="Calibri" w:cs="Calibri"/>
          <w:sz w:val="24"/>
          <w:szCs w:val="24"/>
        </w:rPr>
        <w:t xml:space="preserve">. </w:t>
      </w:r>
      <w:r w:rsidR="00561F50">
        <w:rPr>
          <w:rFonts w:ascii="Calibri" w:hAnsi="Calibri" w:cs="Calibri"/>
          <w:sz w:val="24"/>
          <w:szCs w:val="24"/>
        </w:rPr>
        <w:t xml:space="preserve">Through user testimonials and influencers, patients are often </w:t>
      </w:r>
      <w:r w:rsidR="00C641E5">
        <w:rPr>
          <w:rFonts w:ascii="Calibri" w:hAnsi="Calibri" w:cs="Calibri"/>
          <w:sz w:val="24"/>
          <w:szCs w:val="24"/>
        </w:rPr>
        <w:t xml:space="preserve">introduced to these treatments outside traditional </w:t>
      </w:r>
      <w:r w:rsidR="006A4F59">
        <w:rPr>
          <w:rFonts w:ascii="Calibri" w:hAnsi="Calibri" w:cs="Calibri"/>
          <w:sz w:val="24"/>
          <w:szCs w:val="24"/>
        </w:rPr>
        <w:t xml:space="preserve">healthcare pathways. In the private health sector, clinics actively engage </w:t>
      </w:r>
      <w:r w:rsidR="00394776">
        <w:rPr>
          <w:rFonts w:ascii="Calibri" w:hAnsi="Calibri" w:cs="Calibri"/>
          <w:sz w:val="24"/>
          <w:szCs w:val="24"/>
        </w:rPr>
        <w:t xml:space="preserve">on social media to promote </w:t>
      </w:r>
      <w:proofErr w:type="spellStart"/>
      <w:r w:rsidR="00394776">
        <w:rPr>
          <w:rFonts w:ascii="Calibri" w:hAnsi="Calibri" w:cs="Calibri"/>
          <w:sz w:val="24"/>
          <w:szCs w:val="24"/>
        </w:rPr>
        <w:t>Mounjaro</w:t>
      </w:r>
      <w:proofErr w:type="spellEnd"/>
      <w:r w:rsidR="00394776">
        <w:rPr>
          <w:rFonts w:ascii="Calibri" w:hAnsi="Calibri" w:cs="Calibri"/>
          <w:sz w:val="24"/>
          <w:szCs w:val="24"/>
        </w:rPr>
        <w:t xml:space="preserve"> </w:t>
      </w:r>
      <w:r w:rsidR="001102E0">
        <w:rPr>
          <w:rFonts w:ascii="Calibri" w:hAnsi="Calibri" w:cs="Calibri"/>
          <w:sz w:val="24"/>
          <w:szCs w:val="24"/>
        </w:rPr>
        <w:t>as part of personalised weight management programmes</w:t>
      </w:r>
      <w:r w:rsidR="00967567">
        <w:rPr>
          <w:rFonts w:ascii="Calibri" w:hAnsi="Calibri" w:cs="Calibri"/>
          <w:sz w:val="24"/>
          <w:szCs w:val="24"/>
        </w:rPr>
        <w:t>, with less barriers than the NHS but higher costs to the patient. In contrast, NHS promotions are limited</w:t>
      </w:r>
      <w:r w:rsidR="00B057AC">
        <w:rPr>
          <w:rFonts w:ascii="Calibri" w:hAnsi="Calibri" w:cs="Calibri"/>
          <w:sz w:val="24"/>
          <w:szCs w:val="24"/>
        </w:rPr>
        <w:t xml:space="preserve">, with tighter eligibility for patients and less engagement on social platforms making </w:t>
      </w:r>
      <w:r w:rsidR="00102847">
        <w:rPr>
          <w:rFonts w:ascii="Calibri" w:hAnsi="Calibri" w:cs="Calibri"/>
          <w:sz w:val="24"/>
          <w:szCs w:val="24"/>
        </w:rPr>
        <w:t xml:space="preserve">access to treatments more restrictive. This evidence </w:t>
      </w:r>
      <w:r w:rsidR="000554E1">
        <w:rPr>
          <w:rFonts w:ascii="Calibri" w:hAnsi="Calibri" w:cs="Calibri"/>
          <w:sz w:val="24"/>
          <w:szCs w:val="24"/>
        </w:rPr>
        <w:t xml:space="preserve">indicates how private clinics </w:t>
      </w:r>
      <w:r w:rsidR="0037008A">
        <w:rPr>
          <w:rFonts w:ascii="Calibri" w:hAnsi="Calibri" w:cs="Calibri"/>
          <w:sz w:val="24"/>
          <w:szCs w:val="24"/>
        </w:rPr>
        <w:t>leverage digital marketing and patient demand, while the NHS remains constrained by public health priorities and funding</w:t>
      </w:r>
      <w:r w:rsidR="00B35ADD">
        <w:rPr>
          <w:rFonts w:ascii="Calibri" w:hAnsi="Calibri" w:cs="Calibri"/>
          <w:sz w:val="24"/>
          <w:szCs w:val="24"/>
        </w:rPr>
        <w:t xml:space="preserve">. This effects and impacts the </w:t>
      </w:r>
      <w:r w:rsidR="00CC2EA7">
        <w:rPr>
          <w:rFonts w:ascii="Calibri" w:hAnsi="Calibri" w:cs="Calibri"/>
          <w:sz w:val="24"/>
          <w:szCs w:val="24"/>
        </w:rPr>
        <w:t>pathways patients take to receive care.</w:t>
      </w:r>
    </w:p>
    <w:p w14:paraId="19F1151F" w14:textId="57ADC017" w:rsidR="004737D0" w:rsidRDefault="00414FB3" w:rsidP="004737D0">
      <w:pPr>
        <w:spacing w:line="360" w:lineRule="auto"/>
        <w:rPr>
          <w:rFonts w:ascii="Calibri" w:hAnsi="Calibri" w:cs="Calibri"/>
          <w:sz w:val="24"/>
          <w:szCs w:val="24"/>
        </w:rPr>
      </w:pPr>
      <w:r>
        <w:rPr>
          <w:rFonts w:ascii="Calibri" w:hAnsi="Calibri" w:cs="Calibri"/>
          <w:sz w:val="24"/>
          <w:szCs w:val="24"/>
        </w:rPr>
        <w:lastRenderedPageBreak/>
        <w:t>The next stage is the Service delivery, where patients commit to a provider and undergo consultations, diagnoses, and treatments. The quality of patient interaction, personalised care and the clinical outcome at this stage greatly influences patient satisfaction and trust.</w:t>
      </w:r>
      <w:r w:rsidR="001E5B47">
        <w:rPr>
          <w:rFonts w:ascii="Calibri" w:hAnsi="Calibri" w:cs="Calibri"/>
          <w:sz w:val="24"/>
          <w:szCs w:val="24"/>
        </w:rPr>
        <w:t xml:space="preserve"> Within the NHS</w:t>
      </w:r>
      <w:r w:rsidR="008C161E">
        <w:rPr>
          <w:rFonts w:ascii="Calibri" w:hAnsi="Calibri" w:cs="Calibri"/>
          <w:sz w:val="24"/>
          <w:szCs w:val="24"/>
        </w:rPr>
        <w:t>, service delivery is structured, standardised, and guided by national protocols</w:t>
      </w:r>
      <w:r w:rsidR="000F2755">
        <w:rPr>
          <w:rFonts w:ascii="Calibri" w:hAnsi="Calibri" w:cs="Calibri"/>
          <w:sz w:val="24"/>
          <w:szCs w:val="24"/>
        </w:rPr>
        <w:t xml:space="preserve">. Although this ensures clinical safety and equity, it can result in delays </w:t>
      </w:r>
      <w:r w:rsidR="005231AD">
        <w:rPr>
          <w:rFonts w:ascii="Calibri" w:hAnsi="Calibri" w:cs="Calibri"/>
          <w:sz w:val="24"/>
          <w:szCs w:val="24"/>
        </w:rPr>
        <w:t xml:space="preserve">and a lack of responsiveness. </w:t>
      </w:r>
      <w:r w:rsidR="000759F8">
        <w:rPr>
          <w:rFonts w:ascii="Calibri" w:hAnsi="Calibri" w:cs="Calibri"/>
          <w:sz w:val="24"/>
          <w:szCs w:val="24"/>
        </w:rPr>
        <w:t xml:space="preserve">Private clinics however prioritise </w:t>
      </w:r>
      <w:r w:rsidR="0082317D">
        <w:rPr>
          <w:rFonts w:ascii="Calibri" w:hAnsi="Calibri" w:cs="Calibri"/>
          <w:sz w:val="24"/>
          <w:szCs w:val="24"/>
        </w:rPr>
        <w:t>convenience, speed and personalised attention, with private patients receiving longer consultations, more follow-ups, and access to treatments not readily available through the NHS.</w:t>
      </w:r>
    </w:p>
    <w:p w14:paraId="48DB3C1D" w14:textId="7B05DE72" w:rsidR="00414FB3" w:rsidRDefault="00414FB3" w:rsidP="004737D0">
      <w:pPr>
        <w:spacing w:line="360" w:lineRule="auto"/>
        <w:rPr>
          <w:rFonts w:ascii="Calibri" w:hAnsi="Calibri" w:cs="Calibri"/>
          <w:sz w:val="24"/>
          <w:szCs w:val="24"/>
        </w:rPr>
      </w:pPr>
      <w:r>
        <w:rPr>
          <w:rFonts w:ascii="Calibri" w:hAnsi="Calibri" w:cs="Calibri"/>
          <w:sz w:val="24"/>
          <w:szCs w:val="24"/>
        </w:rPr>
        <w:t>After their treatment, patients move into the retention stage where continued support, clear aftercare instructions, and ongoing management of health conditions are vital for maintaining engagement. By ensuring regular follow-up appointments and addressing patient needs post-treatment, healthcare organisations can foster loyalty and improve long-term health outcomes.</w:t>
      </w:r>
      <w:r w:rsidR="007B6D10">
        <w:rPr>
          <w:rFonts w:ascii="Calibri" w:hAnsi="Calibri" w:cs="Calibri"/>
          <w:sz w:val="24"/>
          <w:szCs w:val="24"/>
        </w:rPr>
        <w:t xml:space="preserve"> </w:t>
      </w:r>
    </w:p>
    <w:p w14:paraId="0019D089" w14:textId="33C52049" w:rsidR="00414FB3" w:rsidRPr="004737D0" w:rsidRDefault="00414FB3" w:rsidP="004737D0">
      <w:pPr>
        <w:spacing w:line="360" w:lineRule="auto"/>
        <w:rPr>
          <w:rFonts w:ascii="Calibri" w:hAnsi="Calibri" w:cs="Calibri"/>
          <w:sz w:val="24"/>
          <w:szCs w:val="24"/>
        </w:rPr>
      </w:pPr>
      <w:r>
        <w:rPr>
          <w:rFonts w:ascii="Calibri" w:hAnsi="Calibri" w:cs="Calibri"/>
          <w:sz w:val="24"/>
          <w:szCs w:val="24"/>
        </w:rPr>
        <w:t>Finally, in the advocacy/loyalty stage, satisfied patients may become advocates for their providers by sharing positive experiences and encouraging others to follow. Facilitating feedback, patient testimonials, and supportive communities can help healthcare organisations to build their reputation and attract new patients</w:t>
      </w:r>
      <w:r w:rsidR="00000E02">
        <w:rPr>
          <w:rFonts w:ascii="Calibri" w:hAnsi="Calibri" w:cs="Calibri"/>
          <w:sz w:val="24"/>
          <w:szCs w:val="24"/>
        </w:rPr>
        <w:t xml:space="preserve"> (</w:t>
      </w:r>
      <w:proofErr w:type="spellStart"/>
      <w:r w:rsidR="00000E02">
        <w:rPr>
          <w:rFonts w:ascii="Calibri" w:hAnsi="Calibri" w:cs="Calibri"/>
          <w:sz w:val="24"/>
          <w:szCs w:val="24"/>
        </w:rPr>
        <w:t>Basshar</w:t>
      </w:r>
      <w:proofErr w:type="spellEnd"/>
      <w:r w:rsidR="00000E02">
        <w:rPr>
          <w:rFonts w:ascii="Calibri" w:hAnsi="Calibri" w:cs="Calibri"/>
          <w:sz w:val="24"/>
          <w:szCs w:val="24"/>
        </w:rPr>
        <w:t xml:space="preserve"> </w:t>
      </w:r>
      <w:r w:rsidR="00000E02">
        <w:rPr>
          <w:rFonts w:ascii="Calibri" w:hAnsi="Calibri" w:cs="Calibri"/>
          <w:i/>
          <w:iCs/>
          <w:sz w:val="24"/>
          <w:szCs w:val="24"/>
        </w:rPr>
        <w:t>et al</w:t>
      </w:r>
      <w:r w:rsidR="00000E02">
        <w:rPr>
          <w:rFonts w:ascii="Calibri" w:hAnsi="Calibri" w:cs="Calibri"/>
          <w:sz w:val="24"/>
          <w:szCs w:val="24"/>
        </w:rPr>
        <w:t xml:space="preserve">, </w:t>
      </w:r>
      <w:r w:rsidR="00000E02" w:rsidRPr="00000E02">
        <w:rPr>
          <w:rFonts w:ascii="Calibri" w:hAnsi="Calibri" w:cs="Calibri"/>
          <w:sz w:val="24"/>
          <w:szCs w:val="24"/>
        </w:rPr>
        <w:t>2020)</w:t>
      </w:r>
      <w:r w:rsidRPr="00000E02">
        <w:rPr>
          <w:rFonts w:ascii="Calibri" w:hAnsi="Calibri" w:cs="Calibri"/>
          <w:sz w:val="24"/>
          <w:szCs w:val="24"/>
        </w:rPr>
        <w:t>.</w:t>
      </w:r>
    </w:p>
    <w:p w14:paraId="59D7B57C" w14:textId="243C46FE" w:rsidR="000F32C9" w:rsidRDefault="004737D0" w:rsidP="00414FB3">
      <w:pPr>
        <w:spacing w:line="360" w:lineRule="auto"/>
        <w:rPr>
          <w:rFonts w:ascii="Calibri" w:hAnsi="Calibri" w:cs="Calibri"/>
          <w:sz w:val="24"/>
          <w:szCs w:val="24"/>
        </w:rPr>
      </w:pPr>
      <w:r w:rsidRPr="00414FB3">
        <w:rPr>
          <w:rFonts w:ascii="Calibri" w:hAnsi="Calibri" w:cs="Calibri"/>
          <w:sz w:val="24"/>
          <w:szCs w:val="24"/>
        </w:rPr>
        <w:t>By understanding and optimising each stage of the healthcare customer lifecycle, providers can enhance patient experiences, improve outcomes, and establish lasting, trust-based relationships.</w:t>
      </w:r>
    </w:p>
    <w:p w14:paraId="474960C2" w14:textId="3FD698BF" w:rsidR="00414FB3" w:rsidRDefault="00816FB0" w:rsidP="00414FB3">
      <w:pPr>
        <w:spacing w:line="360" w:lineRule="auto"/>
        <w:rPr>
          <w:rFonts w:ascii="Calibri" w:hAnsi="Calibri" w:cs="Calibri"/>
          <w:sz w:val="24"/>
          <w:szCs w:val="24"/>
        </w:rPr>
      </w:pPr>
      <w:r>
        <w:rPr>
          <w:rFonts w:ascii="Calibri" w:hAnsi="Calibri" w:cs="Calibri"/>
          <w:sz w:val="24"/>
          <w:szCs w:val="24"/>
        </w:rPr>
        <w:t xml:space="preserve">Homer </w:t>
      </w:r>
      <w:r>
        <w:rPr>
          <w:rFonts w:ascii="Calibri" w:hAnsi="Calibri" w:cs="Calibri"/>
          <w:i/>
          <w:iCs/>
          <w:sz w:val="24"/>
          <w:szCs w:val="24"/>
        </w:rPr>
        <w:t xml:space="preserve">et al. </w:t>
      </w:r>
      <w:r>
        <w:rPr>
          <w:rFonts w:ascii="Calibri" w:hAnsi="Calibri" w:cs="Calibri"/>
          <w:sz w:val="24"/>
          <w:szCs w:val="24"/>
        </w:rPr>
        <w:t xml:space="preserve">(2016) shows the importance of effective communication during the awareness and acquisition stages of the customer lifecycle. </w:t>
      </w:r>
      <w:r w:rsidR="00154DC4">
        <w:rPr>
          <w:rFonts w:ascii="Calibri" w:hAnsi="Calibri" w:cs="Calibri"/>
          <w:sz w:val="24"/>
          <w:szCs w:val="24"/>
        </w:rPr>
        <w:t>The development of the tiered service framework (can be found in Appendix B) meant that prior to referral, few patients realised that NHS funded bariatric surgery could be available to them. Due to this, patients accessed privately funded procedures and treatment plans as they found less problems when negotiating clinical pathways to access the correct department for weight management. Once patients began the lifecycle process and realise</w:t>
      </w:r>
      <w:r w:rsidR="00703EC9">
        <w:rPr>
          <w:rFonts w:ascii="Calibri" w:hAnsi="Calibri" w:cs="Calibri"/>
          <w:sz w:val="24"/>
          <w:szCs w:val="24"/>
        </w:rPr>
        <w:t>d</w:t>
      </w:r>
      <w:r w:rsidR="00154DC4">
        <w:rPr>
          <w:rFonts w:ascii="Calibri" w:hAnsi="Calibri" w:cs="Calibri"/>
          <w:sz w:val="24"/>
          <w:szCs w:val="24"/>
        </w:rPr>
        <w:t xml:space="preserve"> that surgery was available either funded via NHS or privately, they become </w:t>
      </w:r>
      <w:r w:rsidR="00703EC9">
        <w:rPr>
          <w:rFonts w:ascii="Calibri" w:hAnsi="Calibri" w:cs="Calibri"/>
          <w:sz w:val="24"/>
          <w:szCs w:val="24"/>
        </w:rPr>
        <w:t xml:space="preserve">fixed on that fact that it is the only solution to their obesity. </w:t>
      </w:r>
    </w:p>
    <w:p w14:paraId="3B272612" w14:textId="2B66D5C5" w:rsidR="004E7683" w:rsidRDefault="00E857A8" w:rsidP="00414FB3">
      <w:pPr>
        <w:spacing w:line="360" w:lineRule="auto"/>
        <w:rPr>
          <w:rFonts w:ascii="Calibri" w:hAnsi="Calibri" w:cs="Calibri"/>
          <w:sz w:val="24"/>
          <w:szCs w:val="24"/>
        </w:rPr>
      </w:pPr>
      <w:r>
        <w:rPr>
          <w:rFonts w:ascii="Calibri" w:hAnsi="Calibri" w:cs="Calibri"/>
          <w:sz w:val="24"/>
          <w:szCs w:val="24"/>
        </w:rPr>
        <w:lastRenderedPageBreak/>
        <w:t xml:space="preserve">Joseph </w:t>
      </w:r>
      <w:r>
        <w:rPr>
          <w:rFonts w:ascii="Calibri" w:hAnsi="Calibri" w:cs="Calibri"/>
          <w:i/>
          <w:iCs/>
          <w:sz w:val="24"/>
          <w:szCs w:val="24"/>
        </w:rPr>
        <w:t xml:space="preserve">et al. </w:t>
      </w:r>
      <w:r>
        <w:rPr>
          <w:rFonts w:ascii="Calibri" w:hAnsi="Calibri" w:cs="Calibri"/>
          <w:sz w:val="24"/>
          <w:szCs w:val="24"/>
        </w:rPr>
        <w:t>(2020)</w:t>
      </w:r>
      <w:r w:rsidR="00FB045C">
        <w:rPr>
          <w:rFonts w:ascii="Calibri" w:hAnsi="Calibri" w:cs="Calibri"/>
          <w:sz w:val="24"/>
          <w:szCs w:val="24"/>
        </w:rPr>
        <w:t xml:space="preserve"> states that customer journey maps present </w:t>
      </w:r>
      <w:r w:rsidR="0032759A">
        <w:rPr>
          <w:rFonts w:ascii="Calibri" w:hAnsi="Calibri" w:cs="Calibri"/>
          <w:sz w:val="24"/>
          <w:szCs w:val="24"/>
        </w:rPr>
        <w:t xml:space="preserve">two-way workflow visualisations of organisational and consumer interactions. </w:t>
      </w:r>
      <w:r w:rsidR="000C4BA8">
        <w:rPr>
          <w:rFonts w:ascii="Calibri" w:hAnsi="Calibri" w:cs="Calibri"/>
          <w:sz w:val="24"/>
          <w:szCs w:val="24"/>
        </w:rPr>
        <w:t xml:space="preserve">While the mapping </w:t>
      </w:r>
      <w:r w:rsidR="0093730B">
        <w:rPr>
          <w:rFonts w:ascii="Calibri" w:hAnsi="Calibri" w:cs="Calibri"/>
          <w:sz w:val="24"/>
          <w:szCs w:val="24"/>
        </w:rPr>
        <w:t>serves as a visual channel</w:t>
      </w:r>
      <w:r w:rsidR="00B6165F">
        <w:rPr>
          <w:rFonts w:ascii="Calibri" w:hAnsi="Calibri" w:cs="Calibri"/>
          <w:sz w:val="24"/>
          <w:szCs w:val="24"/>
        </w:rPr>
        <w:t>, allowing stakeholders to gain holistic perspectives</w:t>
      </w:r>
      <w:r w:rsidR="00DF6341">
        <w:rPr>
          <w:rFonts w:ascii="Calibri" w:hAnsi="Calibri" w:cs="Calibri"/>
          <w:sz w:val="24"/>
          <w:szCs w:val="24"/>
        </w:rPr>
        <w:t xml:space="preserve">, understand interconnected </w:t>
      </w:r>
      <w:r w:rsidR="006909DB">
        <w:rPr>
          <w:rFonts w:ascii="Calibri" w:hAnsi="Calibri" w:cs="Calibri"/>
          <w:sz w:val="24"/>
          <w:szCs w:val="24"/>
        </w:rPr>
        <w:t>variations of relationships, and identify organisational gaps, there are</w:t>
      </w:r>
      <w:r w:rsidR="00917767">
        <w:rPr>
          <w:rFonts w:ascii="Calibri" w:hAnsi="Calibri" w:cs="Calibri"/>
          <w:sz w:val="24"/>
          <w:szCs w:val="24"/>
        </w:rPr>
        <w:t xml:space="preserve"> many pain points that the journey mapping reveals. </w:t>
      </w:r>
      <w:r w:rsidR="004E7683" w:rsidRPr="004E7683">
        <w:rPr>
          <w:rFonts w:ascii="Calibri" w:hAnsi="Calibri" w:cs="Calibri"/>
          <w:sz w:val="24"/>
          <w:szCs w:val="24"/>
        </w:rPr>
        <w:t>For NHS users, key friction points include long wait times, limited treatment access, and inconsistent communication. For private patients, pain points include high costs, lack of transparency, and varying service quality across providers. Addressing these issues at each lifecycle stage enhances</w:t>
      </w:r>
      <w:r w:rsidR="00AF729E">
        <w:rPr>
          <w:rFonts w:ascii="Calibri" w:hAnsi="Calibri" w:cs="Calibri"/>
          <w:sz w:val="24"/>
          <w:szCs w:val="24"/>
        </w:rPr>
        <w:t xml:space="preserve"> customer</w:t>
      </w:r>
      <w:r w:rsidR="004E7683" w:rsidRPr="004E7683">
        <w:rPr>
          <w:rFonts w:ascii="Calibri" w:hAnsi="Calibri" w:cs="Calibri"/>
          <w:sz w:val="24"/>
          <w:szCs w:val="24"/>
        </w:rPr>
        <w:t xml:space="preserve"> value and satisfaction.</w:t>
      </w:r>
    </w:p>
    <w:p w14:paraId="70F859C7" w14:textId="1A2A3A33" w:rsidR="00703EC9" w:rsidRPr="00652074" w:rsidRDefault="00715062" w:rsidP="00AF729E">
      <w:pPr>
        <w:pStyle w:val="Heading1"/>
        <w:rPr>
          <w:rFonts w:ascii="Calibri" w:hAnsi="Calibri" w:cs="Calibri"/>
        </w:rPr>
      </w:pPr>
      <w:bookmarkStart w:id="2" w:name="_Toc202386422"/>
      <w:r w:rsidRPr="00652074">
        <w:rPr>
          <w:rFonts w:ascii="Calibri" w:hAnsi="Calibri" w:cs="Calibri"/>
        </w:rPr>
        <w:t>3. Quality Processes and Customer Value</w:t>
      </w:r>
      <w:bookmarkEnd w:id="2"/>
    </w:p>
    <w:p w14:paraId="53F41520" w14:textId="07235173" w:rsidR="004737D0" w:rsidRDefault="004737D0" w:rsidP="004737D0">
      <w:pPr>
        <w:spacing w:line="360" w:lineRule="auto"/>
        <w:rPr>
          <w:rFonts w:ascii="Calibri" w:hAnsi="Calibri" w:cs="Calibri"/>
          <w:sz w:val="24"/>
          <w:szCs w:val="24"/>
        </w:rPr>
      </w:pPr>
      <w:proofErr w:type="spellStart"/>
      <w:r>
        <w:rPr>
          <w:rFonts w:ascii="Calibri" w:hAnsi="Calibri" w:cs="Calibri"/>
          <w:sz w:val="24"/>
          <w:szCs w:val="24"/>
        </w:rPr>
        <w:t>Basshar</w:t>
      </w:r>
      <w:proofErr w:type="spellEnd"/>
      <w:r>
        <w:rPr>
          <w:rFonts w:ascii="Calibri" w:hAnsi="Calibri" w:cs="Calibri"/>
          <w:sz w:val="24"/>
          <w:szCs w:val="24"/>
        </w:rPr>
        <w:t xml:space="preserve"> </w:t>
      </w:r>
      <w:r>
        <w:rPr>
          <w:rFonts w:ascii="Calibri" w:hAnsi="Calibri" w:cs="Calibri"/>
          <w:i/>
          <w:iCs/>
          <w:sz w:val="24"/>
          <w:szCs w:val="24"/>
        </w:rPr>
        <w:t xml:space="preserve">et al. </w:t>
      </w:r>
      <w:r>
        <w:rPr>
          <w:rFonts w:ascii="Calibri" w:hAnsi="Calibri" w:cs="Calibri"/>
          <w:sz w:val="24"/>
          <w:szCs w:val="24"/>
        </w:rPr>
        <w:t xml:space="preserve">(2020) </w:t>
      </w:r>
      <w:r w:rsidRPr="001A75D0">
        <w:rPr>
          <w:rFonts w:ascii="Calibri" w:hAnsi="Calibri" w:cs="Calibri"/>
          <w:sz w:val="24"/>
          <w:szCs w:val="24"/>
        </w:rPr>
        <w:t>states that healthcare organisations face many pressures to ensure high-quality medical care while increasing the safety of procedures and reducing costs. Many issues have complicated organisations within the healthcare sector and their ability to fulfil their missions including the growing number of chronic illnesses and the ageing population, the lack of qualified medical professionals, and higher patient demand and expectations. Health information technology (HIT) has appeared to be a transformative strength in healthcare, ensuring improvements in quality, patient safety, and efficiency. By organising medical workflows, supporting clinical decision-making, and reducing errors and costs, HIT enables more effective and patient-centred care. Applying these technologies not only enhances service delivery but also increases patient satisfaction and loyalty, both of which are crucial for the ongoing success of healthcare organisations.</w:t>
      </w:r>
    </w:p>
    <w:p w14:paraId="311AB116" w14:textId="6053D553" w:rsidR="00062C04" w:rsidRPr="00652074" w:rsidRDefault="00E316AA" w:rsidP="00F70C09">
      <w:pPr>
        <w:pStyle w:val="Heading2"/>
        <w:rPr>
          <w:rFonts w:ascii="Calibri" w:hAnsi="Calibri" w:cs="Calibri"/>
        </w:rPr>
      </w:pPr>
      <w:bookmarkStart w:id="3" w:name="_Toc202386423"/>
      <w:r w:rsidRPr="00652074">
        <w:rPr>
          <w:rFonts w:ascii="Calibri" w:hAnsi="Calibri" w:cs="Calibri"/>
        </w:rPr>
        <w:t>3.1 Defining Quality in Healthcare</w:t>
      </w:r>
      <w:bookmarkEnd w:id="3"/>
    </w:p>
    <w:p w14:paraId="330F3955" w14:textId="61E87640" w:rsidR="0020020C" w:rsidRPr="00F5274E" w:rsidRDefault="007347C6" w:rsidP="00F5274E">
      <w:pPr>
        <w:spacing w:line="360" w:lineRule="auto"/>
        <w:rPr>
          <w:rFonts w:ascii="Calibri" w:hAnsi="Calibri" w:cs="Calibri"/>
          <w:sz w:val="24"/>
          <w:szCs w:val="24"/>
        </w:rPr>
      </w:pPr>
      <w:r w:rsidRPr="00BD6695">
        <w:rPr>
          <w:rFonts w:ascii="Calibri" w:hAnsi="Calibri" w:cs="Calibri"/>
          <w:sz w:val="24"/>
          <w:szCs w:val="24"/>
        </w:rPr>
        <w:t>Quality in hea</w:t>
      </w:r>
      <w:r w:rsidR="00BD6695" w:rsidRPr="00BD6695">
        <w:rPr>
          <w:rFonts w:ascii="Calibri" w:hAnsi="Calibri" w:cs="Calibri"/>
          <w:sz w:val="24"/>
          <w:szCs w:val="24"/>
        </w:rPr>
        <w:t xml:space="preserve">lthcare can be understood across several dimensions. </w:t>
      </w:r>
      <w:r w:rsidR="006E4DFF">
        <w:rPr>
          <w:rFonts w:ascii="Calibri" w:hAnsi="Calibri" w:cs="Calibri"/>
          <w:sz w:val="24"/>
          <w:szCs w:val="24"/>
        </w:rPr>
        <w:t>“</w:t>
      </w:r>
      <w:r w:rsidRPr="00BD6695">
        <w:rPr>
          <w:rFonts w:ascii="Calibri" w:hAnsi="Calibri" w:cs="Calibri"/>
          <w:sz w:val="24"/>
          <w:szCs w:val="24"/>
        </w:rPr>
        <w:t>In 2001, the Institute of Medicine defined high-quality healthcare as care that is safe, effective, patient-centred, timely, efficient and equitable</w:t>
      </w:r>
      <w:r w:rsidR="00BD6695">
        <w:rPr>
          <w:rFonts w:ascii="Calibri" w:hAnsi="Calibri" w:cs="Calibri"/>
          <w:sz w:val="24"/>
          <w:szCs w:val="24"/>
        </w:rPr>
        <w:t xml:space="preserve"> </w:t>
      </w:r>
      <w:r w:rsidR="00C566A7" w:rsidRPr="00C566A7">
        <w:rPr>
          <w:rFonts w:ascii="Calibri" w:hAnsi="Calibri" w:cs="Calibri"/>
          <w:sz w:val="24"/>
          <w:szCs w:val="24"/>
        </w:rPr>
        <w:t>(Fitzsimons &amp; Cornwell, 2018)</w:t>
      </w:r>
      <w:r w:rsidR="006E4DFF">
        <w:rPr>
          <w:rFonts w:ascii="Calibri" w:hAnsi="Calibri" w:cs="Calibri"/>
          <w:sz w:val="24"/>
          <w:szCs w:val="24"/>
        </w:rPr>
        <w:t>”</w:t>
      </w:r>
      <w:r w:rsidRPr="00BD6695">
        <w:rPr>
          <w:rFonts w:ascii="Calibri" w:hAnsi="Calibri" w:cs="Calibri"/>
          <w:sz w:val="24"/>
          <w:szCs w:val="24"/>
        </w:rPr>
        <w:t>.</w:t>
      </w:r>
      <w:r w:rsidR="00584886">
        <w:rPr>
          <w:rFonts w:ascii="Calibri" w:hAnsi="Calibri" w:cs="Calibri"/>
          <w:sz w:val="24"/>
          <w:szCs w:val="24"/>
        </w:rPr>
        <w:t xml:space="preserve"> Within the NHS these </w:t>
      </w:r>
      <w:r w:rsidR="001D2C0F">
        <w:rPr>
          <w:rFonts w:ascii="Calibri" w:hAnsi="Calibri" w:cs="Calibri"/>
          <w:sz w:val="24"/>
          <w:szCs w:val="24"/>
        </w:rPr>
        <w:t xml:space="preserve">qualities are codified in frameworks such as NICE guidelines, CQC inspections, and clinical governance protocols. </w:t>
      </w:r>
      <w:r w:rsidR="00F5274E">
        <w:rPr>
          <w:rFonts w:ascii="Calibri" w:hAnsi="Calibri" w:cs="Calibri"/>
          <w:sz w:val="24"/>
          <w:szCs w:val="24"/>
        </w:rPr>
        <w:t>Within the private sector, quality may also include responsiveness, customer service</w:t>
      </w:r>
      <w:r w:rsidR="00372546">
        <w:rPr>
          <w:rFonts w:ascii="Calibri" w:hAnsi="Calibri" w:cs="Calibri"/>
          <w:sz w:val="24"/>
          <w:szCs w:val="24"/>
        </w:rPr>
        <w:t xml:space="preserve">, and convenience, these features align with customer expectations and their willingness to pay. </w:t>
      </w:r>
    </w:p>
    <w:p w14:paraId="2FE7C064" w14:textId="54DA2CC8" w:rsidR="004D70CC" w:rsidRDefault="004D70CC" w:rsidP="008E55FF">
      <w:pPr>
        <w:spacing w:line="360" w:lineRule="auto"/>
        <w:rPr>
          <w:rFonts w:ascii="Calibri" w:hAnsi="Calibri" w:cs="Calibri"/>
          <w:sz w:val="24"/>
          <w:szCs w:val="24"/>
        </w:rPr>
      </w:pPr>
      <w:r>
        <w:rPr>
          <w:rFonts w:ascii="Calibri" w:hAnsi="Calibri" w:cs="Calibri"/>
          <w:sz w:val="24"/>
          <w:szCs w:val="24"/>
        </w:rPr>
        <w:lastRenderedPageBreak/>
        <w:t xml:space="preserve">A useful framework used to analyse healthcare quality is </w:t>
      </w:r>
      <w:r w:rsidR="00333EFB">
        <w:rPr>
          <w:rFonts w:ascii="Calibri" w:hAnsi="Calibri" w:cs="Calibri"/>
          <w:sz w:val="24"/>
          <w:szCs w:val="24"/>
        </w:rPr>
        <w:t>the Juran Model (1988),</w:t>
      </w:r>
      <w:r w:rsidR="00B81BD2">
        <w:rPr>
          <w:rFonts w:ascii="Calibri" w:hAnsi="Calibri" w:cs="Calibri"/>
          <w:sz w:val="24"/>
          <w:szCs w:val="24"/>
        </w:rPr>
        <w:t xml:space="preserve"> (or also known as the Juran Trilogy</w:t>
      </w:r>
      <w:r w:rsidR="00774580">
        <w:rPr>
          <w:rFonts w:ascii="Calibri" w:hAnsi="Calibri" w:cs="Calibri"/>
          <w:sz w:val="24"/>
          <w:szCs w:val="24"/>
        </w:rPr>
        <w:t xml:space="preserve">, </w:t>
      </w:r>
      <w:r w:rsidR="005C3CF8">
        <w:rPr>
          <w:rFonts w:ascii="Calibri" w:hAnsi="Calibri" w:cs="Calibri"/>
          <w:sz w:val="24"/>
          <w:szCs w:val="24"/>
        </w:rPr>
        <w:t xml:space="preserve">image of which can be found in appendix </w:t>
      </w:r>
      <w:r w:rsidR="00774580">
        <w:rPr>
          <w:rFonts w:ascii="Calibri" w:hAnsi="Calibri" w:cs="Calibri"/>
          <w:sz w:val="24"/>
          <w:szCs w:val="24"/>
        </w:rPr>
        <w:t>B</w:t>
      </w:r>
      <w:r w:rsidR="00B81BD2">
        <w:rPr>
          <w:rFonts w:ascii="Calibri" w:hAnsi="Calibri" w:cs="Calibri"/>
          <w:sz w:val="24"/>
          <w:szCs w:val="24"/>
        </w:rPr>
        <w:t>)</w:t>
      </w:r>
      <w:r w:rsidR="00730432">
        <w:rPr>
          <w:rFonts w:ascii="Calibri" w:hAnsi="Calibri" w:cs="Calibri"/>
          <w:sz w:val="24"/>
          <w:szCs w:val="24"/>
        </w:rPr>
        <w:t xml:space="preserve">. </w:t>
      </w:r>
      <w:r w:rsidR="00A47C81">
        <w:rPr>
          <w:rFonts w:ascii="Calibri" w:hAnsi="Calibri" w:cs="Calibri"/>
          <w:sz w:val="24"/>
          <w:szCs w:val="24"/>
        </w:rPr>
        <w:t>As stated by Croft (2025) t</w:t>
      </w:r>
      <w:r w:rsidR="00730432">
        <w:rPr>
          <w:rFonts w:ascii="Calibri" w:hAnsi="Calibri" w:cs="Calibri"/>
          <w:sz w:val="24"/>
          <w:szCs w:val="24"/>
        </w:rPr>
        <w:t xml:space="preserve">his model outlines </w:t>
      </w:r>
      <w:r w:rsidR="00452C76">
        <w:rPr>
          <w:rFonts w:ascii="Calibri" w:hAnsi="Calibri" w:cs="Calibri"/>
          <w:sz w:val="24"/>
          <w:szCs w:val="24"/>
        </w:rPr>
        <w:t>a comprehensive approach to managing quality within organisations and</w:t>
      </w:r>
      <w:r w:rsidR="00333EFB">
        <w:rPr>
          <w:rFonts w:ascii="Calibri" w:hAnsi="Calibri" w:cs="Calibri"/>
          <w:sz w:val="24"/>
          <w:szCs w:val="24"/>
        </w:rPr>
        <w:t xml:space="preserve"> breaks down quality into: </w:t>
      </w:r>
    </w:p>
    <w:p w14:paraId="7AD78B4A" w14:textId="77777777" w:rsidR="00725D1D" w:rsidRDefault="00333EFB" w:rsidP="00725D1D">
      <w:pPr>
        <w:spacing w:line="360" w:lineRule="auto"/>
        <w:rPr>
          <w:rFonts w:ascii="Calibri" w:hAnsi="Calibri" w:cs="Calibri"/>
          <w:sz w:val="24"/>
          <w:szCs w:val="24"/>
        </w:rPr>
      </w:pPr>
      <w:r>
        <w:rPr>
          <w:rFonts w:ascii="Calibri" w:hAnsi="Calibri" w:cs="Calibri"/>
          <w:sz w:val="24"/>
          <w:szCs w:val="24"/>
        </w:rPr>
        <w:t xml:space="preserve">Quality </w:t>
      </w:r>
      <w:r w:rsidR="00872A27">
        <w:rPr>
          <w:rFonts w:ascii="Calibri" w:hAnsi="Calibri" w:cs="Calibri"/>
          <w:sz w:val="24"/>
          <w:szCs w:val="24"/>
        </w:rPr>
        <w:t>P</w:t>
      </w:r>
      <w:r>
        <w:rPr>
          <w:rFonts w:ascii="Calibri" w:hAnsi="Calibri" w:cs="Calibri"/>
          <w:sz w:val="24"/>
          <w:szCs w:val="24"/>
        </w:rPr>
        <w:t xml:space="preserve">lanning: </w:t>
      </w:r>
      <w:r w:rsidR="005C2AB9" w:rsidRPr="008E55FF">
        <w:rPr>
          <w:rFonts w:ascii="Calibri" w:hAnsi="Calibri" w:cs="Calibri"/>
          <w:sz w:val="24"/>
          <w:szCs w:val="24"/>
        </w:rPr>
        <w:t>focuses on understanding customer needs and designing processes to meet them. It involves identifying the target audience, determining their requirements, setting quality objectives, and developing systems to reliably deliver the desired quality from the start.</w:t>
      </w:r>
    </w:p>
    <w:p w14:paraId="66F3231C" w14:textId="3893A3BA" w:rsidR="00333EFB" w:rsidRDefault="00872A27" w:rsidP="00725D1D">
      <w:pPr>
        <w:spacing w:line="360" w:lineRule="auto"/>
        <w:rPr>
          <w:rFonts w:ascii="Calibri" w:hAnsi="Calibri" w:cs="Calibri"/>
          <w:sz w:val="24"/>
          <w:szCs w:val="24"/>
        </w:rPr>
      </w:pPr>
      <w:r>
        <w:rPr>
          <w:rFonts w:ascii="Calibri" w:hAnsi="Calibri" w:cs="Calibri"/>
          <w:sz w:val="24"/>
          <w:szCs w:val="24"/>
        </w:rPr>
        <w:t>Quality Control:</w:t>
      </w:r>
      <w:r w:rsidR="006D70E1">
        <w:rPr>
          <w:rFonts w:ascii="Calibri" w:hAnsi="Calibri" w:cs="Calibri"/>
          <w:sz w:val="24"/>
          <w:szCs w:val="24"/>
        </w:rPr>
        <w:t xml:space="preserve"> </w:t>
      </w:r>
      <w:r w:rsidR="00EA17BE">
        <w:rPr>
          <w:rFonts w:ascii="Calibri" w:hAnsi="Calibri" w:cs="Calibri"/>
          <w:sz w:val="24"/>
          <w:szCs w:val="24"/>
        </w:rPr>
        <w:t>involves monitoring healthcare processes and outcomes to ensure they meet established standards</w:t>
      </w:r>
      <w:r w:rsidR="00E84316">
        <w:rPr>
          <w:rFonts w:ascii="Calibri" w:hAnsi="Calibri" w:cs="Calibri"/>
          <w:sz w:val="24"/>
          <w:szCs w:val="24"/>
        </w:rPr>
        <w:t>. This includes evaluating performance</w:t>
      </w:r>
      <w:r w:rsidR="009C7DBC">
        <w:rPr>
          <w:rFonts w:ascii="Calibri" w:hAnsi="Calibri" w:cs="Calibri"/>
          <w:sz w:val="24"/>
          <w:szCs w:val="24"/>
        </w:rPr>
        <w:t xml:space="preserve"> by collecting and analysing data</w:t>
      </w:r>
      <w:r w:rsidR="00E84316">
        <w:rPr>
          <w:rFonts w:ascii="Calibri" w:hAnsi="Calibri" w:cs="Calibri"/>
          <w:sz w:val="24"/>
          <w:szCs w:val="24"/>
        </w:rPr>
        <w:t xml:space="preserve">, comparing results </w:t>
      </w:r>
      <w:r w:rsidR="00F84289">
        <w:rPr>
          <w:rFonts w:ascii="Calibri" w:hAnsi="Calibri" w:cs="Calibri"/>
          <w:sz w:val="24"/>
          <w:szCs w:val="24"/>
        </w:rPr>
        <w:t xml:space="preserve">to benchmarks, and taking corrective actions </w:t>
      </w:r>
      <w:r w:rsidR="00276026">
        <w:rPr>
          <w:rFonts w:ascii="Calibri" w:hAnsi="Calibri" w:cs="Calibri"/>
          <w:sz w:val="24"/>
          <w:szCs w:val="24"/>
        </w:rPr>
        <w:t xml:space="preserve">when necessary to maintain or improve quality. </w:t>
      </w:r>
    </w:p>
    <w:p w14:paraId="460C3227" w14:textId="083839E5" w:rsidR="00B25997" w:rsidRDefault="00872A27" w:rsidP="00352F37">
      <w:pPr>
        <w:spacing w:line="360" w:lineRule="auto"/>
        <w:rPr>
          <w:rFonts w:ascii="Calibri" w:hAnsi="Calibri" w:cs="Calibri"/>
          <w:sz w:val="24"/>
          <w:szCs w:val="24"/>
        </w:rPr>
      </w:pPr>
      <w:r>
        <w:rPr>
          <w:rFonts w:ascii="Calibri" w:hAnsi="Calibri" w:cs="Calibri"/>
          <w:sz w:val="24"/>
          <w:szCs w:val="24"/>
        </w:rPr>
        <w:t xml:space="preserve">Quality Improvement: </w:t>
      </w:r>
      <w:r w:rsidR="00F869E7">
        <w:rPr>
          <w:rFonts w:ascii="Calibri" w:hAnsi="Calibri" w:cs="Calibri"/>
          <w:sz w:val="24"/>
          <w:szCs w:val="24"/>
        </w:rPr>
        <w:t>refers to the ongoing process o</w:t>
      </w:r>
      <w:r w:rsidR="00B820CA">
        <w:rPr>
          <w:rFonts w:ascii="Calibri" w:hAnsi="Calibri" w:cs="Calibri"/>
          <w:sz w:val="24"/>
          <w:szCs w:val="24"/>
        </w:rPr>
        <w:t>f</w:t>
      </w:r>
      <w:r w:rsidR="00F869E7">
        <w:rPr>
          <w:rFonts w:ascii="Calibri" w:hAnsi="Calibri" w:cs="Calibri"/>
          <w:sz w:val="24"/>
          <w:szCs w:val="24"/>
        </w:rPr>
        <w:t xml:space="preserve"> enhancing services and reducing inefficiencies.</w:t>
      </w:r>
      <w:r w:rsidR="00B820CA">
        <w:rPr>
          <w:rFonts w:ascii="Calibri" w:hAnsi="Calibri" w:cs="Calibri"/>
          <w:sz w:val="24"/>
          <w:szCs w:val="24"/>
        </w:rPr>
        <w:t xml:space="preserve"> </w:t>
      </w:r>
      <w:r w:rsidR="00560BEA">
        <w:rPr>
          <w:rFonts w:ascii="Calibri" w:hAnsi="Calibri" w:cs="Calibri"/>
          <w:sz w:val="24"/>
          <w:szCs w:val="24"/>
        </w:rPr>
        <w:t>It involves identifying areas for improvement</w:t>
      </w:r>
      <w:r w:rsidR="004823AE">
        <w:rPr>
          <w:rFonts w:ascii="Calibri" w:hAnsi="Calibri" w:cs="Calibri"/>
          <w:sz w:val="24"/>
          <w:szCs w:val="24"/>
        </w:rPr>
        <w:t xml:space="preserve">, achieving new targets, and </w:t>
      </w:r>
      <w:r w:rsidR="00200DBE">
        <w:rPr>
          <w:rFonts w:ascii="Calibri" w:hAnsi="Calibri" w:cs="Calibri"/>
          <w:sz w:val="24"/>
          <w:szCs w:val="24"/>
        </w:rPr>
        <w:t>implementing them successfully</w:t>
      </w:r>
      <w:r w:rsidR="007935D7">
        <w:rPr>
          <w:rFonts w:ascii="Calibri" w:hAnsi="Calibri" w:cs="Calibri"/>
          <w:sz w:val="24"/>
          <w:szCs w:val="24"/>
        </w:rPr>
        <w:t>, by providing necessary training and resources</w:t>
      </w:r>
      <w:r w:rsidR="0070004C">
        <w:rPr>
          <w:rFonts w:ascii="Calibri" w:hAnsi="Calibri" w:cs="Calibri"/>
          <w:sz w:val="24"/>
          <w:szCs w:val="24"/>
        </w:rPr>
        <w:t xml:space="preserve"> (Quality Gurus</w:t>
      </w:r>
      <w:r w:rsidR="000E2AE3">
        <w:rPr>
          <w:rFonts w:ascii="Calibri" w:hAnsi="Calibri" w:cs="Calibri"/>
          <w:sz w:val="24"/>
          <w:szCs w:val="24"/>
        </w:rPr>
        <w:t>, 2025)</w:t>
      </w:r>
      <w:r w:rsidR="00352F37">
        <w:rPr>
          <w:rFonts w:ascii="Calibri" w:hAnsi="Calibri" w:cs="Calibri"/>
          <w:sz w:val="24"/>
          <w:szCs w:val="24"/>
        </w:rPr>
        <w:t>.</w:t>
      </w:r>
      <w:r w:rsidR="00D95AE0">
        <w:rPr>
          <w:rFonts w:ascii="Calibri" w:hAnsi="Calibri" w:cs="Calibri"/>
          <w:sz w:val="24"/>
          <w:szCs w:val="24"/>
        </w:rPr>
        <w:t xml:space="preserve"> </w:t>
      </w:r>
    </w:p>
    <w:p w14:paraId="130DD0A4" w14:textId="762D855D" w:rsidR="00402DFD" w:rsidRDefault="00402DFD" w:rsidP="00352F37">
      <w:pPr>
        <w:spacing w:line="360" w:lineRule="auto"/>
        <w:rPr>
          <w:rFonts w:ascii="Calibri" w:hAnsi="Calibri" w:cs="Calibri"/>
          <w:sz w:val="24"/>
          <w:szCs w:val="24"/>
        </w:rPr>
      </w:pPr>
      <w:r>
        <w:rPr>
          <w:rFonts w:ascii="Calibri" w:hAnsi="Calibri" w:cs="Calibri"/>
          <w:sz w:val="24"/>
          <w:szCs w:val="24"/>
        </w:rPr>
        <w:t>Another framework</w:t>
      </w:r>
      <w:r w:rsidR="005F172C">
        <w:rPr>
          <w:rFonts w:ascii="Calibri" w:hAnsi="Calibri" w:cs="Calibri"/>
          <w:sz w:val="24"/>
          <w:szCs w:val="24"/>
        </w:rPr>
        <w:t xml:space="preserve"> used to analyse healthcare quality is </w:t>
      </w:r>
      <w:proofErr w:type="spellStart"/>
      <w:r w:rsidR="00C92543">
        <w:rPr>
          <w:rFonts w:ascii="Calibri" w:hAnsi="Calibri" w:cs="Calibri"/>
          <w:sz w:val="24"/>
          <w:szCs w:val="24"/>
        </w:rPr>
        <w:t>Garvin</w:t>
      </w:r>
      <w:r w:rsidR="00EA18C5">
        <w:rPr>
          <w:rFonts w:ascii="Calibri" w:hAnsi="Calibri" w:cs="Calibri"/>
          <w:sz w:val="24"/>
          <w:szCs w:val="24"/>
        </w:rPr>
        <w:t>s</w:t>
      </w:r>
      <w:proofErr w:type="spellEnd"/>
      <w:r w:rsidR="00C92543">
        <w:rPr>
          <w:rFonts w:ascii="Calibri" w:hAnsi="Calibri" w:cs="Calibri"/>
          <w:sz w:val="24"/>
          <w:szCs w:val="24"/>
        </w:rPr>
        <w:t xml:space="preserve"> 8 Dimensions of Quality</w:t>
      </w:r>
      <w:r w:rsidR="00CD7F30">
        <w:rPr>
          <w:rFonts w:ascii="Calibri" w:hAnsi="Calibri" w:cs="Calibri"/>
          <w:sz w:val="24"/>
          <w:szCs w:val="24"/>
        </w:rPr>
        <w:t>, where there are eight critical categories</w:t>
      </w:r>
      <w:r w:rsidR="00AD072A">
        <w:rPr>
          <w:rFonts w:ascii="Calibri" w:hAnsi="Calibri" w:cs="Calibri"/>
          <w:sz w:val="24"/>
          <w:szCs w:val="24"/>
        </w:rPr>
        <w:t xml:space="preserve">. Some of these categories can be mutually </w:t>
      </w:r>
      <w:r w:rsidR="000675FA">
        <w:rPr>
          <w:rFonts w:ascii="Calibri" w:hAnsi="Calibri" w:cs="Calibri"/>
          <w:sz w:val="24"/>
          <w:szCs w:val="24"/>
        </w:rPr>
        <w:t xml:space="preserve">supporting, while others may not. A service may rank high in one dimension of quality and low </w:t>
      </w:r>
      <w:r w:rsidR="008A6829">
        <w:rPr>
          <w:rFonts w:ascii="Calibri" w:hAnsi="Calibri" w:cs="Calibri"/>
          <w:sz w:val="24"/>
          <w:szCs w:val="24"/>
        </w:rPr>
        <w:t xml:space="preserve">in another, same as an improvement in one dimension may come at the expense of another. </w:t>
      </w:r>
      <w:r w:rsidR="003D44E7">
        <w:rPr>
          <w:rFonts w:ascii="Calibri" w:hAnsi="Calibri" w:cs="Calibri"/>
          <w:sz w:val="24"/>
          <w:szCs w:val="24"/>
        </w:rPr>
        <w:t>This dynamic interaction enables strategic quality management</w:t>
      </w:r>
      <w:r w:rsidR="00EC20E8">
        <w:rPr>
          <w:rFonts w:ascii="Calibri" w:hAnsi="Calibri" w:cs="Calibri"/>
          <w:sz w:val="24"/>
          <w:szCs w:val="24"/>
        </w:rPr>
        <w:t xml:space="preserve"> (Garvin, 1987)</w:t>
      </w:r>
      <w:r w:rsidR="003D44E7">
        <w:rPr>
          <w:rFonts w:ascii="Calibri" w:hAnsi="Calibri" w:cs="Calibri"/>
          <w:sz w:val="24"/>
          <w:szCs w:val="24"/>
        </w:rPr>
        <w:t>.</w:t>
      </w:r>
    </w:p>
    <w:p w14:paraId="2C564513" w14:textId="77777777" w:rsidR="00BA3B4C" w:rsidRDefault="00816977" w:rsidP="00352F37">
      <w:pPr>
        <w:spacing w:line="360" w:lineRule="auto"/>
        <w:rPr>
          <w:rFonts w:ascii="Calibri" w:hAnsi="Calibri" w:cs="Calibri"/>
          <w:sz w:val="24"/>
          <w:szCs w:val="24"/>
        </w:rPr>
      </w:pPr>
      <w:r>
        <w:rPr>
          <w:rFonts w:ascii="Calibri" w:hAnsi="Calibri" w:cs="Calibri"/>
          <w:sz w:val="24"/>
          <w:szCs w:val="24"/>
        </w:rPr>
        <w:t xml:space="preserve">Quality Gurus (2025) </w:t>
      </w:r>
      <w:r w:rsidR="004472DF">
        <w:rPr>
          <w:rFonts w:ascii="Calibri" w:hAnsi="Calibri" w:cs="Calibri"/>
          <w:sz w:val="24"/>
          <w:szCs w:val="24"/>
        </w:rPr>
        <w:t>state</w:t>
      </w:r>
      <w:r w:rsidR="00BA3B4C">
        <w:rPr>
          <w:rFonts w:ascii="Calibri" w:hAnsi="Calibri" w:cs="Calibri"/>
          <w:sz w:val="24"/>
          <w:szCs w:val="24"/>
        </w:rPr>
        <w:t xml:space="preserve"> that e</w:t>
      </w:r>
      <w:r w:rsidR="00B85564" w:rsidRPr="00B85564">
        <w:rPr>
          <w:rFonts w:ascii="Calibri" w:hAnsi="Calibri" w:cs="Calibri"/>
          <w:sz w:val="24"/>
          <w:szCs w:val="24"/>
        </w:rPr>
        <w:t xml:space="preserve">ach of these 8 dimensions are very important in defining the quality of </w:t>
      </w:r>
      <w:r w:rsidR="00BA3B4C">
        <w:rPr>
          <w:rFonts w:ascii="Calibri" w:hAnsi="Calibri" w:cs="Calibri"/>
          <w:sz w:val="24"/>
          <w:szCs w:val="24"/>
        </w:rPr>
        <w:t>the serviced.</w:t>
      </w:r>
    </w:p>
    <w:p w14:paraId="5B258352" w14:textId="50AC56B8" w:rsidR="00402DFD" w:rsidRDefault="00EC20E8" w:rsidP="00352F37">
      <w:pPr>
        <w:spacing w:line="360" w:lineRule="auto"/>
        <w:rPr>
          <w:rFonts w:ascii="Calibri" w:hAnsi="Calibri" w:cs="Calibri"/>
          <w:sz w:val="24"/>
          <w:szCs w:val="24"/>
        </w:rPr>
      </w:pPr>
      <w:r w:rsidRPr="00EC20E8">
        <w:rPr>
          <w:rFonts w:ascii="Calibri" w:hAnsi="Calibri" w:cs="Calibri"/>
          <w:sz w:val="24"/>
          <w:szCs w:val="24"/>
        </w:rPr>
        <w:t xml:space="preserve">Performance: </w:t>
      </w:r>
      <w:r>
        <w:rPr>
          <w:rFonts w:ascii="Calibri" w:hAnsi="Calibri" w:cs="Calibri"/>
          <w:sz w:val="24"/>
          <w:szCs w:val="24"/>
        </w:rPr>
        <w:t>In healthcare, performance refers to the effectiveness of treatments and interventions</w:t>
      </w:r>
      <w:r w:rsidR="005A6129">
        <w:rPr>
          <w:rFonts w:ascii="Calibri" w:hAnsi="Calibri" w:cs="Calibri"/>
          <w:sz w:val="24"/>
          <w:szCs w:val="24"/>
        </w:rPr>
        <w:t>. Within the NH</w:t>
      </w:r>
      <w:r w:rsidR="00F56BFC">
        <w:rPr>
          <w:rFonts w:ascii="Calibri" w:hAnsi="Calibri" w:cs="Calibri"/>
          <w:sz w:val="24"/>
          <w:szCs w:val="24"/>
        </w:rPr>
        <w:t xml:space="preserve">S </w:t>
      </w:r>
      <w:r w:rsidR="00BA3B4C">
        <w:rPr>
          <w:rFonts w:ascii="Calibri" w:hAnsi="Calibri" w:cs="Calibri"/>
          <w:sz w:val="24"/>
          <w:szCs w:val="24"/>
        </w:rPr>
        <w:t>and private clinics, this means the abilit</w:t>
      </w:r>
      <w:r w:rsidR="008C3851">
        <w:rPr>
          <w:rFonts w:ascii="Calibri" w:hAnsi="Calibri" w:cs="Calibri"/>
          <w:sz w:val="24"/>
          <w:szCs w:val="24"/>
        </w:rPr>
        <w:t xml:space="preserve">y of services to help patients achieve sustained weight loss, improve health outcomes, and reduce obesity related risks. </w:t>
      </w:r>
    </w:p>
    <w:p w14:paraId="5F333F7B" w14:textId="1172DA6E" w:rsidR="00907988" w:rsidRDefault="00907988" w:rsidP="00352F37">
      <w:pPr>
        <w:spacing w:line="360" w:lineRule="auto"/>
        <w:rPr>
          <w:rFonts w:ascii="Calibri" w:hAnsi="Calibri" w:cs="Calibri"/>
          <w:sz w:val="24"/>
          <w:szCs w:val="24"/>
        </w:rPr>
      </w:pPr>
      <w:r>
        <w:rPr>
          <w:rFonts w:ascii="Calibri" w:hAnsi="Calibri" w:cs="Calibri"/>
          <w:sz w:val="24"/>
          <w:szCs w:val="24"/>
        </w:rPr>
        <w:t>Features: These are additional services or options offered</w:t>
      </w:r>
      <w:r w:rsidR="00294DEA">
        <w:rPr>
          <w:rFonts w:ascii="Calibri" w:hAnsi="Calibri" w:cs="Calibri"/>
          <w:sz w:val="24"/>
          <w:szCs w:val="24"/>
        </w:rPr>
        <w:t xml:space="preserve"> to patients. NHS clinics provide standardised weight loss programmes, while private clinics </w:t>
      </w:r>
      <w:r w:rsidR="005D6120">
        <w:rPr>
          <w:rFonts w:ascii="Calibri" w:hAnsi="Calibri" w:cs="Calibri"/>
          <w:sz w:val="24"/>
          <w:szCs w:val="24"/>
        </w:rPr>
        <w:t xml:space="preserve">often offer a varied range of </w:t>
      </w:r>
      <w:r w:rsidR="005D6120">
        <w:rPr>
          <w:rFonts w:ascii="Calibri" w:hAnsi="Calibri" w:cs="Calibri"/>
          <w:sz w:val="24"/>
          <w:szCs w:val="24"/>
        </w:rPr>
        <w:lastRenderedPageBreak/>
        <w:t>features. This may include, one on one coaching, surgical options, and personal</w:t>
      </w:r>
      <w:r w:rsidR="008A731E">
        <w:rPr>
          <w:rFonts w:ascii="Calibri" w:hAnsi="Calibri" w:cs="Calibri"/>
          <w:sz w:val="24"/>
          <w:szCs w:val="24"/>
        </w:rPr>
        <w:t>ised meal plans.</w:t>
      </w:r>
    </w:p>
    <w:p w14:paraId="4C3D0B28" w14:textId="4F83F431" w:rsidR="008A731E" w:rsidRDefault="008A731E" w:rsidP="00352F37">
      <w:pPr>
        <w:spacing w:line="360" w:lineRule="auto"/>
        <w:rPr>
          <w:rFonts w:ascii="Calibri" w:hAnsi="Calibri" w:cs="Calibri"/>
          <w:sz w:val="24"/>
          <w:szCs w:val="24"/>
        </w:rPr>
      </w:pPr>
      <w:r>
        <w:rPr>
          <w:rFonts w:ascii="Calibri" w:hAnsi="Calibri" w:cs="Calibri"/>
          <w:sz w:val="24"/>
          <w:szCs w:val="24"/>
        </w:rPr>
        <w:t xml:space="preserve">Reliability: This concerns the consistency of the delivery of quality care. </w:t>
      </w:r>
      <w:r w:rsidR="0096061D">
        <w:rPr>
          <w:rFonts w:ascii="Calibri" w:hAnsi="Calibri" w:cs="Calibri"/>
          <w:sz w:val="24"/>
          <w:szCs w:val="24"/>
        </w:rPr>
        <w:t xml:space="preserve">NHS services strive to adhere to </w:t>
      </w:r>
      <w:r w:rsidR="00A204B8">
        <w:rPr>
          <w:rFonts w:ascii="Calibri" w:hAnsi="Calibri" w:cs="Calibri"/>
          <w:sz w:val="24"/>
          <w:szCs w:val="24"/>
        </w:rPr>
        <w:t>protocols;</w:t>
      </w:r>
      <w:r w:rsidR="0096061D">
        <w:rPr>
          <w:rFonts w:ascii="Calibri" w:hAnsi="Calibri" w:cs="Calibri"/>
          <w:sz w:val="24"/>
          <w:szCs w:val="24"/>
        </w:rPr>
        <w:t xml:space="preserve"> </w:t>
      </w:r>
      <w:r w:rsidR="00A204B8">
        <w:rPr>
          <w:rFonts w:ascii="Calibri" w:hAnsi="Calibri" w:cs="Calibri"/>
          <w:sz w:val="24"/>
          <w:szCs w:val="24"/>
        </w:rPr>
        <w:t>however,</w:t>
      </w:r>
      <w:r w:rsidR="0096061D">
        <w:rPr>
          <w:rFonts w:ascii="Calibri" w:hAnsi="Calibri" w:cs="Calibri"/>
          <w:sz w:val="24"/>
          <w:szCs w:val="24"/>
        </w:rPr>
        <w:t xml:space="preserve"> reliability may be affected by </w:t>
      </w:r>
      <w:r w:rsidR="00A204B8">
        <w:rPr>
          <w:rFonts w:ascii="Calibri" w:hAnsi="Calibri" w:cs="Calibri"/>
          <w:sz w:val="24"/>
          <w:szCs w:val="24"/>
        </w:rPr>
        <w:t xml:space="preserve">long waiting times. Private clinics market themselves on consistently providing </w:t>
      </w:r>
      <w:r w:rsidR="00200A08">
        <w:rPr>
          <w:rFonts w:ascii="Calibri" w:hAnsi="Calibri" w:cs="Calibri"/>
          <w:sz w:val="24"/>
          <w:szCs w:val="24"/>
        </w:rPr>
        <w:t xml:space="preserve">available appointments and continuous support for patients. </w:t>
      </w:r>
    </w:p>
    <w:p w14:paraId="6BC199AE" w14:textId="7A11EC9E" w:rsidR="00200A08" w:rsidRDefault="00200A08" w:rsidP="00352F37">
      <w:pPr>
        <w:spacing w:line="360" w:lineRule="auto"/>
        <w:rPr>
          <w:rFonts w:ascii="Calibri" w:hAnsi="Calibri" w:cs="Calibri"/>
          <w:sz w:val="24"/>
          <w:szCs w:val="24"/>
        </w:rPr>
      </w:pPr>
      <w:r>
        <w:rPr>
          <w:rFonts w:ascii="Calibri" w:hAnsi="Calibri" w:cs="Calibri"/>
          <w:sz w:val="24"/>
          <w:szCs w:val="24"/>
        </w:rPr>
        <w:t xml:space="preserve">Conformance: This dimension focuses on adherence to standards and guidelines. </w:t>
      </w:r>
      <w:r w:rsidR="007D4E77">
        <w:rPr>
          <w:rFonts w:ascii="Calibri" w:hAnsi="Calibri" w:cs="Calibri"/>
          <w:sz w:val="24"/>
          <w:szCs w:val="24"/>
        </w:rPr>
        <w:t xml:space="preserve">NHS follow national frameworks </w:t>
      </w:r>
      <w:r w:rsidR="002F6247">
        <w:rPr>
          <w:rFonts w:ascii="Calibri" w:hAnsi="Calibri" w:cs="Calibri"/>
          <w:sz w:val="24"/>
          <w:szCs w:val="24"/>
        </w:rPr>
        <w:t xml:space="preserve">like NICE and CQC standards, whereas private clinics follow different standards but highlight their own protocols or accreditations to reassure patients. </w:t>
      </w:r>
    </w:p>
    <w:p w14:paraId="5FC469EC" w14:textId="21F1EFC1" w:rsidR="002F6247" w:rsidRDefault="002F6247" w:rsidP="00352F37">
      <w:pPr>
        <w:spacing w:line="360" w:lineRule="auto"/>
        <w:rPr>
          <w:rFonts w:ascii="Calibri" w:hAnsi="Calibri" w:cs="Calibri"/>
          <w:sz w:val="24"/>
          <w:szCs w:val="24"/>
        </w:rPr>
      </w:pPr>
      <w:r>
        <w:rPr>
          <w:rFonts w:ascii="Calibri" w:hAnsi="Calibri" w:cs="Calibri"/>
          <w:sz w:val="24"/>
          <w:szCs w:val="24"/>
        </w:rPr>
        <w:t xml:space="preserve">Durability: </w:t>
      </w:r>
      <w:r w:rsidR="008C0B97">
        <w:rPr>
          <w:rFonts w:ascii="Calibri" w:hAnsi="Calibri" w:cs="Calibri"/>
          <w:sz w:val="24"/>
          <w:szCs w:val="24"/>
        </w:rPr>
        <w:t>Durability in weight loss management, refers to the lasting impact of care</w:t>
      </w:r>
      <w:r w:rsidR="00F27B59">
        <w:rPr>
          <w:rFonts w:ascii="Calibri" w:hAnsi="Calibri" w:cs="Calibri"/>
          <w:sz w:val="24"/>
          <w:szCs w:val="24"/>
        </w:rPr>
        <w:t xml:space="preserve"> on patients such as how long patients maintain weight loss and improved health. </w:t>
      </w:r>
      <w:r w:rsidR="00A50744">
        <w:rPr>
          <w:rFonts w:ascii="Calibri" w:hAnsi="Calibri" w:cs="Calibri"/>
          <w:sz w:val="24"/>
          <w:szCs w:val="24"/>
        </w:rPr>
        <w:t xml:space="preserve">Weight loss programmes in both NHS and private settings are evaluated on their long-term success rates. </w:t>
      </w:r>
    </w:p>
    <w:p w14:paraId="42A40329" w14:textId="3FD637FF" w:rsidR="00AD667D" w:rsidRDefault="00AD667D" w:rsidP="00352F37">
      <w:pPr>
        <w:spacing w:line="360" w:lineRule="auto"/>
        <w:rPr>
          <w:rFonts w:ascii="Calibri" w:hAnsi="Calibri" w:cs="Calibri"/>
          <w:sz w:val="24"/>
          <w:szCs w:val="24"/>
        </w:rPr>
      </w:pPr>
      <w:r>
        <w:rPr>
          <w:rFonts w:ascii="Calibri" w:hAnsi="Calibri" w:cs="Calibri"/>
          <w:sz w:val="24"/>
          <w:szCs w:val="24"/>
        </w:rPr>
        <w:t xml:space="preserve">Serviceability: This relates </w:t>
      </w:r>
      <w:r w:rsidR="00602F04">
        <w:rPr>
          <w:rFonts w:ascii="Calibri" w:hAnsi="Calibri" w:cs="Calibri"/>
          <w:sz w:val="24"/>
          <w:szCs w:val="24"/>
        </w:rPr>
        <w:t xml:space="preserve">to ease of accessing support, follow-up care, and how issues are handled. </w:t>
      </w:r>
      <w:r w:rsidR="001C027C">
        <w:rPr>
          <w:rFonts w:ascii="Calibri" w:hAnsi="Calibri" w:cs="Calibri"/>
          <w:sz w:val="24"/>
          <w:szCs w:val="24"/>
        </w:rPr>
        <w:t>Private clinics off faster aftercare or easier appointment booking, while the NHS provides support within the con</w:t>
      </w:r>
      <w:r w:rsidR="001E077F">
        <w:rPr>
          <w:rFonts w:ascii="Calibri" w:hAnsi="Calibri" w:cs="Calibri"/>
          <w:sz w:val="24"/>
          <w:szCs w:val="24"/>
        </w:rPr>
        <w:t xml:space="preserve">straints of public funding and resources. </w:t>
      </w:r>
    </w:p>
    <w:p w14:paraId="5F651E2A" w14:textId="76738277" w:rsidR="001E077F" w:rsidRDefault="001E077F" w:rsidP="00352F37">
      <w:pPr>
        <w:spacing w:line="360" w:lineRule="auto"/>
        <w:rPr>
          <w:rFonts w:ascii="Calibri" w:hAnsi="Calibri" w:cs="Calibri"/>
          <w:sz w:val="24"/>
          <w:szCs w:val="24"/>
        </w:rPr>
      </w:pPr>
      <w:r>
        <w:rPr>
          <w:rFonts w:ascii="Calibri" w:hAnsi="Calibri" w:cs="Calibri"/>
          <w:sz w:val="24"/>
          <w:szCs w:val="24"/>
        </w:rPr>
        <w:t xml:space="preserve">Aesthetics: This </w:t>
      </w:r>
      <w:r w:rsidR="00247744">
        <w:rPr>
          <w:rFonts w:ascii="Calibri" w:hAnsi="Calibri" w:cs="Calibri"/>
          <w:sz w:val="24"/>
          <w:szCs w:val="24"/>
        </w:rPr>
        <w:t>includes</w:t>
      </w:r>
      <w:r>
        <w:rPr>
          <w:rFonts w:ascii="Calibri" w:hAnsi="Calibri" w:cs="Calibri"/>
          <w:sz w:val="24"/>
          <w:szCs w:val="24"/>
        </w:rPr>
        <w:t xml:space="preserve"> the environment and experience, ensuring the patient feels welcome</w:t>
      </w:r>
      <w:r w:rsidR="00247744">
        <w:rPr>
          <w:rFonts w:ascii="Calibri" w:hAnsi="Calibri" w:cs="Calibri"/>
          <w:sz w:val="24"/>
          <w:szCs w:val="24"/>
        </w:rPr>
        <w:t>d and</w:t>
      </w:r>
      <w:r>
        <w:rPr>
          <w:rFonts w:ascii="Calibri" w:hAnsi="Calibri" w:cs="Calibri"/>
          <w:sz w:val="24"/>
          <w:szCs w:val="24"/>
        </w:rPr>
        <w:t xml:space="preserve"> com</w:t>
      </w:r>
      <w:r w:rsidR="00247744">
        <w:rPr>
          <w:rFonts w:ascii="Calibri" w:hAnsi="Calibri" w:cs="Calibri"/>
          <w:sz w:val="24"/>
          <w:szCs w:val="24"/>
        </w:rPr>
        <w:t xml:space="preserve">fortable, and how private the clinic feels. Private clinics often offer </w:t>
      </w:r>
      <w:r w:rsidR="00C313C7">
        <w:rPr>
          <w:rFonts w:ascii="Calibri" w:hAnsi="Calibri" w:cs="Calibri"/>
          <w:sz w:val="24"/>
          <w:szCs w:val="24"/>
        </w:rPr>
        <w:t>more ambiance as they invest more in this, while NHS already have the functional and accessible</w:t>
      </w:r>
      <w:r w:rsidR="00935A75">
        <w:rPr>
          <w:rFonts w:ascii="Calibri" w:hAnsi="Calibri" w:cs="Calibri"/>
          <w:sz w:val="24"/>
          <w:szCs w:val="24"/>
        </w:rPr>
        <w:t xml:space="preserve"> spaces.</w:t>
      </w:r>
    </w:p>
    <w:p w14:paraId="6CBD5ADF" w14:textId="11BD62EB" w:rsidR="0043210D" w:rsidRDefault="00FD2D91" w:rsidP="00352F37">
      <w:pPr>
        <w:spacing w:line="360" w:lineRule="auto"/>
        <w:rPr>
          <w:rFonts w:ascii="Calibri" w:hAnsi="Calibri" w:cs="Calibri"/>
          <w:sz w:val="24"/>
          <w:szCs w:val="24"/>
        </w:rPr>
      </w:pPr>
      <w:r>
        <w:rPr>
          <w:rFonts w:ascii="Calibri" w:hAnsi="Calibri" w:cs="Calibri"/>
          <w:sz w:val="24"/>
          <w:szCs w:val="24"/>
        </w:rPr>
        <w:t xml:space="preserve">Perceived Quality: Patients overall impression, based on word-of-mouth, reputation, and branding. Private clinics </w:t>
      </w:r>
      <w:r w:rsidR="00606093">
        <w:rPr>
          <w:rFonts w:ascii="Calibri" w:hAnsi="Calibri" w:cs="Calibri"/>
          <w:sz w:val="24"/>
          <w:szCs w:val="24"/>
        </w:rPr>
        <w:t xml:space="preserve">may be perceived as higher quality due to marketing, while the NHS clinics benefit from public trust and </w:t>
      </w:r>
      <w:r w:rsidR="00345B43">
        <w:rPr>
          <w:rFonts w:ascii="Calibri" w:hAnsi="Calibri" w:cs="Calibri"/>
          <w:sz w:val="24"/>
          <w:szCs w:val="24"/>
        </w:rPr>
        <w:t>regulations.</w:t>
      </w:r>
    </w:p>
    <w:p w14:paraId="1084EFF9" w14:textId="198E073B" w:rsidR="00683E60" w:rsidRPr="00683E60" w:rsidRDefault="00352F37" w:rsidP="00AD1B6C">
      <w:pPr>
        <w:spacing w:line="360" w:lineRule="auto"/>
        <w:rPr>
          <w:rFonts w:ascii="Calibri" w:hAnsi="Calibri" w:cs="Calibri"/>
          <w:sz w:val="24"/>
          <w:szCs w:val="24"/>
        </w:rPr>
      </w:pPr>
      <w:r>
        <w:rPr>
          <w:rFonts w:ascii="Calibri" w:hAnsi="Calibri" w:cs="Calibri"/>
          <w:sz w:val="24"/>
          <w:szCs w:val="24"/>
        </w:rPr>
        <w:t>Within NHS settings, structural qu</w:t>
      </w:r>
      <w:r w:rsidR="00915918">
        <w:rPr>
          <w:rFonts w:ascii="Calibri" w:hAnsi="Calibri" w:cs="Calibri"/>
          <w:sz w:val="24"/>
          <w:szCs w:val="24"/>
        </w:rPr>
        <w:t xml:space="preserve">ality is </w:t>
      </w:r>
      <w:r w:rsidR="00694511">
        <w:rPr>
          <w:rFonts w:ascii="Calibri" w:hAnsi="Calibri" w:cs="Calibri"/>
          <w:sz w:val="24"/>
          <w:szCs w:val="24"/>
        </w:rPr>
        <w:t>robust</w:t>
      </w:r>
      <w:r w:rsidR="00915918">
        <w:rPr>
          <w:rFonts w:ascii="Calibri" w:hAnsi="Calibri" w:cs="Calibri"/>
          <w:sz w:val="24"/>
          <w:szCs w:val="24"/>
        </w:rPr>
        <w:t xml:space="preserve"> with </w:t>
      </w:r>
      <w:r w:rsidR="00694511">
        <w:rPr>
          <w:rFonts w:ascii="Calibri" w:hAnsi="Calibri" w:cs="Calibri"/>
          <w:sz w:val="24"/>
          <w:szCs w:val="24"/>
        </w:rPr>
        <w:t>strong governance</w:t>
      </w:r>
      <w:r w:rsidR="004D4311">
        <w:rPr>
          <w:rFonts w:ascii="Calibri" w:hAnsi="Calibri" w:cs="Calibri"/>
          <w:sz w:val="24"/>
          <w:szCs w:val="24"/>
        </w:rPr>
        <w:t xml:space="preserve">, </w:t>
      </w:r>
      <w:r w:rsidR="00140DD6">
        <w:rPr>
          <w:rFonts w:ascii="Calibri" w:hAnsi="Calibri" w:cs="Calibri"/>
          <w:sz w:val="24"/>
          <w:szCs w:val="24"/>
        </w:rPr>
        <w:t>however,</w:t>
      </w:r>
      <w:r w:rsidR="004D4311">
        <w:rPr>
          <w:rFonts w:ascii="Calibri" w:hAnsi="Calibri" w:cs="Calibri"/>
          <w:sz w:val="24"/>
          <w:szCs w:val="24"/>
        </w:rPr>
        <w:t xml:space="preserve"> has inefficiencies such as referral delays or limited access to specialists which can </w:t>
      </w:r>
      <w:r w:rsidR="002869B5">
        <w:rPr>
          <w:rFonts w:ascii="Calibri" w:hAnsi="Calibri" w:cs="Calibri"/>
          <w:sz w:val="24"/>
          <w:szCs w:val="24"/>
        </w:rPr>
        <w:t xml:space="preserve">harm patients trust. </w:t>
      </w:r>
      <w:r w:rsidR="00140DD6">
        <w:rPr>
          <w:rFonts w:ascii="Calibri" w:hAnsi="Calibri" w:cs="Calibri"/>
          <w:sz w:val="24"/>
          <w:szCs w:val="24"/>
        </w:rPr>
        <w:t xml:space="preserve">Private clinics on the other hand may lack the same regulatory infrastructure but compensate with flexible, </w:t>
      </w:r>
      <w:r w:rsidR="00AD1B6C">
        <w:rPr>
          <w:rFonts w:ascii="Calibri" w:hAnsi="Calibri" w:cs="Calibri"/>
          <w:sz w:val="24"/>
          <w:szCs w:val="24"/>
        </w:rPr>
        <w:t xml:space="preserve">streamlined processes that prioritise patient choice and convenience. </w:t>
      </w:r>
    </w:p>
    <w:p w14:paraId="36515D54" w14:textId="56BC42EF" w:rsidR="00E316AA" w:rsidRPr="00652074" w:rsidRDefault="00E316AA" w:rsidP="00E316AA">
      <w:pPr>
        <w:pStyle w:val="Heading2"/>
        <w:rPr>
          <w:rFonts w:ascii="Calibri" w:hAnsi="Calibri" w:cs="Calibri"/>
        </w:rPr>
      </w:pPr>
      <w:bookmarkStart w:id="4" w:name="_Toc202386424"/>
      <w:r w:rsidRPr="00652074">
        <w:rPr>
          <w:rFonts w:ascii="Calibri" w:hAnsi="Calibri" w:cs="Calibri"/>
        </w:rPr>
        <w:lastRenderedPageBreak/>
        <w:t xml:space="preserve">3.2 </w:t>
      </w:r>
      <w:r w:rsidR="00683E60" w:rsidRPr="00652074">
        <w:rPr>
          <w:rFonts w:ascii="Calibri" w:hAnsi="Calibri" w:cs="Calibri"/>
        </w:rPr>
        <w:t xml:space="preserve">Comparison of The Juran Model and </w:t>
      </w:r>
      <w:r w:rsidR="0043676C" w:rsidRPr="00652074">
        <w:rPr>
          <w:rFonts w:ascii="Calibri" w:hAnsi="Calibri" w:cs="Calibri"/>
        </w:rPr>
        <w:t>Eight Dimensions of Quality</w:t>
      </w:r>
      <w:bookmarkEnd w:id="4"/>
    </w:p>
    <w:p w14:paraId="0C2F01B0" w14:textId="54726753" w:rsidR="00A37167" w:rsidRDefault="00A37167" w:rsidP="008555DB">
      <w:pPr>
        <w:spacing w:line="360" w:lineRule="auto"/>
        <w:rPr>
          <w:rFonts w:ascii="Calibri" w:hAnsi="Calibri" w:cs="Calibri"/>
          <w:sz w:val="24"/>
          <w:szCs w:val="24"/>
        </w:rPr>
      </w:pPr>
      <w:r>
        <w:rPr>
          <w:rFonts w:ascii="Calibri" w:hAnsi="Calibri" w:cs="Calibri"/>
          <w:sz w:val="24"/>
          <w:szCs w:val="24"/>
        </w:rPr>
        <w:t xml:space="preserve">The Juran Model is more focused on the internal processes of quality management within the health organisations, while Garvin’s 8 Dimensions of Quality provide a broader perspective that </w:t>
      </w:r>
      <w:r w:rsidR="00390DF4">
        <w:rPr>
          <w:rFonts w:ascii="Calibri" w:hAnsi="Calibri" w:cs="Calibri"/>
          <w:sz w:val="24"/>
          <w:szCs w:val="24"/>
        </w:rPr>
        <w:t>includ</w:t>
      </w:r>
      <w:r>
        <w:rPr>
          <w:rFonts w:ascii="Calibri" w:hAnsi="Calibri" w:cs="Calibri"/>
          <w:sz w:val="24"/>
          <w:szCs w:val="24"/>
        </w:rPr>
        <w:t>es both internal and external factors affecting quality.</w:t>
      </w:r>
    </w:p>
    <w:p w14:paraId="1E0E4DAC" w14:textId="3934521B" w:rsidR="00A37167" w:rsidRDefault="00A37167" w:rsidP="008555DB">
      <w:pPr>
        <w:spacing w:line="360" w:lineRule="auto"/>
        <w:rPr>
          <w:rFonts w:ascii="Calibri" w:hAnsi="Calibri" w:cs="Calibri"/>
          <w:sz w:val="24"/>
          <w:szCs w:val="24"/>
        </w:rPr>
      </w:pPr>
      <w:r>
        <w:rPr>
          <w:rFonts w:ascii="Calibri" w:hAnsi="Calibri" w:cs="Calibri"/>
          <w:sz w:val="24"/>
          <w:szCs w:val="24"/>
        </w:rPr>
        <w:t xml:space="preserve">The Juran Model emphasises </w:t>
      </w:r>
      <w:r w:rsidR="00C5111E">
        <w:rPr>
          <w:rFonts w:ascii="Calibri" w:hAnsi="Calibri" w:cs="Calibri"/>
          <w:sz w:val="24"/>
          <w:szCs w:val="24"/>
        </w:rPr>
        <w:t xml:space="preserve">planning, control and improvement of quality processes, whereas Garvin’s model looks at various dimensions of quality that be mutually supporting or conflicting. </w:t>
      </w:r>
    </w:p>
    <w:p w14:paraId="5D239FB6" w14:textId="49FA2885" w:rsidR="00381B69" w:rsidRDefault="00381B69" w:rsidP="008555DB">
      <w:pPr>
        <w:spacing w:line="360" w:lineRule="auto"/>
        <w:rPr>
          <w:rFonts w:ascii="Calibri" w:hAnsi="Calibri" w:cs="Calibri"/>
          <w:sz w:val="24"/>
          <w:szCs w:val="24"/>
        </w:rPr>
      </w:pPr>
      <w:r>
        <w:rPr>
          <w:rFonts w:ascii="Calibri" w:hAnsi="Calibri" w:cs="Calibri"/>
          <w:sz w:val="24"/>
          <w:szCs w:val="24"/>
        </w:rPr>
        <w:t xml:space="preserve">The Juran Model is often used for continuous </w:t>
      </w:r>
      <w:r w:rsidR="00CA6B69">
        <w:rPr>
          <w:rFonts w:ascii="Calibri" w:hAnsi="Calibri" w:cs="Calibri"/>
          <w:sz w:val="24"/>
          <w:szCs w:val="24"/>
        </w:rPr>
        <w:t>improvement and maintaining high standards within an organisation.</w:t>
      </w:r>
      <w:r w:rsidR="005B56BE">
        <w:rPr>
          <w:rFonts w:ascii="Calibri" w:hAnsi="Calibri" w:cs="Calibri"/>
          <w:sz w:val="24"/>
          <w:szCs w:val="24"/>
        </w:rPr>
        <w:t xml:space="preserve"> Garvin’s 8 Dimensions of </w:t>
      </w:r>
      <w:r w:rsidR="002F3CC5">
        <w:rPr>
          <w:rFonts w:ascii="Calibri" w:hAnsi="Calibri" w:cs="Calibri"/>
          <w:sz w:val="24"/>
          <w:szCs w:val="24"/>
        </w:rPr>
        <w:t xml:space="preserve">Quality are </w:t>
      </w:r>
      <w:r w:rsidR="00777382">
        <w:rPr>
          <w:rFonts w:ascii="Calibri" w:hAnsi="Calibri" w:cs="Calibri"/>
          <w:sz w:val="24"/>
          <w:szCs w:val="24"/>
        </w:rPr>
        <w:t xml:space="preserve">useful for evaluating and comparing the quality of different services from a </w:t>
      </w:r>
      <w:r w:rsidR="00205CE7">
        <w:rPr>
          <w:rFonts w:ascii="Calibri" w:hAnsi="Calibri" w:cs="Calibri"/>
          <w:sz w:val="24"/>
          <w:szCs w:val="24"/>
        </w:rPr>
        <w:t>customer’s</w:t>
      </w:r>
      <w:r w:rsidR="00777382">
        <w:rPr>
          <w:rFonts w:ascii="Calibri" w:hAnsi="Calibri" w:cs="Calibri"/>
          <w:sz w:val="24"/>
          <w:szCs w:val="24"/>
        </w:rPr>
        <w:t xml:space="preserve"> perspective. </w:t>
      </w:r>
    </w:p>
    <w:p w14:paraId="75DCCF0F" w14:textId="4E03F237" w:rsidR="00765A97" w:rsidRDefault="00205CE7" w:rsidP="005870FF">
      <w:pPr>
        <w:spacing w:line="360" w:lineRule="auto"/>
      </w:pPr>
      <w:r>
        <w:rPr>
          <w:rFonts w:ascii="Calibri" w:hAnsi="Calibri" w:cs="Calibri"/>
          <w:sz w:val="24"/>
          <w:szCs w:val="24"/>
        </w:rPr>
        <w:t>Both models discussed above offer valuable insights into quality management, but they approach the concept from different viewpoints. Making them both complementary tools</w:t>
      </w:r>
      <w:r w:rsidR="00096F3F">
        <w:rPr>
          <w:rFonts w:ascii="Calibri" w:hAnsi="Calibri" w:cs="Calibri"/>
          <w:sz w:val="24"/>
          <w:szCs w:val="24"/>
        </w:rPr>
        <w:t xml:space="preserve"> for achieving high-quality outcomes in healthcare</w:t>
      </w:r>
      <w:r w:rsidR="00000E02">
        <w:rPr>
          <w:rFonts w:ascii="Calibri" w:hAnsi="Calibri" w:cs="Calibri"/>
          <w:sz w:val="24"/>
          <w:szCs w:val="24"/>
        </w:rPr>
        <w:t xml:space="preserve"> (Quality Gurus, 2025)</w:t>
      </w:r>
      <w:r w:rsidR="00096F3F">
        <w:rPr>
          <w:rFonts w:ascii="Calibri" w:hAnsi="Calibri" w:cs="Calibri"/>
          <w:sz w:val="24"/>
          <w:szCs w:val="24"/>
        </w:rPr>
        <w:t>.</w:t>
      </w:r>
    </w:p>
    <w:p w14:paraId="050C1863" w14:textId="4D4BF402" w:rsidR="00E316AA" w:rsidRPr="00652074" w:rsidRDefault="00995801" w:rsidP="00995801">
      <w:pPr>
        <w:pStyle w:val="Heading2"/>
        <w:rPr>
          <w:rFonts w:ascii="Calibri" w:hAnsi="Calibri" w:cs="Calibri"/>
        </w:rPr>
      </w:pPr>
      <w:bookmarkStart w:id="5" w:name="_Toc202386425"/>
      <w:r w:rsidRPr="00652074">
        <w:rPr>
          <w:rFonts w:ascii="Calibri" w:hAnsi="Calibri" w:cs="Calibri"/>
        </w:rPr>
        <w:t>3.3 Perceived vs Actual Value</w:t>
      </w:r>
      <w:bookmarkEnd w:id="5"/>
    </w:p>
    <w:p w14:paraId="50EF3D99" w14:textId="4EB345B5" w:rsidR="008121A5" w:rsidRDefault="008121A5" w:rsidP="000D4D69">
      <w:pPr>
        <w:spacing w:line="360" w:lineRule="auto"/>
        <w:rPr>
          <w:rFonts w:ascii="Calibri" w:hAnsi="Calibri" w:cs="Calibri"/>
          <w:sz w:val="24"/>
          <w:szCs w:val="24"/>
        </w:rPr>
      </w:pPr>
      <w:proofErr w:type="spellStart"/>
      <w:r w:rsidRPr="008121A5">
        <w:rPr>
          <w:rFonts w:ascii="Calibri" w:hAnsi="Calibri" w:cs="Calibri"/>
          <w:sz w:val="24"/>
          <w:szCs w:val="24"/>
        </w:rPr>
        <w:t>Ozceli</w:t>
      </w:r>
      <w:r w:rsidR="00000E02">
        <w:rPr>
          <w:rFonts w:ascii="Calibri" w:hAnsi="Calibri" w:cs="Calibri"/>
          <w:sz w:val="24"/>
          <w:szCs w:val="24"/>
        </w:rPr>
        <w:t>k</w:t>
      </w:r>
      <w:proofErr w:type="spellEnd"/>
      <w:r>
        <w:rPr>
          <w:rFonts w:ascii="Calibri" w:hAnsi="Calibri" w:cs="Calibri"/>
          <w:sz w:val="24"/>
          <w:szCs w:val="24"/>
        </w:rPr>
        <w:t xml:space="preserve"> &amp;</w:t>
      </w:r>
      <w:r w:rsidRPr="008121A5">
        <w:rPr>
          <w:rFonts w:ascii="Calibri" w:hAnsi="Calibri" w:cs="Calibri"/>
          <w:sz w:val="24"/>
          <w:szCs w:val="24"/>
        </w:rPr>
        <w:t xml:space="preserve"> </w:t>
      </w:r>
      <w:proofErr w:type="spellStart"/>
      <w:r w:rsidRPr="008121A5">
        <w:rPr>
          <w:rFonts w:ascii="Calibri" w:hAnsi="Calibri" w:cs="Calibri"/>
          <w:sz w:val="24"/>
          <w:szCs w:val="24"/>
        </w:rPr>
        <w:t>Burnaz</w:t>
      </w:r>
      <w:proofErr w:type="spellEnd"/>
      <w:r>
        <w:rPr>
          <w:rFonts w:ascii="Calibri" w:hAnsi="Calibri" w:cs="Calibri"/>
          <w:sz w:val="24"/>
          <w:szCs w:val="24"/>
        </w:rPr>
        <w:t xml:space="preserve"> (20</w:t>
      </w:r>
      <w:r w:rsidR="00390DF4">
        <w:rPr>
          <w:rFonts w:ascii="Calibri" w:hAnsi="Calibri" w:cs="Calibri"/>
          <w:sz w:val="24"/>
          <w:szCs w:val="24"/>
        </w:rPr>
        <w:t>1</w:t>
      </w:r>
      <w:r>
        <w:rPr>
          <w:rFonts w:ascii="Calibri" w:hAnsi="Calibri" w:cs="Calibri"/>
          <w:sz w:val="24"/>
          <w:szCs w:val="24"/>
        </w:rPr>
        <w:t>9)</w:t>
      </w:r>
      <w:r w:rsidRPr="008121A5">
        <w:rPr>
          <w:rFonts w:ascii="Calibri" w:hAnsi="Calibri" w:cs="Calibri"/>
          <w:sz w:val="24"/>
          <w:szCs w:val="24"/>
        </w:rPr>
        <w:t xml:space="preserve"> </w:t>
      </w:r>
      <w:r w:rsidR="000D4D69">
        <w:rPr>
          <w:rFonts w:ascii="Calibri" w:hAnsi="Calibri" w:cs="Calibri"/>
          <w:sz w:val="24"/>
          <w:szCs w:val="24"/>
        </w:rPr>
        <w:t xml:space="preserve">states the importance of customer </w:t>
      </w:r>
      <w:r w:rsidR="00C96E60">
        <w:rPr>
          <w:rFonts w:ascii="Calibri" w:hAnsi="Calibri" w:cs="Calibri"/>
          <w:sz w:val="24"/>
          <w:szCs w:val="24"/>
        </w:rPr>
        <w:t>experience,</w:t>
      </w:r>
      <w:r w:rsidR="000D4D69">
        <w:rPr>
          <w:rFonts w:ascii="Calibri" w:hAnsi="Calibri" w:cs="Calibri"/>
          <w:sz w:val="24"/>
          <w:szCs w:val="24"/>
        </w:rPr>
        <w:t xml:space="preserve"> </w:t>
      </w:r>
      <w:r w:rsidR="00107406">
        <w:rPr>
          <w:rFonts w:ascii="Calibri" w:hAnsi="Calibri" w:cs="Calibri"/>
          <w:sz w:val="24"/>
          <w:szCs w:val="24"/>
        </w:rPr>
        <w:t>and both the NHS and privat</w:t>
      </w:r>
      <w:r w:rsidR="00C96E60">
        <w:rPr>
          <w:rFonts w:ascii="Calibri" w:hAnsi="Calibri" w:cs="Calibri"/>
          <w:sz w:val="24"/>
          <w:szCs w:val="24"/>
        </w:rPr>
        <w:t xml:space="preserve">e clinics offer care to patients, but the customer experience differs significantly. In the private sector, </w:t>
      </w:r>
      <w:r w:rsidR="00201311">
        <w:rPr>
          <w:rFonts w:ascii="Calibri" w:hAnsi="Calibri" w:cs="Calibri"/>
          <w:sz w:val="24"/>
          <w:szCs w:val="24"/>
        </w:rPr>
        <w:t xml:space="preserve">clinics offer patients comfort, </w:t>
      </w:r>
      <w:r w:rsidR="00BA0905">
        <w:rPr>
          <w:rFonts w:ascii="Calibri" w:hAnsi="Calibri" w:cs="Calibri"/>
          <w:sz w:val="24"/>
          <w:szCs w:val="24"/>
        </w:rPr>
        <w:t>a relaxed atmosphere, and streamlined processes</w:t>
      </w:r>
      <w:r w:rsidR="009A09EE">
        <w:rPr>
          <w:rFonts w:ascii="Calibri" w:hAnsi="Calibri" w:cs="Calibri"/>
          <w:sz w:val="24"/>
          <w:szCs w:val="24"/>
        </w:rPr>
        <w:t xml:space="preserve"> which enhance the customers perceived value. These clinics often deliver shorter waiting times, flexible appointments, and more personalised communication</w:t>
      </w:r>
      <w:r w:rsidR="008D59A2">
        <w:rPr>
          <w:rFonts w:ascii="Calibri" w:hAnsi="Calibri" w:cs="Calibri"/>
          <w:sz w:val="24"/>
          <w:szCs w:val="24"/>
        </w:rPr>
        <w:t>, all shaping a positive and holistic experience for the patie</w:t>
      </w:r>
      <w:r w:rsidR="001A6EEA">
        <w:rPr>
          <w:rFonts w:ascii="Calibri" w:hAnsi="Calibri" w:cs="Calibri"/>
          <w:sz w:val="24"/>
          <w:szCs w:val="24"/>
        </w:rPr>
        <w:t xml:space="preserve">nt. </w:t>
      </w:r>
    </w:p>
    <w:p w14:paraId="19BB449A" w14:textId="45C19F1A" w:rsidR="001A6EEA" w:rsidRDefault="009E7ED2" w:rsidP="000D4D69">
      <w:pPr>
        <w:spacing w:line="360" w:lineRule="auto"/>
        <w:rPr>
          <w:rFonts w:ascii="Calibri" w:hAnsi="Calibri" w:cs="Calibri"/>
          <w:sz w:val="24"/>
          <w:szCs w:val="24"/>
        </w:rPr>
      </w:pPr>
      <w:r>
        <w:rPr>
          <w:rFonts w:ascii="Calibri" w:hAnsi="Calibri" w:cs="Calibri"/>
          <w:sz w:val="24"/>
          <w:szCs w:val="24"/>
        </w:rPr>
        <w:t>With th</w:t>
      </w:r>
      <w:r w:rsidR="001A6EEA">
        <w:rPr>
          <w:rFonts w:ascii="Calibri" w:hAnsi="Calibri" w:cs="Calibri"/>
          <w:sz w:val="24"/>
          <w:szCs w:val="24"/>
        </w:rPr>
        <w:t>e NHS however</w:t>
      </w:r>
      <w:r>
        <w:rPr>
          <w:rFonts w:ascii="Calibri" w:hAnsi="Calibri" w:cs="Calibri"/>
          <w:sz w:val="24"/>
          <w:szCs w:val="24"/>
        </w:rPr>
        <w:t>, patients</w:t>
      </w:r>
      <w:r w:rsidR="001A6EEA">
        <w:rPr>
          <w:rFonts w:ascii="Calibri" w:hAnsi="Calibri" w:cs="Calibri"/>
          <w:sz w:val="24"/>
          <w:szCs w:val="24"/>
        </w:rPr>
        <w:t xml:space="preserve"> </w:t>
      </w:r>
      <w:r w:rsidR="00196463">
        <w:rPr>
          <w:rFonts w:ascii="Calibri" w:hAnsi="Calibri" w:cs="Calibri"/>
          <w:sz w:val="24"/>
          <w:szCs w:val="24"/>
        </w:rPr>
        <w:t>experience inefficiencies such as longer waiting times or limited access to specialists, which a</w:t>
      </w:r>
      <w:r>
        <w:rPr>
          <w:rFonts w:ascii="Calibri" w:hAnsi="Calibri" w:cs="Calibri"/>
          <w:sz w:val="24"/>
          <w:szCs w:val="24"/>
        </w:rPr>
        <w:t>ffect</w:t>
      </w:r>
      <w:r w:rsidR="00CD4910">
        <w:rPr>
          <w:rFonts w:ascii="Calibri" w:hAnsi="Calibri" w:cs="Calibri"/>
          <w:sz w:val="24"/>
          <w:szCs w:val="24"/>
        </w:rPr>
        <w:t xml:space="preserve">s their overall impression and satisfaction. </w:t>
      </w:r>
      <w:r w:rsidR="000377C7">
        <w:rPr>
          <w:rFonts w:ascii="Calibri" w:hAnsi="Calibri" w:cs="Calibri"/>
          <w:sz w:val="24"/>
          <w:szCs w:val="24"/>
        </w:rPr>
        <w:t xml:space="preserve">With that said, the NHS emphasises robust structural quality and clinical standards, providing accessible and functional spaces with the importance of </w:t>
      </w:r>
      <w:r w:rsidR="00DC3066">
        <w:rPr>
          <w:rFonts w:ascii="Calibri" w:hAnsi="Calibri" w:cs="Calibri"/>
          <w:sz w:val="24"/>
          <w:szCs w:val="24"/>
        </w:rPr>
        <w:t xml:space="preserve">safety and public trust at the forefront of the organisation. </w:t>
      </w:r>
    </w:p>
    <w:p w14:paraId="614EE27B" w14:textId="38980A5D" w:rsidR="00977A43" w:rsidRDefault="002652B9" w:rsidP="003555FD">
      <w:pPr>
        <w:spacing w:line="360" w:lineRule="auto"/>
        <w:rPr>
          <w:rFonts w:ascii="Calibri" w:hAnsi="Calibri" w:cs="Calibri"/>
          <w:sz w:val="24"/>
          <w:szCs w:val="24"/>
        </w:rPr>
      </w:pPr>
      <w:r>
        <w:rPr>
          <w:rFonts w:ascii="Calibri" w:hAnsi="Calibri" w:cs="Calibri"/>
          <w:sz w:val="24"/>
          <w:szCs w:val="24"/>
        </w:rPr>
        <w:t xml:space="preserve">Customer experience is shaped by every interaction, from the initial research and communication </w:t>
      </w:r>
      <w:r w:rsidR="00EA1269">
        <w:rPr>
          <w:rFonts w:ascii="Calibri" w:hAnsi="Calibri" w:cs="Calibri"/>
          <w:sz w:val="24"/>
          <w:szCs w:val="24"/>
        </w:rPr>
        <w:t xml:space="preserve">right to post-treatment and after care. While the private sector invests heavily in tailoring each step </w:t>
      </w:r>
      <w:r w:rsidR="002E79FF">
        <w:rPr>
          <w:rFonts w:ascii="Calibri" w:hAnsi="Calibri" w:cs="Calibri"/>
          <w:sz w:val="24"/>
          <w:szCs w:val="24"/>
        </w:rPr>
        <w:t>to individual patient preferences and emotional reassurance, the NHS approach is offering reliability, consistency, and equitable access. Ultimately</w:t>
      </w:r>
      <w:r w:rsidR="0050773A">
        <w:rPr>
          <w:rFonts w:ascii="Calibri" w:hAnsi="Calibri" w:cs="Calibri"/>
          <w:sz w:val="24"/>
          <w:szCs w:val="24"/>
        </w:rPr>
        <w:t xml:space="preserve">, </w:t>
      </w:r>
      <w:r w:rsidR="0050773A">
        <w:rPr>
          <w:rFonts w:ascii="Calibri" w:hAnsi="Calibri" w:cs="Calibri"/>
          <w:sz w:val="24"/>
          <w:szCs w:val="24"/>
        </w:rPr>
        <w:lastRenderedPageBreak/>
        <w:t xml:space="preserve">perceived value in private clinics is often elevated by an environment </w:t>
      </w:r>
      <w:r w:rsidR="000866AE">
        <w:rPr>
          <w:rFonts w:ascii="Calibri" w:hAnsi="Calibri" w:cs="Calibri"/>
          <w:sz w:val="24"/>
          <w:szCs w:val="24"/>
        </w:rPr>
        <w:t>of convenience and choice, while the NHS offers assurance from its governance and clinical quality</w:t>
      </w:r>
      <w:r w:rsidR="003555FD">
        <w:rPr>
          <w:rFonts w:ascii="Calibri" w:hAnsi="Calibri" w:cs="Calibri"/>
          <w:sz w:val="24"/>
          <w:szCs w:val="24"/>
        </w:rPr>
        <w:t>.</w:t>
      </w:r>
    </w:p>
    <w:p w14:paraId="1A90E961" w14:textId="2A62EB02" w:rsidR="000F32C9" w:rsidRPr="00053F93" w:rsidRDefault="003555FD" w:rsidP="00053F93">
      <w:pPr>
        <w:spacing w:line="360" w:lineRule="auto"/>
        <w:rPr>
          <w:rFonts w:ascii="Calibri" w:hAnsi="Calibri" w:cs="Calibri"/>
          <w:sz w:val="24"/>
          <w:szCs w:val="24"/>
        </w:rPr>
      </w:pPr>
      <w:r>
        <w:rPr>
          <w:rFonts w:ascii="Calibri" w:hAnsi="Calibri" w:cs="Calibri"/>
          <w:sz w:val="24"/>
          <w:szCs w:val="24"/>
        </w:rPr>
        <w:t xml:space="preserve">Customer value in healthcare continues </w:t>
      </w:r>
      <w:r w:rsidR="00412593">
        <w:rPr>
          <w:rFonts w:ascii="Calibri" w:hAnsi="Calibri" w:cs="Calibri"/>
          <w:sz w:val="24"/>
          <w:szCs w:val="24"/>
        </w:rPr>
        <w:t>beyond outcomes as it includes emotional reassurance, convenience, and confidence in the care received. The distinction between perceived and actual value is crucial. For example, a patient may achieve the same weight loss outcome via NHS or private care, but the private route may feel more valuable due to the sho</w:t>
      </w:r>
      <w:r w:rsidR="005870FF">
        <w:rPr>
          <w:rFonts w:ascii="Calibri" w:hAnsi="Calibri" w:cs="Calibri"/>
          <w:sz w:val="24"/>
          <w:szCs w:val="24"/>
        </w:rPr>
        <w:t xml:space="preserve">rter waiting times, clearer communication, or better amenities. </w:t>
      </w:r>
    </w:p>
    <w:p w14:paraId="26DDCB22" w14:textId="77777777" w:rsidR="00046AA0" w:rsidRDefault="00F20AAA" w:rsidP="00BB41EE">
      <w:pPr>
        <w:pStyle w:val="Heading1"/>
        <w:rPr>
          <w:rFonts w:ascii="Calibri" w:hAnsi="Calibri" w:cs="Calibri"/>
        </w:rPr>
      </w:pPr>
      <w:bookmarkStart w:id="6" w:name="_Toc202386426"/>
      <w:r w:rsidRPr="00046AA0">
        <w:rPr>
          <w:rFonts w:ascii="Calibri" w:hAnsi="Calibri" w:cs="Calibri"/>
        </w:rPr>
        <w:t>4. CRM and Customer Relationship Development</w:t>
      </w:r>
      <w:bookmarkEnd w:id="6"/>
      <w:r w:rsidRPr="00046AA0">
        <w:rPr>
          <w:rFonts w:ascii="Calibri" w:hAnsi="Calibri" w:cs="Calibri"/>
        </w:rPr>
        <w:t xml:space="preserve"> </w:t>
      </w:r>
    </w:p>
    <w:p w14:paraId="406B6A67" w14:textId="488A7BB3" w:rsidR="0094278B" w:rsidRPr="00E41FE4" w:rsidRDefault="008C1146" w:rsidP="00E41FE4">
      <w:pPr>
        <w:spacing w:line="360" w:lineRule="auto"/>
        <w:rPr>
          <w:rFonts w:ascii="Calibri" w:hAnsi="Calibri" w:cs="Calibri"/>
          <w:sz w:val="24"/>
          <w:szCs w:val="24"/>
        </w:rPr>
      </w:pPr>
      <w:r>
        <w:rPr>
          <w:rFonts w:ascii="Calibri" w:hAnsi="Calibri" w:cs="Calibri"/>
          <w:sz w:val="24"/>
          <w:szCs w:val="24"/>
        </w:rPr>
        <w:t>Kulpa (2017) states that customer relationship management (CRM)</w:t>
      </w:r>
      <w:r w:rsidR="003E4F2A">
        <w:rPr>
          <w:rFonts w:ascii="Calibri" w:hAnsi="Calibri" w:cs="Calibri"/>
          <w:sz w:val="24"/>
          <w:szCs w:val="24"/>
        </w:rPr>
        <w:t xml:space="preserve"> involves </w:t>
      </w:r>
      <w:r w:rsidR="00D45EFE">
        <w:rPr>
          <w:rFonts w:ascii="Calibri" w:hAnsi="Calibri" w:cs="Calibri"/>
          <w:sz w:val="24"/>
          <w:szCs w:val="24"/>
        </w:rPr>
        <w:t>all</w:t>
      </w:r>
      <w:r w:rsidR="003E4F2A">
        <w:rPr>
          <w:rFonts w:ascii="Calibri" w:hAnsi="Calibri" w:cs="Calibri"/>
          <w:sz w:val="24"/>
          <w:szCs w:val="24"/>
        </w:rPr>
        <w:t xml:space="preserve"> the strategies, activities, and technologies that organisations use to manage interactions with </w:t>
      </w:r>
      <w:r w:rsidR="009064F1">
        <w:rPr>
          <w:rFonts w:ascii="Calibri" w:hAnsi="Calibri" w:cs="Calibri"/>
          <w:sz w:val="24"/>
          <w:szCs w:val="24"/>
        </w:rPr>
        <w:t xml:space="preserve">their current and potential patients. CRM enables organisations to </w:t>
      </w:r>
      <w:r w:rsidR="00D45EFE">
        <w:rPr>
          <w:rFonts w:ascii="Calibri" w:hAnsi="Calibri" w:cs="Calibri"/>
          <w:sz w:val="24"/>
          <w:szCs w:val="24"/>
        </w:rPr>
        <w:t>build relationship</w:t>
      </w:r>
      <w:r w:rsidR="00455980">
        <w:rPr>
          <w:rFonts w:ascii="Calibri" w:hAnsi="Calibri" w:cs="Calibri"/>
          <w:sz w:val="24"/>
          <w:szCs w:val="24"/>
        </w:rPr>
        <w:t>s</w:t>
      </w:r>
      <w:r w:rsidR="00D45EFE">
        <w:rPr>
          <w:rFonts w:ascii="Calibri" w:hAnsi="Calibri" w:cs="Calibri"/>
          <w:sz w:val="24"/>
          <w:szCs w:val="24"/>
        </w:rPr>
        <w:t xml:space="preserve"> with their customers, which creates </w:t>
      </w:r>
      <w:r w:rsidR="00C00270">
        <w:rPr>
          <w:rFonts w:ascii="Calibri" w:hAnsi="Calibri" w:cs="Calibri"/>
          <w:sz w:val="24"/>
          <w:szCs w:val="24"/>
        </w:rPr>
        <w:t>loyalty and customer retention</w:t>
      </w:r>
      <w:r w:rsidR="00455980">
        <w:rPr>
          <w:rFonts w:ascii="Calibri" w:hAnsi="Calibri" w:cs="Calibri"/>
          <w:sz w:val="24"/>
          <w:szCs w:val="24"/>
        </w:rPr>
        <w:t xml:space="preserve">. </w:t>
      </w:r>
      <w:r w:rsidR="00E41FE4" w:rsidRPr="00E41FE4">
        <w:rPr>
          <w:rFonts w:ascii="Calibri" w:hAnsi="Calibri" w:cs="Calibri"/>
          <w:sz w:val="24"/>
          <w:szCs w:val="24"/>
        </w:rPr>
        <w:t>Customer loyalty and revenue both influence company profits, making CRM a valuable management strategy</w:t>
      </w:r>
      <w:r w:rsidR="00455980">
        <w:rPr>
          <w:rFonts w:ascii="Calibri" w:hAnsi="Calibri" w:cs="Calibri"/>
          <w:sz w:val="24"/>
          <w:szCs w:val="24"/>
        </w:rPr>
        <w:t xml:space="preserve"> and </w:t>
      </w:r>
      <w:r w:rsidR="00E41FE4" w:rsidRPr="00E41FE4">
        <w:rPr>
          <w:rFonts w:ascii="Calibri" w:hAnsi="Calibri" w:cs="Calibri"/>
          <w:sz w:val="24"/>
          <w:szCs w:val="24"/>
        </w:rPr>
        <w:t>provides an easy-to-use interface for data collection, enabling scalable customer recognition and communication.</w:t>
      </w:r>
    </w:p>
    <w:p w14:paraId="3CE4C797" w14:textId="77777777" w:rsidR="007617DB" w:rsidRDefault="00B475B6" w:rsidP="007617DB">
      <w:pPr>
        <w:spacing w:line="360" w:lineRule="auto"/>
        <w:rPr>
          <w:rFonts w:ascii="Calibri" w:hAnsi="Calibri" w:cs="Calibri"/>
          <w:sz w:val="24"/>
          <w:szCs w:val="24"/>
        </w:rPr>
      </w:pPr>
      <w:r>
        <w:rPr>
          <w:rFonts w:ascii="Calibri" w:hAnsi="Calibri" w:cs="Calibri"/>
          <w:sz w:val="24"/>
          <w:szCs w:val="24"/>
        </w:rPr>
        <w:t xml:space="preserve">Hariharan (2025) </w:t>
      </w:r>
      <w:r w:rsidR="00E6394D">
        <w:rPr>
          <w:rFonts w:ascii="Calibri" w:hAnsi="Calibri" w:cs="Calibri"/>
          <w:sz w:val="24"/>
          <w:szCs w:val="24"/>
        </w:rPr>
        <w:t xml:space="preserve">agrees that </w:t>
      </w:r>
      <w:r w:rsidR="00964210">
        <w:rPr>
          <w:rFonts w:ascii="Calibri" w:hAnsi="Calibri" w:cs="Calibri"/>
          <w:sz w:val="24"/>
          <w:szCs w:val="24"/>
        </w:rPr>
        <w:t xml:space="preserve">CRMs are </w:t>
      </w:r>
      <w:r w:rsidR="005B58DD">
        <w:rPr>
          <w:rFonts w:ascii="Calibri" w:hAnsi="Calibri" w:cs="Calibri"/>
          <w:sz w:val="24"/>
          <w:szCs w:val="24"/>
        </w:rPr>
        <w:t xml:space="preserve">vital in healthcare as they </w:t>
      </w:r>
      <w:r w:rsidR="00283B8A">
        <w:rPr>
          <w:rFonts w:ascii="Calibri" w:hAnsi="Calibri" w:cs="Calibri"/>
          <w:sz w:val="24"/>
          <w:szCs w:val="24"/>
        </w:rPr>
        <w:t>integrate multiple sources of dat</w:t>
      </w:r>
      <w:r w:rsidR="00A61C87">
        <w:rPr>
          <w:rFonts w:ascii="Calibri" w:hAnsi="Calibri" w:cs="Calibri"/>
          <w:sz w:val="24"/>
          <w:szCs w:val="24"/>
        </w:rPr>
        <w:t>a</w:t>
      </w:r>
      <w:r w:rsidR="00575D67">
        <w:rPr>
          <w:rFonts w:ascii="Calibri" w:hAnsi="Calibri" w:cs="Calibri"/>
          <w:sz w:val="24"/>
          <w:szCs w:val="24"/>
        </w:rPr>
        <w:t xml:space="preserve"> </w:t>
      </w:r>
      <w:r w:rsidR="00B35DB4">
        <w:rPr>
          <w:rFonts w:ascii="Calibri" w:hAnsi="Calibri" w:cs="Calibri"/>
          <w:sz w:val="24"/>
          <w:szCs w:val="24"/>
        </w:rPr>
        <w:t xml:space="preserve">to provide a comprehensive view of </w:t>
      </w:r>
      <w:r w:rsidR="00CF65A5">
        <w:rPr>
          <w:rFonts w:ascii="Calibri" w:hAnsi="Calibri" w:cs="Calibri"/>
          <w:sz w:val="24"/>
          <w:szCs w:val="24"/>
        </w:rPr>
        <w:t>patient’s</w:t>
      </w:r>
      <w:r w:rsidR="00B35DB4">
        <w:rPr>
          <w:rFonts w:ascii="Calibri" w:hAnsi="Calibri" w:cs="Calibri"/>
          <w:sz w:val="24"/>
          <w:szCs w:val="24"/>
        </w:rPr>
        <w:t xml:space="preserve"> habits and activities. </w:t>
      </w:r>
      <w:r w:rsidR="00CF65A5">
        <w:rPr>
          <w:rFonts w:ascii="Calibri" w:hAnsi="Calibri" w:cs="Calibri"/>
          <w:sz w:val="24"/>
          <w:szCs w:val="24"/>
        </w:rPr>
        <w:t>These sources of data include consumer and patient demographics, social</w:t>
      </w:r>
      <w:r w:rsidR="00DF57EE">
        <w:rPr>
          <w:rFonts w:ascii="Calibri" w:hAnsi="Calibri" w:cs="Calibri"/>
          <w:sz w:val="24"/>
          <w:szCs w:val="24"/>
        </w:rPr>
        <w:t>, behavioural, financial, website, provider credentials, call centre etc. CRM softw</w:t>
      </w:r>
      <w:r w:rsidR="007A73E6">
        <w:rPr>
          <w:rFonts w:ascii="Calibri" w:hAnsi="Calibri" w:cs="Calibri"/>
          <w:sz w:val="24"/>
          <w:szCs w:val="24"/>
        </w:rPr>
        <w:t xml:space="preserve">are is vital for enhancing patient communication, acquisition, and engagement between healthcare providers and patients. </w:t>
      </w:r>
      <w:r w:rsidR="00661442">
        <w:rPr>
          <w:rFonts w:ascii="Calibri" w:hAnsi="Calibri" w:cs="Calibri"/>
          <w:sz w:val="24"/>
          <w:szCs w:val="24"/>
        </w:rPr>
        <w:t xml:space="preserve">It </w:t>
      </w:r>
      <w:r w:rsidR="002F37BB">
        <w:rPr>
          <w:rFonts w:ascii="Calibri" w:hAnsi="Calibri" w:cs="Calibri"/>
          <w:sz w:val="24"/>
          <w:szCs w:val="24"/>
        </w:rPr>
        <w:t>serves as an essential tool</w:t>
      </w:r>
      <w:r w:rsidR="00594D7C">
        <w:rPr>
          <w:rFonts w:ascii="Calibri" w:hAnsi="Calibri" w:cs="Calibri"/>
          <w:sz w:val="24"/>
          <w:szCs w:val="24"/>
        </w:rPr>
        <w:t xml:space="preserve"> used to engage, acquire, and retain patients, and allows healthcare providers to </w:t>
      </w:r>
      <w:r w:rsidR="00661442">
        <w:rPr>
          <w:rFonts w:ascii="Calibri" w:hAnsi="Calibri" w:cs="Calibri"/>
          <w:sz w:val="24"/>
          <w:szCs w:val="24"/>
        </w:rPr>
        <w:t>manage patients before they visit the hospital</w:t>
      </w:r>
      <w:r w:rsidR="00AA48B2">
        <w:rPr>
          <w:rFonts w:ascii="Calibri" w:hAnsi="Calibri" w:cs="Calibri"/>
          <w:sz w:val="24"/>
          <w:szCs w:val="24"/>
        </w:rPr>
        <w:t>,</w:t>
      </w:r>
      <w:r w:rsidR="00661442">
        <w:rPr>
          <w:rFonts w:ascii="Calibri" w:hAnsi="Calibri" w:cs="Calibri"/>
          <w:sz w:val="24"/>
          <w:szCs w:val="24"/>
        </w:rPr>
        <w:t xml:space="preserve"> to post-treatment and beyond. </w:t>
      </w:r>
      <w:r w:rsidR="004736E9" w:rsidRPr="004736E9">
        <w:rPr>
          <w:rFonts w:ascii="Calibri" w:hAnsi="Calibri" w:cs="Calibri"/>
          <w:sz w:val="24"/>
          <w:szCs w:val="24"/>
        </w:rPr>
        <w:t>While CRM is a strategic priority in private healthcare, it is still emerging in the NHS. The contrast between the two illustrates both the potential and the limitations of relationship-building in healthcare.</w:t>
      </w:r>
      <w:r w:rsidR="007617DB">
        <w:rPr>
          <w:rFonts w:ascii="Calibri" w:hAnsi="Calibri" w:cs="Calibri"/>
          <w:sz w:val="24"/>
          <w:szCs w:val="24"/>
        </w:rPr>
        <w:t xml:space="preserve"> </w:t>
      </w:r>
    </w:p>
    <w:p w14:paraId="3D75CE14" w14:textId="7B905DF4" w:rsidR="00FB3AFC" w:rsidRDefault="00C04EBE" w:rsidP="007617DB">
      <w:pPr>
        <w:spacing w:line="360" w:lineRule="auto"/>
        <w:rPr>
          <w:rFonts w:ascii="Calibri" w:hAnsi="Calibri" w:cs="Calibri"/>
          <w:sz w:val="24"/>
          <w:szCs w:val="24"/>
        </w:rPr>
      </w:pPr>
      <w:proofErr w:type="spellStart"/>
      <w:r>
        <w:rPr>
          <w:rFonts w:ascii="Calibri" w:hAnsi="Calibri" w:cs="Calibri"/>
          <w:sz w:val="24"/>
          <w:szCs w:val="24"/>
        </w:rPr>
        <w:t>Basshar</w:t>
      </w:r>
      <w:proofErr w:type="spellEnd"/>
      <w:r>
        <w:rPr>
          <w:rFonts w:ascii="Calibri" w:hAnsi="Calibri" w:cs="Calibri"/>
          <w:sz w:val="24"/>
          <w:szCs w:val="24"/>
        </w:rPr>
        <w:t xml:space="preserve"> </w:t>
      </w:r>
      <w:r>
        <w:rPr>
          <w:rFonts w:ascii="Calibri" w:hAnsi="Calibri" w:cs="Calibri"/>
          <w:i/>
          <w:iCs/>
          <w:sz w:val="24"/>
          <w:szCs w:val="24"/>
        </w:rPr>
        <w:t>et al. (</w:t>
      </w:r>
      <w:r>
        <w:rPr>
          <w:rFonts w:ascii="Calibri" w:hAnsi="Calibri" w:cs="Calibri"/>
          <w:sz w:val="24"/>
          <w:szCs w:val="24"/>
        </w:rPr>
        <w:t>2020) states that i</w:t>
      </w:r>
      <w:r w:rsidR="00B25AD4" w:rsidRPr="007617DB">
        <w:rPr>
          <w:rFonts w:ascii="Calibri" w:hAnsi="Calibri" w:cs="Calibri"/>
          <w:sz w:val="24"/>
          <w:szCs w:val="24"/>
        </w:rPr>
        <w:t xml:space="preserve">n the NHS, CRM is mainly used for operational functions such as appointment reminders, digital record-keeping, and collecting patient feedback. </w:t>
      </w:r>
      <w:r w:rsidR="0048448A">
        <w:rPr>
          <w:rFonts w:ascii="Calibri" w:hAnsi="Calibri" w:cs="Calibri"/>
          <w:sz w:val="24"/>
          <w:szCs w:val="24"/>
        </w:rPr>
        <w:t>P</w:t>
      </w:r>
      <w:r w:rsidR="00B25AD4" w:rsidRPr="007617DB">
        <w:rPr>
          <w:rFonts w:ascii="Calibri" w:hAnsi="Calibri" w:cs="Calibri"/>
          <w:sz w:val="24"/>
          <w:szCs w:val="24"/>
        </w:rPr>
        <w:t xml:space="preserve">rivate clinics employ more sophisticated CRM systems, </w:t>
      </w:r>
      <w:r w:rsidR="0048448A">
        <w:rPr>
          <w:rFonts w:ascii="Calibri" w:hAnsi="Calibri" w:cs="Calibri"/>
          <w:sz w:val="24"/>
          <w:szCs w:val="24"/>
        </w:rPr>
        <w:t>which allows</w:t>
      </w:r>
      <w:r w:rsidR="00B25AD4" w:rsidRPr="007617DB">
        <w:rPr>
          <w:rFonts w:ascii="Calibri" w:hAnsi="Calibri" w:cs="Calibri"/>
          <w:sz w:val="24"/>
          <w:szCs w:val="24"/>
        </w:rPr>
        <w:t xml:space="preserve"> them to engage </w:t>
      </w:r>
      <w:r w:rsidR="00B25AD4" w:rsidRPr="007617DB">
        <w:rPr>
          <w:rFonts w:ascii="Calibri" w:hAnsi="Calibri" w:cs="Calibri"/>
          <w:sz w:val="24"/>
          <w:szCs w:val="24"/>
        </w:rPr>
        <w:lastRenderedPageBreak/>
        <w:t>patients more proactively, personalise marketing efforts, and provide tailored services beyond the basics of operational management.</w:t>
      </w:r>
      <w:r w:rsidR="00DF3DA7">
        <w:rPr>
          <w:rFonts w:ascii="Calibri" w:hAnsi="Calibri" w:cs="Calibri"/>
          <w:sz w:val="24"/>
          <w:szCs w:val="24"/>
        </w:rPr>
        <w:t xml:space="preserve"> </w:t>
      </w:r>
    </w:p>
    <w:p w14:paraId="6C73D2FF" w14:textId="57AA4063" w:rsidR="000A7A3B" w:rsidRPr="00652074" w:rsidRDefault="00185E12" w:rsidP="00185E12">
      <w:pPr>
        <w:pStyle w:val="Heading2"/>
        <w:rPr>
          <w:rFonts w:ascii="Calibri" w:hAnsi="Calibri" w:cs="Calibri"/>
        </w:rPr>
      </w:pPr>
      <w:bookmarkStart w:id="7" w:name="_Toc202386427"/>
      <w:r w:rsidRPr="00652074">
        <w:rPr>
          <w:rFonts w:ascii="Calibri" w:hAnsi="Calibri" w:cs="Calibri"/>
        </w:rPr>
        <w:t>4.1 Customer Value</w:t>
      </w:r>
      <w:bookmarkEnd w:id="7"/>
    </w:p>
    <w:p w14:paraId="584E4BED" w14:textId="77777777" w:rsidR="00E86A1B" w:rsidRDefault="00943D3E" w:rsidP="00C31748">
      <w:pPr>
        <w:spacing w:line="360" w:lineRule="auto"/>
        <w:rPr>
          <w:rFonts w:ascii="Calibri" w:hAnsi="Calibri" w:cs="Calibri"/>
          <w:sz w:val="24"/>
          <w:szCs w:val="24"/>
        </w:rPr>
      </w:pPr>
      <w:r w:rsidRPr="00943D3E">
        <w:rPr>
          <w:rFonts w:ascii="Calibri" w:hAnsi="Calibri" w:cs="Calibri"/>
          <w:sz w:val="24"/>
          <w:szCs w:val="24"/>
        </w:rPr>
        <w:t>Zendesk</w:t>
      </w:r>
      <w:r>
        <w:rPr>
          <w:rFonts w:ascii="Calibri" w:hAnsi="Calibri" w:cs="Calibri"/>
          <w:sz w:val="24"/>
          <w:szCs w:val="24"/>
        </w:rPr>
        <w:t xml:space="preserve"> (2024) states that </w:t>
      </w:r>
      <w:r w:rsidR="00177831">
        <w:rPr>
          <w:rFonts w:ascii="Calibri" w:hAnsi="Calibri" w:cs="Calibri"/>
          <w:sz w:val="24"/>
          <w:szCs w:val="24"/>
        </w:rPr>
        <w:t>c</w:t>
      </w:r>
      <w:r w:rsidR="00177831" w:rsidRPr="00177831">
        <w:rPr>
          <w:rFonts w:ascii="Calibri" w:hAnsi="Calibri" w:cs="Calibri"/>
          <w:sz w:val="24"/>
          <w:szCs w:val="24"/>
        </w:rPr>
        <w:t>ustomer value is the perceived benefit of a product or service compared to its cost. It includes factors like price, quality, and functionality. Consumers also consider monetary, time, energy, and emotional costs when evaluating a purchase.</w:t>
      </w:r>
      <w:r w:rsidR="000957C0">
        <w:rPr>
          <w:rFonts w:ascii="Calibri" w:hAnsi="Calibri" w:cs="Calibri"/>
          <w:sz w:val="24"/>
          <w:szCs w:val="24"/>
        </w:rPr>
        <w:t xml:space="preserve"> </w:t>
      </w:r>
      <w:r w:rsidR="00E827EA" w:rsidRPr="000957C0">
        <w:rPr>
          <w:rFonts w:ascii="Calibri" w:hAnsi="Calibri" w:cs="Calibri"/>
          <w:sz w:val="24"/>
          <w:szCs w:val="24"/>
        </w:rPr>
        <w:t xml:space="preserve">Providing customer value in healthcare is essential for fostering long-term patient relationships and encouraging repeat engagement with healthcare services. It plays a critical role in addressing patient needs and expectations, which naturally evolve over time. Understanding how patients perceive both the quality of </w:t>
      </w:r>
      <w:r w:rsidR="000957C0" w:rsidRPr="000957C0">
        <w:rPr>
          <w:rFonts w:ascii="Calibri" w:hAnsi="Calibri" w:cs="Calibri"/>
          <w:sz w:val="24"/>
          <w:szCs w:val="24"/>
        </w:rPr>
        <w:t>care,</w:t>
      </w:r>
      <w:r w:rsidR="00E827EA" w:rsidRPr="000957C0">
        <w:rPr>
          <w:rFonts w:ascii="Calibri" w:hAnsi="Calibri" w:cs="Calibri"/>
          <w:sz w:val="24"/>
          <w:szCs w:val="24"/>
        </w:rPr>
        <w:t xml:space="preserve"> and the surrounding service experience is fundamental to building patient loyalty and improving overall patient lifetime value.</w:t>
      </w:r>
      <w:r w:rsidR="00E86A1B">
        <w:rPr>
          <w:rFonts w:ascii="Calibri" w:hAnsi="Calibri" w:cs="Calibri"/>
          <w:sz w:val="24"/>
          <w:szCs w:val="24"/>
        </w:rPr>
        <w:t xml:space="preserve"> </w:t>
      </w:r>
    </w:p>
    <w:p w14:paraId="58486AAD" w14:textId="2163E35F" w:rsidR="00185E12" w:rsidRPr="00185E12" w:rsidRDefault="00C31748" w:rsidP="002A613C">
      <w:pPr>
        <w:spacing w:line="360" w:lineRule="auto"/>
        <w:rPr>
          <w:rFonts w:ascii="Calibri" w:hAnsi="Calibri" w:cs="Calibri"/>
          <w:sz w:val="24"/>
          <w:szCs w:val="24"/>
        </w:rPr>
      </w:pPr>
      <w:r>
        <w:rPr>
          <w:rFonts w:ascii="Calibri" w:hAnsi="Calibri" w:cs="Calibri"/>
          <w:sz w:val="24"/>
          <w:szCs w:val="24"/>
        </w:rPr>
        <w:t xml:space="preserve">Almquist </w:t>
      </w:r>
      <w:r>
        <w:rPr>
          <w:rFonts w:ascii="Calibri" w:hAnsi="Calibri" w:cs="Calibri"/>
          <w:i/>
          <w:iCs/>
          <w:sz w:val="24"/>
          <w:szCs w:val="24"/>
        </w:rPr>
        <w:t xml:space="preserve">et al. </w:t>
      </w:r>
      <w:r>
        <w:rPr>
          <w:rFonts w:ascii="Calibri" w:hAnsi="Calibri" w:cs="Calibri"/>
          <w:sz w:val="24"/>
          <w:szCs w:val="24"/>
        </w:rPr>
        <w:t>(2016) agrees that when customers evaluate a product or service</w:t>
      </w:r>
      <w:r w:rsidR="007B0545">
        <w:rPr>
          <w:rFonts w:ascii="Calibri" w:hAnsi="Calibri" w:cs="Calibri"/>
          <w:sz w:val="24"/>
          <w:szCs w:val="24"/>
        </w:rPr>
        <w:t>, they weigh its perceived value against the asking price. Private healthcare sectors have g</w:t>
      </w:r>
      <w:r w:rsidR="00456F05">
        <w:rPr>
          <w:rFonts w:ascii="Calibri" w:hAnsi="Calibri" w:cs="Calibri"/>
          <w:sz w:val="24"/>
          <w:szCs w:val="24"/>
        </w:rPr>
        <w:t xml:space="preserve">enerally focused much of their time and energy on managing </w:t>
      </w:r>
      <w:r w:rsidR="00527403">
        <w:rPr>
          <w:rFonts w:ascii="Calibri" w:hAnsi="Calibri" w:cs="Calibri"/>
          <w:sz w:val="24"/>
          <w:szCs w:val="24"/>
        </w:rPr>
        <w:t xml:space="preserve">the price side of the customer value formula, </w:t>
      </w:r>
      <w:r w:rsidR="00A67036">
        <w:rPr>
          <w:rFonts w:ascii="Calibri" w:hAnsi="Calibri" w:cs="Calibri"/>
          <w:sz w:val="24"/>
          <w:szCs w:val="24"/>
        </w:rPr>
        <w:t>(</w:t>
      </w:r>
      <w:r w:rsidR="00527403">
        <w:rPr>
          <w:rFonts w:ascii="Calibri" w:hAnsi="Calibri" w:cs="Calibri"/>
          <w:sz w:val="24"/>
          <w:szCs w:val="24"/>
        </w:rPr>
        <w:t>which can be found in appendix E</w:t>
      </w:r>
      <w:r w:rsidR="00A67036">
        <w:rPr>
          <w:rFonts w:ascii="Calibri" w:hAnsi="Calibri" w:cs="Calibri"/>
          <w:sz w:val="24"/>
          <w:szCs w:val="24"/>
        </w:rPr>
        <w:t xml:space="preserve">) as pricing </w:t>
      </w:r>
      <w:r w:rsidR="007D7F29">
        <w:rPr>
          <w:rFonts w:ascii="Calibri" w:hAnsi="Calibri" w:cs="Calibri"/>
          <w:sz w:val="24"/>
          <w:szCs w:val="24"/>
        </w:rPr>
        <w:t>ultimately leads to profits</w:t>
      </w:r>
      <w:r w:rsidR="00527403">
        <w:rPr>
          <w:rFonts w:ascii="Calibri" w:hAnsi="Calibri" w:cs="Calibri"/>
          <w:sz w:val="24"/>
          <w:szCs w:val="24"/>
        </w:rPr>
        <w:t xml:space="preserve">. </w:t>
      </w:r>
      <w:r w:rsidR="007D7F29">
        <w:rPr>
          <w:rFonts w:ascii="Calibri" w:hAnsi="Calibri" w:cs="Calibri"/>
          <w:sz w:val="24"/>
          <w:szCs w:val="24"/>
        </w:rPr>
        <w:t xml:space="preserve">Pricing usually consists of manging a small set of numbers, with pricing analytics and tactics involved too. </w:t>
      </w:r>
      <w:r w:rsidR="0056473F">
        <w:rPr>
          <w:rFonts w:ascii="Calibri" w:hAnsi="Calibri" w:cs="Calibri"/>
          <w:sz w:val="24"/>
          <w:szCs w:val="24"/>
        </w:rPr>
        <w:t xml:space="preserve">There are four </w:t>
      </w:r>
      <w:r w:rsidR="0037735B">
        <w:rPr>
          <w:rFonts w:ascii="Calibri" w:hAnsi="Calibri" w:cs="Calibri"/>
          <w:sz w:val="24"/>
          <w:szCs w:val="24"/>
        </w:rPr>
        <w:t>categories of customer value: Functional, emotional, life changing, and social impact</w:t>
      </w:r>
      <w:r w:rsidR="003D6C7A">
        <w:rPr>
          <w:rFonts w:ascii="Calibri" w:hAnsi="Calibri" w:cs="Calibri"/>
          <w:sz w:val="24"/>
          <w:szCs w:val="24"/>
        </w:rPr>
        <w:t>. While not all categories may be identified through customer experiences, the more elements that are provided</w:t>
      </w:r>
      <w:r w:rsidR="008E7F6C">
        <w:rPr>
          <w:rFonts w:ascii="Calibri" w:hAnsi="Calibri" w:cs="Calibri"/>
          <w:sz w:val="24"/>
          <w:szCs w:val="24"/>
        </w:rPr>
        <w:t xml:space="preserve"> the greater the customers loyalty and the higher the company’s revenue growth. </w:t>
      </w:r>
    </w:p>
    <w:p w14:paraId="12775441" w14:textId="04D901B2" w:rsidR="00902897" w:rsidRPr="00652074" w:rsidRDefault="00220358" w:rsidP="00220358">
      <w:pPr>
        <w:pStyle w:val="Heading1"/>
        <w:rPr>
          <w:rFonts w:ascii="Calibri" w:hAnsi="Calibri" w:cs="Calibri"/>
        </w:rPr>
      </w:pPr>
      <w:bookmarkStart w:id="8" w:name="_Toc202386428"/>
      <w:r w:rsidRPr="00652074">
        <w:rPr>
          <w:rFonts w:ascii="Calibri" w:hAnsi="Calibri" w:cs="Calibri"/>
        </w:rPr>
        <w:t>5. Customer Centrality and Segmentation</w:t>
      </w:r>
      <w:bookmarkEnd w:id="8"/>
    </w:p>
    <w:p w14:paraId="5CA8CAF8" w14:textId="7B3110DE" w:rsidR="00D4529F" w:rsidRDefault="00AA5547" w:rsidP="00D4529F">
      <w:pPr>
        <w:spacing w:line="360" w:lineRule="auto"/>
        <w:rPr>
          <w:rFonts w:ascii="Calibri" w:hAnsi="Calibri" w:cs="Calibri"/>
          <w:sz w:val="24"/>
          <w:szCs w:val="24"/>
        </w:rPr>
      </w:pPr>
      <w:r>
        <w:rPr>
          <w:rFonts w:ascii="Calibri" w:hAnsi="Calibri" w:cs="Calibri"/>
          <w:sz w:val="24"/>
          <w:szCs w:val="24"/>
        </w:rPr>
        <w:t xml:space="preserve">Customer centrality is a principle where the </w:t>
      </w:r>
      <w:r w:rsidR="00242F01">
        <w:rPr>
          <w:rFonts w:ascii="Calibri" w:hAnsi="Calibri" w:cs="Calibri"/>
          <w:sz w:val="24"/>
          <w:szCs w:val="24"/>
        </w:rPr>
        <w:t>organisation’s</w:t>
      </w:r>
      <w:r>
        <w:rPr>
          <w:rFonts w:ascii="Calibri" w:hAnsi="Calibri" w:cs="Calibri"/>
          <w:sz w:val="24"/>
          <w:szCs w:val="24"/>
        </w:rPr>
        <w:t xml:space="preserve"> strategy</w:t>
      </w:r>
      <w:r w:rsidR="00242F01">
        <w:rPr>
          <w:rFonts w:ascii="Calibri" w:hAnsi="Calibri" w:cs="Calibri"/>
          <w:sz w:val="24"/>
          <w:szCs w:val="24"/>
        </w:rPr>
        <w:t xml:space="preserve">, service design, and operations </w:t>
      </w:r>
      <w:r w:rsidR="00344141">
        <w:rPr>
          <w:rFonts w:ascii="Calibri" w:hAnsi="Calibri" w:cs="Calibri"/>
          <w:sz w:val="24"/>
          <w:szCs w:val="24"/>
        </w:rPr>
        <w:t xml:space="preserve">revolve around the needs and values of its patients, or customers. </w:t>
      </w:r>
      <w:r w:rsidR="00C73819">
        <w:rPr>
          <w:rFonts w:ascii="Calibri" w:hAnsi="Calibri" w:cs="Calibri"/>
          <w:sz w:val="24"/>
          <w:szCs w:val="24"/>
        </w:rPr>
        <w:t xml:space="preserve">In healthcare, this requires seeing patients as active partners in the service experience and not just as passive recipients of care. When customer centrality is combined with effective segmentation, it enables organisations to deliver more relevant, personalised, and efficient care. </w:t>
      </w:r>
      <w:r w:rsidR="00332800">
        <w:rPr>
          <w:rFonts w:ascii="Calibri" w:hAnsi="Calibri" w:cs="Calibri"/>
          <w:sz w:val="24"/>
          <w:szCs w:val="24"/>
        </w:rPr>
        <w:t xml:space="preserve">In private </w:t>
      </w:r>
      <w:r w:rsidR="00C10C1A">
        <w:rPr>
          <w:rFonts w:ascii="Calibri" w:hAnsi="Calibri" w:cs="Calibri"/>
          <w:sz w:val="24"/>
          <w:szCs w:val="24"/>
        </w:rPr>
        <w:t xml:space="preserve">clinics, customer centrality is a competitive advantage, as they drive loyalty and perceived value. </w:t>
      </w:r>
      <w:r w:rsidR="002C6FB1">
        <w:rPr>
          <w:rFonts w:ascii="Calibri" w:hAnsi="Calibri" w:cs="Calibri"/>
          <w:sz w:val="24"/>
          <w:szCs w:val="24"/>
        </w:rPr>
        <w:t xml:space="preserve">Whereas, the NHS faces structural and cultural challenges in achieving this due to service constraints, </w:t>
      </w:r>
      <w:r w:rsidR="007F556F">
        <w:rPr>
          <w:rFonts w:ascii="Calibri" w:hAnsi="Calibri" w:cs="Calibri"/>
          <w:sz w:val="24"/>
          <w:szCs w:val="24"/>
        </w:rPr>
        <w:t>the scale, and funding model.</w:t>
      </w:r>
    </w:p>
    <w:p w14:paraId="3B194490" w14:textId="5459F2B7" w:rsidR="007F556F" w:rsidRDefault="005F544C" w:rsidP="00D4529F">
      <w:pPr>
        <w:spacing w:line="360" w:lineRule="auto"/>
        <w:rPr>
          <w:rFonts w:ascii="Calibri" w:hAnsi="Calibri" w:cs="Calibri"/>
          <w:sz w:val="24"/>
          <w:szCs w:val="24"/>
        </w:rPr>
      </w:pPr>
      <w:r>
        <w:rPr>
          <w:rFonts w:ascii="Calibri" w:hAnsi="Calibri" w:cs="Calibri"/>
          <w:sz w:val="24"/>
          <w:szCs w:val="24"/>
        </w:rPr>
        <w:lastRenderedPageBreak/>
        <w:t xml:space="preserve">Vain (2024) </w:t>
      </w:r>
      <w:r w:rsidR="00EA7846">
        <w:rPr>
          <w:rFonts w:ascii="Calibri" w:hAnsi="Calibri" w:cs="Calibri"/>
          <w:sz w:val="24"/>
          <w:szCs w:val="24"/>
        </w:rPr>
        <w:t xml:space="preserve">states that patient-centred care places the </w:t>
      </w:r>
      <w:r w:rsidR="008C200C">
        <w:rPr>
          <w:rFonts w:ascii="Calibri" w:hAnsi="Calibri" w:cs="Calibri"/>
          <w:sz w:val="24"/>
          <w:szCs w:val="24"/>
        </w:rPr>
        <w:t>patient’s</w:t>
      </w:r>
      <w:r w:rsidR="00EA7846">
        <w:rPr>
          <w:rFonts w:ascii="Calibri" w:hAnsi="Calibri" w:cs="Calibri"/>
          <w:sz w:val="24"/>
          <w:szCs w:val="24"/>
        </w:rPr>
        <w:t xml:space="preserve"> needs, and values at the forefront of healthcare delivery. </w:t>
      </w:r>
      <w:r w:rsidR="0018530C">
        <w:rPr>
          <w:rFonts w:ascii="Calibri" w:hAnsi="Calibri" w:cs="Calibri"/>
          <w:sz w:val="24"/>
          <w:szCs w:val="24"/>
        </w:rPr>
        <w:t xml:space="preserve">It encourages involving patients </w:t>
      </w:r>
      <w:r w:rsidR="008C200C">
        <w:rPr>
          <w:rFonts w:ascii="Calibri" w:hAnsi="Calibri" w:cs="Calibri"/>
          <w:sz w:val="24"/>
          <w:szCs w:val="24"/>
        </w:rPr>
        <w:t>in decisions about th</w:t>
      </w:r>
      <w:r w:rsidR="00D0673A">
        <w:rPr>
          <w:rFonts w:ascii="Calibri" w:hAnsi="Calibri" w:cs="Calibri"/>
          <w:sz w:val="24"/>
          <w:szCs w:val="24"/>
        </w:rPr>
        <w:t xml:space="preserve">eir treatment plans, fostering open communication, while also respecting their dignity and autonomy. </w:t>
      </w:r>
      <w:r w:rsidR="003016C9">
        <w:rPr>
          <w:rFonts w:ascii="Calibri" w:hAnsi="Calibri" w:cs="Calibri"/>
          <w:sz w:val="24"/>
          <w:szCs w:val="24"/>
        </w:rPr>
        <w:t xml:space="preserve">This approach is especially vital in weight loss treatments such as those involving </w:t>
      </w:r>
      <w:proofErr w:type="spellStart"/>
      <w:r w:rsidR="003016C9">
        <w:rPr>
          <w:rFonts w:ascii="Calibri" w:hAnsi="Calibri" w:cs="Calibri"/>
          <w:sz w:val="24"/>
          <w:szCs w:val="24"/>
        </w:rPr>
        <w:t>Mounjaro</w:t>
      </w:r>
      <w:proofErr w:type="spellEnd"/>
      <w:r w:rsidR="003016C9">
        <w:rPr>
          <w:rFonts w:ascii="Calibri" w:hAnsi="Calibri" w:cs="Calibri"/>
          <w:sz w:val="24"/>
          <w:szCs w:val="24"/>
        </w:rPr>
        <w:t xml:space="preserve">, where the pathway is complex and </w:t>
      </w:r>
      <w:r w:rsidR="00821377">
        <w:rPr>
          <w:rFonts w:ascii="Calibri" w:hAnsi="Calibri" w:cs="Calibri"/>
          <w:sz w:val="24"/>
          <w:szCs w:val="24"/>
        </w:rPr>
        <w:t xml:space="preserve">patients benefit from ongoing support. </w:t>
      </w:r>
    </w:p>
    <w:p w14:paraId="1267E718" w14:textId="12A34401" w:rsidR="00C87C89" w:rsidRDefault="00821377" w:rsidP="009C0A02">
      <w:pPr>
        <w:spacing w:line="360" w:lineRule="auto"/>
        <w:rPr>
          <w:rFonts w:ascii="Calibri" w:hAnsi="Calibri" w:cs="Calibri"/>
          <w:sz w:val="24"/>
          <w:szCs w:val="24"/>
        </w:rPr>
      </w:pPr>
      <w:r>
        <w:rPr>
          <w:rFonts w:ascii="Calibri" w:hAnsi="Calibri" w:cs="Calibri"/>
          <w:sz w:val="24"/>
          <w:szCs w:val="24"/>
        </w:rPr>
        <w:t xml:space="preserve">Customer centrality varies </w:t>
      </w:r>
      <w:r w:rsidR="003C7F3D">
        <w:rPr>
          <w:rFonts w:ascii="Calibri" w:hAnsi="Calibri" w:cs="Calibri"/>
          <w:sz w:val="24"/>
          <w:szCs w:val="24"/>
        </w:rPr>
        <w:t xml:space="preserve">significantly between the NHS and private clinics, particularly in weight management interventions. </w:t>
      </w:r>
      <w:r w:rsidR="00811048">
        <w:rPr>
          <w:rFonts w:ascii="Calibri" w:hAnsi="Calibri" w:cs="Calibri"/>
          <w:sz w:val="24"/>
          <w:szCs w:val="24"/>
        </w:rPr>
        <w:t>In private clinics, customer centrality is a strategic priority and a source of competitive advantage</w:t>
      </w:r>
      <w:r w:rsidR="0085764A">
        <w:rPr>
          <w:rFonts w:ascii="Calibri" w:hAnsi="Calibri" w:cs="Calibri"/>
          <w:sz w:val="24"/>
          <w:szCs w:val="24"/>
        </w:rPr>
        <w:t xml:space="preserve">. Private clinics tailor their services to each individual patient, offering </w:t>
      </w:r>
      <w:r w:rsidR="00FF73DD">
        <w:rPr>
          <w:rFonts w:ascii="Calibri" w:hAnsi="Calibri" w:cs="Calibri"/>
          <w:sz w:val="24"/>
          <w:szCs w:val="24"/>
        </w:rPr>
        <w:t xml:space="preserve">personalised treatment plans, frequent communications through digital platforms, and ongoing </w:t>
      </w:r>
      <w:r w:rsidR="00B1053E">
        <w:rPr>
          <w:rFonts w:ascii="Calibri" w:hAnsi="Calibri" w:cs="Calibri"/>
          <w:sz w:val="24"/>
          <w:szCs w:val="24"/>
        </w:rPr>
        <w:t xml:space="preserve">emotional and psychological support. For patients who are using weight loss treatments, such as </w:t>
      </w:r>
      <w:proofErr w:type="spellStart"/>
      <w:r w:rsidR="00B1053E">
        <w:rPr>
          <w:rFonts w:ascii="Calibri" w:hAnsi="Calibri" w:cs="Calibri"/>
          <w:sz w:val="24"/>
          <w:szCs w:val="24"/>
        </w:rPr>
        <w:t>Mounjaro</w:t>
      </w:r>
      <w:proofErr w:type="spellEnd"/>
      <w:r w:rsidR="00B1053E">
        <w:rPr>
          <w:rFonts w:ascii="Calibri" w:hAnsi="Calibri" w:cs="Calibri"/>
          <w:sz w:val="24"/>
          <w:szCs w:val="24"/>
        </w:rPr>
        <w:t xml:space="preserve">, </w:t>
      </w:r>
      <w:r w:rsidR="00906973">
        <w:rPr>
          <w:rFonts w:ascii="Calibri" w:hAnsi="Calibri" w:cs="Calibri"/>
          <w:sz w:val="24"/>
          <w:szCs w:val="24"/>
        </w:rPr>
        <w:t xml:space="preserve">these clinics may also provide progress tracking tools and regular check-ins which </w:t>
      </w:r>
      <w:r w:rsidR="006A5C7A">
        <w:rPr>
          <w:rFonts w:ascii="Calibri" w:hAnsi="Calibri" w:cs="Calibri"/>
          <w:sz w:val="24"/>
          <w:szCs w:val="24"/>
        </w:rPr>
        <w:t>benefits and encourages patients to take an active part in their health journey.</w:t>
      </w:r>
    </w:p>
    <w:p w14:paraId="41F03A8F" w14:textId="2AFA5948" w:rsidR="009C0A02" w:rsidRPr="009C0A02" w:rsidRDefault="009C0A02" w:rsidP="009C0A02">
      <w:pPr>
        <w:spacing w:line="360" w:lineRule="auto"/>
        <w:rPr>
          <w:rFonts w:ascii="Calibri" w:hAnsi="Calibri" w:cs="Calibri"/>
          <w:sz w:val="24"/>
          <w:szCs w:val="24"/>
        </w:rPr>
      </w:pPr>
      <w:r>
        <w:rPr>
          <w:rFonts w:ascii="Calibri" w:hAnsi="Calibri" w:cs="Calibri"/>
          <w:sz w:val="24"/>
          <w:szCs w:val="24"/>
        </w:rPr>
        <w:t>In comparison, the NHS faces structural, cultural and resource-related challenges in achieving true customer centrality.</w:t>
      </w:r>
      <w:r w:rsidR="00976F54">
        <w:rPr>
          <w:rFonts w:ascii="Calibri" w:hAnsi="Calibri" w:cs="Calibri"/>
          <w:sz w:val="24"/>
          <w:szCs w:val="24"/>
        </w:rPr>
        <w:t xml:space="preserve"> Patients undergoing</w:t>
      </w:r>
      <w:r>
        <w:rPr>
          <w:rFonts w:ascii="Calibri" w:hAnsi="Calibri" w:cs="Calibri"/>
          <w:sz w:val="24"/>
          <w:szCs w:val="24"/>
        </w:rPr>
        <w:t xml:space="preserve"> </w:t>
      </w:r>
      <w:r w:rsidR="003D1B4C">
        <w:rPr>
          <w:rFonts w:ascii="Calibri" w:hAnsi="Calibri" w:cs="Calibri"/>
          <w:sz w:val="24"/>
          <w:szCs w:val="24"/>
        </w:rPr>
        <w:t xml:space="preserve">NHS weight loss treatments, including </w:t>
      </w:r>
      <w:proofErr w:type="spellStart"/>
      <w:r w:rsidR="003D1B4C">
        <w:rPr>
          <w:rFonts w:ascii="Calibri" w:hAnsi="Calibri" w:cs="Calibri"/>
          <w:sz w:val="24"/>
          <w:szCs w:val="24"/>
        </w:rPr>
        <w:t>Mounjaro</w:t>
      </w:r>
      <w:proofErr w:type="spellEnd"/>
      <w:r w:rsidR="003D1B4C">
        <w:rPr>
          <w:rFonts w:ascii="Calibri" w:hAnsi="Calibri" w:cs="Calibri"/>
          <w:sz w:val="24"/>
          <w:szCs w:val="24"/>
        </w:rPr>
        <w:t xml:space="preserve">, </w:t>
      </w:r>
      <w:r w:rsidR="00D6034C">
        <w:rPr>
          <w:rFonts w:ascii="Calibri" w:hAnsi="Calibri" w:cs="Calibri"/>
          <w:sz w:val="24"/>
          <w:szCs w:val="24"/>
        </w:rPr>
        <w:t xml:space="preserve">are </w:t>
      </w:r>
      <w:r w:rsidR="00976F54">
        <w:rPr>
          <w:rFonts w:ascii="Calibri" w:hAnsi="Calibri" w:cs="Calibri"/>
          <w:sz w:val="24"/>
          <w:szCs w:val="24"/>
        </w:rPr>
        <w:t>organised along a standardised pathway. Individuals may face strict eligibility criteria</w:t>
      </w:r>
      <w:r w:rsidR="00D51695">
        <w:rPr>
          <w:rFonts w:ascii="Calibri" w:hAnsi="Calibri" w:cs="Calibri"/>
          <w:sz w:val="24"/>
          <w:szCs w:val="24"/>
        </w:rPr>
        <w:t xml:space="preserve">, longer waiting lists, and less flexible or personalised support. </w:t>
      </w:r>
      <w:r w:rsidR="00967331">
        <w:rPr>
          <w:rFonts w:ascii="Calibri" w:hAnsi="Calibri" w:cs="Calibri"/>
          <w:sz w:val="24"/>
          <w:szCs w:val="24"/>
        </w:rPr>
        <w:t xml:space="preserve">The organisations scale and funding can make it difficult to provide patients the same level of individualised support, communication and follow-up treatment that private clinics offer. </w:t>
      </w:r>
    </w:p>
    <w:p w14:paraId="3EF7FD04" w14:textId="02C2A0DE" w:rsidR="00906907" w:rsidRDefault="00C87C89" w:rsidP="00906907">
      <w:pPr>
        <w:spacing w:line="360" w:lineRule="auto"/>
        <w:rPr>
          <w:rFonts w:ascii="Calibri" w:hAnsi="Calibri" w:cs="Calibri"/>
          <w:sz w:val="24"/>
          <w:szCs w:val="24"/>
        </w:rPr>
      </w:pPr>
      <w:r w:rsidRPr="00906907">
        <w:rPr>
          <w:rFonts w:ascii="Calibri" w:hAnsi="Calibri" w:cs="Calibri"/>
          <w:sz w:val="24"/>
          <w:szCs w:val="24"/>
        </w:rPr>
        <w:t>Ultimately, while both the NHS and private clinics aim to deliver safe and effective weight loss treatments, the degree of customer centrality</w:t>
      </w:r>
      <w:r w:rsidR="00D3439D" w:rsidRPr="00906907">
        <w:rPr>
          <w:rFonts w:ascii="Calibri" w:hAnsi="Calibri" w:cs="Calibri"/>
          <w:sz w:val="24"/>
          <w:szCs w:val="24"/>
        </w:rPr>
        <w:t xml:space="preserve"> and how closely service delivery aligns with each </w:t>
      </w:r>
      <w:r w:rsidR="00906907" w:rsidRPr="00906907">
        <w:rPr>
          <w:rFonts w:ascii="Calibri" w:hAnsi="Calibri" w:cs="Calibri"/>
          <w:sz w:val="24"/>
          <w:szCs w:val="24"/>
        </w:rPr>
        <w:t>patient’s</w:t>
      </w:r>
      <w:r w:rsidR="00D3439D" w:rsidRPr="00906907">
        <w:rPr>
          <w:rFonts w:ascii="Calibri" w:hAnsi="Calibri" w:cs="Calibri"/>
          <w:sz w:val="24"/>
          <w:szCs w:val="24"/>
        </w:rPr>
        <w:t xml:space="preserve"> unique needs and </w:t>
      </w:r>
      <w:r w:rsidR="00906907" w:rsidRPr="00906907">
        <w:rPr>
          <w:rFonts w:ascii="Calibri" w:hAnsi="Calibri" w:cs="Calibri"/>
          <w:sz w:val="24"/>
          <w:szCs w:val="24"/>
        </w:rPr>
        <w:t xml:space="preserve">journey is different. </w:t>
      </w:r>
    </w:p>
    <w:p w14:paraId="5091053E" w14:textId="06A36A4C" w:rsidR="00E600A1" w:rsidRDefault="00355156" w:rsidP="00D8101E">
      <w:pPr>
        <w:spacing w:line="360" w:lineRule="auto"/>
        <w:rPr>
          <w:rFonts w:ascii="Calibri" w:hAnsi="Calibri" w:cs="Calibri"/>
          <w:sz w:val="24"/>
          <w:szCs w:val="24"/>
        </w:rPr>
      </w:pPr>
      <w:r>
        <w:rPr>
          <w:rFonts w:ascii="Calibri" w:hAnsi="Calibri" w:cs="Calibri"/>
          <w:sz w:val="24"/>
          <w:szCs w:val="24"/>
        </w:rPr>
        <w:t xml:space="preserve">The </w:t>
      </w:r>
      <w:proofErr w:type="spellStart"/>
      <w:r>
        <w:rPr>
          <w:rFonts w:ascii="Calibri" w:hAnsi="Calibri" w:cs="Calibri"/>
          <w:sz w:val="24"/>
          <w:szCs w:val="24"/>
        </w:rPr>
        <w:t>MarkeTech</w:t>
      </w:r>
      <w:proofErr w:type="spellEnd"/>
      <w:r>
        <w:rPr>
          <w:rFonts w:ascii="Calibri" w:hAnsi="Calibri" w:cs="Calibri"/>
          <w:sz w:val="24"/>
          <w:szCs w:val="24"/>
        </w:rPr>
        <w:t xml:space="preserve"> Group, (2025) states that i</w:t>
      </w:r>
      <w:r w:rsidR="00F3000D">
        <w:rPr>
          <w:rFonts w:ascii="Calibri" w:hAnsi="Calibri" w:cs="Calibri"/>
          <w:sz w:val="24"/>
          <w:szCs w:val="24"/>
        </w:rPr>
        <w:t xml:space="preserve">n healthcare, market segmentation is the process </w:t>
      </w:r>
      <w:r>
        <w:rPr>
          <w:rFonts w:ascii="Calibri" w:hAnsi="Calibri" w:cs="Calibri"/>
          <w:sz w:val="24"/>
          <w:szCs w:val="24"/>
        </w:rPr>
        <w:t xml:space="preserve">of dividing patients or perspective patients into distinct groups based on shared characteristics. </w:t>
      </w:r>
      <w:r w:rsidR="00E52A2C">
        <w:rPr>
          <w:rFonts w:ascii="Calibri" w:hAnsi="Calibri" w:cs="Calibri"/>
          <w:sz w:val="24"/>
          <w:szCs w:val="24"/>
        </w:rPr>
        <w:t xml:space="preserve">The segments can include patients, </w:t>
      </w:r>
      <w:r w:rsidR="008F205A">
        <w:rPr>
          <w:rFonts w:ascii="Calibri" w:hAnsi="Calibri" w:cs="Calibri"/>
          <w:sz w:val="24"/>
          <w:szCs w:val="24"/>
        </w:rPr>
        <w:t>healthcare providers,</w:t>
      </w:r>
      <w:r w:rsidR="003B3C6B">
        <w:rPr>
          <w:rFonts w:ascii="Calibri" w:hAnsi="Calibri" w:cs="Calibri"/>
          <w:sz w:val="24"/>
          <w:szCs w:val="24"/>
        </w:rPr>
        <w:t xml:space="preserve"> and other stakeholders, each with unique needs, behaviours, and decision-making criteria</w:t>
      </w:r>
      <w:r w:rsidR="0055751C">
        <w:rPr>
          <w:rFonts w:ascii="Calibri" w:hAnsi="Calibri" w:cs="Calibri"/>
          <w:sz w:val="24"/>
          <w:szCs w:val="24"/>
        </w:rPr>
        <w:t>.</w:t>
      </w:r>
      <w:r w:rsidR="008F205A">
        <w:rPr>
          <w:rFonts w:ascii="Calibri" w:hAnsi="Calibri" w:cs="Calibri"/>
          <w:sz w:val="24"/>
          <w:szCs w:val="24"/>
        </w:rPr>
        <w:t xml:space="preserve"> </w:t>
      </w:r>
      <w:r>
        <w:rPr>
          <w:rFonts w:ascii="Calibri" w:hAnsi="Calibri" w:cs="Calibri"/>
          <w:sz w:val="24"/>
          <w:szCs w:val="24"/>
        </w:rPr>
        <w:t xml:space="preserve">This </w:t>
      </w:r>
      <w:r w:rsidR="0055751C">
        <w:rPr>
          <w:rFonts w:ascii="Calibri" w:hAnsi="Calibri" w:cs="Calibri"/>
          <w:sz w:val="24"/>
          <w:szCs w:val="24"/>
        </w:rPr>
        <w:t>enables</w:t>
      </w:r>
      <w:r>
        <w:rPr>
          <w:rFonts w:ascii="Calibri" w:hAnsi="Calibri" w:cs="Calibri"/>
          <w:sz w:val="24"/>
          <w:szCs w:val="24"/>
        </w:rPr>
        <w:t xml:space="preserve"> organisations to tailor </w:t>
      </w:r>
      <w:r w:rsidR="00E52A2C">
        <w:rPr>
          <w:rFonts w:ascii="Calibri" w:hAnsi="Calibri" w:cs="Calibri"/>
          <w:sz w:val="24"/>
          <w:szCs w:val="24"/>
        </w:rPr>
        <w:t>their strategies for more effective engagement with individuals.</w:t>
      </w:r>
      <w:r w:rsidR="00154C62">
        <w:rPr>
          <w:rFonts w:ascii="Calibri" w:hAnsi="Calibri" w:cs="Calibri"/>
          <w:sz w:val="24"/>
          <w:szCs w:val="24"/>
        </w:rPr>
        <w:t xml:space="preserve"> Segmentation also helps organisations identify and prio</w:t>
      </w:r>
      <w:r w:rsidR="002444E7">
        <w:rPr>
          <w:rFonts w:ascii="Calibri" w:hAnsi="Calibri" w:cs="Calibri"/>
          <w:sz w:val="24"/>
          <w:szCs w:val="24"/>
        </w:rPr>
        <w:t xml:space="preserve">ritise </w:t>
      </w:r>
      <w:r w:rsidR="001B3569">
        <w:rPr>
          <w:rFonts w:ascii="Calibri" w:hAnsi="Calibri" w:cs="Calibri"/>
          <w:sz w:val="24"/>
          <w:szCs w:val="24"/>
        </w:rPr>
        <w:t>target audiences, enabling them to deliver personalised services, messages, or solutions</w:t>
      </w:r>
      <w:r w:rsidR="00446F41">
        <w:rPr>
          <w:rFonts w:ascii="Calibri" w:hAnsi="Calibri" w:cs="Calibri"/>
          <w:sz w:val="24"/>
          <w:szCs w:val="24"/>
        </w:rPr>
        <w:t xml:space="preserve">. By addressing the diverse preferences of stakeholders, healthcare organisations can </w:t>
      </w:r>
      <w:r w:rsidR="00F70781">
        <w:rPr>
          <w:rFonts w:ascii="Calibri" w:hAnsi="Calibri" w:cs="Calibri"/>
          <w:sz w:val="24"/>
          <w:szCs w:val="24"/>
        </w:rPr>
        <w:t xml:space="preserve">promote </w:t>
      </w:r>
      <w:r w:rsidR="00E400F3">
        <w:rPr>
          <w:rFonts w:ascii="Calibri" w:hAnsi="Calibri" w:cs="Calibri"/>
          <w:sz w:val="24"/>
          <w:szCs w:val="24"/>
        </w:rPr>
        <w:t xml:space="preserve">stronger </w:t>
      </w:r>
      <w:r w:rsidR="00E400F3">
        <w:rPr>
          <w:rFonts w:ascii="Calibri" w:hAnsi="Calibri" w:cs="Calibri"/>
          <w:sz w:val="24"/>
          <w:szCs w:val="24"/>
        </w:rPr>
        <w:lastRenderedPageBreak/>
        <w:t>connections and increase the overall effectiveness of marketing initiatives.</w:t>
      </w:r>
      <w:r w:rsidR="00D8101E">
        <w:rPr>
          <w:rFonts w:ascii="Calibri" w:hAnsi="Calibri" w:cs="Calibri"/>
          <w:sz w:val="24"/>
          <w:szCs w:val="24"/>
        </w:rPr>
        <w:t xml:space="preserve"> </w:t>
      </w:r>
      <w:r w:rsidR="00D8101E" w:rsidRPr="00D8101E">
        <w:rPr>
          <w:rFonts w:ascii="Calibri" w:hAnsi="Calibri" w:cs="Calibri"/>
          <w:sz w:val="24"/>
          <w:szCs w:val="24"/>
        </w:rPr>
        <w:t>When performed with precision, market segmentation serves as a fundamental element of effective healthcare marketing strategies, enhancing both engagement and value.</w:t>
      </w:r>
    </w:p>
    <w:p w14:paraId="206E40BB" w14:textId="107462CB" w:rsidR="003D0607" w:rsidRPr="00652074" w:rsidRDefault="00652074" w:rsidP="005C1EF4">
      <w:pPr>
        <w:pStyle w:val="Heading2"/>
        <w:numPr>
          <w:ilvl w:val="1"/>
          <w:numId w:val="21"/>
        </w:numPr>
        <w:rPr>
          <w:rFonts w:ascii="Calibri" w:hAnsi="Calibri" w:cs="Calibri"/>
        </w:rPr>
      </w:pPr>
      <w:r w:rsidRPr="00652074">
        <w:rPr>
          <w:rFonts w:ascii="Calibri" w:hAnsi="Calibri" w:cs="Calibri"/>
        </w:rPr>
        <w:t xml:space="preserve"> </w:t>
      </w:r>
      <w:bookmarkStart w:id="9" w:name="_Toc202386429"/>
      <w:r w:rsidR="005341AE" w:rsidRPr="00652074">
        <w:rPr>
          <w:rFonts w:ascii="Calibri" w:hAnsi="Calibri" w:cs="Calibri"/>
        </w:rPr>
        <w:t>Barriers to Customer Centrality in the NHS</w:t>
      </w:r>
      <w:bookmarkEnd w:id="9"/>
    </w:p>
    <w:p w14:paraId="7BCBAD92" w14:textId="1E32F327" w:rsidR="005C1EF4" w:rsidRPr="002E6E8C" w:rsidRDefault="00D41EB4" w:rsidP="002E6E8C">
      <w:pPr>
        <w:spacing w:line="360" w:lineRule="auto"/>
        <w:rPr>
          <w:rFonts w:ascii="Calibri" w:hAnsi="Calibri" w:cs="Calibri"/>
          <w:sz w:val="24"/>
          <w:szCs w:val="24"/>
        </w:rPr>
      </w:pPr>
      <w:r>
        <w:rPr>
          <w:rFonts w:ascii="Calibri" w:hAnsi="Calibri" w:cs="Calibri"/>
          <w:sz w:val="24"/>
          <w:szCs w:val="24"/>
        </w:rPr>
        <w:t xml:space="preserve">Moore </w:t>
      </w:r>
      <w:r>
        <w:rPr>
          <w:rFonts w:ascii="Calibri" w:hAnsi="Calibri" w:cs="Calibri"/>
          <w:i/>
          <w:iCs/>
          <w:sz w:val="24"/>
          <w:szCs w:val="24"/>
        </w:rPr>
        <w:t xml:space="preserve">et al. </w:t>
      </w:r>
      <w:r>
        <w:rPr>
          <w:rFonts w:ascii="Calibri" w:hAnsi="Calibri" w:cs="Calibri"/>
          <w:sz w:val="24"/>
          <w:szCs w:val="24"/>
        </w:rPr>
        <w:t>(2016) states that t</w:t>
      </w:r>
      <w:r w:rsidR="006945FB">
        <w:rPr>
          <w:rFonts w:ascii="Calibri" w:hAnsi="Calibri" w:cs="Calibri"/>
          <w:sz w:val="24"/>
          <w:szCs w:val="24"/>
        </w:rPr>
        <w:t xml:space="preserve">he NHS faces significant challenges in achieving </w:t>
      </w:r>
      <w:r w:rsidR="00E457C1">
        <w:rPr>
          <w:rFonts w:ascii="Calibri" w:hAnsi="Calibri" w:cs="Calibri"/>
          <w:sz w:val="24"/>
          <w:szCs w:val="24"/>
        </w:rPr>
        <w:t>true customer centrality. They include limited resources and staff shortages, fragmented systems</w:t>
      </w:r>
      <w:r w:rsidR="00804C3F">
        <w:rPr>
          <w:rFonts w:ascii="Calibri" w:hAnsi="Calibri" w:cs="Calibri"/>
          <w:sz w:val="24"/>
          <w:szCs w:val="24"/>
        </w:rPr>
        <w:t xml:space="preserve"> that obstruct </w:t>
      </w:r>
      <w:r w:rsidR="00DC6B9F">
        <w:rPr>
          <w:rFonts w:ascii="Calibri" w:hAnsi="Calibri" w:cs="Calibri"/>
          <w:sz w:val="24"/>
          <w:szCs w:val="24"/>
        </w:rPr>
        <w:t xml:space="preserve">information sharing, and a lack of commercial incentives to drive personalised, value-based care. </w:t>
      </w:r>
      <w:r w:rsidR="001D53F8">
        <w:rPr>
          <w:rFonts w:ascii="Calibri" w:hAnsi="Calibri" w:cs="Calibri"/>
          <w:sz w:val="24"/>
          <w:szCs w:val="24"/>
        </w:rPr>
        <w:t>As a result, personalised and segmented care is difficult to deliver.</w:t>
      </w:r>
      <w:r w:rsidR="00E320A9">
        <w:rPr>
          <w:rFonts w:ascii="Calibri" w:hAnsi="Calibri" w:cs="Calibri"/>
          <w:sz w:val="24"/>
          <w:szCs w:val="24"/>
        </w:rPr>
        <w:t xml:space="preserve"> Whereas private clinics are less hindered by these barriers</w:t>
      </w:r>
      <w:r w:rsidR="00202E3F">
        <w:rPr>
          <w:rFonts w:ascii="Calibri" w:hAnsi="Calibri" w:cs="Calibri"/>
          <w:sz w:val="24"/>
          <w:szCs w:val="24"/>
        </w:rPr>
        <w:t>, as t</w:t>
      </w:r>
      <w:r w:rsidR="00E320A9">
        <w:rPr>
          <w:rFonts w:ascii="Calibri" w:hAnsi="Calibri" w:cs="Calibri"/>
          <w:sz w:val="24"/>
          <w:szCs w:val="24"/>
        </w:rPr>
        <w:t xml:space="preserve">hey have </w:t>
      </w:r>
      <w:r w:rsidR="00202E3F">
        <w:rPr>
          <w:rFonts w:ascii="Calibri" w:hAnsi="Calibri" w:cs="Calibri"/>
          <w:sz w:val="24"/>
          <w:szCs w:val="24"/>
        </w:rPr>
        <w:t xml:space="preserve">more flexibility, commercial motivation, and resources. This enables the clinics to </w:t>
      </w:r>
      <w:r w:rsidR="00BF46B5">
        <w:rPr>
          <w:rFonts w:ascii="Calibri" w:hAnsi="Calibri" w:cs="Calibri"/>
          <w:sz w:val="24"/>
          <w:szCs w:val="24"/>
        </w:rPr>
        <w:t xml:space="preserve">provide individualised care, tailored support, </w:t>
      </w:r>
      <w:r w:rsidR="0006795B">
        <w:rPr>
          <w:rFonts w:ascii="Calibri" w:hAnsi="Calibri" w:cs="Calibri"/>
          <w:sz w:val="24"/>
          <w:szCs w:val="24"/>
        </w:rPr>
        <w:t xml:space="preserve">and frequent communication. </w:t>
      </w:r>
      <w:r w:rsidR="006E7636">
        <w:rPr>
          <w:rFonts w:ascii="Calibri" w:hAnsi="Calibri" w:cs="Calibri"/>
          <w:sz w:val="24"/>
          <w:szCs w:val="24"/>
        </w:rPr>
        <w:t xml:space="preserve">The NHS have found </w:t>
      </w:r>
      <w:r w:rsidR="007B3104">
        <w:rPr>
          <w:rFonts w:ascii="Calibri" w:hAnsi="Calibri" w:cs="Calibri"/>
          <w:sz w:val="24"/>
          <w:szCs w:val="24"/>
        </w:rPr>
        <w:t>solutions such as digital initiatives, like the NHS App and eConsult</w:t>
      </w:r>
      <w:r w:rsidR="002E6E8C">
        <w:rPr>
          <w:rFonts w:ascii="Calibri" w:hAnsi="Calibri" w:cs="Calibri"/>
          <w:sz w:val="24"/>
          <w:szCs w:val="24"/>
        </w:rPr>
        <w:t xml:space="preserve">, which shows evidence of the NHS overcoming some obstacles by improving patient engagement and enabling more personalised and patient centric care. </w:t>
      </w:r>
    </w:p>
    <w:p w14:paraId="08A27DB0" w14:textId="5791095C" w:rsidR="00E600A1" w:rsidRPr="00652074" w:rsidRDefault="0075575C" w:rsidP="0075575C">
      <w:pPr>
        <w:pStyle w:val="Heading2"/>
        <w:rPr>
          <w:rFonts w:ascii="Calibri" w:hAnsi="Calibri" w:cs="Calibri"/>
        </w:rPr>
      </w:pPr>
      <w:bookmarkStart w:id="10" w:name="_Toc202386430"/>
      <w:r w:rsidRPr="00652074">
        <w:rPr>
          <w:rFonts w:ascii="Calibri" w:hAnsi="Calibri" w:cs="Calibri"/>
        </w:rPr>
        <w:t>5.</w:t>
      </w:r>
      <w:r w:rsidR="005341AE" w:rsidRPr="00652074">
        <w:rPr>
          <w:rFonts w:ascii="Calibri" w:hAnsi="Calibri" w:cs="Calibri"/>
        </w:rPr>
        <w:t>2</w:t>
      </w:r>
      <w:r w:rsidRPr="00652074">
        <w:rPr>
          <w:rFonts w:ascii="Calibri" w:hAnsi="Calibri" w:cs="Calibri"/>
        </w:rPr>
        <w:t xml:space="preserve"> The Kano Model</w:t>
      </w:r>
      <w:bookmarkEnd w:id="10"/>
    </w:p>
    <w:p w14:paraId="4CF85794" w14:textId="499218FA" w:rsidR="007F2E07" w:rsidRDefault="00DD5FF5" w:rsidP="007F2E07">
      <w:pPr>
        <w:spacing w:line="360" w:lineRule="auto"/>
        <w:rPr>
          <w:rFonts w:ascii="Calibri" w:hAnsi="Calibri" w:cs="Calibri"/>
          <w:sz w:val="24"/>
          <w:szCs w:val="24"/>
        </w:rPr>
      </w:pPr>
      <w:r>
        <w:rPr>
          <w:rFonts w:ascii="Calibri" w:hAnsi="Calibri" w:cs="Calibri"/>
          <w:sz w:val="24"/>
          <w:szCs w:val="24"/>
        </w:rPr>
        <w:t xml:space="preserve">Noriaki Kano, a Japanese researcher </w:t>
      </w:r>
      <w:r w:rsidR="00367CA8">
        <w:rPr>
          <w:rFonts w:ascii="Calibri" w:hAnsi="Calibri" w:cs="Calibri"/>
          <w:sz w:val="24"/>
          <w:szCs w:val="24"/>
        </w:rPr>
        <w:t xml:space="preserve">and consultant produced a model </w:t>
      </w:r>
      <w:r w:rsidR="006F3A44">
        <w:rPr>
          <w:rFonts w:ascii="Calibri" w:hAnsi="Calibri" w:cs="Calibri"/>
          <w:sz w:val="24"/>
          <w:szCs w:val="24"/>
        </w:rPr>
        <w:t xml:space="preserve">in 1984 </w:t>
      </w:r>
      <w:r w:rsidR="00367CA8">
        <w:rPr>
          <w:rFonts w:ascii="Calibri" w:hAnsi="Calibri" w:cs="Calibri"/>
          <w:sz w:val="24"/>
          <w:szCs w:val="24"/>
        </w:rPr>
        <w:t xml:space="preserve">with a set of ideas and techniques that help organisations determine their customer, and prospective </w:t>
      </w:r>
      <w:r w:rsidR="00CF609F">
        <w:rPr>
          <w:rFonts w:ascii="Calibri" w:hAnsi="Calibri" w:cs="Calibri"/>
          <w:sz w:val="24"/>
          <w:szCs w:val="24"/>
        </w:rPr>
        <w:t xml:space="preserve">customers satisfaction with product features. </w:t>
      </w:r>
      <w:r w:rsidR="00FC706F">
        <w:rPr>
          <w:rFonts w:ascii="Calibri" w:hAnsi="Calibri" w:cs="Calibri"/>
          <w:sz w:val="24"/>
          <w:szCs w:val="24"/>
        </w:rPr>
        <w:t xml:space="preserve">The model is based on the following </w:t>
      </w:r>
      <w:r w:rsidR="00A10E3E">
        <w:rPr>
          <w:rFonts w:ascii="Calibri" w:hAnsi="Calibri" w:cs="Calibri"/>
          <w:sz w:val="24"/>
          <w:szCs w:val="24"/>
        </w:rPr>
        <w:t>premises</w:t>
      </w:r>
      <w:r w:rsidR="005255E6">
        <w:rPr>
          <w:rFonts w:ascii="Calibri" w:hAnsi="Calibri" w:cs="Calibri"/>
          <w:sz w:val="24"/>
          <w:szCs w:val="24"/>
        </w:rPr>
        <w:t>:</w:t>
      </w:r>
    </w:p>
    <w:p w14:paraId="1F6F1FC5" w14:textId="7226BCE6" w:rsidR="00CB3ED7" w:rsidRDefault="005255E6" w:rsidP="00CE5CC7">
      <w:pPr>
        <w:spacing w:line="360" w:lineRule="auto"/>
        <w:rPr>
          <w:rFonts w:ascii="Calibri" w:hAnsi="Calibri" w:cs="Calibri"/>
          <w:sz w:val="24"/>
          <w:szCs w:val="24"/>
        </w:rPr>
      </w:pPr>
      <w:r>
        <w:rPr>
          <w:rFonts w:ascii="Calibri" w:hAnsi="Calibri" w:cs="Calibri"/>
          <w:sz w:val="24"/>
          <w:szCs w:val="24"/>
        </w:rPr>
        <w:t>Customers satisfaction with products or service features depends on the level of functionality</w:t>
      </w:r>
      <w:r w:rsidR="004D4B1E">
        <w:rPr>
          <w:rFonts w:ascii="Calibri" w:hAnsi="Calibri" w:cs="Calibri"/>
          <w:sz w:val="24"/>
          <w:szCs w:val="24"/>
        </w:rPr>
        <w:t xml:space="preserve"> that i</w:t>
      </w:r>
      <w:r w:rsidR="00A60FE2">
        <w:rPr>
          <w:rFonts w:ascii="Calibri" w:hAnsi="Calibri" w:cs="Calibri"/>
          <w:sz w:val="24"/>
          <w:szCs w:val="24"/>
        </w:rPr>
        <w:t xml:space="preserve">s provided, </w:t>
      </w:r>
      <w:r w:rsidR="00C670C4">
        <w:rPr>
          <w:rFonts w:ascii="Calibri" w:hAnsi="Calibri" w:cs="Calibri"/>
          <w:sz w:val="24"/>
          <w:szCs w:val="24"/>
        </w:rPr>
        <w:t>features can be classified into</w:t>
      </w:r>
      <w:r w:rsidR="0082735F">
        <w:rPr>
          <w:rFonts w:ascii="Calibri" w:hAnsi="Calibri" w:cs="Calibri"/>
          <w:sz w:val="24"/>
          <w:szCs w:val="24"/>
        </w:rPr>
        <w:t xml:space="preserve"> four categories, and it can be determined how customers feel about a feature through a questionnaire</w:t>
      </w:r>
      <w:r w:rsidR="00CE5CC7">
        <w:rPr>
          <w:rFonts w:ascii="Calibri" w:hAnsi="Calibri" w:cs="Calibri"/>
          <w:sz w:val="24"/>
          <w:szCs w:val="24"/>
        </w:rPr>
        <w:t xml:space="preserve"> (Vain, 2022)</w:t>
      </w:r>
      <w:r w:rsidR="0082735F">
        <w:rPr>
          <w:rFonts w:ascii="Calibri" w:hAnsi="Calibri" w:cs="Calibri"/>
          <w:sz w:val="24"/>
          <w:szCs w:val="24"/>
        </w:rPr>
        <w:t xml:space="preserve">. </w:t>
      </w:r>
    </w:p>
    <w:p w14:paraId="54731E2F" w14:textId="3BF5E1FF" w:rsidR="00E1399E" w:rsidRDefault="00E1399E" w:rsidP="00CE5CC7">
      <w:pPr>
        <w:spacing w:line="360" w:lineRule="auto"/>
        <w:rPr>
          <w:rFonts w:ascii="Calibri" w:hAnsi="Calibri" w:cs="Calibri"/>
          <w:sz w:val="24"/>
          <w:szCs w:val="24"/>
        </w:rPr>
      </w:pPr>
      <w:r>
        <w:rPr>
          <w:rFonts w:ascii="Calibri" w:hAnsi="Calibri" w:cs="Calibri"/>
          <w:sz w:val="24"/>
          <w:szCs w:val="24"/>
        </w:rPr>
        <w:t xml:space="preserve">The Kano model maps Functionality (investment) against Customer Satisfaction, showing how much customers care about different levels of a feature. </w:t>
      </w:r>
    </w:p>
    <w:p w14:paraId="25E13C6E" w14:textId="77777777" w:rsidR="004D100F" w:rsidRPr="004D100F" w:rsidRDefault="004D100F" w:rsidP="004D100F">
      <w:pPr>
        <w:spacing w:line="360" w:lineRule="auto"/>
        <w:rPr>
          <w:rFonts w:ascii="Calibri" w:hAnsi="Calibri" w:cs="Calibri"/>
          <w:b/>
          <w:bCs/>
          <w:sz w:val="24"/>
          <w:szCs w:val="24"/>
        </w:rPr>
      </w:pPr>
      <w:r w:rsidRPr="004D100F">
        <w:rPr>
          <w:rFonts w:ascii="Calibri" w:hAnsi="Calibri" w:cs="Calibri"/>
          <w:b/>
          <w:bCs/>
          <w:sz w:val="24"/>
          <w:szCs w:val="24"/>
        </w:rPr>
        <w:t>Kano Model Applied to Weight Loss Treatment</w:t>
      </w:r>
    </w:p>
    <w:tbl>
      <w:tblPr>
        <w:tblStyle w:val="TableGridLight"/>
        <w:tblW w:w="0" w:type="auto"/>
        <w:tblLook w:val="04A0" w:firstRow="1" w:lastRow="0" w:firstColumn="1" w:lastColumn="0" w:noHBand="0" w:noVBand="1"/>
      </w:tblPr>
      <w:tblGrid>
        <w:gridCol w:w="1555"/>
        <w:gridCol w:w="3909"/>
        <w:gridCol w:w="3552"/>
      </w:tblGrid>
      <w:tr w:rsidR="004D100F" w:rsidRPr="004D100F" w14:paraId="239814AE" w14:textId="77777777" w:rsidTr="00943214">
        <w:tc>
          <w:tcPr>
            <w:tcW w:w="0" w:type="auto"/>
            <w:hideMark/>
          </w:tcPr>
          <w:p w14:paraId="4CD818F5" w14:textId="77777777" w:rsidR="004D100F" w:rsidRPr="004D100F" w:rsidRDefault="004D100F" w:rsidP="004D100F">
            <w:pPr>
              <w:spacing w:after="160" w:line="360" w:lineRule="auto"/>
              <w:rPr>
                <w:rFonts w:ascii="Calibri" w:hAnsi="Calibri" w:cs="Calibri"/>
                <w:b/>
                <w:bCs/>
                <w:sz w:val="24"/>
                <w:szCs w:val="24"/>
              </w:rPr>
            </w:pPr>
            <w:r w:rsidRPr="004D100F">
              <w:rPr>
                <w:rFonts w:ascii="Calibri" w:hAnsi="Calibri" w:cs="Calibri"/>
                <w:b/>
                <w:bCs/>
                <w:sz w:val="24"/>
                <w:szCs w:val="24"/>
              </w:rPr>
              <w:t>Kano Category</w:t>
            </w:r>
          </w:p>
        </w:tc>
        <w:tc>
          <w:tcPr>
            <w:tcW w:w="0" w:type="auto"/>
            <w:hideMark/>
          </w:tcPr>
          <w:p w14:paraId="19425668" w14:textId="77777777" w:rsidR="004D100F" w:rsidRPr="004D100F" w:rsidRDefault="004D100F" w:rsidP="004D100F">
            <w:pPr>
              <w:spacing w:after="160" w:line="360" w:lineRule="auto"/>
              <w:rPr>
                <w:rFonts w:ascii="Calibri" w:hAnsi="Calibri" w:cs="Calibri"/>
                <w:b/>
                <w:bCs/>
                <w:sz w:val="24"/>
                <w:szCs w:val="24"/>
              </w:rPr>
            </w:pPr>
            <w:r w:rsidRPr="004D100F">
              <w:rPr>
                <w:rFonts w:ascii="Calibri" w:hAnsi="Calibri" w:cs="Calibri"/>
                <w:b/>
                <w:bCs/>
                <w:sz w:val="24"/>
                <w:szCs w:val="24"/>
              </w:rPr>
              <w:t>Feature in Weight Loss Treatment</w:t>
            </w:r>
          </w:p>
        </w:tc>
        <w:tc>
          <w:tcPr>
            <w:tcW w:w="0" w:type="auto"/>
            <w:hideMark/>
          </w:tcPr>
          <w:p w14:paraId="20F9A0BC" w14:textId="77777777" w:rsidR="004D100F" w:rsidRPr="004D100F" w:rsidRDefault="004D100F" w:rsidP="004D100F">
            <w:pPr>
              <w:spacing w:after="160" w:line="360" w:lineRule="auto"/>
              <w:rPr>
                <w:rFonts w:ascii="Calibri" w:hAnsi="Calibri" w:cs="Calibri"/>
                <w:b/>
                <w:bCs/>
                <w:sz w:val="24"/>
                <w:szCs w:val="24"/>
              </w:rPr>
            </w:pPr>
            <w:r w:rsidRPr="004D100F">
              <w:rPr>
                <w:rFonts w:ascii="Calibri" w:hAnsi="Calibri" w:cs="Calibri"/>
                <w:b/>
                <w:bCs/>
                <w:sz w:val="24"/>
                <w:szCs w:val="24"/>
              </w:rPr>
              <w:t>Impact on Patient Satisfaction</w:t>
            </w:r>
          </w:p>
        </w:tc>
      </w:tr>
      <w:tr w:rsidR="004D100F" w:rsidRPr="004D100F" w14:paraId="7C5F814B" w14:textId="77777777" w:rsidTr="00943214">
        <w:tc>
          <w:tcPr>
            <w:tcW w:w="0" w:type="auto"/>
            <w:hideMark/>
          </w:tcPr>
          <w:p w14:paraId="1C5E1C86" w14:textId="77777777" w:rsidR="004D100F" w:rsidRPr="004D100F" w:rsidRDefault="004D100F" w:rsidP="004D100F">
            <w:pPr>
              <w:spacing w:after="160" w:line="360" w:lineRule="auto"/>
              <w:rPr>
                <w:rFonts w:ascii="Calibri" w:hAnsi="Calibri" w:cs="Calibri"/>
                <w:sz w:val="24"/>
                <w:szCs w:val="24"/>
              </w:rPr>
            </w:pPr>
            <w:r w:rsidRPr="004D100F">
              <w:rPr>
                <w:rFonts w:ascii="Calibri" w:hAnsi="Calibri" w:cs="Calibri"/>
                <w:b/>
                <w:bCs/>
                <w:sz w:val="24"/>
                <w:szCs w:val="24"/>
              </w:rPr>
              <w:lastRenderedPageBreak/>
              <w:t>Must-be</w:t>
            </w:r>
          </w:p>
        </w:tc>
        <w:tc>
          <w:tcPr>
            <w:tcW w:w="0" w:type="auto"/>
            <w:hideMark/>
          </w:tcPr>
          <w:p w14:paraId="6178F4D4" w14:textId="77777777" w:rsidR="004D100F" w:rsidRPr="004D100F" w:rsidRDefault="004D100F" w:rsidP="004D100F">
            <w:pPr>
              <w:spacing w:after="160" w:line="360" w:lineRule="auto"/>
              <w:rPr>
                <w:rFonts w:ascii="Calibri" w:hAnsi="Calibri" w:cs="Calibri"/>
                <w:sz w:val="24"/>
                <w:szCs w:val="24"/>
              </w:rPr>
            </w:pPr>
            <w:r w:rsidRPr="004D100F">
              <w:rPr>
                <w:rFonts w:ascii="Calibri" w:hAnsi="Calibri" w:cs="Calibri"/>
                <w:sz w:val="24"/>
                <w:szCs w:val="24"/>
              </w:rPr>
              <w:t>Basic medical supervision, eligibility screening, and safety monitoring</w:t>
            </w:r>
          </w:p>
        </w:tc>
        <w:tc>
          <w:tcPr>
            <w:tcW w:w="0" w:type="auto"/>
            <w:hideMark/>
          </w:tcPr>
          <w:p w14:paraId="78555309" w14:textId="07218C6E" w:rsidR="004D100F" w:rsidRPr="004D100F" w:rsidRDefault="004D100F" w:rsidP="004D100F">
            <w:pPr>
              <w:spacing w:after="160" w:line="360" w:lineRule="auto"/>
              <w:rPr>
                <w:rFonts w:ascii="Calibri" w:hAnsi="Calibri" w:cs="Calibri"/>
                <w:sz w:val="24"/>
                <w:szCs w:val="24"/>
              </w:rPr>
            </w:pPr>
            <w:r w:rsidRPr="004D100F">
              <w:rPr>
                <w:rFonts w:ascii="Calibri" w:hAnsi="Calibri" w:cs="Calibri"/>
                <w:sz w:val="24"/>
                <w:szCs w:val="24"/>
              </w:rPr>
              <w:t xml:space="preserve">Patients expect these as standard. If missing, trust and satisfaction </w:t>
            </w:r>
            <w:r w:rsidR="00284D7B">
              <w:rPr>
                <w:rFonts w:ascii="Calibri" w:hAnsi="Calibri" w:cs="Calibri"/>
                <w:sz w:val="24"/>
                <w:szCs w:val="24"/>
              </w:rPr>
              <w:t>declines</w:t>
            </w:r>
            <w:r w:rsidRPr="004D100F">
              <w:rPr>
                <w:rFonts w:ascii="Calibri" w:hAnsi="Calibri" w:cs="Calibri"/>
                <w:sz w:val="24"/>
                <w:szCs w:val="24"/>
              </w:rPr>
              <w:t>.</w:t>
            </w:r>
          </w:p>
        </w:tc>
      </w:tr>
      <w:tr w:rsidR="004D100F" w:rsidRPr="004D100F" w14:paraId="78680BC8" w14:textId="77777777" w:rsidTr="00943214">
        <w:tc>
          <w:tcPr>
            <w:tcW w:w="0" w:type="auto"/>
            <w:hideMark/>
          </w:tcPr>
          <w:p w14:paraId="76F0125A" w14:textId="77777777" w:rsidR="004D100F" w:rsidRPr="004D100F" w:rsidRDefault="004D100F" w:rsidP="004D100F">
            <w:pPr>
              <w:spacing w:after="160" w:line="360" w:lineRule="auto"/>
              <w:rPr>
                <w:rFonts w:ascii="Calibri" w:hAnsi="Calibri" w:cs="Calibri"/>
                <w:sz w:val="24"/>
                <w:szCs w:val="24"/>
              </w:rPr>
            </w:pPr>
            <w:r w:rsidRPr="004D100F">
              <w:rPr>
                <w:rFonts w:ascii="Calibri" w:hAnsi="Calibri" w:cs="Calibri"/>
                <w:b/>
                <w:bCs/>
                <w:sz w:val="24"/>
                <w:szCs w:val="24"/>
              </w:rPr>
              <w:t>Performance</w:t>
            </w:r>
          </w:p>
        </w:tc>
        <w:tc>
          <w:tcPr>
            <w:tcW w:w="0" w:type="auto"/>
            <w:hideMark/>
          </w:tcPr>
          <w:p w14:paraId="72FD0D7D" w14:textId="77777777" w:rsidR="004D100F" w:rsidRPr="004D100F" w:rsidRDefault="004D100F" w:rsidP="004D100F">
            <w:pPr>
              <w:spacing w:after="160" w:line="360" w:lineRule="auto"/>
              <w:rPr>
                <w:rFonts w:ascii="Calibri" w:hAnsi="Calibri" w:cs="Calibri"/>
                <w:sz w:val="24"/>
                <w:szCs w:val="24"/>
              </w:rPr>
            </w:pPr>
            <w:r w:rsidRPr="004D100F">
              <w:rPr>
                <w:rFonts w:ascii="Calibri" w:hAnsi="Calibri" w:cs="Calibri"/>
                <w:sz w:val="24"/>
                <w:szCs w:val="24"/>
              </w:rPr>
              <w:t>Effectiveness of the treatment (e.g. % weight loss, speed of results)</w:t>
            </w:r>
          </w:p>
        </w:tc>
        <w:tc>
          <w:tcPr>
            <w:tcW w:w="0" w:type="auto"/>
            <w:hideMark/>
          </w:tcPr>
          <w:p w14:paraId="70FB6BEB" w14:textId="77777777" w:rsidR="004D100F" w:rsidRPr="004D100F" w:rsidRDefault="004D100F" w:rsidP="004D100F">
            <w:pPr>
              <w:spacing w:after="160" w:line="360" w:lineRule="auto"/>
              <w:rPr>
                <w:rFonts w:ascii="Calibri" w:hAnsi="Calibri" w:cs="Calibri"/>
                <w:sz w:val="24"/>
                <w:szCs w:val="24"/>
              </w:rPr>
            </w:pPr>
            <w:r w:rsidRPr="004D100F">
              <w:rPr>
                <w:rFonts w:ascii="Calibri" w:hAnsi="Calibri" w:cs="Calibri"/>
                <w:sz w:val="24"/>
                <w:szCs w:val="24"/>
              </w:rPr>
              <w:t>The more effective the treatment, the more satisfied patients are.</w:t>
            </w:r>
          </w:p>
        </w:tc>
      </w:tr>
      <w:tr w:rsidR="004D100F" w:rsidRPr="004D100F" w14:paraId="695D76AA" w14:textId="77777777" w:rsidTr="00943214">
        <w:tc>
          <w:tcPr>
            <w:tcW w:w="0" w:type="auto"/>
            <w:hideMark/>
          </w:tcPr>
          <w:p w14:paraId="4A98E9C6" w14:textId="77777777" w:rsidR="004D100F" w:rsidRPr="004D100F" w:rsidRDefault="004D100F" w:rsidP="004D100F">
            <w:pPr>
              <w:spacing w:after="160" w:line="360" w:lineRule="auto"/>
              <w:rPr>
                <w:rFonts w:ascii="Calibri" w:hAnsi="Calibri" w:cs="Calibri"/>
                <w:sz w:val="24"/>
                <w:szCs w:val="24"/>
              </w:rPr>
            </w:pPr>
            <w:r w:rsidRPr="004D100F">
              <w:rPr>
                <w:rFonts w:ascii="Calibri" w:hAnsi="Calibri" w:cs="Calibri"/>
                <w:b/>
                <w:bCs/>
                <w:sz w:val="24"/>
                <w:szCs w:val="24"/>
              </w:rPr>
              <w:t>Attractive</w:t>
            </w:r>
          </w:p>
        </w:tc>
        <w:tc>
          <w:tcPr>
            <w:tcW w:w="0" w:type="auto"/>
            <w:hideMark/>
          </w:tcPr>
          <w:p w14:paraId="674D1CFB" w14:textId="77777777" w:rsidR="004D100F" w:rsidRPr="004D100F" w:rsidRDefault="004D100F" w:rsidP="004D100F">
            <w:pPr>
              <w:spacing w:after="160" w:line="360" w:lineRule="auto"/>
              <w:rPr>
                <w:rFonts w:ascii="Calibri" w:hAnsi="Calibri" w:cs="Calibri"/>
                <w:sz w:val="24"/>
                <w:szCs w:val="24"/>
              </w:rPr>
            </w:pPr>
            <w:r w:rsidRPr="004D100F">
              <w:rPr>
                <w:rFonts w:ascii="Calibri" w:hAnsi="Calibri" w:cs="Calibri"/>
                <w:sz w:val="24"/>
                <w:szCs w:val="24"/>
              </w:rPr>
              <w:t>Access to holistic support—like nutrition coaching, mental health counselling, or fitness plans</w:t>
            </w:r>
          </w:p>
        </w:tc>
        <w:tc>
          <w:tcPr>
            <w:tcW w:w="0" w:type="auto"/>
            <w:hideMark/>
          </w:tcPr>
          <w:p w14:paraId="145DB10A" w14:textId="77777777" w:rsidR="004D100F" w:rsidRPr="004D100F" w:rsidRDefault="004D100F" w:rsidP="004D100F">
            <w:pPr>
              <w:spacing w:after="160" w:line="360" w:lineRule="auto"/>
              <w:rPr>
                <w:rFonts w:ascii="Calibri" w:hAnsi="Calibri" w:cs="Calibri"/>
                <w:sz w:val="24"/>
                <w:szCs w:val="24"/>
              </w:rPr>
            </w:pPr>
            <w:r w:rsidRPr="004D100F">
              <w:rPr>
                <w:rFonts w:ascii="Calibri" w:hAnsi="Calibri" w:cs="Calibri"/>
                <w:sz w:val="24"/>
                <w:szCs w:val="24"/>
              </w:rPr>
              <w:t>These extras aren’t expected but can significantly boost satisfaction and adherence.</w:t>
            </w:r>
          </w:p>
        </w:tc>
      </w:tr>
      <w:tr w:rsidR="004D100F" w:rsidRPr="004D100F" w14:paraId="328B2937" w14:textId="77777777" w:rsidTr="00943214">
        <w:tc>
          <w:tcPr>
            <w:tcW w:w="0" w:type="auto"/>
            <w:hideMark/>
          </w:tcPr>
          <w:p w14:paraId="419E5424" w14:textId="77777777" w:rsidR="004D100F" w:rsidRPr="004D100F" w:rsidRDefault="004D100F" w:rsidP="004D100F">
            <w:pPr>
              <w:spacing w:after="160" w:line="360" w:lineRule="auto"/>
              <w:rPr>
                <w:rFonts w:ascii="Calibri" w:hAnsi="Calibri" w:cs="Calibri"/>
                <w:sz w:val="24"/>
                <w:szCs w:val="24"/>
              </w:rPr>
            </w:pPr>
            <w:r w:rsidRPr="004D100F">
              <w:rPr>
                <w:rFonts w:ascii="Calibri" w:hAnsi="Calibri" w:cs="Calibri"/>
                <w:b/>
                <w:bCs/>
                <w:sz w:val="24"/>
                <w:szCs w:val="24"/>
              </w:rPr>
              <w:t>Indifferent</w:t>
            </w:r>
          </w:p>
        </w:tc>
        <w:tc>
          <w:tcPr>
            <w:tcW w:w="0" w:type="auto"/>
            <w:hideMark/>
          </w:tcPr>
          <w:p w14:paraId="720EB0A2" w14:textId="77777777" w:rsidR="004D100F" w:rsidRPr="004D100F" w:rsidRDefault="004D100F" w:rsidP="004D100F">
            <w:pPr>
              <w:spacing w:after="160" w:line="360" w:lineRule="auto"/>
              <w:rPr>
                <w:rFonts w:ascii="Calibri" w:hAnsi="Calibri" w:cs="Calibri"/>
                <w:sz w:val="24"/>
                <w:szCs w:val="24"/>
              </w:rPr>
            </w:pPr>
            <w:r w:rsidRPr="004D100F">
              <w:rPr>
                <w:rFonts w:ascii="Calibri" w:hAnsi="Calibri" w:cs="Calibri"/>
                <w:sz w:val="24"/>
                <w:szCs w:val="24"/>
              </w:rPr>
              <w:t>Branding of the medication or the colour of the injection pen</w:t>
            </w:r>
          </w:p>
        </w:tc>
        <w:tc>
          <w:tcPr>
            <w:tcW w:w="0" w:type="auto"/>
            <w:hideMark/>
          </w:tcPr>
          <w:p w14:paraId="389B2299" w14:textId="77777777" w:rsidR="004D100F" w:rsidRPr="004D100F" w:rsidRDefault="004D100F" w:rsidP="004D100F">
            <w:pPr>
              <w:spacing w:after="160" w:line="360" w:lineRule="auto"/>
              <w:rPr>
                <w:rFonts w:ascii="Calibri" w:hAnsi="Calibri" w:cs="Calibri"/>
                <w:sz w:val="24"/>
                <w:szCs w:val="24"/>
              </w:rPr>
            </w:pPr>
            <w:r w:rsidRPr="004D100F">
              <w:rPr>
                <w:rFonts w:ascii="Calibri" w:hAnsi="Calibri" w:cs="Calibri"/>
                <w:sz w:val="24"/>
                <w:szCs w:val="24"/>
              </w:rPr>
              <w:t>These don’t typically influence patient satisfaction.</w:t>
            </w:r>
          </w:p>
        </w:tc>
      </w:tr>
      <w:tr w:rsidR="004D100F" w:rsidRPr="004D100F" w14:paraId="13348A40" w14:textId="77777777" w:rsidTr="00943214">
        <w:tc>
          <w:tcPr>
            <w:tcW w:w="0" w:type="auto"/>
            <w:hideMark/>
          </w:tcPr>
          <w:p w14:paraId="1FB8F075" w14:textId="77777777" w:rsidR="004D100F" w:rsidRPr="004D100F" w:rsidRDefault="004D100F" w:rsidP="004D100F">
            <w:pPr>
              <w:spacing w:after="160" w:line="360" w:lineRule="auto"/>
              <w:rPr>
                <w:rFonts w:ascii="Calibri" w:hAnsi="Calibri" w:cs="Calibri"/>
                <w:sz w:val="24"/>
                <w:szCs w:val="24"/>
              </w:rPr>
            </w:pPr>
            <w:r w:rsidRPr="004D100F">
              <w:rPr>
                <w:rFonts w:ascii="Calibri" w:hAnsi="Calibri" w:cs="Calibri"/>
                <w:b/>
                <w:bCs/>
                <w:sz w:val="24"/>
                <w:szCs w:val="24"/>
              </w:rPr>
              <w:t>Reverse</w:t>
            </w:r>
          </w:p>
        </w:tc>
        <w:tc>
          <w:tcPr>
            <w:tcW w:w="0" w:type="auto"/>
            <w:hideMark/>
          </w:tcPr>
          <w:p w14:paraId="14ED8B4D" w14:textId="77777777" w:rsidR="004D100F" w:rsidRPr="004D100F" w:rsidRDefault="004D100F" w:rsidP="004D100F">
            <w:pPr>
              <w:spacing w:after="160" w:line="360" w:lineRule="auto"/>
              <w:rPr>
                <w:rFonts w:ascii="Calibri" w:hAnsi="Calibri" w:cs="Calibri"/>
                <w:sz w:val="24"/>
                <w:szCs w:val="24"/>
              </w:rPr>
            </w:pPr>
            <w:r w:rsidRPr="004D100F">
              <w:rPr>
                <w:rFonts w:ascii="Calibri" w:hAnsi="Calibri" w:cs="Calibri"/>
                <w:sz w:val="24"/>
                <w:szCs w:val="24"/>
              </w:rPr>
              <w:t>Mandatory group therapy sessions for all patients</w:t>
            </w:r>
          </w:p>
        </w:tc>
        <w:tc>
          <w:tcPr>
            <w:tcW w:w="0" w:type="auto"/>
            <w:hideMark/>
          </w:tcPr>
          <w:p w14:paraId="7805D7CB" w14:textId="77777777" w:rsidR="004D100F" w:rsidRPr="004D100F" w:rsidRDefault="004D100F" w:rsidP="004D100F">
            <w:pPr>
              <w:spacing w:after="160" w:line="360" w:lineRule="auto"/>
              <w:rPr>
                <w:rFonts w:ascii="Calibri" w:hAnsi="Calibri" w:cs="Calibri"/>
                <w:sz w:val="24"/>
                <w:szCs w:val="24"/>
              </w:rPr>
            </w:pPr>
            <w:r w:rsidRPr="004D100F">
              <w:rPr>
                <w:rFonts w:ascii="Calibri" w:hAnsi="Calibri" w:cs="Calibri"/>
                <w:sz w:val="24"/>
                <w:szCs w:val="24"/>
              </w:rPr>
              <w:t>Some may dislike this if they prefer privacy or self-paced care.</w:t>
            </w:r>
          </w:p>
        </w:tc>
      </w:tr>
    </w:tbl>
    <w:p w14:paraId="4AD883A2" w14:textId="77777777" w:rsidR="00943214" w:rsidRDefault="00943214" w:rsidP="004D100F">
      <w:pPr>
        <w:spacing w:line="360" w:lineRule="auto"/>
        <w:rPr>
          <w:rFonts w:ascii="Calibri" w:hAnsi="Calibri" w:cs="Calibri"/>
          <w:b/>
          <w:bCs/>
          <w:sz w:val="24"/>
          <w:szCs w:val="24"/>
        </w:rPr>
      </w:pPr>
    </w:p>
    <w:p w14:paraId="784552B2" w14:textId="1CF453D8" w:rsidR="004D100F" w:rsidRPr="004D100F" w:rsidRDefault="00EC4F62" w:rsidP="00943214">
      <w:pPr>
        <w:spacing w:line="360" w:lineRule="auto"/>
        <w:rPr>
          <w:rFonts w:ascii="Calibri" w:hAnsi="Calibri" w:cs="Calibri"/>
          <w:sz w:val="24"/>
          <w:szCs w:val="24"/>
        </w:rPr>
      </w:pPr>
      <w:r>
        <w:rPr>
          <w:rFonts w:ascii="Calibri" w:hAnsi="Calibri" w:cs="Calibri"/>
          <w:sz w:val="24"/>
          <w:szCs w:val="24"/>
        </w:rPr>
        <w:t>Healthcare providers can use The Kano Model to prioritise resources</w:t>
      </w:r>
      <w:r w:rsidR="00C208EC">
        <w:rPr>
          <w:rFonts w:ascii="Calibri" w:hAnsi="Calibri" w:cs="Calibri"/>
          <w:sz w:val="24"/>
          <w:szCs w:val="24"/>
        </w:rPr>
        <w:t xml:space="preserve"> by ensuring must-be and performance features are solid before investing in attractive ones. Patients will also benefit from a more tailored experience that meets both their expectations and emotional needs.</w:t>
      </w:r>
    </w:p>
    <w:p w14:paraId="54EBA7DB" w14:textId="6514AF75" w:rsidR="00915201" w:rsidRDefault="007C3110" w:rsidP="00CE5CC7">
      <w:pPr>
        <w:spacing w:line="360" w:lineRule="auto"/>
        <w:rPr>
          <w:rFonts w:ascii="Calibri" w:hAnsi="Calibri" w:cs="Calibri"/>
          <w:sz w:val="24"/>
          <w:szCs w:val="24"/>
        </w:rPr>
      </w:pPr>
      <w:r>
        <w:rPr>
          <w:rFonts w:ascii="Calibri" w:hAnsi="Calibri" w:cs="Calibri"/>
          <w:sz w:val="24"/>
          <w:szCs w:val="24"/>
        </w:rPr>
        <w:t>Product Plan, (2025)</w:t>
      </w:r>
      <w:r w:rsidR="00D61387">
        <w:rPr>
          <w:rFonts w:ascii="Calibri" w:hAnsi="Calibri" w:cs="Calibri"/>
          <w:sz w:val="24"/>
          <w:szCs w:val="24"/>
        </w:rPr>
        <w:t xml:space="preserve"> states that t</w:t>
      </w:r>
      <w:r w:rsidR="004F66A2">
        <w:rPr>
          <w:rFonts w:ascii="Calibri" w:hAnsi="Calibri" w:cs="Calibri"/>
          <w:sz w:val="24"/>
          <w:szCs w:val="24"/>
        </w:rPr>
        <w:t xml:space="preserve">he </w:t>
      </w:r>
      <w:proofErr w:type="spellStart"/>
      <w:r w:rsidR="004F66A2">
        <w:rPr>
          <w:rFonts w:ascii="Calibri" w:hAnsi="Calibri" w:cs="Calibri"/>
          <w:sz w:val="24"/>
          <w:szCs w:val="24"/>
        </w:rPr>
        <w:t>MoSCoW</w:t>
      </w:r>
      <w:proofErr w:type="spellEnd"/>
      <w:r w:rsidR="004F66A2">
        <w:rPr>
          <w:rFonts w:ascii="Calibri" w:hAnsi="Calibri" w:cs="Calibri"/>
          <w:sz w:val="24"/>
          <w:szCs w:val="24"/>
        </w:rPr>
        <w:t xml:space="preserve"> Model is another</w:t>
      </w:r>
      <w:r w:rsidR="00D72779">
        <w:rPr>
          <w:rFonts w:ascii="Calibri" w:hAnsi="Calibri" w:cs="Calibri"/>
          <w:sz w:val="24"/>
          <w:szCs w:val="24"/>
        </w:rPr>
        <w:t xml:space="preserve"> model </w:t>
      </w:r>
      <w:r w:rsidR="00D61387">
        <w:rPr>
          <w:rFonts w:ascii="Calibri" w:hAnsi="Calibri" w:cs="Calibri"/>
          <w:sz w:val="24"/>
          <w:szCs w:val="24"/>
        </w:rPr>
        <w:t xml:space="preserve">that is </w:t>
      </w:r>
      <w:r w:rsidR="00A234D0">
        <w:rPr>
          <w:rFonts w:ascii="Calibri" w:hAnsi="Calibri" w:cs="Calibri"/>
          <w:sz w:val="24"/>
          <w:szCs w:val="24"/>
        </w:rPr>
        <w:t xml:space="preserve">used as a prioritisation technique to manage requirements. </w:t>
      </w:r>
      <w:r w:rsidR="00D61387">
        <w:rPr>
          <w:rFonts w:ascii="Calibri" w:hAnsi="Calibri" w:cs="Calibri"/>
          <w:sz w:val="24"/>
          <w:szCs w:val="24"/>
        </w:rPr>
        <w:t>It represents four categories</w:t>
      </w:r>
      <w:r w:rsidR="00DC7A61">
        <w:rPr>
          <w:rFonts w:ascii="Calibri" w:hAnsi="Calibri" w:cs="Calibri"/>
          <w:sz w:val="24"/>
          <w:szCs w:val="24"/>
        </w:rPr>
        <w:t xml:space="preserve">: must have, should have, could have, </w:t>
      </w:r>
      <w:r w:rsidR="00A8264A">
        <w:rPr>
          <w:rFonts w:ascii="Calibri" w:hAnsi="Calibri" w:cs="Calibri"/>
          <w:sz w:val="24"/>
          <w:szCs w:val="24"/>
        </w:rPr>
        <w:t xml:space="preserve">and </w:t>
      </w:r>
      <w:r w:rsidR="00DC7A61">
        <w:rPr>
          <w:rFonts w:ascii="Calibri" w:hAnsi="Calibri" w:cs="Calibri"/>
          <w:sz w:val="24"/>
          <w:szCs w:val="24"/>
        </w:rPr>
        <w:t>won</w:t>
      </w:r>
      <w:r w:rsidR="00A8264A">
        <w:rPr>
          <w:rFonts w:ascii="Calibri" w:hAnsi="Calibri" w:cs="Calibri"/>
          <w:sz w:val="24"/>
          <w:szCs w:val="24"/>
        </w:rPr>
        <w:t xml:space="preserve">’t have. </w:t>
      </w:r>
      <w:r w:rsidR="00915201">
        <w:rPr>
          <w:rFonts w:ascii="Calibri" w:hAnsi="Calibri" w:cs="Calibri"/>
          <w:sz w:val="24"/>
          <w:szCs w:val="24"/>
        </w:rPr>
        <w:t xml:space="preserve">The </w:t>
      </w:r>
      <w:proofErr w:type="spellStart"/>
      <w:r w:rsidR="00915201">
        <w:rPr>
          <w:rFonts w:ascii="Calibri" w:hAnsi="Calibri" w:cs="Calibri"/>
          <w:sz w:val="24"/>
          <w:szCs w:val="24"/>
        </w:rPr>
        <w:t>MoSCoW</w:t>
      </w:r>
      <w:proofErr w:type="spellEnd"/>
      <w:r w:rsidR="00915201">
        <w:rPr>
          <w:rFonts w:ascii="Calibri" w:hAnsi="Calibri" w:cs="Calibri"/>
          <w:sz w:val="24"/>
          <w:szCs w:val="24"/>
        </w:rPr>
        <w:t xml:space="preserve"> method is a way to rank </w:t>
      </w:r>
      <w:r w:rsidR="00270CEB">
        <w:rPr>
          <w:rFonts w:ascii="Calibri" w:hAnsi="Calibri" w:cs="Calibri"/>
          <w:sz w:val="24"/>
          <w:szCs w:val="24"/>
        </w:rPr>
        <w:t xml:space="preserve">tasks or features by importance in time-sensitive projects.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18"/>
        <w:gridCol w:w="6222"/>
      </w:tblGrid>
      <w:tr w:rsidR="00915201" w:rsidRPr="00915201" w14:paraId="4A015376" w14:textId="77777777" w:rsidTr="00915201">
        <w:trPr>
          <w:tblCellSpacing w:w="15" w:type="dxa"/>
        </w:trPr>
        <w:tc>
          <w:tcPr>
            <w:tcW w:w="0" w:type="auto"/>
            <w:vAlign w:val="center"/>
            <w:hideMark/>
          </w:tcPr>
          <w:p w14:paraId="1BCCD16F" w14:textId="77777777" w:rsidR="00915201" w:rsidRPr="00915201" w:rsidRDefault="00915201" w:rsidP="00915201">
            <w:pPr>
              <w:spacing w:line="360" w:lineRule="auto"/>
              <w:rPr>
                <w:rFonts w:ascii="Calibri" w:hAnsi="Calibri" w:cs="Calibri"/>
                <w:sz w:val="24"/>
                <w:szCs w:val="24"/>
              </w:rPr>
            </w:pPr>
            <w:r w:rsidRPr="00915201">
              <w:rPr>
                <w:rFonts w:ascii="Calibri" w:hAnsi="Calibri" w:cs="Calibri"/>
                <w:b/>
                <w:bCs/>
                <w:sz w:val="24"/>
                <w:szCs w:val="24"/>
              </w:rPr>
              <w:t>Must-have</w:t>
            </w:r>
          </w:p>
        </w:tc>
        <w:tc>
          <w:tcPr>
            <w:tcW w:w="0" w:type="auto"/>
            <w:vAlign w:val="center"/>
            <w:hideMark/>
          </w:tcPr>
          <w:p w14:paraId="1B8B4C78" w14:textId="77777777" w:rsidR="00915201" w:rsidRPr="00915201" w:rsidRDefault="00915201" w:rsidP="00915201">
            <w:pPr>
              <w:spacing w:line="360" w:lineRule="auto"/>
              <w:rPr>
                <w:rFonts w:ascii="Calibri" w:hAnsi="Calibri" w:cs="Calibri"/>
                <w:sz w:val="24"/>
                <w:szCs w:val="24"/>
              </w:rPr>
            </w:pPr>
            <w:r w:rsidRPr="00915201">
              <w:rPr>
                <w:rFonts w:ascii="Calibri" w:hAnsi="Calibri" w:cs="Calibri"/>
                <w:sz w:val="24"/>
                <w:szCs w:val="24"/>
              </w:rPr>
              <w:t>Non-negotiable essentials. Without them, the project fails.</w:t>
            </w:r>
          </w:p>
        </w:tc>
      </w:tr>
      <w:tr w:rsidR="00915201" w:rsidRPr="00915201" w14:paraId="7412D9A9" w14:textId="77777777" w:rsidTr="00915201">
        <w:trPr>
          <w:tblCellSpacing w:w="15" w:type="dxa"/>
        </w:trPr>
        <w:tc>
          <w:tcPr>
            <w:tcW w:w="0" w:type="auto"/>
            <w:vAlign w:val="center"/>
            <w:hideMark/>
          </w:tcPr>
          <w:p w14:paraId="2FEBB4BA" w14:textId="77777777" w:rsidR="00915201" w:rsidRPr="00915201" w:rsidRDefault="00915201" w:rsidP="00915201">
            <w:pPr>
              <w:spacing w:line="360" w:lineRule="auto"/>
              <w:rPr>
                <w:rFonts w:ascii="Calibri" w:hAnsi="Calibri" w:cs="Calibri"/>
                <w:sz w:val="24"/>
                <w:szCs w:val="24"/>
              </w:rPr>
            </w:pPr>
            <w:r w:rsidRPr="00915201">
              <w:rPr>
                <w:rFonts w:ascii="Calibri" w:hAnsi="Calibri" w:cs="Calibri"/>
                <w:b/>
                <w:bCs/>
                <w:sz w:val="24"/>
                <w:szCs w:val="24"/>
              </w:rPr>
              <w:t>Should-have</w:t>
            </w:r>
          </w:p>
        </w:tc>
        <w:tc>
          <w:tcPr>
            <w:tcW w:w="0" w:type="auto"/>
            <w:vAlign w:val="center"/>
            <w:hideMark/>
          </w:tcPr>
          <w:p w14:paraId="00811BC4" w14:textId="77777777" w:rsidR="00915201" w:rsidRPr="00915201" w:rsidRDefault="00915201" w:rsidP="00915201">
            <w:pPr>
              <w:spacing w:line="360" w:lineRule="auto"/>
              <w:rPr>
                <w:rFonts w:ascii="Calibri" w:hAnsi="Calibri" w:cs="Calibri"/>
                <w:sz w:val="24"/>
                <w:szCs w:val="24"/>
              </w:rPr>
            </w:pPr>
            <w:r w:rsidRPr="00915201">
              <w:rPr>
                <w:rFonts w:ascii="Calibri" w:hAnsi="Calibri" w:cs="Calibri"/>
                <w:sz w:val="24"/>
                <w:szCs w:val="24"/>
              </w:rPr>
              <w:t>Important but not vital—can wait if needed.</w:t>
            </w:r>
          </w:p>
        </w:tc>
      </w:tr>
      <w:tr w:rsidR="00915201" w:rsidRPr="00915201" w14:paraId="261D9A42" w14:textId="77777777" w:rsidTr="00915201">
        <w:trPr>
          <w:tblCellSpacing w:w="15" w:type="dxa"/>
        </w:trPr>
        <w:tc>
          <w:tcPr>
            <w:tcW w:w="0" w:type="auto"/>
            <w:vAlign w:val="center"/>
            <w:hideMark/>
          </w:tcPr>
          <w:p w14:paraId="12350FBA" w14:textId="77777777" w:rsidR="00915201" w:rsidRPr="00915201" w:rsidRDefault="00915201" w:rsidP="00915201">
            <w:pPr>
              <w:spacing w:line="360" w:lineRule="auto"/>
              <w:rPr>
                <w:rFonts w:ascii="Calibri" w:hAnsi="Calibri" w:cs="Calibri"/>
                <w:sz w:val="24"/>
                <w:szCs w:val="24"/>
              </w:rPr>
            </w:pPr>
            <w:r w:rsidRPr="00915201">
              <w:rPr>
                <w:rFonts w:ascii="Calibri" w:hAnsi="Calibri" w:cs="Calibri"/>
                <w:b/>
                <w:bCs/>
                <w:sz w:val="24"/>
                <w:szCs w:val="24"/>
              </w:rPr>
              <w:t>Could-have</w:t>
            </w:r>
          </w:p>
        </w:tc>
        <w:tc>
          <w:tcPr>
            <w:tcW w:w="0" w:type="auto"/>
            <w:vAlign w:val="center"/>
            <w:hideMark/>
          </w:tcPr>
          <w:p w14:paraId="18A8FDCF" w14:textId="77777777" w:rsidR="00915201" w:rsidRPr="00915201" w:rsidRDefault="00915201" w:rsidP="00915201">
            <w:pPr>
              <w:spacing w:line="360" w:lineRule="auto"/>
              <w:rPr>
                <w:rFonts w:ascii="Calibri" w:hAnsi="Calibri" w:cs="Calibri"/>
                <w:sz w:val="24"/>
                <w:szCs w:val="24"/>
              </w:rPr>
            </w:pPr>
            <w:r w:rsidRPr="00915201">
              <w:rPr>
                <w:rFonts w:ascii="Calibri" w:hAnsi="Calibri" w:cs="Calibri"/>
                <w:sz w:val="24"/>
                <w:szCs w:val="24"/>
              </w:rPr>
              <w:t>Nice-to-haves. They add value but are not necessary right now.</w:t>
            </w:r>
          </w:p>
        </w:tc>
      </w:tr>
      <w:tr w:rsidR="00915201" w:rsidRPr="00915201" w14:paraId="522487E8" w14:textId="77777777" w:rsidTr="00915201">
        <w:trPr>
          <w:tblCellSpacing w:w="15" w:type="dxa"/>
        </w:trPr>
        <w:tc>
          <w:tcPr>
            <w:tcW w:w="0" w:type="auto"/>
            <w:vAlign w:val="center"/>
            <w:hideMark/>
          </w:tcPr>
          <w:p w14:paraId="58B3A852" w14:textId="77777777" w:rsidR="00915201" w:rsidRPr="00915201" w:rsidRDefault="00915201" w:rsidP="00915201">
            <w:pPr>
              <w:spacing w:line="360" w:lineRule="auto"/>
              <w:rPr>
                <w:rFonts w:ascii="Calibri" w:hAnsi="Calibri" w:cs="Calibri"/>
                <w:sz w:val="24"/>
                <w:szCs w:val="24"/>
              </w:rPr>
            </w:pPr>
            <w:r w:rsidRPr="00915201">
              <w:rPr>
                <w:rFonts w:ascii="Calibri" w:hAnsi="Calibri" w:cs="Calibri"/>
                <w:b/>
                <w:bCs/>
                <w:sz w:val="24"/>
                <w:szCs w:val="24"/>
              </w:rPr>
              <w:t>Won’t-have</w:t>
            </w:r>
          </w:p>
        </w:tc>
        <w:tc>
          <w:tcPr>
            <w:tcW w:w="0" w:type="auto"/>
            <w:vAlign w:val="center"/>
            <w:hideMark/>
          </w:tcPr>
          <w:p w14:paraId="7F4D4387" w14:textId="77777777" w:rsidR="00915201" w:rsidRPr="00915201" w:rsidRDefault="00915201" w:rsidP="00915201">
            <w:pPr>
              <w:spacing w:line="360" w:lineRule="auto"/>
              <w:rPr>
                <w:rFonts w:ascii="Calibri" w:hAnsi="Calibri" w:cs="Calibri"/>
                <w:sz w:val="24"/>
                <w:szCs w:val="24"/>
              </w:rPr>
            </w:pPr>
            <w:r w:rsidRPr="00915201">
              <w:rPr>
                <w:rFonts w:ascii="Calibri" w:hAnsi="Calibri" w:cs="Calibri"/>
                <w:sz w:val="24"/>
                <w:szCs w:val="24"/>
              </w:rPr>
              <w:t>Excluded for now—either out of scope or low priority.</w:t>
            </w:r>
          </w:p>
        </w:tc>
      </w:tr>
    </w:tbl>
    <w:p w14:paraId="01246737" w14:textId="2B0EF907" w:rsidR="00915201" w:rsidRPr="004B3805" w:rsidRDefault="00B30625" w:rsidP="00CE5CC7">
      <w:pPr>
        <w:spacing w:line="360" w:lineRule="auto"/>
        <w:rPr>
          <w:rFonts w:ascii="Calibri" w:hAnsi="Calibri" w:cs="Calibri"/>
          <w:b/>
          <w:bCs/>
          <w:sz w:val="24"/>
          <w:szCs w:val="24"/>
        </w:rPr>
      </w:pPr>
      <w:proofErr w:type="spellStart"/>
      <w:r w:rsidRPr="004B3805">
        <w:rPr>
          <w:rFonts w:ascii="Calibri" w:hAnsi="Calibri" w:cs="Calibri"/>
          <w:b/>
          <w:bCs/>
          <w:sz w:val="24"/>
          <w:szCs w:val="24"/>
        </w:rPr>
        <w:t>MoSCoW</w:t>
      </w:r>
      <w:proofErr w:type="spellEnd"/>
      <w:r w:rsidRPr="004B3805">
        <w:rPr>
          <w:rFonts w:ascii="Calibri" w:hAnsi="Calibri" w:cs="Calibri"/>
          <w:b/>
          <w:bCs/>
          <w:sz w:val="24"/>
          <w:szCs w:val="24"/>
        </w:rPr>
        <w:t xml:space="preserve"> Model applied to </w:t>
      </w:r>
      <w:r w:rsidR="004B3805" w:rsidRPr="004B3805">
        <w:rPr>
          <w:rFonts w:ascii="Calibri" w:hAnsi="Calibri" w:cs="Calibri"/>
          <w:b/>
          <w:bCs/>
          <w:sz w:val="24"/>
          <w:szCs w:val="24"/>
        </w:rPr>
        <w:t>weight loss treatment</w:t>
      </w:r>
    </w:p>
    <w:tbl>
      <w:tblPr>
        <w:tblStyle w:val="TableGridLight"/>
        <w:tblW w:w="0" w:type="auto"/>
        <w:tblLook w:val="04A0" w:firstRow="1" w:lastRow="0" w:firstColumn="1" w:lastColumn="0" w:noHBand="0" w:noVBand="1"/>
      </w:tblPr>
      <w:tblGrid>
        <w:gridCol w:w="1245"/>
        <w:gridCol w:w="3787"/>
        <w:gridCol w:w="3984"/>
      </w:tblGrid>
      <w:tr w:rsidR="004B3805" w:rsidRPr="004B3805" w14:paraId="4D4759E9" w14:textId="77777777" w:rsidTr="002D733E">
        <w:tc>
          <w:tcPr>
            <w:tcW w:w="0" w:type="auto"/>
            <w:hideMark/>
          </w:tcPr>
          <w:p w14:paraId="693037D6" w14:textId="77777777" w:rsidR="004B3805" w:rsidRPr="004B3805" w:rsidRDefault="004B3805" w:rsidP="004B3805">
            <w:pPr>
              <w:spacing w:after="160" w:line="360" w:lineRule="auto"/>
              <w:rPr>
                <w:rFonts w:ascii="Calibri" w:hAnsi="Calibri" w:cs="Calibri"/>
                <w:b/>
                <w:bCs/>
                <w:sz w:val="24"/>
                <w:szCs w:val="24"/>
              </w:rPr>
            </w:pPr>
            <w:r w:rsidRPr="004B3805">
              <w:rPr>
                <w:rFonts w:ascii="Calibri" w:hAnsi="Calibri" w:cs="Calibri"/>
                <w:b/>
                <w:bCs/>
                <w:sz w:val="24"/>
                <w:szCs w:val="24"/>
              </w:rPr>
              <w:lastRenderedPageBreak/>
              <w:t>Category</w:t>
            </w:r>
          </w:p>
        </w:tc>
        <w:tc>
          <w:tcPr>
            <w:tcW w:w="0" w:type="auto"/>
            <w:hideMark/>
          </w:tcPr>
          <w:p w14:paraId="79DB097F" w14:textId="77777777" w:rsidR="004B3805" w:rsidRPr="004B3805" w:rsidRDefault="004B3805" w:rsidP="004B3805">
            <w:pPr>
              <w:spacing w:after="160" w:line="360" w:lineRule="auto"/>
              <w:rPr>
                <w:rFonts w:ascii="Calibri" w:hAnsi="Calibri" w:cs="Calibri"/>
                <w:b/>
                <w:bCs/>
                <w:sz w:val="24"/>
                <w:szCs w:val="24"/>
              </w:rPr>
            </w:pPr>
            <w:r w:rsidRPr="004B3805">
              <w:rPr>
                <w:rFonts w:ascii="Calibri" w:hAnsi="Calibri" w:cs="Calibri"/>
                <w:b/>
                <w:bCs/>
                <w:sz w:val="24"/>
                <w:szCs w:val="24"/>
              </w:rPr>
              <w:t>Definition</w:t>
            </w:r>
          </w:p>
        </w:tc>
        <w:tc>
          <w:tcPr>
            <w:tcW w:w="0" w:type="auto"/>
            <w:hideMark/>
          </w:tcPr>
          <w:p w14:paraId="63083788" w14:textId="77777777" w:rsidR="004B3805" w:rsidRPr="004B3805" w:rsidRDefault="004B3805" w:rsidP="004B3805">
            <w:pPr>
              <w:spacing w:after="160" w:line="360" w:lineRule="auto"/>
              <w:rPr>
                <w:rFonts w:ascii="Calibri" w:hAnsi="Calibri" w:cs="Calibri"/>
                <w:b/>
                <w:bCs/>
                <w:sz w:val="24"/>
                <w:szCs w:val="24"/>
              </w:rPr>
            </w:pPr>
            <w:r w:rsidRPr="004B3805">
              <w:rPr>
                <w:rFonts w:ascii="Calibri" w:hAnsi="Calibri" w:cs="Calibri"/>
                <w:b/>
                <w:bCs/>
                <w:sz w:val="24"/>
                <w:szCs w:val="24"/>
              </w:rPr>
              <w:t>Examples in Weight Loss Services</w:t>
            </w:r>
          </w:p>
        </w:tc>
      </w:tr>
      <w:tr w:rsidR="004B3805" w:rsidRPr="004B3805" w14:paraId="00BB64C7" w14:textId="77777777" w:rsidTr="002D733E">
        <w:tc>
          <w:tcPr>
            <w:tcW w:w="0" w:type="auto"/>
            <w:hideMark/>
          </w:tcPr>
          <w:p w14:paraId="45512300" w14:textId="77777777" w:rsidR="004B3805" w:rsidRPr="004B3805" w:rsidRDefault="004B3805" w:rsidP="004B3805">
            <w:pPr>
              <w:spacing w:after="160" w:line="360" w:lineRule="auto"/>
              <w:rPr>
                <w:rFonts w:ascii="Calibri" w:hAnsi="Calibri" w:cs="Calibri"/>
                <w:sz w:val="24"/>
                <w:szCs w:val="24"/>
              </w:rPr>
            </w:pPr>
            <w:r w:rsidRPr="004B3805">
              <w:rPr>
                <w:rFonts w:ascii="Calibri" w:hAnsi="Calibri" w:cs="Calibri"/>
                <w:b/>
                <w:bCs/>
                <w:sz w:val="24"/>
                <w:szCs w:val="24"/>
              </w:rPr>
              <w:t>Must-have</w:t>
            </w:r>
          </w:p>
        </w:tc>
        <w:tc>
          <w:tcPr>
            <w:tcW w:w="0" w:type="auto"/>
            <w:hideMark/>
          </w:tcPr>
          <w:p w14:paraId="54B88B4B" w14:textId="77777777" w:rsidR="004B3805" w:rsidRPr="004B3805" w:rsidRDefault="004B3805" w:rsidP="004B3805">
            <w:pPr>
              <w:spacing w:after="160" w:line="360" w:lineRule="auto"/>
              <w:rPr>
                <w:rFonts w:ascii="Calibri" w:hAnsi="Calibri" w:cs="Calibri"/>
                <w:sz w:val="24"/>
                <w:szCs w:val="24"/>
              </w:rPr>
            </w:pPr>
            <w:r w:rsidRPr="004B3805">
              <w:rPr>
                <w:rFonts w:ascii="Calibri" w:hAnsi="Calibri" w:cs="Calibri"/>
                <w:sz w:val="24"/>
                <w:szCs w:val="24"/>
              </w:rPr>
              <w:t>Critical features—if missing, the service fails or is unsafe</w:t>
            </w:r>
          </w:p>
        </w:tc>
        <w:tc>
          <w:tcPr>
            <w:tcW w:w="0" w:type="auto"/>
            <w:hideMark/>
          </w:tcPr>
          <w:p w14:paraId="46C4A359" w14:textId="77777777" w:rsidR="004B3805" w:rsidRPr="004B3805" w:rsidRDefault="004B3805" w:rsidP="004B3805">
            <w:pPr>
              <w:spacing w:after="160" w:line="360" w:lineRule="auto"/>
              <w:rPr>
                <w:rFonts w:ascii="Calibri" w:hAnsi="Calibri" w:cs="Calibri"/>
                <w:sz w:val="24"/>
                <w:szCs w:val="24"/>
              </w:rPr>
            </w:pPr>
            <w:r w:rsidRPr="004B3805">
              <w:rPr>
                <w:rFonts w:ascii="Calibri" w:hAnsi="Calibri" w:cs="Calibri"/>
                <w:sz w:val="24"/>
                <w:szCs w:val="24"/>
              </w:rPr>
              <w:t>Medical eligibility screening, GP oversight, emergency contact pathways</w:t>
            </w:r>
          </w:p>
        </w:tc>
      </w:tr>
      <w:tr w:rsidR="004B3805" w:rsidRPr="004B3805" w14:paraId="68F48DEC" w14:textId="77777777" w:rsidTr="002D733E">
        <w:tc>
          <w:tcPr>
            <w:tcW w:w="0" w:type="auto"/>
            <w:hideMark/>
          </w:tcPr>
          <w:p w14:paraId="3015D8CC" w14:textId="77777777" w:rsidR="004B3805" w:rsidRPr="004B3805" w:rsidRDefault="004B3805" w:rsidP="004B3805">
            <w:pPr>
              <w:spacing w:after="160" w:line="360" w:lineRule="auto"/>
              <w:rPr>
                <w:rFonts w:ascii="Calibri" w:hAnsi="Calibri" w:cs="Calibri"/>
                <w:sz w:val="24"/>
                <w:szCs w:val="24"/>
              </w:rPr>
            </w:pPr>
            <w:r w:rsidRPr="004B3805">
              <w:rPr>
                <w:rFonts w:ascii="Calibri" w:hAnsi="Calibri" w:cs="Calibri"/>
                <w:b/>
                <w:bCs/>
                <w:sz w:val="24"/>
                <w:szCs w:val="24"/>
              </w:rPr>
              <w:t>Should-have</w:t>
            </w:r>
          </w:p>
        </w:tc>
        <w:tc>
          <w:tcPr>
            <w:tcW w:w="0" w:type="auto"/>
            <w:hideMark/>
          </w:tcPr>
          <w:p w14:paraId="512ACDEC" w14:textId="77777777" w:rsidR="004B3805" w:rsidRPr="004B3805" w:rsidRDefault="004B3805" w:rsidP="004B3805">
            <w:pPr>
              <w:spacing w:after="160" w:line="360" w:lineRule="auto"/>
              <w:rPr>
                <w:rFonts w:ascii="Calibri" w:hAnsi="Calibri" w:cs="Calibri"/>
                <w:sz w:val="24"/>
                <w:szCs w:val="24"/>
              </w:rPr>
            </w:pPr>
            <w:r w:rsidRPr="004B3805">
              <w:rPr>
                <w:rFonts w:ascii="Calibri" w:hAnsi="Calibri" w:cs="Calibri"/>
                <w:sz w:val="24"/>
                <w:szCs w:val="24"/>
              </w:rPr>
              <w:t>Valuable features that boost effectiveness but are not critical for function</w:t>
            </w:r>
          </w:p>
        </w:tc>
        <w:tc>
          <w:tcPr>
            <w:tcW w:w="0" w:type="auto"/>
            <w:hideMark/>
          </w:tcPr>
          <w:p w14:paraId="722AA478" w14:textId="77777777" w:rsidR="004B3805" w:rsidRPr="004B3805" w:rsidRDefault="004B3805" w:rsidP="004B3805">
            <w:pPr>
              <w:spacing w:after="160" w:line="360" w:lineRule="auto"/>
              <w:rPr>
                <w:rFonts w:ascii="Calibri" w:hAnsi="Calibri" w:cs="Calibri"/>
                <w:sz w:val="24"/>
                <w:szCs w:val="24"/>
              </w:rPr>
            </w:pPr>
            <w:r w:rsidRPr="004B3805">
              <w:rPr>
                <w:rFonts w:ascii="Calibri" w:hAnsi="Calibri" w:cs="Calibri"/>
                <w:sz w:val="24"/>
                <w:szCs w:val="24"/>
              </w:rPr>
              <w:t>Tailored meal plans, outcome reporting dashboards, regular progress reviews</w:t>
            </w:r>
          </w:p>
        </w:tc>
      </w:tr>
      <w:tr w:rsidR="004B3805" w:rsidRPr="004B3805" w14:paraId="163C606E" w14:textId="77777777" w:rsidTr="002D733E">
        <w:tc>
          <w:tcPr>
            <w:tcW w:w="0" w:type="auto"/>
            <w:hideMark/>
          </w:tcPr>
          <w:p w14:paraId="08F57A2B" w14:textId="77777777" w:rsidR="004B3805" w:rsidRPr="004B3805" w:rsidRDefault="004B3805" w:rsidP="004B3805">
            <w:pPr>
              <w:spacing w:after="160" w:line="360" w:lineRule="auto"/>
              <w:rPr>
                <w:rFonts w:ascii="Calibri" w:hAnsi="Calibri" w:cs="Calibri"/>
                <w:sz w:val="24"/>
                <w:szCs w:val="24"/>
              </w:rPr>
            </w:pPr>
            <w:r w:rsidRPr="004B3805">
              <w:rPr>
                <w:rFonts w:ascii="Calibri" w:hAnsi="Calibri" w:cs="Calibri"/>
                <w:b/>
                <w:bCs/>
                <w:sz w:val="24"/>
                <w:szCs w:val="24"/>
              </w:rPr>
              <w:t>Could-have</w:t>
            </w:r>
          </w:p>
        </w:tc>
        <w:tc>
          <w:tcPr>
            <w:tcW w:w="0" w:type="auto"/>
            <w:hideMark/>
          </w:tcPr>
          <w:p w14:paraId="4C5C7885" w14:textId="77777777" w:rsidR="004B3805" w:rsidRPr="004B3805" w:rsidRDefault="004B3805" w:rsidP="004B3805">
            <w:pPr>
              <w:spacing w:after="160" w:line="360" w:lineRule="auto"/>
              <w:rPr>
                <w:rFonts w:ascii="Calibri" w:hAnsi="Calibri" w:cs="Calibri"/>
                <w:sz w:val="24"/>
                <w:szCs w:val="24"/>
              </w:rPr>
            </w:pPr>
            <w:r w:rsidRPr="004B3805">
              <w:rPr>
                <w:rFonts w:ascii="Calibri" w:hAnsi="Calibri" w:cs="Calibri"/>
                <w:sz w:val="24"/>
                <w:szCs w:val="24"/>
              </w:rPr>
              <w:t>Nice-to-haves—enhance experience, but safe to exclude short-term</w:t>
            </w:r>
          </w:p>
        </w:tc>
        <w:tc>
          <w:tcPr>
            <w:tcW w:w="0" w:type="auto"/>
            <w:hideMark/>
          </w:tcPr>
          <w:p w14:paraId="1288694D" w14:textId="77777777" w:rsidR="004B3805" w:rsidRPr="004B3805" w:rsidRDefault="004B3805" w:rsidP="004B3805">
            <w:pPr>
              <w:spacing w:after="160" w:line="360" w:lineRule="auto"/>
              <w:rPr>
                <w:rFonts w:ascii="Calibri" w:hAnsi="Calibri" w:cs="Calibri"/>
                <w:sz w:val="24"/>
                <w:szCs w:val="24"/>
              </w:rPr>
            </w:pPr>
            <w:r w:rsidRPr="004B3805">
              <w:rPr>
                <w:rFonts w:ascii="Calibri" w:hAnsi="Calibri" w:cs="Calibri"/>
                <w:sz w:val="24"/>
                <w:szCs w:val="24"/>
              </w:rPr>
              <w:t>Fitness tracker integration, optional peer support groups, meditation app access</w:t>
            </w:r>
          </w:p>
        </w:tc>
      </w:tr>
      <w:tr w:rsidR="004B3805" w:rsidRPr="004B3805" w14:paraId="30263CB3" w14:textId="77777777" w:rsidTr="002D733E">
        <w:tc>
          <w:tcPr>
            <w:tcW w:w="0" w:type="auto"/>
            <w:hideMark/>
          </w:tcPr>
          <w:p w14:paraId="254C0AF1" w14:textId="77777777" w:rsidR="004B3805" w:rsidRPr="004B3805" w:rsidRDefault="004B3805" w:rsidP="004B3805">
            <w:pPr>
              <w:spacing w:after="160" w:line="360" w:lineRule="auto"/>
              <w:rPr>
                <w:rFonts w:ascii="Calibri" w:hAnsi="Calibri" w:cs="Calibri"/>
                <w:sz w:val="24"/>
                <w:szCs w:val="24"/>
              </w:rPr>
            </w:pPr>
            <w:r w:rsidRPr="004B3805">
              <w:rPr>
                <w:rFonts w:ascii="Calibri" w:hAnsi="Calibri" w:cs="Calibri"/>
                <w:b/>
                <w:bCs/>
                <w:sz w:val="24"/>
                <w:szCs w:val="24"/>
              </w:rPr>
              <w:t>Won’t-have</w:t>
            </w:r>
          </w:p>
        </w:tc>
        <w:tc>
          <w:tcPr>
            <w:tcW w:w="0" w:type="auto"/>
            <w:hideMark/>
          </w:tcPr>
          <w:p w14:paraId="714C951E" w14:textId="77777777" w:rsidR="004B3805" w:rsidRPr="004B3805" w:rsidRDefault="004B3805" w:rsidP="004B3805">
            <w:pPr>
              <w:spacing w:after="160" w:line="360" w:lineRule="auto"/>
              <w:rPr>
                <w:rFonts w:ascii="Calibri" w:hAnsi="Calibri" w:cs="Calibri"/>
                <w:sz w:val="24"/>
                <w:szCs w:val="24"/>
              </w:rPr>
            </w:pPr>
            <w:r w:rsidRPr="004B3805">
              <w:rPr>
                <w:rFonts w:ascii="Calibri" w:hAnsi="Calibri" w:cs="Calibri"/>
                <w:sz w:val="24"/>
                <w:szCs w:val="24"/>
              </w:rPr>
              <w:t>Out of scope for now—either too resource-intensive or low-impact</w:t>
            </w:r>
          </w:p>
        </w:tc>
        <w:tc>
          <w:tcPr>
            <w:tcW w:w="0" w:type="auto"/>
            <w:hideMark/>
          </w:tcPr>
          <w:p w14:paraId="22018A60" w14:textId="77777777" w:rsidR="004B3805" w:rsidRPr="004B3805" w:rsidRDefault="004B3805" w:rsidP="004B3805">
            <w:pPr>
              <w:spacing w:after="160" w:line="360" w:lineRule="auto"/>
              <w:rPr>
                <w:rFonts w:ascii="Calibri" w:hAnsi="Calibri" w:cs="Calibri"/>
                <w:sz w:val="24"/>
                <w:szCs w:val="24"/>
              </w:rPr>
            </w:pPr>
            <w:r w:rsidRPr="004B3805">
              <w:rPr>
                <w:rFonts w:ascii="Calibri" w:hAnsi="Calibri" w:cs="Calibri"/>
                <w:sz w:val="24"/>
                <w:szCs w:val="24"/>
              </w:rPr>
              <w:t>Genetic screening, AI-driven diagnostics, gamified mobile app features</w:t>
            </w:r>
          </w:p>
        </w:tc>
      </w:tr>
    </w:tbl>
    <w:p w14:paraId="45263015" w14:textId="38DD6BD1" w:rsidR="00A97EB1" w:rsidRDefault="0009766A" w:rsidP="00A97EB1">
      <w:pPr>
        <w:spacing w:line="360" w:lineRule="auto"/>
        <w:rPr>
          <w:rFonts w:ascii="Calibri" w:hAnsi="Calibri" w:cs="Calibri"/>
          <w:sz w:val="24"/>
          <w:szCs w:val="24"/>
        </w:rPr>
      </w:pPr>
      <w:proofErr w:type="spellStart"/>
      <w:r>
        <w:rPr>
          <w:rFonts w:ascii="Calibri" w:hAnsi="Calibri" w:cs="Calibri"/>
          <w:sz w:val="24"/>
          <w:szCs w:val="24"/>
        </w:rPr>
        <w:t>HotPMO</w:t>
      </w:r>
      <w:proofErr w:type="spellEnd"/>
      <w:r>
        <w:rPr>
          <w:rFonts w:ascii="Calibri" w:hAnsi="Calibri" w:cs="Calibri"/>
          <w:sz w:val="24"/>
          <w:szCs w:val="24"/>
        </w:rPr>
        <w:t xml:space="preserve"> (2025) </w:t>
      </w:r>
      <w:r w:rsidR="00D25670">
        <w:rPr>
          <w:rFonts w:ascii="Calibri" w:hAnsi="Calibri" w:cs="Calibri"/>
          <w:sz w:val="24"/>
          <w:szCs w:val="24"/>
        </w:rPr>
        <w:t xml:space="preserve">combines the </w:t>
      </w:r>
      <w:proofErr w:type="spellStart"/>
      <w:r w:rsidR="00A171E8">
        <w:rPr>
          <w:rFonts w:ascii="Calibri" w:hAnsi="Calibri" w:cs="Calibri"/>
          <w:sz w:val="24"/>
          <w:szCs w:val="24"/>
        </w:rPr>
        <w:t>MoSCoW</w:t>
      </w:r>
      <w:proofErr w:type="spellEnd"/>
      <w:r w:rsidR="00A171E8">
        <w:rPr>
          <w:rFonts w:ascii="Calibri" w:hAnsi="Calibri" w:cs="Calibri"/>
          <w:sz w:val="24"/>
          <w:szCs w:val="24"/>
        </w:rPr>
        <w:t xml:space="preserve"> and Kano models</w:t>
      </w:r>
      <w:r w:rsidR="00A27641">
        <w:rPr>
          <w:rFonts w:ascii="Calibri" w:hAnsi="Calibri" w:cs="Calibri"/>
          <w:sz w:val="24"/>
          <w:szCs w:val="24"/>
        </w:rPr>
        <w:t xml:space="preserve"> </w:t>
      </w:r>
      <w:r w:rsidR="00DA517A">
        <w:rPr>
          <w:rFonts w:ascii="Calibri" w:hAnsi="Calibri" w:cs="Calibri"/>
          <w:sz w:val="24"/>
          <w:szCs w:val="24"/>
        </w:rPr>
        <w:t xml:space="preserve">and state that both models provide a strong framework for understanding and prioritising </w:t>
      </w:r>
      <w:r w:rsidR="00045047">
        <w:rPr>
          <w:rFonts w:ascii="Calibri" w:hAnsi="Calibri" w:cs="Calibri"/>
          <w:sz w:val="24"/>
          <w:szCs w:val="24"/>
        </w:rPr>
        <w:t>customer requirements.</w:t>
      </w:r>
      <w:r w:rsidR="00934484">
        <w:rPr>
          <w:rFonts w:ascii="Calibri" w:hAnsi="Calibri" w:cs="Calibri"/>
          <w:sz w:val="24"/>
          <w:szCs w:val="24"/>
        </w:rPr>
        <w:t xml:space="preserve"> </w:t>
      </w:r>
      <w:r w:rsidR="003673C5">
        <w:rPr>
          <w:rFonts w:ascii="Calibri" w:hAnsi="Calibri" w:cs="Calibri"/>
          <w:sz w:val="24"/>
          <w:szCs w:val="24"/>
        </w:rPr>
        <w:t xml:space="preserve">This approach improves customer satisfaction by categorising product features based on needs and expectations. ‘Must Have’ items in </w:t>
      </w:r>
      <w:proofErr w:type="spellStart"/>
      <w:r w:rsidR="003673C5">
        <w:rPr>
          <w:rFonts w:ascii="Calibri" w:hAnsi="Calibri" w:cs="Calibri"/>
          <w:sz w:val="24"/>
          <w:szCs w:val="24"/>
        </w:rPr>
        <w:t>MoSCoW</w:t>
      </w:r>
      <w:proofErr w:type="spellEnd"/>
      <w:r w:rsidR="003673C5">
        <w:rPr>
          <w:rFonts w:ascii="Calibri" w:hAnsi="Calibri" w:cs="Calibri"/>
          <w:sz w:val="24"/>
          <w:szCs w:val="24"/>
        </w:rPr>
        <w:t xml:space="preserve"> could be ‘delighters’ in Kano. Kano emphasises delivering borderline </w:t>
      </w:r>
      <w:r w:rsidR="00A27756">
        <w:rPr>
          <w:rFonts w:ascii="Calibri" w:hAnsi="Calibri" w:cs="Calibri"/>
          <w:sz w:val="24"/>
          <w:szCs w:val="24"/>
        </w:rPr>
        <w:t>expectations first as they reduce dissatisfaction rather than create happiness.</w:t>
      </w:r>
    </w:p>
    <w:p w14:paraId="7335FB2B" w14:textId="7E8328CE" w:rsidR="00A97EB1" w:rsidRPr="00652074" w:rsidRDefault="006058BA" w:rsidP="00A97EB1">
      <w:pPr>
        <w:pStyle w:val="Heading1"/>
        <w:rPr>
          <w:rFonts w:ascii="Calibri" w:hAnsi="Calibri" w:cs="Calibri"/>
        </w:rPr>
      </w:pPr>
      <w:bookmarkStart w:id="11" w:name="_Toc202386431"/>
      <w:r w:rsidRPr="00652074">
        <w:rPr>
          <w:rFonts w:ascii="Calibri" w:hAnsi="Calibri" w:cs="Calibri"/>
        </w:rPr>
        <w:t xml:space="preserve">6. </w:t>
      </w:r>
      <w:r w:rsidR="00A97EB1" w:rsidRPr="00652074">
        <w:rPr>
          <w:rFonts w:ascii="Calibri" w:hAnsi="Calibri" w:cs="Calibri"/>
        </w:rPr>
        <w:t>Conclusion</w:t>
      </w:r>
      <w:bookmarkEnd w:id="11"/>
    </w:p>
    <w:p w14:paraId="16C30F47" w14:textId="4DC93A4C" w:rsidR="00624792" w:rsidRDefault="00CA0B3E" w:rsidP="001809FF">
      <w:pPr>
        <w:spacing w:line="360" w:lineRule="auto"/>
        <w:rPr>
          <w:rFonts w:ascii="Calibri" w:hAnsi="Calibri" w:cs="Calibri"/>
          <w:sz w:val="24"/>
          <w:szCs w:val="24"/>
        </w:rPr>
      </w:pPr>
      <w:r>
        <w:rPr>
          <w:rFonts w:ascii="Calibri" w:hAnsi="Calibri" w:cs="Calibri"/>
          <w:sz w:val="24"/>
          <w:szCs w:val="24"/>
        </w:rPr>
        <w:t>This report has critically examined the customer lifecycle and quality processes within the healthcare sector, with a focus on comparing NHS and private clinic models</w:t>
      </w:r>
      <w:r w:rsidR="00FF3E32">
        <w:rPr>
          <w:rFonts w:ascii="Calibri" w:hAnsi="Calibri" w:cs="Calibri"/>
          <w:sz w:val="24"/>
          <w:szCs w:val="24"/>
        </w:rPr>
        <w:t xml:space="preserve">. By analysing the application of </w:t>
      </w:r>
      <w:r w:rsidR="00A8174C">
        <w:rPr>
          <w:rFonts w:ascii="Calibri" w:hAnsi="Calibri" w:cs="Calibri"/>
          <w:sz w:val="24"/>
          <w:szCs w:val="24"/>
        </w:rPr>
        <w:t>Customer Relationship Management (CRM)</w:t>
      </w:r>
      <w:r w:rsidR="006070C3">
        <w:rPr>
          <w:rFonts w:ascii="Calibri" w:hAnsi="Calibri" w:cs="Calibri"/>
          <w:sz w:val="24"/>
          <w:szCs w:val="24"/>
        </w:rPr>
        <w:t>, customer centrality, and segmentation strategies</w:t>
      </w:r>
      <w:r w:rsidR="001809FF">
        <w:rPr>
          <w:rFonts w:ascii="Calibri" w:hAnsi="Calibri" w:cs="Calibri"/>
          <w:sz w:val="24"/>
          <w:szCs w:val="24"/>
        </w:rPr>
        <w:t>, many key differences have been highlighted which show how each organisation ma</w:t>
      </w:r>
      <w:r w:rsidR="006C1345">
        <w:rPr>
          <w:rFonts w:ascii="Calibri" w:hAnsi="Calibri" w:cs="Calibri"/>
          <w:sz w:val="24"/>
          <w:szCs w:val="24"/>
        </w:rPr>
        <w:t>nages</w:t>
      </w:r>
      <w:r w:rsidR="00367563">
        <w:rPr>
          <w:rFonts w:ascii="Calibri" w:hAnsi="Calibri" w:cs="Calibri"/>
          <w:sz w:val="24"/>
          <w:szCs w:val="24"/>
        </w:rPr>
        <w:t xml:space="preserve"> patient experience, expectations, and value delivery. </w:t>
      </w:r>
    </w:p>
    <w:p w14:paraId="66CA4161" w14:textId="75FE0791" w:rsidR="00A5752A" w:rsidRDefault="00701AAE" w:rsidP="00E24B8C">
      <w:pPr>
        <w:spacing w:line="360" w:lineRule="auto"/>
        <w:rPr>
          <w:rFonts w:ascii="Calibri" w:hAnsi="Calibri" w:cs="Calibri"/>
          <w:sz w:val="24"/>
          <w:szCs w:val="24"/>
        </w:rPr>
      </w:pPr>
      <w:r w:rsidRPr="00E24B8C">
        <w:rPr>
          <w:rFonts w:ascii="Calibri" w:hAnsi="Calibri" w:cs="Calibri"/>
          <w:sz w:val="24"/>
          <w:szCs w:val="24"/>
        </w:rPr>
        <w:t>By integrating the Juran model on quality planning, quality control, and quality improvement, organisations can systematically embed quality into every stage of service delivery. Garvin’s eight dimensions of quality</w:t>
      </w:r>
      <w:r w:rsidR="00CC6260" w:rsidRPr="00E24B8C">
        <w:rPr>
          <w:rFonts w:ascii="Calibri" w:hAnsi="Calibri" w:cs="Calibri"/>
          <w:sz w:val="24"/>
          <w:szCs w:val="24"/>
        </w:rPr>
        <w:t xml:space="preserve"> </w:t>
      </w:r>
      <w:r w:rsidRPr="00E24B8C">
        <w:rPr>
          <w:rFonts w:ascii="Calibri" w:hAnsi="Calibri" w:cs="Calibri"/>
          <w:sz w:val="24"/>
          <w:szCs w:val="24"/>
        </w:rPr>
        <w:t>provide a comprehensive</w:t>
      </w:r>
      <w:r w:rsidR="00CC6260" w:rsidRPr="00E24B8C">
        <w:rPr>
          <w:rFonts w:ascii="Calibri" w:hAnsi="Calibri" w:cs="Calibri"/>
          <w:sz w:val="24"/>
          <w:szCs w:val="24"/>
        </w:rPr>
        <w:t xml:space="preserve"> view f</w:t>
      </w:r>
      <w:r w:rsidRPr="00E24B8C">
        <w:rPr>
          <w:rFonts w:ascii="Calibri" w:hAnsi="Calibri" w:cs="Calibri"/>
          <w:sz w:val="24"/>
          <w:szCs w:val="24"/>
        </w:rPr>
        <w:t xml:space="preserve">or evaluating </w:t>
      </w:r>
      <w:r w:rsidRPr="00E24B8C">
        <w:rPr>
          <w:rFonts w:ascii="Calibri" w:hAnsi="Calibri" w:cs="Calibri"/>
          <w:sz w:val="24"/>
          <w:szCs w:val="24"/>
        </w:rPr>
        <w:lastRenderedPageBreak/>
        <w:t>and enhancing healthcare delivery.</w:t>
      </w:r>
      <w:r w:rsidR="00A5752A" w:rsidRPr="00E24B8C">
        <w:rPr>
          <w:rFonts w:ascii="Calibri" w:hAnsi="Calibri" w:cs="Calibri"/>
          <w:sz w:val="24"/>
          <w:szCs w:val="24"/>
        </w:rPr>
        <w:t xml:space="preserve"> </w:t>
      </w:r>
      <w:r w:rsidR="00A5752A" w:rsidRPr="00E24B8C">
        <w:rPr>
          <w:rFonts w:ascii="Calibri" w:hAnsi="Calibri" w:cs="Calibri"/>
          <w:sz w:val="24"/>
          <w:szCs w:val="24"/>
        </w:rPr>
        <w:t xml:space="preserve">The Kano model and </w:t>
      </w:r>
      <w:proofErr w:type="spellStart"/>
      <w:r w:rsidR="00A5752A" w:rsidRPr="00E24B8C">
        <w:rPr>
          <w:rFonts w:ascii="Calibri" w:hAnsi="Calibri" w:cs="Calibri"/>
          <w:sz w:val="24"/>
          <w:szCs w:val="24"/>
        </w:rPr>
        <w:t>MoSCoW</w:t>
      </w:r>
      <w:proofErr w:type="spellEnd"/>
      <w:r w:rsidR="00A5752A" w:rsidRPr="00E24B8C">
        <w:rPr>
          <w:rFonts w:ascii="Calibri" w:hAnsi="Calibri" w:cs="Calibri"/>
          <w:sz w:val="24"/>
          <w:szCs w:val="24"/>
        </w:rPr>
        <w:t xml:space="preserve"> framework</w:t>
      </w:r>
      <w:r w:rsidR="00A5752A" w:rsidRPr="00E24B8C">
        <w:rPr>
          <w:rFonts w:ascii="Calibri" w:hAnsi="Calibri" w:cs="Calibri"/>
          <w:sz w:val="24"/>
          <w:szCs w:val="24"/>
        </w:rPr>
        <w:t xml:space="preserve">s </w:t>
      </w:r>
      <w:r w:rsidR="00A5752A" w:rsidRPr="00E24B8C">
        <w:rPr>
          <w:rFonts w:ascii="Calibri" w:hAnsi="Calibri" w:cs="Calibri"/>
          <w:sz w:val="24"/>
          <w:szCs w:val="24"/>
        </w:rPr>
        <w:t xml:space="preserve">offer robust </w:t>
      </w:r>
      <w:r w:rsidR="00DF60F5" w:rsidRPr="00E24B8C">
        <w:rPr>
          <w:rFonts w:ascii="Calibri" w:hAnsi="Calibri" w:cs="Calibri"/>
          <w:sz w:val="24"/>
          <w:szCs w:val="24"/>
        </w:rPr>
        <w:t xml:space="preserve">approaches </w:t>
      </w:r>
      <w:r w:rsidR="00A5752A" w:rsidRPr="00E24B8C">
        <w:rPr>
          <w:rFonts w:ascii="Calibri" w:hAnsi="Calibri" w:cs="Calibri"/>
          <w:sz w:val="24"/>
          <w:szCs w:val="24"/>
        </w:rPr>
        <w:t xml:space="preserve">for understanding and categorising customer needs. Together, these models ensure that healthcare providers prioritise features and improvements that </w:t>
      </w:r>
      <w:r w:rsidR="008F3C4A" w:rsidRPr="00E24B8C">
        <w:rPr>
          <w:rFonts w:ascii="Calibri" w:hAnsi="Calibri" w:cs="Calibri"/>
          <w:sz w:val="24"/>
          <w:szCs w:val="24"/>
        </w:rPr>
        <w:t xml:space="preserve">are important to </w:t>
      </w:r>
      <w:r w:rsidR="00A5752A" w:rsidRPr="00E24B8C">
        <w:rPr>
          <w:rFonts w:ascii="Calibri" w:hAnsi="Calibri" w:cs="Calibri"/>
          <w:sz w:val="24"/>
          <w:szCs w:val="24"/>
        </w:rPr>
        <w:t>patients, enhancing satisfaction and reducing service gaps.</w:t>
      </w:r>
      <w:r w:rsidR="00966387">
        <w:rPr>
          <w:rFonts w:ascii="Calibri" w:hAnsi="Calibri" w:cs="Calibri"/>
          <w:sz w:val="24"/>
          <w:szCs w:val="24"/>
        </w:rPr>
        <w:t xml:space="preserve"> </w:t>
      </w:r>
    </w:p>
    <w:p w14:paraId="6B0DBE78" w14:textId="48967DB6" w:rsidR="00624792" w:rsidRPr="00624792" w:rsidRDefault="00966387" w:rsidP="00236743">
      <w:pPr>
        <w:spacing w:line="360" w:lineRule="auto"/>
        <w:rPr>
          <w:rFonts w:ascii="Calibri" w:hAnsi="Calibri" w:cs="Calibri"/>
          <w:sz w:val="24"/>
          <w:szCs w:val="24"/>
        </w:rPr>
      </w:pPr>
      <w:r w:rsidRPr="00236743">
        <w:rPr>
          <w:rFonts w:ascii="Calibri" w:hAnsi="Calibri" w:cs="Calibri"/>
          <w:sz w:val="24"/>
          <w:szCs w:val="24"/>
        </w:rPr>
        <w:t>The customer lifecycle revealed that</w:t>
      </w:r>
      <w:r w:rsidR="005D37FA" w:rsidRPr="00236743">
        <w:rPr>
          <w:rFonts w:ascii="Calibri" w:hAnsi="Calibri" w:cs="Calibri"/>
          <w:sz w:val="24"/>
          <w:szCs w:val="24"/>
        </w:rPr>
        <w:t xml:space="preserve"> private providers offer a more tailored and patient-centric approach, from acquisition to retention, supported by advanced CRM systems. </w:t>
      </w:r>
      <w:r w:rsidRPr="00236743">
        <w:rPr>
          <w:rFonts w:ascii="Calibri" w:hAnsi="Calibri" w:cs="Calibri"/>
          <w:sz w:val="24"/>
          <w:szCs w:val="24"/>
        </w:rPr>
        <w:t xml:space="preserve">For example, in the context of </w:t>
      </w:r>
      <w:proofErr w:type="spellStart"/>
      <w:r w:rsidRPr="00236743">
        <w:rPr>
          <w:rFonts w:ascii="Calibri" w:hAnsi="Calibri" w:cs="Calibri"/>
          <w:sz w:val="24"/>
          <w:szCs w:val="24"/>
        </w:rPr>
        <w:t>Mounjaro</w:t>
      </w:r>
      <w:proofErr w:type="spellEnd"/>
      <w:r w:rsidRPr="00236743">
        <w:rPr>
          <w:rFonts w:ascii="Calibri" w:hAnsi="Calibri" w:cs="Calibri"/>
          <w:sz w:val="24"/>
          <w:szCs w:val="24"/>
        </w:rPr>
        <w:t xml:space="preserve"> treatment, private clinics </w:t>
      </w:r>
      <w:r w:rsidR="005D37FA" w:rsidRPr="00236743">
        <w:rPr>
          <w:rFonts w:ascii="Calibri" w:hAnsi="Calibri" w:cs="Calibri"/>
          <w:sz w:val="24"/>
          <w:szCs w:val="24"/>
        </w:rPr>
        <w:t>can</w:t>
      </w:r>
      <w:r w:rsidRPr="00236743">
        <w:rPr>
          <w:rFonts w:ascii="Calibri" w:hAnsi="Calibri" w:cs="Calibri"/>
          <w:sz w:val="24"/>
          <w:szCs w:val="24"/>
        </w:rPr>
        <w:t xml:space="preserve"> deliver comprehensive, individualised care, while NHS patients encounter longer wait times and stricter eligibility, sometimes driving them to seek riskier alternatives. </w:t>
      </w:r>
      <w:r w:rsidR="005D37FA" w:rsidRPr="00236743">
        <w:rPr>
          <w:rFonts w:ascii="Calibri" w:hAnsi="Calibri" w:cs="Calibri"/>
          <w:sz w:val="24"/>
          <w:szCs w:val="24"/>
        </w:rPr>
        <w:t xml:space="preserve">These </w:t>
      </w:r>
      <w:r w:rsidRPr="00236743">
        <w:rPr>
          <w:rFonts w:ascii="Calibri" w:hAnsi="Calibri" w:cs="Calibri"/>
          <w:sz w:val="24"/>
          <w:szCs w:val="24"/>
        </w:rPr>
        <w:t>differences impact both patient satisfaction and outcomes.</w:t>
      </w:r>
      <w:r w:rsidR="005D37FA" w:rsidRPr="00236743">
        <w:rPr>
          <w:rFonts w:ascii="Calibri" w:hAnsi="Calibri" w:cs="Calibri"/>
          <w:sz w:val="24"/>
          <w:szCs w:val="24"/>
        </w:rPr>
        <w:t xml:space="preserve"> </w:t>
      </w:r>
      <w:r w:rsidR="006D55DA" w:rsidRPr="00236743">
        <w:rPr>
          <w:rFonts w:ascii="Calibri" w:hAnsi="Calibri" w:cs="Calibri"/>
          <w:sz w:val="24"/>
          <w:szCs w:val="24"/>
        </w:rPr>
        <w:t xml:space="preserve">Customer centrality and segmentation enable healthcare organisations to </w:t>
      </w:r>
      <w:r w:rsidR="008137C6" w:rsidRPr="00236743">
        <w:rPr>
          <w:rFonts w:ascii="Calibri" w:hAnsi="Calibri" w:cs="Calibri"/>
          <w:sz w:val="24"/>
          <w:szCs w:val="24"/>
        </w:rPr>
        <w:t>deliver customer quality and value. Private clinics excel in this area</w:t>
      </w:r>
      <w:r w:rsidR="00E84091" w:rsidRPr="00236743">
        <w:rPr>
          <w:rFonts w:ascii="Calibri" w:hAnsi="Calibri" w:cs="Calibri"/>
          <w:sz w:val="24"/>
          <w:szCs w:val="24"/>
        </w:rPr>
        <w:t xml:space="preserve">, as they segment patients by behaviours, needs and </w:t>
      </w:r>
      <w:r w:rsidR="007E7547" w:rsidRPr="00236743">
        <w:rPr>
          <w:rFonts w:ascii="Calibri" w:hAnsi="Calibri" w:cs="Calibri"/>
          <w:sz w:val="24"/>
          <w:szCs w:val="24"/>
        </w:rPr>
        <w:t>potential value. Whereas NHS segmentation remains largely clinical or geographic</w:t>
      </w:r>
      <w:r w:rsidR="00236743" w:rsidRPr="00236743">
        <w:rPr>
          <w:rFonts w:ascii="Calibri" w:hAnsi="Calibri" w:cs="Calibri"/>
          <w:sz w:val="24"/>
          <w:szCs w:val="24"/>
        </w:rPr>
        <w:t xml:space="preserve">, limiting the ability to provide efficient personalised care. </w:t>
      </w:r>
      <w:r w:rsidR="00624792" w:rsidRPr="00624792">
        <w:rPr>
          <w:rFonts w:ascii="Calibri" w:hAnsi="Calibri" w:cs="Calibri"/>
          <w:sz w:val="24"/>
          <w:szCs w:val="24"/>
        </w:rPr>
        <w:t>However, the NHS’s move towards population health models and integrated care systems shows promise for more sophisticated segmentation in the future.</w:t>
      </w:r>
    </w:p>
    <w:p w14:paraId="52CE3BC9" w14:textId="5DBA8E7C" w:rsidR="00906907" w:rsidRPr="00A52D6A" w:rsidRDefault="00624792" w:rsidP="00A52D6A">
      <w:pPr>
        <w:spacing w:line="360" w:lineRule="auto"/>
        <w:rPr>
          <w:rFonts w:ascii="Calibri" w:hAnsi="Calibri" w:cs="Calibri"/>
          <w:sz w:val="24"/>
          <w:szCs w:val="24"/>
        </w:rPr>
      </w:pPr>
      <w:r w:rsidRPr="00624792">
        <w:rPr>
          <w:rFonts w:ascii="Calibri" w:hAnsi="Calibri" w:cs="Calibri"/>
          <w:sz w:val="24"/>
          <w:szCs w:val="24"/>
        </w:rPr>
        <w:t xml:space="preserve">Overall, the findings support a strategic shift toward </w:t>
      </w:r>
      <w:r w:rsidR="00D5044A">
        <w:rPr>
          <w:rFonts w:ascii="Calibri" w:hAnsi="Calibri" w:cs="Calibri"/>
          <w:sz w:val="24"/>
          <w:szCs w:val="24"/>
        </w:rPr>
        <w:t>integrating</w:t>
      </w:r>
      <w:r w:rsidRPr="00624792">
        <w:rPr>
          <w:rFonts w:ascii="Calibri" w:hAnsi="Calibri" w:cs="Calibri"/>
          <w:sz w:val="24"/>
          <w:szCs w:val="24"/>
        </w:rPr>
        <w:t xml:space="preserve"> quality and customer-focused processes across all healthcare organisations. </w:t>
      </w:r>
      <w:r w:rsidR="00D5044A">
        <w:rPr>
          <w:rFonts w:ascii="Calibri" w:hAnsi="Calibri" w:cs="Calibri"/>
          <w:sz w:val="24"/>
          <w:szCs w:val="24"/>
        </w:rPr>
        <w:t xml:space="preserve">Within the </w:t>
      </w:r>
      <w:r w:rsidRPr="00624792">
        <w:rPr>
          <w:rFonts w:ascii="Calibri" w:hAnsi="Calibri" w:cs="Calibri"/>
          <w:sz w:val="24"/>
          <w:szCs w:val="24"/>
        </w:rPr>
        <w:t>NHS, this means overcoming cultural, technological, and structural barriers to develop more personalised, responsive services. For private clinics, it requires balancing growth with ethical and clinical integrity. Both sectors must prioritise sustainable customer relationships, data-informed decision-making, and continuous improvement to meet rising patient expectations and deliver long-term value.</w:t>
      </w:r>
      <w:r w:rsidR="00906907" w:rsidRPr="00A52D6A">
        <w:rPr>
          <w:rFonts w:ascii="Calibri" w:hAnsi="Calibri" w:cs="Calibri"/>
          <w:sz w:val="24"/>
          <w:szCs w:val="24"/>
        </w:rPr>
        <w:br w:type="page"/>
      </w:r>
    </w:p>
    <w:p w14:paraId="5071B22D" w14:textId="6470B4A0" w:rsidR="001A539B" w:rsidRPr="000E3633" w:rsidRDefault="000E3633" w:rsidP="000E3633">
      <w:pPr>
        <w:pStyle w:val="Heading1"/>
        <w:rPr>
          <w:rFonts w:ascii="Calibri" w:hAnsi="Calibri" w:cs="Calibri"/>
        </w:rPr>
      </w:pPr>
      <w:bookmarkStart w:id="12" w:name="_Toc202386432"/>
      <w:r w:rsidRPr="000E3633">
        <w:rPr>
          <w:rFonts w:ascii="Calibri" w:hAnsi="Calibri" w:cs="Calibri"/>
        </w:rPr>
        <w:lastRenderedPageBreak/>
        <w:t>References</w:t>
      </w:r>
      <w:bookmarkEnd w:id="12"/>
    </w:p>
    <w:p w14:paraId="3DDBE8FD" w14:textId="77777777" w:rsidR="00C61893" w:rsidRDefault="00C61893" w:rsidP="005667C5">
      <w:pPr>
        <w:ind w:left="720" w:hanging="720"/>
        <w:rPr>
          <w:rFonts w:ascii="Calibri" w:hAnsi="Calibri" w:cs="Calibri"/>
          <w:sz w:val="24"/>
          <w:szCs w:val="24"/>
        </w:rPr>
      </w:pPr>
      <w:r w:rsidRPr="00FD184E">
        <w:rPr>
          <w:rFonts w:ascii="Calibri" w:hAnsi="Calibri" w:cs="Calibri"/>
          <w:sz w:val="24"/>
          <w:szCs w:val="24"/>
        </w:rPr>
        <w:t xml:space="preserve">Almquist, E., Senior, J., &amp; Bloch, N. (2016, September). The elements of value: Measuring—and delivering—what consumers really want. </w:t>
      </w:r>
      <w:r w:rsidRPr="00FD184E">
        <w:rPr>
          <w:rFonts w:ascii="Calibri" w:hAnsi="Calibri" w:cs="Calibri"/>
          <w:i/>
          <w:iCs/>
          <w:sz w:val="24"/>
          <w:szCs w:val="24"/>
        </w:rPr>
        <w:t>Harvard Business Review</w:t>
      </w:r>
      <w:r w:rsidRPr="00FD184E">
        <w:rPr>
          <w:rFonts w:ascii="Calibri" w:hAnsi="Calibri" w:cs="Calibri"/>
          <w:sz w:val="24"/>
          <w:szCs w:val="24"/>
        </w:rPr>
        <w:t xml:space="preserve">. </w:t>
      </w:r>
      <w:hyperlink r:id="rId9" w:history="1">
        <w:r w:rsidRPr="007F1063">
          <w:rPr>
            <w:rStyle w:val="Hyperlink"/>
            <w:rFonts w:ascii="Calibri" w:hAnsi="Calibri" w:cs="Calibri"/>
            <w:sz w:val="24"/>
            <w:szCs w:val="24"/>
          </w:rPr>
          <w:t>https://hbr.org/2016/09/the-elements-of-value</w:t>
        </w:r>
      </w:hyperlink>
    </w:p>
    <w:p w14:paraId="3885F559" w14:textId="77777777" w:rsidR="00C61893" w:rsidRDefault="00C61893" w:rsidP="005667C5">
      <w:pPr>
        <w:ind w:left="720" w:hanging="720"/>
        <w:rPr>
          <w:rFonts w:ascii="Calibri" w:hAnsi="Calibri" w:cs="Calibri"/>
          <w:sz w:val="24"/>
          <w:szCs w:val="24"/>
        </w:rPr>
      </w:pPr>
      <w:proofErr w:type="spellStart"/>
      <w:r w:rsidRPr="002D5A2E">
        <w:rPr>
          <w:rFonts w:ascii="Calibri" w:hAnsi="Calibri" w:cs="Calibri"/>
          <w:sz w:val="24"/>
          <w:szCs w:val="24"/>
        </w:rPr>
        <w:t>Baashar</w:t>
      </w:r>
      <w:proofErr w:type="spellEnd"/>
      <w:r w:rsidRPr="002D5A2E">
        <w:rPr>
          <w:rFonts w:ascii="Calibri" w:hAnsi="Calibri" w:cs="Calibri"/>
          <w:sz w:val="24"/>
          <w:szCs w:val="24"/>
        </w:rPr>
        <w:t xml:space="preserve">, Y., </w:t>
      </w:r>
      <w:proofErr w:type="spellStart"/>
      <w:r w:rsidRPr="002D5A2E">
        <w:rPr>
          <w:rFonts w:ascii="Calibri" w:hAnsi="Calibri" w:cs="Calibri"/>
          <w:sz w:val="24"/>
          <w:szCs w:val="24"/>
        </w:rPr>
        <w:t>Alhussian</w:t>
      </w:r>
      <w:proofErr w:type="spellEnd"/>
      <w:r w:rsidRPr="002D5A2E">
        <w:rPr>
          <w:rFonts w:ascii="Calibri" w:hAnsi="Calibri" w:cs="Calibri"/>
          <w:sz w:val="24"/>
          <w:szCs w:val="24"/>
        </w:rPr>
        <w:t xml:space="preserve">, H., Patel, A., </w:t>
      </w:r>
      <w:proofErr w:type="spellStart"/>
      <w:r w:rsidRPr="002D5A2E">
        <w:rPr>
          <w:rFonts w:ascii="Calibri" w:hAnsi="Calibri" w:cs="Calibri"/>
          <w:sz w:val="24"/>
          <w:szCs w:val="24"/>
        </w:rPr>
        <w:t>Alkawsi</w:t>
      </w:r>
      <w:proofErr w:type="spellEnd"/>
      <w:r w:rsidRPr="002D5A2E">
        <w:rPr>
          <w:rFonts w:ascii="Calibri" w:hAnsi="Calibri" w:cs="Calibri"/>
          <w:sz w:val="24"/>
          <w:szCs w:val="24"/>
        </w:rPr>
        <w:t xml:space="preserve">, G., Alzahrani, A. I., </w:t>
      </w:r>
      <w:proofErr w:type="spellStart"/>
      <w:r w:rsidRPr="002D5A2E">
        <w:rPr>
          <w:rFonts w:ascii="Calibri" w:hAnsi="Calibri" w:cs="Calibri"/>
          <w:sz w:val="24"/>
          <w:szCs w:val="24"/>
        </w:rPr>
        <w:t>Alfarraj</w:t>
      </w:r>
      <w:proofErr w:type="spellEnd"/>
      <w:r w:rsidRPr="002D5A2E">
        <w:rPr>
          <w:rFonts w:ascii="Calibri" w:hAnsi="Calibri" w:cs="Calibri"/>
          <w:sz w:val="24"/>
          <w:szCs w:val="24"/>
        </w:rPr>
        <w:t xml:space="preserve">, O., &amp; Hayder, G. (2020). Customer relationship management systems (CRMS) in the healthcare environment: A systematic literature review. </w:t>
      </w:r>
      <w:r w:rsidRPr="002D5A2E">
        <w:rPr>
          <w:rFonts w:ascii="Calibri" w:hAnsi="Calibri" w:cs="Calibri"/>
          <w:i/>
          <w:iCs/>
          <w:sz w:val="24"/>
          <w:szCs w:val="24"/>
        </w:rPr>
        <w:t>Computer Standards &amp; Interfaces, 71</w:t>
      </w:r>
      <w:r w:rsidRPr="002D5A2E">
        <w:rPr>
          <w:rFonts w:ascii="Calibri" w:hAnsi="Calibri" w:cs="Calibri"/>
          <w:sz w:val="24"/>
          <w:szCs w:val="24"/>
        </w:rPr>
        <w:t xml:space="preserve">, 103442. </w:t>
      </w:r>
      <w:hyperlink r:id="rId10" w:history="1">
        <w:r w:rsidRPr="002D5A2E">
          <w:rPr>
            <w:rStyle w:val="Hyperlink"/>
            <w:rFonts w:ascii="Calibri" w:hAnsi="Calibri" w:cs="Calibri"/>
            <w:sz w:val="24"/>
            <w:szCs w:val="24"/>
          </w:rPr>
          <w:t>https://doi.org/10.1016/j.csi.2020.103442</w:t>
        </w:r>
      </w:hyperlink>
    </w:p>
    <w:p w14:paraId="06221D18" w14:textId="77777777" w:rsidR="00C61893" w:rsidRDefault="00C61893" w:rsidP="005667C5">
      <w:pPr>
        <w:ind w:left="720" w:hanging="720"/>
        <w:rPr>
          <w:rFonts w:ascii="Calibri" w:hAnsi="Calibri" w:cs="Calibri"/>
          <w:sz w:val="24"/>
          <w:szCs w:val="24"/>
        </w:rPr>
      </w:pPr>
      <w:r w:rsidRPr="00A47C81">
        <w:rPr>
          <w:rFonts w:ascii="Calibri" w:hAnsi="Calibri" w:cs="Calibri"/>
          <w:sz w:val="24"/>
          <w:szCs w:val="24"/>
        </w:rPr>
        <w:t xml:space="preserve">Croft, D. (2025). </w:t>
      </w:r>
      <w:r w:rsidRPr="00A47C81">
        <w:rPr>
          <w:rFonts w:ascii="Calibri" w:hAnsi="Calibri" w:cs="Calibri"/>
          <w:i/>
          <w:iCs/>
          <w:sz w:val="24"/>
          <w:szCs w:val="24"/>
        </w:rPr>
        <w:t>Joseph M. Juran: Quality management</w:t>
      </w:r>
      <w:r w:rsidRPr="00A47C81">
        <w:rPr>
          <w:rFonts w:ascii="Calibri" w:hAnsi="Calibri" w:cs="Calibri"/>
          <w:sz w:val="24"/>
          <w:szCs w:val="24"/>
        </w:rPr>
        <w:t xml:space="preserve">. Learn Lean Sigma. </w:t>
      </w:r>
      <w:hyperlink r:id="rId11" w:history="1">
        <w:r w:rsidRPr="007F1063">
          <w:rPr>
            <w:rStyle w:val="Hyperlink"/>
            <w:rFonts w:ascii="Calibri" w:hAnsi="Calibri" w:cs="Calibri"/>
            <w:sz w:val="24"/>
            <w:szCs w:val="24"/>
          </w:rPr>
          <w:t>https://www.learnleansigma.com/lean_visionaries/joseph-m-juran-quality-management/</w:t>
        </w:r>
      </w:hyperlink>
      <w:r>
        <w:rPr>
          <w:rFonts w:ascii="Calibri" w:hAnsi="Calibri" w:cs="Calibri"/>
          <w:sz w:val="24"/>
          <w:szCs w:val="24"/>
        </w:rPr>
        <w:t xml:space="preserve"> </w:t>
      </w:r>
    </w:p>
    <w:p w14:paraId="65C2D950" w14:textId="77777777" w:rsidR="00C61893" w:rsidRDefault="00C61893" w:rsidP="005667C5">
      <w:pPr>
        <w:ind w:left="720" w:hanging="720"/>
        <w:rPr>
          <w:rFonts w:ascii="Calibri" w:hAnsi="Calibri" w:cs="Calibri"/>
          <w:sz w:val="24"/>
          <w:szCs w:val="24"/>
        </w:rPr>
      </w:pPr>
      <w:r w:rsidRPr="002A6A90">
        <w:rPr>
          <w:rFonts w:ascii="Calibri" w:hAnsi="Calibri" w:cs="Calibri"/>
          <w:sz w:val="24"/>
          <w:szCs w:val="24"/>
        </w:rPr>
        <w:t xml:space="preserve">Fitzsimons, B., &amp; Cornwell, J. (2018). What can we learn from patients’ perspectives on the quality and safety of hospital care? </w:t>
      </w:r>
      <w:r w:rsidRPr="002A6A90">
        <w:rPr>
          <w:rFonts w:ascii="Calibri" w:hAnsi="Calibri" w:cs="Calibri"/>
          <w:i/>
          <w:iCs/>
          <w:sz w:val="24"/>
          <w:szCs w:val="24"/>
        </w:rPr>
        <w:t>BMJ Quality &amp; Safety, 27</w:t>
      </w:r>
      <w:r w:rsidRPr="002A6A90">
        <w:rPr>
          <w:rFonts w:ascii="Calibri" w:hAnsi="Calibri" w:cs="Calibri"/>
          <w:sz w:val="24"/>
          <w:szCs w:val="24"/>
        </w:rPr>
        <w:t xml:space="preserve">(9), 671–672. </w:t>
      </w:r>
      <w:hyperlink r:id="rId12" w:history="1">
        <w:r w:rsidRPr="007F1063">
          <w:rPr>
            <w:rStyle w:val="Hyperlink"/>
            <w:rFonts w:ascii="Calibri" w:hAnsi="Calibri" w:cs="Calibri"/>
            <w:sz w:val="24"/>
            <w:szCs w:val="24"/>
          </w:rPr>
          <w:t>https://doi.org/10.1136/bmjqs-2018-008106</w:t>
        </w:r>
      </w:hyperlink>
    </w:p>
    <w:p w14:paraId="7F17C9B8" w14:textId="77777777" w:rsidR="00C61893" w:rsidRDefault="00C61893" w:rsidP="005667C5">
      <w:pPr>
        <w:ind w:left="720" w:hanging="720"/>
        <w:rPr>
          <w:rFonts w:ascii="Calibri" w:hAnsi="Calibri" w:cs="Calibri"/>
          <w:sz w:val="24"/>
          <w:szCs w:val="24"/>
        </w:rPr>
      </w:pPr>
      <w:r w:rsidRPr="00163B24">
        <w:rPr>
          <w:rFonts w:ascii="Calibri" w:hAnsi="Calibri" w:cs="Calibri"/>
          <w:sz w:val="24"/>
          <w:szCs w:val="24"/>
        </w:rPr>
        <w:t xml:space="preserve">Garvin, D. A. (1987, November). </w:t>
      </w:r>
      <w:r w:rsidRPr="00163B24">
        <w:rPr>
          <w:rFonts w:ascii="Calibri" w:hAnsi="Calibri" w:cs="Calibri"/>
          <w:i/>
          <w:iCs/>
          <w:sz w:val="24"/>
          <w:szCs w:val="24"/>
        </w:rPr>
        <w:t>Competing on the eight dimensions of quality</w:t>
      </w:r>
      <w:r w:rsidRPr="00163B24">
        <w:rPr>
          <w:rFonts w:ascii="Calibri" w:hAnsi="Calibri" w:cs="Calibri"/>
          <w:sz w:val="24"/>
          <w:szCs w:val="24"/>
        </w:rPr>
        <w:t xml:space="preserve">. Harvard Business Review. </w:t>
      </w:r>
      <w:hyperlink r:id="rId13" w:history="1">
        <w:r w:rsidRPr="007F1063">
          <w:rPr>
            <w:rStyle w:val="Hyperlink"/>
            <w:rFonts w:ascii="Calibri" w:hAnsi="Calibri" w:cs="Calibri"/>
            <w:sz w:val="24"/>
            <w:szCs w:val="24"/>
          </w:rPr>
          <w:t>https://hbr.org/1987/11/competing-on-the-eight-dimensions-of-quality</w:t>
        </w:r>
      </w:hyperlink>
      <w:r>
        <w:rPr>
          <w:rFonts w:ascii="Calibri" w:hAnsi="Calibri" w:cs="Calibri"/>
          <w:sz w:val="24"/>
          <w:szCs w:val="24"/>
        </w:rPr>
        <w:t xml:space="preserve"> </w:t>
      </w:r>
    </w:p>
    <w:p w14:paraId="4EA29B1E" w14:textId="77777777" w:rsidR="00C61893" w:rsidRDefault="00C61893" w:rsidP="005667C5">
      <w:pPr>
        <w:ind w:left="720" w:hanging="720"/>
        <w:rPr>
          <w:rFonts w:ascii="Calibri" w:hAnsi="Calibri" w:cs="Calibri"/>
          <w:sz w:val="24"/>
          <w:szCs w:val="24"/>
        </w:rPr>
      </w:pPr>
      <w:r w:rsidRPr="00345417">
        <w:rPr>
          <w:rFonts w:ascii="Calibri" w:hAnsi="Calibri" w:cs="Calibri"/>
          <w:sz w:val="24"/>
          <w:szCs w:val="24"/>
        </w:rPr>
        <w:t xml:space="preserve">Good Governance Institute. (2020, July 20). </w:t>
      </w:r>
      <w:r w:rsidRPr="00345417">
        <w:rPr>
          <w:rFonts w:ascii="Calibri" w:hAnsi="Calibri" w:cs="Calibri"/>
          <w:i/>
          <w:iCs/>
          <w:sz w:val="24"/>
          <w:szCs w:val="24"/>
        </w:rPr>
        <w:t>Patient engagement</w:t>
      </w:r>
      <w:r w:rsidRPr="00345417">
        <w:rPr>
          <w:rFonts w:ascii="Calibri" w:hAnsi="Calibri" w:cs="Calibri"/>
          <w:sz w:val="24"/>
          <w:szCs w:val="24"/>
        </w:rPr>
        <w:t xml:space="preserve">. </w:t>
      </w:r>
      <w:hyperlink r:id="rId14" w:history="1">
        <w:r w:rsidRPr="007F1063">
          <w:rPr>
            <w:rStyle w:val="Hyperlink"/>
            <w:rFonts w:ascii="Calibri" w:hAnsi="Calibri" w:cs="Calibri"/>
            <w:sz w:val="24"/>
            <w:szCs w:val="24"/>
          </w:rPr>
          <w:t>https://www.good-governance.org.uk/publications/insights/patient-engagement</w:t>
        </w:r>
      </w:hyperlink>
    </w:p>
    <w:p w14:paraId="4F25B0BA" w14:textId="77777777" w:rsidR="00C61893" w:rsidRDefault="00C61893" w:rsidP="005667C5">
      <w:pPr>
        <w:ind w:left="720" w:hanging="720"/>
        <w:rPr>
          <w:rFonts w:ascii="Calibri" w:hAnsi="Calibri" w:cs="Calibri"/>
          <w:sz w:val="24"/>
          <w:szCs w:val="24"/>
        </w:rPr>
      </w:pPr>
      <w:r w:rsidRPr="009256FE">
        <w:rPr>
          <w:rFonts w:ascii="Calibri" w:hAnsi="Calibri" w:cs="Calibri"/>
          <w:sz w:val="24"/>
          <w:szCs w:val="24"/>
        </w:rPr>
        <w:t xml:space="preserve">Hariharan, V. (2025, April 16). </w:t>
      </w:r>
      <w:r w:rsidRPr="009256FE">
        <w:rPr>
          <w:rFonts w:ascii="Calibri" w:hAnsi="Calibri" w:cs="Calibri"/>
          <w:i/>
          <w:iCs/>
          <w:sz w:val="24"/>
          <w:szCs w:val="24"/>
        </w:rPr>
        <w:t>CRM in healthcare: Benefits, use cases &amp; best practices 2025</w:t>
      </w:r>
      <w:r w:rsidRPr="009256FE">
        <w:rPr>
          <w:rFonts w:ascii="Calibri" w:hAnsi="Calibri" w:cs="Calibri"/>
          <w:sz w:val="24"/>
          <w:szCs w:val="24"/>
        </w:rPr>
        <w:t xml:space="preserve">. </w:t>
      </w:r>
      <w:proofErr w:type="spellStart"/>
      <w:r w:rsidRPr="009256FE">
        <w:rPr>
          <w:rFonts w:ascii="Calibri" w:hAnsi="Calibri" w:cs="Calibri"/>
          <w:sz w:val="24"/>
          <w:szCs w:val="24"/>
        </w:rPr>
        <w:t>LeadSquared</w:t>
      </w:r>
      <w:proofErr w:type="spellEnd"/>
      <w:r w:rsidRPr="009256FE">
        <w:rPr>
          <w:rFonts w:ascii="Calibri" w:hAnsi="Calibri" w:cs="Calibri"/>
          <w:sz w:val="24"/>
          <w:szCs w:val="24"/>
        </w:rPr>
        <w:t xml:space="preserve">. </w:t>
      </w:r>
      <w:hyperlink r:id="rId15" w:history="1">
        <w:r w:rsidRPr="007F1063">
          <w:rPr>
            <w:rStyle w:val="Hyperlink"/>
            <w:rFonts w:ascii="Calibri" w:hAnsi="Calibri" w:cs="Calibri"/>
            <w:sz w:val="24"/>
            <w:szCs w:val="24"/>
          </w:rPr>
          <w:t>https://www.leadsquared.com/industries/healthcare/crm-in-healthcare-industry/</w:t>
        </w:r>
      </w:hyperlink>
    </w:p>
    <w:p w14:paraId="73F9BFCF" w14:textId="77777777" w:rsidR="00C61893" w:rsidRDefault="00C61893" w:rsidP="005667C5">
      <w:pPr>
        <w:ind w:left="720" w:hanging="720"/>
        <w:rPr>
          <w:rFonts w:ascii="Calibri" w:hAnsi="Calibri" w:cs="Calibri"/>
          <w:sz w:val="24"/>
          <w:szCs w:val="24"/>
        </w:rPr>
      </w:pPr>
      <w:r w:rsidRPr="000E3633">
        <w:rPr>
          <w:rFonts w:ascii="Calibri" w:hAnsi="Calibri" w:cs="Calibri"/>
          <w:sz w:val="24"/>
          <w:szCs w:val="24"/>
        </w:rPr>
        <w:t>Healthier Weight</w:t>
      </w:r>
      <w:r>
        <w:rPr>
          <w:rFonts w:ascii="Calibri" w:hAnsi="Calibri" w:cs="Calibri"/>
          <w:sz w:val="24"/>
          <w:szCs w:val="24"/>
        </w:rPr>
        <w:t>.</w:t>
      </w:r>
      <w:r w:rsidRPr="000E3633">
        <w:rPr>
          <w:rFonts w:ascii="Calibri" w:hAnsi="Calibri" w:cs="Calibri"/>
          <w:sz w:val="24"/>
          <w:szCs w:val="24"/>
        </w:rPr>
        <w:t xml:space="preserve"> (2019). </w:t>
      </w:r>
      <w:r w:rsidRPr="000E3633">
        <w:rPr>
          <w:rFonts w:ascii="Calibri" w:hAnsi="Calibri" w:cs="Calibri"/>
          <w:i/>
          <w:iCs/>
          <w:sz w:val="24"/>
          <w:szCs w:val="24"/>
        </w:rPr>
        <w:t>Weight loss surgery: Private vs NHS</w:t>
      </w:r>
      <w:r w:rsidRPr="000E3633">
        <w:rPr>
          <w:rFonts w:ascii="Calibri" w:hAnsi="Calibri" w:cs="Calibri"/>
          <w:sz w:val="24"/>
          <w:szCs w:val="24"/>
        </w:rPr>
        <w:t xml:space="preserve">. </w:t>
      </w:r>
      <w:hyperlink r:id="rId16" w:history="1">
        <w:r w:rsidRPr="000E3633">
          <w:rPr>
            <w:rStyle w:val="Hyperlink"/>
            <w:rFonts w:ascii="Calibri" w:hAnsi="Calibri" w:cs="Calibri"/>
            <w:sz w:val="24"/>
            <w:szCs w:val="24"/>
          </w:rPr>
          <w:t>https://www.healthierweight.co.uk/wp-content/uploads/2019/10/Private-vs-NHS-v1.pdf</w:t>
        </w:r>
      </w:hyperlink>
    </w:p>
    <w:p w14:paraId="4F406C26" w14:textId="77777777" w:rsidR="00C61893" w:rsidRDefault="00C61893" w:rsidP="005667C5">
      <w:pPr>
        <w:ind w:left="720" w:hanging="720"/>
        <w:rPr>
          <w:rFonts w:ascii="Calibri" w:hAnsi="Calibri" w:cs="Calibri"/>
          <w:sz w:val="24"/>
          <w:szCs w:val="24"/>
        </w:rPr>
      </w:pPr>
      <w:r w:rsidRPr="00816FB0">
        <w:rPr>
          <w:rFonts w:ascii="Calibri" w:hAnsi="Calibri" w:cs="Calibri"/>
          <w:sz w:val="24"/>
          <w:szCs w:val="24"/>
        </w:rPr>
        <w:t xml:space="preserve">Homer, C. V., Tod, A. M., Thompson, A. R., </w:t>
      </w:r>
      <w:proofErr w:type="spellStart"/>
      <w:r w:rsidRPr="00816FB0">
        <w:rPr>
          <w:rFonts w:ascii="Calibri" w:hAnsi="Calibri" w:cs="Calibri"/>
          <w:sz w:val="24"/>
          <w:szCs w:val="24"/>
        </w:rPr>
        <w:t>Allmark</w:t>
      </w:r>
      <w:proofErr w:type="spellEnd"/>
      <w:r w:rsidRPr="00816FB0">
        <w:rPr>
          <w:rFonts w:ascii="Calibri" w:hAnsi="Calibri" w:cs="Calibri"/>
          <w:sz w:val="24"/>
          <w:szCs w:val="24"/>
        </w:rPr>
        <w:t xml:space="preserve">, P., &amp; Goyder, E. (2016). Expectations and patients’ experiences of obesity prior to bariatric surgery: A qualitative study. </w:t>
      </w:r>
      <w:r w:rsidRPr="00816FB0">
        <w:rPr>
          <w:rFonts w:ascii="Calibri" w:hAnsi="Calibri" w:cs="Calibri"/>
          <w:i/>
          <w:iCs/>
          <w:sz w:val="24"/>
          <w:szCs w:val="24"/>
        </w:rPr>
        <w:t>BMJ Open, 6</w:t>
      </w:r>
      <w:r w:rsidRPr="00816FB0">
        <w:rPr>
          <w:rFonts w:ascii="Calibri" w:hAnsi="Calibri" w:cs="Calibri"/>
          <w:sz w:val="24"/>
          <w:szCs w:val="24"/>
        </w:rPr>
        <w:t xml:space="preserve">(2), e009389. </w:t>
      </w:r>
      <w:hyperlink r:id="rId17" w:history="1">
        <w:r w:rsidRPr="007F1063">
          <w:rPr>
            <w:rStyle w:val="Hyperlink"/>
            <w:rFonts w:ascii="Calibri" w:hAnsi="Calibri" w:cs="Calibri"/>
            <w:sz w:val="24"/>
            <w:szCs w:val="24"/>
          </w:rPr>
          <w:t>https://doi.org/10.1136/bmjopen-2015-009389</w:t>
        </w:r>
      </w:hyperlink>
    </w:p>
    <w:p w14:paraId="7581C2B2" w14:textId="77777777" w:rsidR="00C61893" w:rsidRDefault="00C61893" w:rsidP="005667C5">
      <w:pPr>
        <w:ind w:left="720" w:hanging="720"/>
        <w:rPr>
          <w:rFonts w:ascii="Calibri" w:hAnsi="Calibri" w:cs="Calibri"/>
          <w:sz w:val="24"/>
          <w:szCs w:val="24"/>
        </w:rPr>
      </w:pPr>
      <w:proofErr w:type="spellStart"/>
      <w:r w:rsidRPr="00642A43">
        <w:rPr>
          <w:rFonts w:ascii="Calibri" w:hAnsi="Calibri" w:cs="Calibri"/>
          <w:sz w:val="24"/>
          <w:szCs w:val="24"/>
        </w:rPr>
        <w:t>HotPMO</w:t>
      </w:r>
      <w:proofErr w:type="spellEnd"/>
      <w:r w:rsidRPr="00642A43">
        <w:rPr>
          <w:rFonts w:ascii="Calibri" w:hAnsi="Calibri" w:cs="Calibri"/>
          <w:sz w:val="24"/>
          <w:szCs w:val="24"/>
        </w:rPr>
        <w:t xml:space="preserve">. (2025). </w:t>
      </w:r>
      <w:r w:rsidRPr="00642A43">
        <w:rPr>
          <w:rFonts w:ascii="Calibri" w:hAnsi="Calibri" w:cs="Calibri"/>
          <w:i/>
          <w:iCs/>
          <w:sz w:val="24"/>
          <w:szCs w:val="24"/>
        </w:rPr>
        <w:t xml:space="preserve">Kano Model vs </w:t>
      </w:r>
      <w:proofErr w:type="spellStart"/>
      <w:r w:rsidRPr="00642A43">
        <w:rPr>
          <w:rFonts w:ascii="Calibri" w:hAnsi="Calibri" w:cs="Calibri"/>
          <w:i/>
          <w:iCs/>
          <w:sz w:val="24"/>
          <w:szCs w:val="24"/>
        </w:rPr>
        <w:t>MoSCoW</w:t>
      </w:r>
      <w:proofErr w:type="spellEnd"/>
      <w:r w:rsidRPr="00642A43">
        <w:rPr>
          <w:rFonts w:ascii="Calibri" w:hAnsi="Calibri" w:cs="Calibri"/>
          <w:i/>
          <w:iCs/>
          <w:sz w:val="24"/>
          <w:szCs w:val="24"/>
        </w:rPr>
        <w:t xml:space="preserve"> – How do you prioritize?</w:t>
      </w:r>
      <w:r w:rsidRPr="00642A43">
        <w:rPr>
          <w:rFonts w:ascii="Calibri" w:hAnsi="Calibri" w:cs="Calibri"/>
          <w:sz w:val="24"/>
          <w:szCs w:val="24"/>
        </w:rPr>
        <w:t xml:space="preserve"> </w:t>
      </w:r>
      <w:hyperlink r:id="rId18" w:history="1">
        <w:r w:rsidRPr="00AF28D8">
          <w:rPr>
            <w:rStyle w:val="Hyperlink"/>
            <w:rFonts w:ascii="Calibri" w:hAnsi="Calibri" w:cs="Calibri"/>
            <w:sz w:val="24"/>
            <w:szCs w:val="24"/>
          </w:rPr>
          <w:t>https://www.hotpmo.com/management-models/moscow-kano-prioritize/</w:t>
        </w:r>
      </w:hyperlink>
    </w:p>
    <w:p w14:paraId="0E171F27" w14:textId="77777777" w:rsidR="00C61893" w:rsidRDefault="00C61893" w:rsidP="005667C5">
      <w:pPr>
        <w:ind w:left="720" w:hanging="720"/>
        <w:rPr>
          <w:rFonts w:ascii="Calibri" w:hAnsi="Calibri" w:cs="Calibri"/>
          <w:sz w:val="24"/>
          <w:szCs w:val="24"/>
        </w:rPr>
      </w:pPr>
      <w:r w:rsidRPr="00B57468">
        <w:rPr>
          <w:rFonts w:ascii="Calibri" w:hAnsi="Calibri" w:cs="Calibri"/>
          <w:sz w:val="24"/>
          <w:szCs w:val="24"/>
        </w:rPr>
        <w:t xml:space="preserve">Jane, M., Hagger, M., Foster, J., Ho, S., &amp; Pal, S. (2018). Social media for health promotion and weight management: A critical debate. </w:t>
      </w:r>
      <w:r w:rsidRPr="00B57468">
        <w:rPr>
          <w:rFonts w:ascii="Calibri" w:hAnsi="Calibri" w:cs="Calibri"/>
          <w:i/>
          <w:iCs/>
          <w:sz w:val="24"/>
          <w:szCs w:val="24"/>
        </w:rPr>
        <w:t>BMC Public Health, 18</w:t>
      </w:r>
      <w:r w:rsidRPr="00B57468">
        <w:rPr>
          <w:rFonts w:ascii="Calibri" w:hAnsi="Calibri" w:cs="Calibri"/>
          <w:sz w:val="24"/>
          <w:szCs w:val="24"/>
        </w:rPr>
        <w:t xml:space="preserve">, Article 932. </w:t>
      </w:r>
      <w:hyperlink r:id="rId19" w:history="1">
        <w:r w:rsidRPr="007F1063">
          <w:rPr>
            <w:rStyle w:val="Hyperlink"/>
            <w:rFonts w:ascii="Calibri" w:hAnsi="Calibri" w:cs="Calibri"/>
            <w:sz w:val="24"/>
            <w:szCs w:val="24"/>
          </w:rPr>
          <w:t>h</w:t>
        </w:r>
        <w:r>
          <w:rPr>
            <w:rStyle w:val="Hyperlink"/>
            <w:rFonts w:ascii="Calibri" w:hAnsi="Calibri" w:cs="Calibri"/>
            <w:sz w:val="24"/>
            <w:szCs w:val="24"/>
          </w:rPr>
          <w:t>-</w:t>
        </w:r>
        <w:proofErr w:type="spellStart"/>
        <w:r w:rsidRPr="007F1063">
          <w:rPr>
            <w:rStyle w:val="Hyperlink"/>
            <w:rFonts w:ascii="Calibri" w:hAnsi="Calibri" w:cs="Calibri"/>
            <w:sz w:val="24"/>
            <w:szCs w:val="24"/>
          </w:rPr>
          <w:t>ttps</w:t>
        </w:r>
        <w:proofErr w:type="spellEnd"/>
        <w:r w:rsidRPr="007F1063">
          <w:rPr>
            <w:rStyle w:val="Hyperlink"/>
            <w:rFonts w:ascii="Calibri" w:hAnsi="Calibri" w:cs="Calibri"/>
            <w:sz w:val="24"/>
            <w:szCs w:val="24"/>
          </w:rPr>
          <w:t>://doi.org/10.1186/s12889-018-5837-3</w:t>
        </w:r>
      </w:hyperlink>
    </w:p>
    <w:p w14:paraId="2812D1A5" w14:textId="77777777" w:rsidR="00C61893" w:rsidRDefault="00C61893" w:rsidP="005667C5">
      <w:pPr>
        <w:ind w:left="720" w:hanging="720"/>
        <w:rPr>
          <w:rFonts w:ascii="Calibri" w:hAnsi="Calibri" w:cs="Calibri"/>
          <w:sz w:val="24"/>
          <w:szCs w:val="24"/>
        </w:rPr>
      </w:pPr>
      <w:r w:rsidRPr="00E857A8">
        <w:rPr>
          <w:rFonts w:ascii="Calibri" w:hAnsi="Calibri" w:cs="Calibri"/>
          <w:sz w:val="24"/>
          <w:szCs w:val="24"/>
        </w:rPr>
        <w:t xml:space="preserve">Joseph, A. L., </w:t>
      </w:r>
      <w:proofErr w:type="spellStart"/>
      <w:r w:rsidRPr="00E857A8">
        <w:rPr>
          <w:rFonts w:ascii="Calibri" w:hAnsi="Calibri" w:cs="Calibri"/>
          <w:sz w:val="24"/>
          <w:szCs w:val="24"/>
        </w:rPr>
        <w:t>Kushniruk</w:t>
      </w:r>
      <w:proofErr w:type="spellEnd"/>
      <w:r w:rsidRPr="00E857A8">
        <w:rPr>
          <w:rFonts w:ascii="Calibri" w:hAnsi="Calibri" w:cs="Calibri"/>
          <w:sz w:val="24"/>
          <w:szCs w:val="24"/>
        </w:rPr>
        <w:t xml:space="preserve">, A. W., &amp; </w:t>
      </w:r>
      <w:proofErr w:type="spellStart"/>
      <w:r w:rsidRPr="00E857A8">
        <w:rPr>
          <w:rFonts w:ascii="Calibri" w:hAnsi="Calibri" w:cs="Calibri"/>
          <w:sz w:val="24"/>
          <w:szCs w:val="24"/>
        </w:rPr>
        <w:t>Borycki</w:t>
      </w:r>
      <w:proofErr w:type="spellEnd"/>
      <w:r w:rsidRPr="00E857A8">
        <w:rPr>
          <w:rFonts w:ascii="Calibri" w:hAnsi="Calibri" w:cs="Calibri"/>
          <w:sz w:val="24"/>
          <w:szCs w:val="24"/>
        </w:rPr>
        <w:t xml:space="preserve">, E. M. (2020). Patient journey mapping: Current practices, challenges and future opportunities in healthcare. </w:t>
      </w:r>
      <w:r w:rsidRPr="00E857A8">
        <w:rPr>
          <w:rFonts w:ascii="Calibri" w:hAnsi="Calibri" w:cs="Calibri"/>
          <w:i/>
          <w:iCs/>
          <w:sz w:val="24"/>
          <w:szCs w:val="24"/>
        </w:rPr>
        <w:t>Knowledge Management &amp; E-Learning, 12</w:t>
      </w:r>
      <w:r w:rsidRPr="00E857A8">
        <w:rPr>
          <w:rFonts w:ascii="Calibri" w:hAnsi="Calibri" w:cs="Calibri"/>
          <w:sz w:val="24"/>
          <w:szCs w:val="24"/>
        </w:rPr>
        <w:t xml:space="preserve">(4), 387–404. </w:t>
      </w:r>
      <w:hyperlink r:id="rId20" w:history="1">
        <w:r w:rsidRPr="007F1063">
          <w:rPr>
            <w:rStyle w:val="Hyperlink"/>
            <w:rFonts w:ascii="Calibri" w:hAnsi="Calibri" w:cs="Calibri"/>
            <w:sz w:val="24"/>
            <w:szCs w:val="24"/>
          </w:rPr>
          <w:t>https://www.proquest.com/docview/2509652877</w:t>
        </w:r>
      </w:hyperlink>
    </w:p>
    <w:p w14:paraId="75015C70" w14:textId="77777777" w:rsidR="00C61893" w:rsidRDefault="00C61893" w:rsidP="005667C5">
      <w:pPr>
        <w:ind w:left="720" w:hanging="720"/>
        <w:rPr>
          <w:rFonts w:ascii="Calibri" w:hAnsi="Calibri" w:cs="Calibri"/>
          <w:sz w:val="24"/>
          <w:szCs w:val="24"/>
        </w:rPr>
      </w:pPr>
      <w:r w:rsidRPr="001452DF">
        <w:rPr>
          <w:rFonts w:ascii="Calibri" w:hAnsi="Calibri" w:cs="Calibri"/>
          <w:sz w:val="24"/>
          <w:szCs w:val="24"/>
        </w:rPr>
        <w:lastRenderedPageBreak/>
        <w:t xml:space="preserve">Kulpa, J. (2017, October 24). </w:t>
      </w:r>
      <w:r w:rsidRPr="001452DF">
        <w:rPr>
          <w:rFonts w:ascii="Calibri" w:hAnsi="Calibri" w:cs="Calibri"/>
          <w:i/>
          <w:iCs/>
          <w:sz w:val="24"/>
          <w:szCs w:val="24"/>
        </w:rPr>
        <w:t>Why is customer relationship management so important?</w:t>
      </w:r>
      <w:r w:rsidRPr="001452DF">
        <w:rPr>
          <w:rFonts w:ascii="Calibri" w:hAnsi="Calibri" w:cs="Calibri"/>
          <w:sz w:val="24"/>
          <w:szCs w:val="24"/>
        </w:rPr>
        <w:t xml:space="preserve"> Forbes. </w:t>
      </w:r>
      <w:hyperlink r:id="rId21" w:history="1">
        <w:r w:rsidRPr="007F1063">
          <w:rPr>
            <w:rStyle w:val="Hyperlink"/>
            <w:rFonts w:ascii="Calibri" w:hAnsi="Calibri" w:cs="Calibri"/>
            <w:sz w:val="24"/>
            <w:szCs w:val="24"/>
          </w:rPr>
          <w:t>https://www.forbes.com/sites/forbesagencycouncil/2017/10/24/why-is-customer-relationship-management-so-important</w:t>
        </w:r>
      </w:hyperlink>
    </w:p>
    <w:p w14:paraId="5044290D" w14:textId="77777777" w:rsidR="00C61893" w:rsidRDefault="00C61893" w:rsidP="005667C5">
      <w:pPr>
        <w:ind w:left="720" w:hanging="720"/>
        <w:rPr>
          <w:rFonts w:ascii="Calibri" w:hAnsi="Calibri" w:cs="Calibri"/>
          <w:sz w:val="24"/>
          <w:szCs w:val="24"/>
        </w:rPr>
      </w:pPr>
      <w:r w:rsidRPr="00552A59">
        <w:rPr>
          <w:rFonts w:ascii="Calibri" w:hAnsi="Calibri" w:cs="Calibri"/>
          <w:sz w:val="24"/>
          <w:szCs w:val="24"/>
        </w:rPr>
        <w:t xml:space="preserve">Marcu, R., &amp; Popescu, D. (2020). Healthcare customer relationship management: Marketing process deliverable approach. </w:t>
      </w:r>
      <w:r w:rsidRPr="00552A59">
        <w:rPr>
          <w:rFonts w:ascii="Calibri" w:hAnsi="Calibri" w:cs="Calibri"/>
          <w:i/>
          <w:iCs/>
          <w:sz w:val="24"/>
          <w:szCs w:val="24"/>
        </w:rPr>
        <w:t>Studies in Informatics and Control, 29</w:t>
      </w:r>
      <w:r w:rsidRPr="00552A59">
        <w:rPr>
          <w:rFonts w:ascii="Calibri" w:hAnsi="Calibri" w:cs="Calibri"/>
          <w:sz w:val="24"/>
          <w:szCs w:val="24"/>
        </w:rPr>
        <w:t xml:space="preserve">(3), 329–336. </w:t>
      </w:r>
      <w:hyperlink r:id="rId22" w:history="1">
        <w:r w:rsidRPr="007F1063">
          <w:rPr>
            <w:rStyle w:val="Hyperlink"/>
            <w:rFonts w:ascii="Calibri" w:hAnsi="Calibri" w:cs="Calibri"/>
            <w:sz w:val="24"/>
            <w:szCs w:val="24"/>
          </w:rPr>
          <w:t>https://doi.org/10.24846/v29i3y202006330</w:t>
        </w:r>
      </w:hyperlink>
    </w:p>
    <w:p w14:paraId="61E7B502" w14:textId="77777777" w:rsidR="00C61893" w:rsidRPr="002D5A2E" w:rsidRDefault="00C61893" w:rsidP="005667C5">
      <w:pPr>
        <w:ind w:left="720" w:hanging="720"/>
        <w:rPr>
          <w:rFonts w:ascii="Calibri" w:hAnsi="Calibri" w:cs="Calibri"/>
          <w:sz w:val="24"/>
          <w:szCs w:val="24"/>
        </w:rPr>
      </w:pPr>
      <w:r w:rsidRPr="008E1FDE">
        <w:rPr>
          <w:rFonts w:ascii="Calibri" w:hAnsi="Calibri" w:cs="Calibri"/>
          <w:sz w:val="24"/>
          <w:szCs w:val="24"/>
        </w:rPr>
        <w:t xml:space="preserve">Moore, L., Britten, N., Lydahl, D., </w:t>
      </w:r>
      <w:proofErr w:type="spellStart"/>
      <w:r w:rsidRPr="008E1FDE">
        <w:rPr>
          <w:rFonts w:ascii="Calibri" w:hAnsi="Calibri" w:cs="Calibri"/>
          <w:sz w:val="24"/>
          <w:szCs w:val="24"/>
        </w:rPr>
        <w:t>Naldemirci</w:t>
      </w:r>
      <w:proofErr w:type="spellEnd"/>
      <w:r w:rsidRPr="008E1FDE">
        <w:rPr>
          <w:rFonts w:ascii="Calibri" w:hAnsi="Calibri" w:cs="Calibri"/>
          <w:sz w:val="24"/>
          <w:szCs w:val="24"/>
        </w:rPr>
        <w:t xml:space="preserve">, Ö., Elam, M., &amp; Wolf, A. (2016). Barriers and facilitators to the implementation of person‐centred care in different healthcare contexts. </w:t>
      </w:r>
      <w:r w:rsidRPr="008E1FDE">
        <w:rPr>
          <w:rFonts w:ascii="Calibri" w:hAnsi="Calibri" w:cs="Calibri"/>
          <w:i/>
          <w:iCs/>
          <w:sz w:val="24"/>
          <w:szCs w:val="24"/>
        </w:rPr>
        <w:t>Scandinavian Journal of Caring Sciences, 31</w:t>
      </w:r>
      <w:r w:rsidRPr="008E1FDE">
        <w:rPr>
          <w:rFonts w:ascii="Calibri" w:hAnsi="Calibri" w:cs="Calibri"/>
          <w:sz w:val="24"/>
          <w:szCs w:val="24"/>
        </w:rPr>
        <w:t xml:space="preserve">(4), 662–673. </w:t>
      </w:r>
      <w:hyperlink r:id="rId23" w:history="1">
        <w:r w:rsidRPr="00AF28D8">
          <w:rPr>
            <w:rStyle w:val="Hyperlink"/>
            <w:rFonts w:ascii="Calibri" w:hAnsi="Calibri" w:cs="Calibri"/>
            <w:sz w:val="24"/>
            <w:szCs w:val="24"/>
          </w:rPr>
          <w:t>https://pmc.ncbi.nlm.nih.gov/articles/PMC5724704</w:t>
        </w:r>
      </w:hyperlink>
    </w:p>
    <w:p w14:paraId="1117ED0A" w14:textId="77777777" w:rsidR="00C61893" w:rsidRDefault="00C61893" w:rsidP="005667C5">
      <w:pPr>
        <w:ind w:left="720" w:hanging="720"/>
        <w:rPr>
          <w:rFonts w:ascii="Calibri" w:hAnsi="Calibri" w:cs="Calibri"/>
          <w:sz w:val="24"/>
          <w:szCs w:val="24"/>
        </w:rPr>
      </w:pPr>
      <w:proofErr w:type="spellStart"/>
      <w:r w:rsidRPr="008121A5">
        <w:rPr>
          <w:rFonts w:ascii="Calibri" w:hAnsi="Calibri" w:cs="Calibri"/>
          <w:sz w:val="24"/>
          <w:szCs w:val="24"/>
        </w:rPr>
        <w:t>Ozcelik</w:t>
      </w:r>
      <w:proofErr w:type="spellEnd"/>
      <w:r w:rsidRPr="008121A5">
        <w:rPr>
          <w:rFonts w:ascii="Calibri" w:hAnsi="Calibri" w:cs="Calibri"/>
          <w:sz w:val="24"/>
          <w:szCs w:val="24"/>
        </w:rPr>
        <w:t xml:space="preserve">, A. B., &amp; </w:t>
      </w:r>
      <w:proofErr w:type="spellStart"/>
      <w:r w:rsidRPr="008121A5">
        <w:rPr>
          <w:rFonts w:ascii="Calibri" w:hAnsi="Calibri" w:cs="Calibri"/>
          <w:sz w:val="24"/>
          <w:szCs w:val="24"/>
        </w:rPr>
        <w:t>Burnaz</w:t>
      </w:r>
      <w:proofErr w:type="spellEnd"/>
      <w:r w:rsidRPr="008121A5">
        <w:rPr>
          <w:rFonts w:ascii="Calibri" w:hAnsi="Calibri" w:cs="Calibri"/>
          <w:sz w:val="24"/>
          <w:szCs w:val="24"/>
        </w:rPr>
        <w:t xml:space="preserve">, S. (2019). Customer experience quality dimensions in health care: Perspectives of industry experts. </w:t>
      </w:r>
      <w:r w:rsidRPr="008121A5">
        <w:rPr>
          <w:rFonts w:ascii="Calibri" w:hAnsi="Calibri" w:cs="Calibri"/>
          <w:i/>
          <w:iCs/>
          <w:sz w:val="24"/>
          <w:szCs w:val="24"/>
        </w:rPr>
        <w:t>Journal of Management, Marketing and Logistics</w:t>
      </w:r>
      <w:r w:rsidRPr="008121A5">
        <w:rPr>
          <w:rFonts w:ascii="Calibri" w:hAnsi="Calibri" w:cs="Calibri"/>
          <w:sz w:val="24"/>
          <w:szCs w:val="24"/>
        </w:rPr>
        <w:t xml:space="preserve">, </w:t>
      </w:r>
      <w:r w:rsidRPr="008121A5">
        <w:rPr>
          <w:rFonts w:ascii="Calibri" w:hAnsi="Calibri" w:cs="Calibri"/>
          <w:i/>
          <w:iCs/>
          <w:sz w:val="24"/>
          <w:szCs w:val="24"/>
        </w:rPr>
        <w:t>6</w:t>
      </w:r>
      <w:r w:rsidRPr="008121A5">
        <w:rPr>
          <w:rFonts w:ascii="Calibri" w:hAnsi="Calibri" w:cs="Calibri"/>
          <w:sz w:val="24"/>
          <w:szCs w:val="24"/>
        </w:rPr>
        <w:t xml:space="preserve">(2), 62–72. </w:t>
      </w:r>
      <w:hyperlink r:id="rId24" w:history="1">
        <w:r w:rsidRPr="007F1063">
          <w:rPr>
            <w:rStyle w:val="Hyperlink"/>
            <w:rFonts w:ascii="Calibri" w:hAnsi="Calibri" w:cs="Calibri"/>
            <w:sz w:val="24"/>
            <w:szCs w:val="24"/>
          </w:rPr>
          <w:t>https://doi.org/10.17261/Pressacademia.2019.1034</w:t>
        </w:r>
      </w:hyperlink>
    </w:p>
    <w:p w14:paraId="5DED4DE8" w14:textId="77777777" w:rsidR="00C61893" w:rsidRDefault="00C61893" w:rsidP="005667C5">
      <w:pPr>
        <w:ind w:left="720" w:hanging="720"/>
        <w:rPr>
          <w:rFonts w:ascii="Calibri" w:hAnsi="Calibri" w:cs="Calibri"/>
          <w:sz w:val="24"/>
          <w:szCs w:val="24"/>
        </w:rPr>
      </w:pPr>
      <w:proofErr w:type="spellStart"/>
      <w:r w:rsidRPr="007C3110">
        <w:rPr>
          <w:rFonts w:ascii="Calibri" w:hAnsi="Calibri" w:cs="Calibri"/>
          <w:sz w:val="24"/>
          <w:szCs w:val="24"/>
        </w:rPr>
        <w:t>ProductPlan</w:t>
      </w:r>
      <w:proofErr w:type="spellEnd"/>
      <w:r w:rsidRPr="007C3110">
        <w:rPr>
          <w:rFonts w:ascii="Calibri" w:hAnsi="Calibri" w:cs="Calibri"/>
          <w:sz w:val="24"/>
          <w:szCs w:val="24"/>
        </w:rPr>
        <w:t xml:space="preserve">. (2025). </w:t>
      </w:r>
      <w:r w:rsidRPr="007C3110">
        <w:rPr>
          <w:rFonts w:ascii="Calibri" w:hAnsi="Calibri" w:cs="Calibri"/>
          <w:i/>
          <w:iCs/>
          <w:sz w:val="24"/>
          <w:szCs w:val="24"/>
        </w:rPr>
        <w:t xml:space="preserve">What is </w:t>
      </w:r>
      <w:proofErr w:type="spellStart"/>
      <w:r w:rsidRPr="007C3110">
        <w:rPr>
          <w:rFonts w:ascii="Calibri" w:hAnsi="Calibri" w:cs="Calibri"/>
          <w:i/>
          <w:iCs/>
          <w:sz w:val="24"/>
          <w:szCs w:val="24"/>
        </w:rPr>
        <w:t>MoSCoW</w:t>
      </w:r>
      <w:proofErr w:type="spellEnd"/>
      <w:r w:rsidRPr="007C3110">
        <w:rPr>
          <w:rFonts w:ascii="Calibri" w:hAnsi="Calibri" w:cs="Calibri"/>
          <w:i/>
          <w:iCs/>
          <w:sz w:val="24"/>
          <w:szCs w:val="24"/>
        </w:rPr>
        <w:t xml:space="preserve"> Prioritization? | Overview of the </w:t>
      </w:r>
      <w:proofErr w:type="spellStart"/>
      <w:r w:rsidRPr="007C3110">
        <w:rPr>
          <w:rFonts w:ascii="Calibri" w:hAnsi="Calibri" w:cs="Calibri"/>
          <w:i/>
          <w:iCs/>
          <w:sz w:val="24"/>
          <w:szCs w:val="24"/>
        </w:rPr>
        <w:t>MoSCoW</w:t>
      </w:r>
      <w:proofErr w:type="spellEnd"/>
      <w:r w:rsidRPr="007C3110">
        <w:rPr>
          <w:rFonts w:ascii="Calibri" w:hAnsi="Calibri" w:cs="Calibri"/>
          <w:i/>
          <w:iCs/>
          <w:sz w:val="24"/>
          <w:szCs w:val="24"/>
        </w:rPr>
        <w:t xml:space="preserve"> method</w:t>
      </w:r>
      <w:r w:rsidRPr="007C3110">
        <w:rPr>
          <w:rFonts w:ascii="Calibri" w:hAnsi="Calibri" w:cs="Calibri"/>
          <w:sz w:val="24"/>
          <w:szCs w:val="24"/>
        </w:rPr>
        <w:t xml:space="preserve">. </w:t>
      </w:r>
      <w:hyperlink r:id="rId25" w:history="1">
        <w:r w:rsidRPr="00AF28D8">
          <w:rPr>
            <w:rStyle w:val="Hyperlink"/>
            <w:rFonts w:ascii="Calibri" w:hAnsi="Calibri" w:cs="Calibri"/>
            <w:sz w:val="24"/>
            <w:szCs w:val="24"/>
          </w:rPr>
          <w:t>https://www.productplan.com/glossary/moscow-prioritization/</w:t>
        </w:r>
      </w:hyperlink>
    </w:p>
    <w:p w14:paraId="73D29CBD" w14:textId="77777777" w:rsidR="00C61893" w:rsidRDefault="00C61893" w:rsidP="005667C5">
      <w:pPr>
        <w:ind w:left="720" w:hanging="720"/>
        <w:rPr>
          <w:rFonts w:ascii="Calibri" w:hAnsi="Calibri" w:cs="Calibri"/>
          <w:sz w:val="24"/>
          <w:szCs w:val="24"/>
        </w:rPr>
      </w:pPr>
      <w:r w:rsidRPr="00943072">
        <w:rPr>
          <w:rFonts w:ascii="Calibri" w:hAnsi="Calibri" w:cs="Calibri"/>
          <w:sz w:val="24"/>
          <w:szCs w:val="24"/>
        </w:rPr>
        <w:t xml:space="preserve">Quality Gurus. (2025). </w:t>
      </w:r>
      <w:r w:rsidRPr="00943072">
        <w:rPr>
          <w:rFonts w:ascii="Calibri" w:hAnsi="Calibri" w:cs="Calibri"/>
          <w:i/>
          <w:iCs/>
          <w:sz w:val="24"/>
          <w:szCs w:val="24"/>
        </w:rPr>
        <w:t>Garvin’s 8 dimensions of quality</w:t>
      </w:r>
      <w:r w:rsidRPr="00943072">
        <w:rPr>
          <w:rFonts w:ascii="Calibri" w:hAnsi="Calibri" w:cs="Calibri"/>
          <w:sz w:val="24"/>
          <w:szCs w:val="24"/>
        </w:rPr>
        <w:t xml:space="preserve">. </w:t>
      </w:r>
      <w:hyperlink r:id="rId26" w:history="1">
        <w:r w:rsidRPr="007F1063">
          <w:rPr>
            <w:rStyle w:val="Hyperlink"/>
            <w:rFonts w:ascii="Calibri" w:hAnsi="Calibri" w:cs="Calibri"/>
            <w:sz w:val="24"/>
            <w:szCs w:val="24"/>
          </w:rPr>
          <w:t>https://www.qualitygurus.com/garvins-8-dimensions-of-quality/</w:t>
        </w:r>
      </w:hyperlink>
    </w:p>
    <w:p w14:paraId="71D3E83B" w14:textId="77777777" w:rsidR="00C61893" w:rsidRDefault="00C61893" w:rsidP="005667C5">
      <w:pPr>
        <w:ind w:left="720" w:hanging="720"/>
        <w:rPr>
          <w:rFonts w:ascii="Calibri" w:hAnsi="Calibri" w:cs="Calibri"/>
          <w:sz w:val="24"/>
          <w:szCs w:val="24"/>
        </w:rPr>
      </w:pPr>
      <w:r w:rsidRPr="0070004C">
        <w:rPr>
          <w:rFonts w:ascii="Calibri" w:hAnsi="Calibri" w:cs="Calibri"/>
          <w:sz w:val="24"/>
          <w:szCs w:val="24"/>
        </w:rPr>
        <w:t xml:space="preserve">Quality Gurus. (2025). </w:t>
      </w:r>
      <w:r w:rsidRPr="0070004C">
        <w:rPr>
          <w:rFonts w:ascii="Calibri" w:hAnsi="Calibri" w:cs="Calibri"/>
          <w:i/>
          <w:iCs/>
          <w:sz w:val="24"/>
          <w:szCs w:val="24"/>
        </w:rPr>
        <w:t>Juran’s quality trilogy: A comprehensive guide</w:t>
      </w:r>
      <w:r w:rsidRPr="0070004C">
        <w:rPr>
          <w:rFonts w:ascii="Calibri" w:hAnsi="Calibri" w:cs="Calibri"/>
          <w:sz w:val="24"/>
          <w:szCs w:val="24"/>
        </w:rPr>
        <w:t xml:space="preserve">. </w:t>
      </w:r>
      <w:hyperlink r:id="rId27" w:history="1">
        <w:r w:rsidRPr="007F1063">
          <w:rPr>
            <w:rStyle w:val="Hyperlink"/>
            <w:rFonts w:ascii="Calibri" w:hAnsi="Calibri" w:cs="Calibri"/>
            <w:sz w:val="24"/>
            <w:szCs w:val="24"/>
          </w:rPr>
          <w:t>https://www.qualitygurus.com/jurans-quality-trilogy-a-comprehensive-guide/</w:t>
        </w:r>
      </w:hyperlink>
    </w:p>
    <w:p w14:paraId="69811D16" w14:textId="77777777" w:rsidR="00C61893" w:rsidRPr="000E3633" w:rsidRDefault="00C61893" w:rsidP="005667C5">
      <w:pPr>
        <w:ind w:left="720" w:hanging="720"/>
        <w:rPr>
          <w:rFonts w:ascii="Calibri" w:hAnsi="Calibri" w:cs="Calibri"/>
          <w:sz w:val="24"/>
          <w:szCs w:val="24"/>
        </w:rPr>
      </w:pPr>
      <w:r w:rsidRPr="00BB1075">
        <w:rPr>
          <w:rFonts w:ascii="Calibri" w:hAnsi="Calibri" w:cs="Calibri"/>
          <w:sz w:val="24"/>
          <w:szCs w:val="24"/>
        </w:rPr>
        <w:t xml:space="preserve">Soni, V. (2025). </w:t>
      </w:r>
      <w:r w:rsidRPr="00BB1075">
        <w:rPr>
          <w:rFonts w:ascii="Calibri" w:hAnsi="Calibri" w:cs="Calibri"/>
          <w:i/>
          <w:iCs/>
          <w:sz w:val="24"/>
          <w:szCs w:val="24"/>
        </w:rPr>
        <w:t>Large language models for enhancing customer lifecycle management</w:t>
      </w:r>
      <w:r w:rsidRPr="00BB1075">
        <w:rPr>
          <w:rFonts w:ascii="Calibri" w:hAnsi="Calibri" w:cs="Calibri"/>
          <w:sz w:val="24"/>
          <w:szCs w:val="24"/>
        </w:rPr>
        <w:t xml:space="preserve">. Journal of Empirical Social Science Studies, 7(1), 67–80. Retrieved from </w:t>
      </w:r>
      <w:hyperlink r:id="rId28" w:history="1">
        <w:r w:rsidRPr="007F1063">
          <w:rPr>
            <w:rStyle w:val="Hyperlink"/>
            <w:rFonts w:ascii="Calibri" w:hAnsi="Calibri" w:cs="Calibri"/>
            <w:sz w:val="24"/>
            <w:szCs w:val="24"/>
          </w:rPr>
          <w:t>https://www.researchgate.net/profile/Vishvesh-Soni/publication/376612739_Large_Language_Models_for_Enhancing_Customer_Lifecycle_Management/links/658092472468df72d3b6e2e4/Large-Language-Models-for-Enhancing-Customer-Lifecycle</w:t>
        </w:r>
      </w:hyperlink>
      <w:r>
        <w:rPr>
          <w:rFonts w:ascii="Calibri" w:hAnsi="Calibri" w:cs="Calibri"/>
          <w:sz w:val="24"/>
          <w:szCs w:val="24"/>
        </w:rPr>
        <w:t xml:space="preserve"> </w:t>
      </w:r>
    </w:p>
    <w:p w14:paraId="1945C65D" w14:textId="77777777" w:rsidR="00C61893" w:rsidRDefault="00C61893" w:rsidP="005667C5">
      <w:pPr>
        <w:ind w:left="720" w:hanging="720"/>
        <w:rPr>
          <w:rFonts w:ascii="Calibri" w:hAnsi="Calibri" w:cs="Calibri"/>
          <w:sz w:val="24"/>
          <w:szCs w:val="24"/>
        </w:rPr>
      </w:pPr>
      <w:r w:rsidRPr="004737D0">
        <w:rPr>
          <w:rFonts w:ascii="Calibri" w:hAnsi="Calibri" w:cs="Calibri"/>
          <w:sz w:val="24"/>
          <w:szCs w:val="24"/>
        </w:rPr>
        <w:t xml:space="preserve">Team </w:t>
      </w:r>
      <w:proofErr w:type="spellStart"/>
      <w:r w:rsidRPr="004737D0">
        <w:rPr>
          <w:rFonts w:ascii="Calibri" w:hAnsi="Calibri" w:cs="Calibri"/>
          <w:sz w:val="24"/>
          <w:szCs w:val="24"/>
        </w:rPr>
        <w:t>Zorgle</w:t>
      </w:r>
      <w:proofErr w:type="spellEnd"/>
      <w:r w:rsidRPr="004737D0">
        <w:rPr>
          <w:rFonts w:ascii="Calibri" w:hAnsi="Calibri" w:cs="Calibri"/>
          <w:sz w:val="24"/>
          <w:szCs w:val="24"/>
        </w:rPr>
        <w:t xml:space="preserve">. (2024, September 20). What are the 5 stages of the customer life cycle? </w:t>
      </w:r>
      <w:proofErr w:type="spellStart"/>
      <w:r w:rsidRPr="004737D0">
        <w:rPr>
          <w:rFonts w:ascii="Calibri" w:hAnsi="Calibri" w:cs="Calibri"/>
          <w:i/>
          <w:iCs/>
          <w:sz w:val="24"/>
          <w:szCs w:val="24"/>
        </w:rPr>
        <w:t>Zorgle</w:t>
      </w:r>
      <w:proofErr w:type="spellEnd"/>
      <w:r w:rsidRPr="004737D0">
        <w:rPr>
          <w:rFonts w:ascii="Calibri" w:hAnsi="Calibri" w:cs="Calibri"/>
          <w:sz w:val="24"/>
          <w:szCs w:val="24"/>
        </w:rPr>
        <w:t xml:space="preserve">. </w:t>
      </w:r>
      <w:hyperlink r:id="rId29" w:history="1">
        <w:r w:rsidRPr="007F1063">
          <w:rPr>
            <w:rStyle w:val="Hyperlink"/>
            <w:rFonts w:ascii="Calibri" w:hAnsi="Calibri" w:cs="Calibri"/>
            <w:sz w:val="24"/>
            <w:szCs w:val="24"/>
          </w:rPr>
          <w:t>https://zorgle.co.uk/what-are-the-5-stages-of-the-customer-life-cycle/</w:t>
        </w:r>
      </w:hyperlink>
    </w:p>
    <w:p w14:paraId="24D78A72" w14:textId="77777777" w:rsidR="00C61893" w:rsidRDefault="00C61893" w:rsidP="005667C5">
      <w:pPr>
        <w:ind w:left="720" w:hanging="720"/>
        <w:rPr>
          <w:rFonts w:ascii="Calibri" w:hAnsi="Calibri" w:cs="Calibri"/>
          <w:sz w:val="24"/>
          <w:szCs w:val="24"/>
        </w:rPr>
      </w:pPr>
      <w:r w:rsidRPr="00436AB0">
        <w:rPr>
          <w:rFonts w:ascii="Calibri" w:hAnsi="Calibri" w:cs="Calibri"/>
          <w:sz w:val="24"/>
          <w:szCs w:val="24"/>
        </w:rPr>
        <w:t xml:space="preserve">Tech Agilist. (2025). </w:t>
      </w:r>
      <w:r w:rsidRPr="00436AB0">
        <w:rPr>
          <w:rFonts w:ascii="Calibri" w:hAnsi="Calibri" w:cs="Calibri"/>
          <w:i/>
          <w:iCs/>
          <w:sz w:val="24"/>
          <w:szCs w:val="24"/>
        </w:rPr>
        <w:t>KANO analysis model – Value based prioritization techniques</w:t>
      </w:r>
      <w:r w:rsidRPr="00436AB0">
        <w:rPr>
          <w:rFonts w:ascii="Calibri" w:hAnsi="Calibri" w:cs="Calibri"/>
          <w:sz w:val="24"/>
          <w:szCs w:val="24"/>
        </w:rPr>
        <w:t xml:space="preserve">. </w:t>
      </w:r>
      <w:hyperlink r:id="rId30" w:history="1">
        <w:r w:rsidRPr="00AF28D8">
          <w:rPr>
            <w:rStyle w:val="Hyperlink"/>
            <w:rFonts w:ascii="Calibri" w:hAnsi="Calibri" w:cs="Calibri"/>
            <w:sz w:val="24"/>
            <w:szCs w:val="24"/>
          </w:rPr>
          <w:t>https://www.techagilist.com/agile/kano-analysis-model-value-based-prioritization-techniques/</w:t>
        </w:r>
      </w:hyperlink>
    </w:p>
    <w:p w14:paraId="7BE6F4C7" w14:textId="77777777" w:rsidR="00C61893" w:rsidRDefault="00C61893" w:rsidP="005667C5">
      <w:pPr>
        <w:ind w:left="720" w:hanging="720"/>
        <w:rPr>
          <w:rFonts w:ascii="Calibri" w:hAnsi="Calibri" w:cs="Calibri"/>
          <w:sz w:val="24"/>
          <w:szCs w:val="24"/>
        </w:rPr>
      </w:pPr>
      <w:r w:rsidRPr="00355156">
        <w:rPr>
          <w:rFonts w:ascii="Calibri" w:hAnsi="Calibri" w:cs="Calibri"/>
          <w:sz w:val="24"/>
          <w:szCs w:val="24"/>
        </w:rPr>
        <w:t xml:space="preserve">The </w:t>
      </w:r>
      <w:proofErr w:type="spellStart"/>
      <w:r w:rsidRPr="00355156">
        <w:rPr>
          <w:rFonts w:ascii="Calibri" w:hAnsi="Calibri" w:cs="Calibri"/>
          <w:sz w:val="24"/>
          <w:szCs w:val="24"/>
        </w:rPr>
        <w:t>MarkeTech</w:t>
      </w:r>
      <w:proofErr w:type="spellEnd"/>
      <w:r w:rsidRPr="00355156">
        <w:rPr>
          <w:rFonts w:ascii="Calibri" w:hAnsi="Calibri" w:cs="Calibri"/>
          <w:sz w:val="24"/>
          <w:szCs w:val="24"/>
        </w:rPr>
        <w:t xml:space="preserve"> Group. (2025, April 10). </w:t>
      </w:r>
      <w:r w:rsidRPr="00355156">
        <w:rPr>
          <w:rFonts w:ascii="Calibri" w:hAnsi="Calibri" w:cs="Calibri"/>
          <w:i/>
          <w:iCs/>
          <w:sz w:val="24"/>
          <w:szCs w:val="24"/>
        </w:rPr>
        <w:t>Guide to market segmentation in healthcare marketing</w:t>
      </w:r>
      <w:r w:rsidRPr="00355156">
        <w:rPr>
          <w:rFonts w:ascii="Calibri" w:hAnsi="Calibri" w:cs="Calibri"/>
          <w:sz w:val="24"/>
          <w:szCs w:val="24"/>
        </w:rPr>
        <w:t xml:space="preserve">. </w:t>
      </w:r>
      <w:hyperlink r:id="rId31" w:history="1">
        <w:r w:rsidRPr="007F1063">
          <w:rPr>
            <w:rStyle w:val="Hyperlink"/>
            <w:rFonts w:ascii="Calibri" w:hAnsi="Calibri" w:cs="Calibri"/>
            <w:sz w:val="24"/>
            <w:szCs w:val="24"/>
          </w:rPr>
          <w:t>https://www.themarketechgroup.com/market-segmentation-in-healthcare-marketing</w:t>
        </w:r>
      </w:hyperlink>
    </w:p>
    <w:p w14:paraId="66496D6D" w14:textId="77777777" w:rsidR="00C61893" w:rsidRDefault="00C61893" w:rsidP="005667C5">
      <w:pPr>
        <w:ind w:left="720" w:hanging="720"/>
        <w:rPr>
          <w:rFonts w:ascii="Calibri" w:hAnsi="Calibri" w:cs="Calibri"/>
          <w:sz w:val="24"/>
          <w:szCs w:val="24"/>
        </w:rPr>
      </w:pPr>
      <w:r w:rsidRPr="002964B3">
        <w:rPr>
          <w:rFonts w:ascii="Calibri" w:hAnsi="Calibri" w:cs="Calibri"/>
          <w:sz w:val="24"/>
          <w:szCs w:val="24"/>
        </w:rPr>
        <w:t xml:space="preserve">Vain, C. (2022, September 29). </w:t>
      </w:r>
      <w:r w:rsidRPr="002964B3">
        <w:rPr>
          <w:rFonts w:ascii="Calibri" w:hAnsi="Calibri" w:cs="Calibri"/>
          <w:i/>
          <w:iCs/>
          <w:sz w:val="24"/>
          <w:szCs w:val="24"/>
        </w:rPr>
        <w:t>The complete guide to the Kano model</w:t>
      </w:r>
      <w:r w:rsidRPr="002964B3">
        <w:rPr>
          <w:rFonts w:ascii="Calibri" w:hAnsi="Calibri" w:cs="Calibri"/>
          <w:sz w:val="24"/>
          <w:szCs w:val="24"/>
        </w:rPr>
        <w:t xml:space="preserve">. Folding Burritos. </w:t>
      </w:r>
      <w:hyperlink r:id="rId32" w:history="1">
        <w:r w:rsidRPr="00AF28D8">
          <w:rPr>
            <w:rStyle w:val="Hyperlink"/>
            <w:rFonts w:ascii="Calibri" w:hAnsi="Calibri" w:cs="Calibri"/>
            <w:sz w:val="24"/>
            <w:szCs w:val="24"/>
          </w:rPr>
          <w:t>https://foldingburritos.com/blog/kano-model/</w:t>
        </w:r>
      </w:hyperlink>
      <w:r>
        <w:rPr>
          <w:rFonts w:ascii="Calibri" w:hAnsi="Calibri" w:cs="Calibri"/>
          <w:sz w:val="24"/>
          <w:szCs w:val="24"/>
        </w:rPr>
        <w:t xml:space="preserve"> </w:t>
      </w:r>
    </w:p>
    <w:p w14:paraId="29F7E79C" w14:textId="77777777" w:rsidR="00C61893" w:rsidRDefault="00C61893" w:rsidP="005667C5">
      <w:pPr>
        <w:ind w:left="720" w:hanging="720"/>
        <w:rPr>
          <w:rFonts w:ascii="Calibri" w:hAnsi="Calibri" w:cs="Calibri"/>
          <w:sz w:val="24"/>
          <w:szCs w:val="24"/>
        </w:rPr>
      </w:pPr>
      <w:r w:rsidRPr="00207165">
        <w:rPr>
          <w:rFonts w:ascii="Calibri" w:hAnsi="Calibri" w:cs="Calibri"/>
          <w:sz w:val="24"/>
          <w:szCs w:val="24"/>
        </w:rPr>
        <w:t xml:space="preserve">Vain, C. (2024, May 29). </w:t>
      </w:r>
      <w:r w:rsidRPr="00207165">
        <w:rPr>
          <w:rFonts w:ascii="Calibri" w:hAnsi="Calibri" w:cs="Calibri"/>
          <w:i/>
          <w:iCs/>
          <w:sz w:val="24"/>
          <w:szCs w:val="24"/>
        </w:rPr>
        <w:t>The importance of exceptional customer service in health and social care</w:t>
      </w:r>
      <w:r w:rsidRPr="00207165">
        <w:rPr>
          <w:rFonts w:ascii="Calibri" w:hAnsi="Calibri" w:cs="Calibri"/>
          <w:sz w:val="24"/>
          <w:szCs w:val="24"/>
        </w:rPr>
        <w:t xml:space="preserve">. CPD Online College. </w:t>
      </w:r>
      <w:hyperlink r:id="rId33" w:history="1">
        <w:r w:rsidRPr="007F1063">
          <w:rPr>
            <w:rStyle w:val="Hyperlink"/>
            <w:rFonts w:ascii="Calibri" w:hAnsi="Calibri" w:cs="Calibri"/>
            <w:sz w:val="24"/>
            <w:szCs w:val="24"/>
          </w:rPr>
          <w:t>https://cpdonline.co.uk/knowledge-base/care/health-and-social-care-exceptional-customer-service</w:t>
        </w:r>
      </w:hyperlink>
    </w:p>
    <w:p w14:paraId="267D0C90" w14:textId="77777777" w:rsidR="00C61893" w:rsidRDefault="00C61893" w:rsidP="005667C5">
      <w:pPr>
        <w:ind w:left="720" w:hanging="720"/>
        <w:rPr>
          <w:rFonts w:ascii="Calibri" w:hAnsi="Calibri" w:cs="Calibri"/>
          <w:sz w:val="24"/>
          <w:szCs w:val="24"/>
        </w:rPr>
      </w:pPr>
      <w:r w:rsidRPr="006B5D71">
        <w:rPr>
          <w:rFonts w:ascii="Calibri" w:hAnsi="Calibri" w:cs="Calibri"/>
          <w:sz w:val="24"/>
          <w:szCs w:val="24"/>
        </w:rPr>
        <w:lastRenderedPageBreak/>
        <w:t xml:space="preserve">World Health Organization. (2025, May 7). </w:t>
      </w:r>
      <w:r w:rsidRPr="006B5D71">
        <w:rPr>
          <w:rFonts w:ascii="Calibri" w:hAnsi="Calibri" w:cs="Calibri"/>
          <w:i/>
          <w:iCs/>
          <w:sz w:val="24"/>
          <w:szCs w:val="24"/>
        </w:rPr>
        <w:t>Obesity and overweight</w:t>
      </w:r>
      <w:r w:rsidRPr="006B5D71">
        <w:rPr>
          <w:rFonts w:ascii="Calibri" w:hAnsi="Calibri" w:cs="Calibri"/>
          <w:sz w:val="24"/>
          <w:szCs w:val="24"/>
        </w:rPr>
        <w:t xml:space="preserve">. </w:t>
      </w:r>
      <w:hyperlink r:id="rId34" w:history="1">
        <w:r w:rsidRPr="007F1063">
          <w:rPr>
            <w:rStyle w:val="Hyperlink"/>
            <w:rFonts w:ascii="Calibri" w:hAnsi="Calibri" w:cs="Calibri"/>
            <w:sz w:val="24"/>
            <w:szCs w:val="24"/>
          </w:rPr>
          <w:t>https://www.who.int/en/news-room/fact-sheets/detail/obesity-and-overweight</w:t>
        </w:r>
      </w:hyperlink>
    </w:p>
    <w:p w14:paraId="2657AF54" w14:textId="77777777" w:rsidR="00C61893" w:rsidRDefault="00C61893" w:rsidP="005667C5">
      <w:pPr>
        <w:ind w:left="720" w:hanging="720"/>
        <w:rPr>
          <w:rFonts w:ascii="Calibri" w:hAnsi="Calibri" w:cs="Calibri"/>
          <w:sz w:val="24"/>
          <w:szCs w:val="24"/>
        </w:rPr>
      </w:pPr>
      <w:r w:rsidRPr="00031F63">
        <w:rPr>
          <w:rFonts w:ascii="Calibri" w:hAnsi="Calibri" w:cs="Calibri"/>
          <w:sz w:val="24"/>
          <w:szCs w:val="24"/>
        </w:rPr>
        <w:t xml:space="preserve">Zendesk. (2024, December 13). </w:t>
      </w:r>
      <w:r w:rsidRPr="00031F63">
        <w:rPr>
          <w:rFonts w:ascii="Calibri" w:hAnsi="Calibri" w:cs="Calibri"/>
          <w:i/>
          <w:iCs/>
          <w:sz w:val="24"/>
          <w:szCs w:val="24"/>
        </w:rPr>
        <w:t>What is customer value? Definition, formula, and importance</w:t>
      </w:r>
      <w:r w:rsidRPr="00031F63">
        <w:rPr>
          <w:rFonts w:ascii="Calibri" w:hAnsi="Calibri" w:cs="Calibri"/>
          <w:sz w:val="24"/>
          <w:szCs w:val="24"/>
        </w:rPr>
        <w:t xml:space="preserve">. </w:t>
      </w:r>
      <w:hyperlink r:id="rId35" w:history="1">
        <w:r w:rsidRPr="007F1063">
          <w:rPr>
            <w:rStyle w:val="Hyperlink"/>
            <w:rFonts w:ascii="Calibri" w:hAnsi="Calibri" w:cs="Calibri"/>
            <w:sz w:val="24"/>
            <w:szCs w:val="24"/>
          </w:rPr>
          <w:t>https://www.zendesk.co.uk/blog/customer-value/</w:t>
        </w:r>
      </w:hyperlink>
    </w:p>
    <w:p w14:paraId="672EEAE3" w14:textId="20C82D98" w:rsidR="000E3633" w:rsidRPr="00F60D57" w:rsidRDefault="00F60D57" w:rsidP="00F60D57">
      <w:pPr>
        <w:pStyle w:val="Heading1"/>
        <w:rPr>
          <w:rFonts w:ascii="Calibri" w:hAnsi="Calibri" w:cs="Calibri"/>
        </w:rPr>
      </w:pPr>
      <w:bookmarkStart w:id="13" w:name="_Toc202386433"/>
      <w:r w:rsidRPr="00F60D57">
        <w:rPr>
          <w:rFonts w:ascii="Calibri" w:hAnsi="Calibri" w:cs="Calibri"/>
        </w:rPr>
        <w:t>Appendices</w:t>
      </w:r>
      <w:bookmarkEnd w:id="13"/>
    </w:p>
    <w:p w14:paraId="140E8921" w14:textId="25321CD6" w:rsidR="000E3633" w:rsidRPr="0008483E" w:rsidRDefault="00F60D57" w:rsidP="0008483E">
      <w:pPr>
        <w:pStyle w:val="Heading2"/>
        <w:rPr>
          <w:rFonts w:ascii="Calibri" w:hAnsi="Calibri" w:cs="Calibri"/>
        </w:rPr>
      </w:pPr>
      <w:bookmarkStart w:id="14" w:name="_Toc202386434"/>
      <w:r w:rsidRPr="00F60D57">
        <w:rPr>
          <w:rFonts w:ascii="Calibri" w:hAnsi="Calibri" w:cs="Calibri"/>
        </w:rPr>
        <w:t>Appendix A</w:t>
      </w:r>
      <w:bookmarkEnd w:id="14"/>
    </w:p>
    <w:p w14:paraId="68E63813" w14:textId="292FEE9C" w:rsidR="00F60D57" w:rsidRDefault="00F60D57" w:rsidP="000E3633">
      <w:pPr>
        <w:rPr>
          <w:rFonts w:ascii="Calibri" w:hAnsi="Calibri" w:cs="Calibri"/>
          <w:sz w:val="24"/>
          <w:szCs w:val="24"/>
        </w:rPr>
      </w:pPr>
      <w:r w:rsidRPr="00F60D57">
        <w:rPr>
          <w:rFonts w:ascii="Calibri" w:hAnsi="Calibri" w:cs="Calibri"/>
          <w:sz w:val="24"/>
          <w:szCs w:val="24"/>
        </w:rPr>
        <w:t>NICE Guidelines on offering weight loss surgery</w:t>
      </w:r>
      <w:r w:rsidR="00EE0F97">
        <w:rPr>
          <w:rFonts w:ascii="Calibri" w:hAnsi="Calibri" w:cs="Calibri"/>
          <w:sz w:val="24"/>
          <w:szCs w:val="24"/>
        </w:rPr>
        <w:t xml:space="preserve"> and weight loss medication guidelines:</w:t>
      </w:r>
    </w:p>
    <w:p w14:paraId="5CCB0C2A" w14:textId="77777777" w:rsidR="0008483E" w:rsidRPr="0008483E" w:rsidRDefault="0008483E" w:rsidP="0008483E">
      <w:pPr>
        <w:rPr>
          <w:rFonts w:ascii="Calibri" w:hAnsi="Calibri" w:cs="Calibri"/>
          <w:b/>
          <w:bCs/>
          <w:sz w:val="24"/>
          <w:szCs w:val="24"/>
        </w:rPr>
      </w:pPr>
      <w:r w:rsidRPr="0008483E">
        <w:rPr>
          <w:rFonts w:ascii="Calibri" w:hAnsi="Calibri" w:cs="Calibri"/>
          <w:b/>
          <w:bCs/>
          <w:sz w:val="24"/>
          <w:szCs w:val="24"/>
        </w:rPr>
        <w:t>When to refer adults for assessment for bariatric surgery</w:t>
      </w:r>
    </w:p>
    <w:p w14:paraId="008EE4F7" w14:textId="6A46D40F" w:rsidR="0008483E" w:rsidRPr="0008483E" w:rsidRDefault="0008483E" w:rsidP="0008483E">
      <w:pPr>
        <w:rPr>
          <w:rFonts w:ascii="Calibri" w:hAnsi="Calibri" w:cs="Calibri"/>
          <w:sz w:val="24"/>
          <w:szCs w:val="24"/>
        </w:rPr>
      </w:pPr>
      <w:r w:rsidRPr="0008483E">
        <w:rPr>
          <w:rFonts w:ascii="Calibri" w:hAnsi="Calibri" w:cs="Calibri"/>
          <w:sz w:val="24"/>
          <w:szCs w:val="24"/>
        </w:rPr>
        <w:t>1.18.1</w:t>
      </w:r>
      <w:r>
        <w:rPr>
          <w:rFonts w:ascii="Calibri" w:hAnsi="Calibri" w:cs="Calibri"/>
          <w:sz w:val="24"/>
          <w:szCs w:val="24"/>
        </w:rPr>
        <w:t xml:space="preserve"> </w:t>
      </w:r>
      <w:r w:rsidRPr="0008483E">
        <w:rPr>
          <w:rFonts w:ascii="Calibri" w:hAnsi="Calibri" w:cs="Calibri"/>
          <w:sz w:val="24"/>
          <w:szCs w:val="24"/>
        </w:rPr>
        <w:t>Offer adults a referral for a comprehensive assessment by </w:t>
      </w:r>
      <w:hyperlink r:id="rId36" w:anchor="specialist-overweight-and-obesity-management-services" w:tgtFrame="_top" w:history="1">
        <w:r w:rsidRPr="0008483E">
          <w:rPr>
            <w:rStyle w:val="Hyperlink"/>
            <w:rFonts w:ascii="Calibri" w:hAnsi="Calibri" w:cs="Calibri"/>
            <w:sz w:val="24"/>
            <w:szCs w:val="24"/>
          </w:rPr>
          <w:t>specialist overweight and obesity management services</w:t>
        </w:r>
      </w:hyperlink>
      <w:r w:rsidRPr="0008483E">
        <w:rPr>
          <w:rFonts w:ascii="Calibri" w:hAnsi="Calibri" w:cs="Calibri"/>
          <w:sz w:val="24"/>
          <w:szCs w:val="24"/>
        </w:rPr>
        <w:t> providing multidisciplinary management of obesity, to see whether bariatric surgery is suitable for them if they:</w:t>
      </w:r>
    </w:p>
    <w:p w14:paraId="04F27F39" w14:textId="77777777" w:rsidR="0008483E" w:rsidRPr="0008483E" w:rsidRDefault="0008483E" w:rsidP="0008483E">
      <w:pPr>
        <w:numPr>
          <w:ilvl w:val="0"/>
          <w:numId w:val="1"/>
        </w:numPr>
        <w:rPr>
          <w:rFonts w:ascii="Calibri" w:hAnsi="Calibri" w:cs="Calibri"/>
          <w:sz w:val="24"/>
          <w:szCs w:val="24"/>
        </w:rPr>
      </w:pPr>
      <w:r w:rsidRPr="0008483E">
        <w:rPr>
          <w:rFonts w:ascii="Calibri" w:hAnsi="Calibri" w:cs="Calibri"/>
          <w:sz w:val="24"/>
          <w:szCs w:val="24"/>
        </w:rPr>
        <w:t>have a BMI of 40 kg/m</w:t>
      </w:r>
      <w:r w:rsidRPr="0008483E">
        <w:rPr>
          <w:rFonts w:ascii="Calibri" w:hAnsi="Calibri" w:cs="Calibri"/>
          <w:sz w:val="24"/>
          <w:szCs w:val="24"/>
          <w:vertAlign w:val="superscript"/>
        </w:rPr>
        <w:t>2</w:t>
      </w:r>
      <w:r w:rsidRPr="0008483E">
        <w:rPr>
          <w:rFonts w:ascii="Calibri" w:hAnsi="Calibri" w:cs="Calibri"/>
          <w:sz w:val="24"/>
          <w:szCs w:val="24"/>
        </w:rPr>
        <w:t> or more, or between 35 kg/m</w:t>
      </w:r>
      <w:r w:rsidRPr="0008483E">
        <w:rPr>
          <w:rFonts w:ascii="Calibri" w:hAnsi="Calibri" w:cs="Calibri"/>
          <w:sz w:val="24"/>
          <w:szCs w:val="24"/>
          <w:vertAlign w:val="superscript"/>
        </w:rPr>
        <w:t>2</w:t>
      </w:r>
      <w:r w:rsidRPr="0008483E">
        <w:rPr>
          <w:rFonts w:ascii="Calibri" w:hAnsi="Calibri" w:cs="Calibri"/>
          <w:sz w:val="24"/>
          <w:szCs w:val="24"/>
        </w:rPr>
        <w:t> and 39.9 kg/m</w:t>
      </w:r>
      <w:r w:rsidRPr="0008483E">
        <w:rPr>
          <w:rFonts w:ascii="Calibri" w:hAnsi="Calibri" w:cs="Calibri"/>
          <w:sz w:val="24"/>
          <w:szCs w:val="24"/>
          <w:vertAlign w:val="superscript"/>
        </w:rPr>
        <w:t>2</w:t>
      </w:r>
      <w:r w:rsidRPr="0008483E">
        <w:rPr>
          <w:rFonts w:ascii="Calibri" w:hAnsi="Calibri" w:cs="Calibri"/>
          <w:sz w:val="24"/>
          <w:szCs w:val="24"/>
        </w:rPr>
        <w:t> with a significant health condition that could be improved if they lost weight (see box 2 for examples) </w:t>
      </w:r>
      <w:r w:rsidRPr="0008483E">
        <w:rPr>
          <w:rFonts w:ascii="Calibri" w:hAnsi="Calibri" w:cs="Calibri"/>
          <w:b/>
          <w:bCs/>
          <w:sz w:val="24"/>
          <w:szCs w:val="24"/>
        </w:rPr>
        <w:t>and</w:t>
      </w:r>
    </w:p>
    <w:p w14:paraId="6607569E" w14:textId="77777777" w:rsidR="0008483E" w:rsidRPr="0008483E" w:rsidRDefault="0008483E" w:rsidP="0008483E">
      <w:pPr>
        <w:numPr>
          <w:ilvl w:val="0"/>
          <w:numId w:val="1"/>
        </w:numPr>
        <w:rPr>
          <w:rFonts w:ascii="Calibri" w:hAnsi="Calibri" w:cs="Calibri"/>
          <w:sz w:val="24"/>
          <w:szCs w:val="24"/>
        </w:rPr>
      </w:pPr>
      <w:r w:rsidRPr="0008483E">
        <w:rPr>
          <w:rFonts w:ascii="Calibri" w:hAnsi="Calibri" w:cs="Calibri"/>
          <w:sz w:val="24"/>
          <w:szCs w:val="24"/>
        </w:rPr>
        <w:t>agree to the necessary long-term follow up after surgery (for example, lifelong annual reviews). </w:t>
      </w:r>
      <w:r w:rsidRPr="0008483E">
        <w:rPr>
          <w:rFonts w:ascii="Calibri" w:hAnsi="Calibri" w:cs="Calibri"/>
          <w:b/>
          <w:bCs/>
          <w:sz w:val="24"/>
          <w:szCs w:val="24"/>
        </w:rPr>
        <w:t>[2023]</w:t>
      </w:r>
    </w:p>
    <w:p w14:paraId="16614960" w14:textId="167E6524" w:rsidR="0008483E" w:rsidRPr="0008483E" w:rsidRDefault="0008483E" w:rsidP="0008483E">
      <w:pPr>
        <w:rPr>
          <w:rFonts w:ascii="Calibri" w:hAnsi="Calibri" w:cs="Calibri"/>
          <w:sz w:val="24"/>
          <w:szCs w:val="24"/>
        </w:rPr>
      </w:pPr>
      <w:r w:rsidRPr="0008483E">
        <w:rPr>
          <w:rFonts w:ascii="Calibri" w:hAnsi="Calibri" w:cs="Calibri"/>
          <w:sz w:val="24"/>
          <w:szCs w:val="24"/>
        </w:rPr>
        <w:t>1.18.2</w:t>
      </w:r>
      <w:r>
        <w:rPr>
          <w:rFonts w:ascii="Calibri" w:hAnsi="Calibri" w:cs="Calibri"/>
          <w:sz w:val="24"/>
          <w:szCs w:val="24"/>
        </w:rPr>
        <w:t xml:space="preserve"> </w:t>
      </w:r>
      <w:r w:rsidRPr="0008483E">
        <w:rPr>
          <w:rFonts w:ascii="Calibri" w:hAnsi="Calibri" w:cs="Calibri"/>
          <w:sz w:val="24"/>
          <w:szCs w:val="24"/>
        </w:rPr>
        <w:t>Consider referral for people of South Asian, Chinese, other Asian, Middle Eastern, Black African or African–Caribbean background using a lower BMI threshold (reduced by 2.5 kg/m</w:t>
      </w:r>
      <w:r w:rsidRPr="0008483E">
        <w:rPr>
          <w:rFonts w:ascii="Calibri" w:hAnsi="Calibri" w:cs="Calibri"/>
          <w:sz w:val="24"/>
          <w:szCs w:val="24"/>
          <w:vertAlign w:val="superscript"/>
        </w:rPr>
        <w:t>2</w:t>
      </w:r>
      <w:r w:rsidRPr="0008483E">
        <w:rPr>
          <w:rFonts w:ascii="Calibri" w:hAnsi="Calibri" w:cs="Calibri"/>
          <w:sz w:val="24"/>
          <w:szCs w:val="24"/>
        </w:rPr>
        <w:t>) than in recommendation 1.9.1, to account for the fact that these groups are prone to central adiposity and their cardiometabolic risk occurs at lower BMI. </w:t>
      </w:r>
      <w:r w:rsidRPr="0008483E">
        <w:rPr>
          <w:rFonts w:ascii="Calibri" w:hAnsi="Calibri" w:cs="Calibri"/>
          <w:b/>
          <w:bCs/>
          <w:sz w:val="24"/>
          <w:szCs w:val="24"/>
        </w:rPr>
        <w:t>[2023]</w:t>
      </w:r>
    </w:p>
    <w:p w14:paraId="2D48AA7D" w14:textId="77777777" w:rsidR="0008483E" w:rsidRPr="0008483E" w:rsidRDefault="0008483E" w:rsidP="0008483E">
      <w:pPr>
        <w:rPr>
          <w:rFonts w:ascii="Calibri" w:hAnsi="Calibri" w:cs="Calibri"/>
          <w:sz w:val="24"/>
          <w:szCs w:val="24"/>
        </w:rPr>
      </w:pPr>
      <w:r w:rsidRPr="0008483E">
        <w:rPr>
          <w:rFonts w:ascii="Calibri" w:hAnsi="Calibri" w:cs="Calibri"/>
          <w:b/>
          <w:bCs/>
          <w:sz w:val="24"/>
          <w:szCs w:val="24"/>
        </w:rPr>
        <w:t>Box 2 Examples of common health conditions that can improve after bariatric surgery</w:t>
      </w:r>
    </w:p>
    <w:p w14:paraId="57C1433E" w14:textId="77777777" w:rsidR="0008483E" w:rsidRPr="0008483E" w:rsidRDefault="0008483E" w:rsidP="0008483E">
      <w:pPr>
        <w:rPr>
          <w:rFonts w:ascii="Calibri" w:hAnsi="Calibri" w:cs="Calibri"/>
          <w:sz w:val="24"/>
          <w:szCs w:val="24"/>
        </w:rPr>
      </w:pPr>
      <w:r w:rsidRPr="0008483E">
        <w:rPr>
          <w:rFonts w:ascii="Calibri" w:hAnsi="Calibri" w:cs="Calibri"/>
          <w:sz w:val="24"/>
          <w:szCs w:val="24"/>
        </w:rPr>
        <w:t>Some conditions that can improve after bariatric surgery include:</w:t>
      </w:r>
    </w:p>
    <w:p w14:paraId="2C3D8674" w14:textId="77777777" w:rsidR="0008483E" w:rsidRPr="0008483E" w:rsidRDefault="0008483E" w:rsidP="0008483E">
      <w:pPr>
        <w:numPr>
          <w:ilvl w:val="0"/>
          <w:numId w:val="2"/>
        </w:numPr>
        <w:rPr>
          <w:rFonts w:ascii="Calibri" w:hAnsi="Calibri" w:cs="Calibri"/>
          <w:sz w:val="24"/>
          <w:szCs w:val="24"/>
        </w:rPr>
      </w:pPr>
      <w:r w:rsidRPr="0008483E">
        <w:rPr>
          <w:rFonts w:ascii="Calibri" w:hAnsi="Calibri" w:cs="Calibri"/>
          <w:sz w:val="24"/>
          <w:szCs w:val="24"/>
        </w:rPr>
        <w:t>cardiovascular disease</w:t>
      </w:r>
    </w:p>
    <w:p w14:paraId="4F5BDD51" w14:textId="77777777" w:rsidR="0008483E" w:rsidRPr="0008483E" w:rsidRDefault="0008483E" w:rsidP="0008483E">
      <w:pPr>
        <w:numPr>
          <w:ilvl w:val="0"/>
          <w:numId w:val="2"/>
        </w:numPr>
        <w:rPr>
          <w:rFonts w:ascii="Calibri" w:hAnsi="Calibri" w:cs="Calibri"/>
          <w:sz w:val="24"/>
          <w:szCs w:val="24"/>
        </w:rPr>
      </w:pPr>
      <w:r w:rsidRPr="0008483E">
        <w:rPr>
          <w:rFonts w:ascii="Calibri" w:hAnsi="Calibri" w:cs="Calibri"/>
          <w:sz w:val="24"/>
          <w:szCs w:val="24"/>
        </w:rPr>
        <w:t>hypertension</w:t>
      </w:r>
    </w:p>
    <w:p w14:paraId="124649B7" w14:textId="77777777" w:rsidR="0008483E" w:rsidRPr="0008483E" w:rsidRDefault="0008483E" w:rsidP="0008483E">
      <w:pPr>
        <w:numPr>
          <w:ilvl w:val="0"/>
          <w:numId w:val="2"/>
        </w:numPr>
        <w:rPr>
          <w:rFonts w:ascii="Calibri" w:hAnsi="Calibri" w:cs="Calibri"/>
          <w:sz w:val="24"/>
          <w:szCs w:val="24"/>
        </w:rPr>
      </w:pPr>
      <w:r w:rsidRPr="0008483E">
        <w:rPr>
          <w:rFonts w:ascii="Calibri" w:hAnsi="Calibri" w:cs="Calibri"/>
          <w:sz w:val="24"/>
          <w:szCs w:val="24"/>
        </w:rPr>
        <w:t>idiopathic intracranial hypertension</w:t>
      </w:r>
    </w:p>
    <w:p w14:paraId="2D86AA6D" w14:textId="47F03E3E" w:rsidR="0008483E" w:rsidRPr="0008483E" w:rsidRDefault="00527403" w:rsidP="0008483E">
      <w:pPr>
        <w:numPr>
          <w:ilvl w:val="0"/>
          <w:numId w:val="2"/>
        </w:numPr>
        <w:rPr>
          <w:rFonts w:ascii="Calibri" w:hAnsi="Calibri" w:cs="Calibri"/>
          <w:sz w:val="24"/>
          <w:szCs w:val="24"/>
        </w:rPr>
      </w:pPr>
      <w:r>
        <w:rPr>
          <w:rFonts w:ascii="Calibri" w:hAnsi="Calibri" w:cs="Calibri"/>
          <w:sz w:val="24"/>
          <w:szCs w:val="24"/>
        </w:rPr>
        <w:t>-</w:t>
      </w:r>
      <w:r w:rsidR="0008483E" w:rsidRPr="0008483E">
        <w:rPr>
          <w:rFonts w:ascii="Calibri" w:hAnsi="Calibri" w:cs="Calibri"/>
          <w:sz w:val="24"/>
          <w:szCs w:val="24"/>
        </w:rPr>
        <w:t>non-alcoholic fatty liver disease with or without steatohepatitis</w:t>
      </w:r>
    </w:p>
    <w:p w14:paraId="2244F33D" w14:textId="77777777" w:rsidR="0008483E" w:rsidRPr="0008483E" w:rsidRDefault="0008483E" w:rsidP="0008483E">
      <w:pPr>
        <w:numPr>
          <w:ilvl w:val="0"/>
          <w:numId w:val="2"/>
        </w:numPr>
        <w:rPr>
          <w:rFonts w:ascii="Calibri" w:hAnsi="Calibri" w:cs="Calibri"/>
          <w:sz w:val="24"/>
          <w:szCs w:val="24"/>
        </w:rPr>
      </w:pPr>
      <w:r w:rsidRPr="0008483E">
        <w:rPr>
          <w:rFonts w:ascii="Calibri" w:hAnsi="Calibri" w:cs="Calibri"/>
          <w:sz w:val="24"/>
          <w:szCs w:val="24"/>
        </w:rPr>
        <w:t>obstructive sleep apnoea</w:t>
      </w:r>
    </w:p>
    <w:p w14:paraId="4A342441" w14:textId="77777777" w:rsidR="0008483E" w:rsidRPr="0008483E" w:rsidRDefault="0008483E" w:rsidP="0008483E">
      <w:pPr>
        <w:numPr>
          <w:ilvl w:val="0"/>
          <w:numId w:val="2"/>
        </w:numPr>
        <w:rPr>
          <w:rFonts w:ascii="Calibri" w:hAnsi="Calibri" w:cs="Calibri"/>
          <w:sz w:val="24"/>
          <w:szCs w:val="24"/>
        </w:rPr>
      </w:pPr>
      <w:r w:rsidRPr="0008483E">
        <w:rPr>
          <w:rFonts w:ascii="Calibri" w:hAnsi="Calibri" w:cs="Calibri"/>
          <w:sz w:val="24"/>
          <w:szCs w:val="24"/>
        </w:rPr>
        <w:t>type 2 diabetes.</w:t>
      </w:r>
    </w:p>
    <w:p w14:paraId="4D5FBB30" w14:textId="77777777" w:rsidR="0008483E" w:rsidRPr="0008483E" w:rsidRDefault="0008483E" w:rsidP="0008483E">
      <w:pPr>
        <w:rPr>
          <w:rFonts w:ascii="Calibri" w:hAnsi="Calibri" w:cs="Calibri"/>
          <w:sz w:val="24"/>
          <w:szCs w:val="24"/>
        </w:rPr>
      </w:pPr>
      <w:r w:rsidRPr="0008483E">
        <w:rPr>
          <w:rFonts w:ascii="Calibri" w:hAnsi="Calibri" w:cs="Calibri"/>
          <w:sz w:val="24"/>
          <w:szCs w:val="24"/>
        </w:rPr>
        <w:t>These examples are based on the evidence identified for this guideline and the list is not exhaustive.</w:t>
      </w:r>
    </w:p>
    <w:p w14:paraId="6C9CF7A7" w14:textId="77777777" w:rsidR="0008483E" w:rsidRPr="0008483E" w:rsidRDefault="0008483E" w:rsidP="0008483E">
      <w:pPr>
        <w:rPr>
          <w:rFonts w:ascii="Calibri" w:hAnsi="Calibri" w:cs="Calibri"/>
          <w:b/>
          <w:bCs/>
          <w:sz w:val="24"/>
          <w:szCs w:val="24"/>
        </w:rPr>
      </w:pPr>
      <w:r w:rsidRPr="0008483E">
        <w:rPr>
          <w:rFonts w:ascii="Calibri" w:hAnsi="Calibri" w:cs="Calibri"/>
          <w:b/>
          <w:bCs/>
          <w:sz w:val="24"/>
          <w:szCs w:val="24"/>
        </w:rPr>
        <w:t>When to offer expedited assessment</w:t>
      </w:r>
    </w:p>
    <w:p w14:paraId="0C33FF86" w14:textId="1B8DACFD" w:rsidR="0008483E" w:rsidRPr="0008483E" w:rsidRDefault="0008483E" w:rsidP="0008483E">
      <w:pPr>
        <w:rPr>
          <w:rFonts w:ascii="Calibri" w:hAnsi="Calibri" w:cs="Calibri"/>
          <w:sz w:val="24"/>
          <w:szCs w:val="24"/>
        </w:rPr>
      </w:pPr>
      <w:r w:rsidRPr="0008483E">
        <w:rPr>
          <w:rFonts w:ascii="Calibri" w:hAnsi="Calibri" w:cs="Calibri"/>
          <w:sz w:val="24"/>
          <w:szCs w:val="24"/>
        </w:rPr>
        <w:t>1.18.3</w:t>
      </w:r>
      <w:r>
        <w:rPr>
          <w:rFonts w:ascii="Calibri" w:hAnsi="Calibri" w:cs="Calibri"/>
          <w:sz w:val="24"/>
          <w:szCs w:val="24"/>
        </w:rPr>
        <w:t xml:space="preserve"> </w:t>
      </w:r>
      <w:r w:rsidRPr="0008483E">
        <w:rPr>
          <w:rFonts w:ascii="Calibri" w:hAnsi="Calibri" w:cs="Calibri"/>
          <w:sz w:val="24"/>
          <w:szCs w:val="24"/>
        </w:rPr>
        <w:t>Offer an expedited assessment for bariatric surgery to people:</w:t>
      </w:r>
    </w:p>
    <w:p w14:paraId="41DE7FC3" w14:textId="77777777" w:rsidR="0008483E" w:rsidRPr="0008483E" w:rsidRDefault="0008483E" w:rsidP="0008483E">
      <w:pPr>
        <w:numPr>
          <w:ilvl w:val="0"/>
          <w:numId w:val="3"/>
        </w:numPr>
        <w:rPr>
          <w:rFonts w:ascii="Calibri" w:hAnsi="Calibri" w:cs="Calibri"/>
          <w:sz w:val="24"/>
          <w:szCs w:val="24"/>
        </w:rPr>
      </w:pPr>
      <w:r w:rsidRPr="0008483E">
        <w:rPr>
          <w:rFonts w:ascii="Calibri" w:hAnsi="Calibri" w:cs="Calibri"/>
          <w:sz w:val="24"/>
          <w:szCs w:val="24"/>
        </w:rPr>
        <w:lastRenderedPageBreak/>
        <w:t>with a BMI of 35 kg/m</w:t>
      </w:r>
      <w:r w:rsidRPr="0008483E">
        <w:rPr>
          <w:rFonts w:ascii="Calibri" w:hAnsi="Calibri" w:cs="Calibri"/>
          <w:sz w:val="24"/>
          <w:szCs w:val="24"/>
          <w:vertAlign w:val="superscript"/>
        </w:rPr>
        <w:t>2</w:t>
      </w:r>
      <w:r w:rsidRPr="0008483E">
        <w:rPr>
          <w:rFonts w:ascii="Calibri" w:hAnsi="Calibri" w:cs="Calibri"/>
          <w:sz w:val="24"/>
          <w:szCs w:val="24"/>
        </w:rPr>
        <w:t> or more who have recent-onset (diagnosed within the past 10 years) type 2 diabetes </w:t>
      </w:r>
      <w:r w:rsidRPr="0008483E">
        <w:rPr>
          <w:rFonts w:ascii="Calibri" w:hAnsi="Calibri" w:cs="Calibri"/>
          <w:b/>
          <w:bCs/>
          <w:sz w:val="24"/>
          <w:szCs w:val="24"/>
        </w:rPr>
        <w:t>and</w:t>
      </w:r>
    </w:p>
    <w:p w14:paraId="0FD82BA4" w14:textId="77777777" w:rsidR="0008483E" w:rsidRPr="0008483E" w:rsidRDefault="0008483E" w:rsidP="0008483E">
      <w:pPr>
        <w:numPr>
          <w:ilvl w:val="0"/>
          <w:numId w:val="3"/>
        </w:numPr>
        <w:rPr>
          <w:rFonts w:ascii="Calibri" w:hAnsi="Calibri" w:cs="Calibri"/>
          <w:sz w:val="24"/>
          <w:szCs w:val="24"/>
        </w:rPr>
      </w:pPr>
      <w:proofErr w:type="gramStart"/>
      <w:r w:rsidRPr="0008483E">
        <w:rPr>
          <w:rFonts w:ascii="Calibri" w:hAnsi="Calibri" w:cs="Calibri"/>
          <w:sz w:val="24"/>
          <w:szCs w:val="24"/>
        </w:rPr>
        <w:t>as long as</w:t>
      </w:r>
      <w:proofErr w:type="gramEnd"/>
      <w:r w:rsidRPr="0008483E">
        <w:rPr>
          <w:rFonts w:ascii="Calibri" w:hAnsi="Calibri" w:cs="Calibri"/>
          <w:sz w:val="24"/>
          <w:szCs w:val="24"/>
        </w:rPr>
        <w:t xml:space="preserve"> they are also receiving, or will receive, assessment in a specialist overweight and obesity management service. </w:t>
      </w:r>
      <w:r w:rsidRPr="0008483E">
        <w:rPr>
          <w:rFonts w:ascii="Calibri" w:hAnsi="Calibri" w:cs="Calibri"/>
          <w:b/>
          <w:bCs/>
          <w:sz w:val="24"/>
          <w:szCs w:val="24"/>
        </w:rPr>
        <w:t>[2014]</w:t>
      </w:r>
    </w:p>
    <w:p w14:paraId="202EBB25" w14:textId="04A7C18A" w:rsidR="0008483E" w:rsidRPr="0008483E" w:rsidRDefault="0008483E" w:rsidP="0008483E">
      <w:pPr>
        <w:rPr>
          <w:rFonts w:ascii="Calibri" w:hAnsi="Calibri" w:cs="Calibri"/>
          <w:sz w:val="24"/>
          <w:szCs w:val="24"/>
        </w:rPr>
      </w:pPr>
      <w:r w:rsidRPr="0008483E">
        <w:rPr>
          <w:rFonts w:ascii="Calibri" w:hAnsi="Calibri" w:cs="Calibri"/>
          <w:sz w:val="24"/>
          <w:szCs w:val="24"/>
        </w:rPr>
        <w:t>1.18.4</w:t>
      </w:r>
      <w:r>
        <w:rPr>
          <w:rFonts w:ascii="Calibri" w:hAnsi="Calibri" w:cs="Calibri"/>
          <w:sz w:val="24"/>
          <w:szCs w:val="24"/>
        </w:rPr>
        <w:t xml:space="preserve"> </w:t>
      </w:r>
      <w:r w:rsidRPr="0008483E">
        <w:rPr>
          <w:rFonts w:ascii="Calibri" w:hAnsi="Calibri" w:cs="Calibri"/>
          <w:sz w:val="24"/>
          <w:szCs w:val="24"/>
        </w:rPr>
        <w:t>Consider an expedited assessment for bariatric surgery for people:</w:t>
      </w:r>
    </w:p>
    <w:p w14:paraId="3BCE3CE7" w14:textId="77777777" w:rsidR="0008483E" w:rsidRPr="0008483E" w:rsidRDefault="0008483E" w:rsidP="0008483E">
      <w:pPr>
        <w:numPr>
          <w:ilvl w:val="0"/>
          <w:numId w:val="4"/>
        </w:numPr>
        <w:rPr>
          <w:rFonts w:ascii="Calibri" w:hAnsi="Calibri" w:cs="Calibri"/>
          <w:sz w:val="24"/>
          <w:szCs w:val="24"/>
        </w:rPr>
      </w:pPr>
      <w:r w:rsidRPr="0008483E">
        <w:rPr>
          <w:rFonts w:ascii="Calibri" w:hAnsi="Calibri" w:cs="Calibri"/>
          <w:sz w:val="24"/>
          <w:szCs w:val="24"/>
        </w:rPr>
        <w:t>with a BMI of 30 to 34.9 kg/m</w:t>
      </w:r>
      <w:r w:rsidRPr="0008483E">
        <w:rPr>
          <w:rFonts w:ascii="Calibri" w:hAnsi="Calibri" w:cs="Calibri"/>
          <w:sz w:val="24"/>
          <w:szCs w:val="24"/>
          <w:vertAlign w:val="superscript"/>
        </w:rPr>
        <w:t>2</w:t>
      </w:r>
      <w:r w:rsidRPr="0008483E">
        <w:rPr>
          <w:rFonts w:ascii="Calibri" w:hAnsi="Calibri" w:cs="Calibri"/>
          <w:sz w:val="24"/>
          <w:szCs w:val="24"/>
        </w:rPr>
        <w:t> who have recent-onset (diagnosed within the past 10 years) type 2 diabetes </w:t>
      </w:r>
      <w:r w:rsidRPr="0008483E">
        <w:rPr>
          <w:rFonts w:ascii="Calibri" w:hAnsi="Calibri" w:cs="Calibri"/>
          <w:b/>
          <w:bCs/>
          <w:sz w:val="24"/>
          <w:szCs w:val="24"/>
        </w:rPr>
        <w:t>and</w:t>
      </w:r>
    </w:p>
    <w:p w14:paraId="7203482D" w14:textId="77777777" w:rsidR="0008483E" w:rsidRPr="0008483E" w:rsidRDefault="0008483E" w:rsidP="0008483E">
      <w:pPr>
        <w:numPr>
          <w:ilvl w:val="0"/>
          <w:numId w:val="4"/>
        </w:numPr>
        <w:rPr>
          <w:rFonts w:ascii="Calibri" w:hAnsi="Calibri" w:cs="Calibri"/>
          <w:sz w:val="24"/>
          <w:szCs w:val="24"/>
        </w:rPr>
      </w:pPr>
      <w:r w:rsidRPr="0008483E">
        <w:rPr>
          <w:rFonts w:ascii="Calibri" w:hAnsi="Calibri" w:cs="Calibri"/>
          <w:sz w:val="24"/>
          <w:szCs w:val="24"/>
        </w:rPr>
        <w:t>who are also receiving, or will receive, assessment in a specialist overweight and obesity management service. </w:t>
      </w:r>
      <w:r w:rsidRPr="0008483E">
        <w:rPr>
          <w:rFonts w:ascii="Calibri" w:hAnsi="Calibri" w:cs="Calibri"/>
          <w:b/>
          <w:bCs/>
          <w:sz w:val="24"/>
          <w:szCs w:val="24"/>
        </w:rPr>
        <w:t>[2014]</w:t>
      </w:r>
    </w:p>
    <w:p w14:paraId="056361D2" w14:textId="6B50F32B" w:rsidR="0008483E" w:rsidRPr="0008483E" w:rsidRDefault="0008483E" w:rsidP="0008483E">
      <w:pPr>
        <w:rPr>
          <w:rFonts w:ascii="Calibri" w:hAnsi="Calibri" w:cs="Calibri"/>
          <w:sz w:val="24"/>
          <w:szCs w:val="24"/>
        </w:rPr>
      </w:pPr>
      <w:r w:rsidRPr="0008483E">
        <w:rPr>
          <w:rFonts w:ascii="Calibri" w:hAnsi="Calibri" w:cs="Calibri"/>
          <w:sz w:val="24"/>
          <w:szCs w:val="24"/>
        </w:rPr>
        <w:t>1.18.5</w:t>
      </w:r>
      <w:r>
        <w:rPr>
          <w:rFonts w:ascii="Calibri" w:hAnsi="Calibri" w:cs="Calibri"/>
          <w:sz w:val="24"/>
          <w:szCs w:val="24"/>
        </w:rPr>
        <w:t xml:space="preserve"> </w:t>
      </w:r>
      <w:r w:rsidRPr="0008483E">
        <w:rPr>
          <w:rFonts w:ascii="Calibri" w:hAnsi="Calibri" w:cs="Calibri"/>
          <w:sz w:val="24"/>
          <w:szCs w:val="24"/>
        </w:rPr>
        <w:t>Consider an expedited assessment for bariatric surgery for people of South Asian, Chinese, other Asian, Middle Eastern, Black African or African–Caribbean background using a lower BMI threshold (reduced by 2.5 kg/m</w:t>
      </w:r>
      <w:r w:rsidRPr="0008483E">
        <w:rPr>
          <w:rFonts w:ascii="Calibri" w:hAnsi="Calibri" w:cs="Calibri"/>
          <w:sz w:val="24"/>
          <w:szCs w:val="24"/>
          <w:vertAlign w:val="superscript"/>
        </w:rPr>
        <w:t>2</w:t>
      </w:r>
      <w:r w:rsidRPr="0008483E">
        <w:rPr>
          <w:rFonts w:ascii="Calibri" w:hAnsi="Calibri" w:cs="Calibri"/>
          <w:sz w:val="24"/>
          <w:szCs w:val="24"/>
        </w:rPr>
        <w:t>) than in recommendation 1.9.4, to account for the fact that these groups are prone to central adiposity and their cardiometabolic risk occurs at lower BMI. </w:t>
      </w:r>
      <w:r w:rsidRPr="0008483E">
        <w:rPr>
          <w:rFonts w:ascii="Calibri" w:hAnsi="Calibri" w:cs="Calibri"/>
          <w:b/>
          <w:bCs/>
          <w:sz w:val="24"/>
          <w:szCs w:val="24"/>
        </w:rPr>
        <w:t>[2014, amended 2023]</w:t>
      </w:r>
    </w:p>
    <w:p w14:paraId="2C82AD69" w14:textId="77777777" w:rsidR="00EE0F97" w:rsidRPr="00EE0F97" w:rsidRDefault="00EE0F97" w:rsidP="00EE0F97">
      <w:pPr>
        <w:rPr>
          <w:rFonts w:ascii="Calibri" w:hAnsi="Calibri" w:cs="Calibri"/>
          <w:b/>
          <w:bCs/>
          <w:sz w:val="24"/>
          <w:szCs w:val="24"/>
        </w:rPr>
      </w:pPr>
      <w:r w:rsidRPr="00EE0F97">
        <w:rPr>
          <w:rFonts w:ascii="Calibri" w:hAnsi="Calibri" w:cs="Calibri"/>
          <w:b/>
          <w:bCs/>
          <w:sz w:val="24"/>
          <w:szCs w:val="24"/>
        </w:rPr>
        <w:t>Medicines for adults</w:t>
      </w:r>
    </w:p>
    <w:p w14:paraId="2C434E04" w14:textId="77777777" w:rsidR="00EE0F97" w:rsidRPr="00EE0F97" w:rsidRDefault="00EE0F97" w:rsidP="00EE0F97">
      <w:pPr>
        <w:rPr>
          <w:rFonts w:ascii="Calibri" w:hAnsi="Calibri" w:cs="Calibri"/>
          <w:sz w:val="24"/>
          <w:szCs w:val="24"/>
        </w:rPr>
      </w:pPr>
      <w:r w:rsidRPr="00EE0F97">
        <w:rPr>
          <w:rFonts w:ascii="Calibri" w:hAnsi="Calibri" w:cs="Calibri"/>
          <w:sz w:val="24"/>
          <w:szCs w:val="24"/>
        </w:rPr>
        <w:t>This section contains a table of medicines for weight management, which includes NICE technology appraisal guidance.</w:t>
      </w:r>
    </w:p>
    <w:p w14:paraId="10B4BCD8" w14:textId="4D4B0B7D" w:rsidR="00EE0F97" w:rsidRPr="00EE0F97" w:rsidRDefault="00EE0F97" w:rsidP="00EE0F97">
      <w:pPr>
        <w:rPr>
          <w:rFonts w:ascii="Calibri" w:hAnsi="Calibri" w:cs="Calibri"/>
          <w:sz w:val="24"/>
          <w:szCs w:val="24"/>
        </w:rPr>
      </w:pPr>
      <w:r w:rsidRPr="00EE0F97">
        <w:rPr>
          <w:rFonts w:ascii="Calibri" w:hAnsi="Calibri" w:cs="Calibri"/>
          <w:sz w:val="24"/>
          <w:szCs w:val="24"/>
        </w:rPr>
        <w:t>1.17.1</w:t>
      </w:r>
      <w:r>
        <w:rPr>
          <w:rFonts w:ascii="Calibri" w:hAnsi="Calibri" w:cs="Calibri"/>
          <w:sz w:val="24"/>
          <w:szCs w:val="24"/>
        </w:rPr>
        <w:t xml:space="preserve"> </w:t>
      </w:r>
      <w:r w:rsidRPr="00EE0F97">
        <w:rPr>
          <w:rFonts w:ascii="Calibri" w:hAnsi="Calibri" w:cs="Calibri"/>
          <w:sz w:val="24"/>
          <w:szCs w:val="24"/>
        </w:rPr>
        <w:t>After dietary, exercise and behavioural approaches have been started and evaluated in adults living with overweight or obesity, see the weight management medicines options listed in table 1. </w:t>
      </w:r>
      <w:r w:rsidRPr="00EE0F97">
        <w:rPr>
          <w:rFonts w:ascii="Calibri" w:hAnsi="Calibri" w:cs="Calibri"/>
          <w:b/>
          <w:bCs/>
          <w:sz w:val="24"/>
          <w:szCs w:val="24"/>
        </w:rPr>
        <w:t>[2006, amended 2025]</w:t>
      </w:r>
    </w:p>
    <w:p w14:paraId="7E172412" w14:textId="753EC450" w:rsidR="00EE0F97" w:rsidRPr="00EE0F97" w:rsidRDefault="00EE0F97" w:rsidP="00EE0F97">
      <w:pPr>
        <w:rPr>
          <w:rFonts w:ascii="Calibri" w:hAnsi="Calibri" w:cs="Calibri"/>
          <w:sz w:val="24"/>
          <w:szCs w:val="24"/>
        </w:rPr>
      </w:pPr>
      <w:r w:rsidRPr="00EE0F97">
        <w:rPr>
          <w:rFonts w:ascii="Calibri" w:hAnsi="Calibri" w:cs="Calibri"/>
          <w:sz w:val="24"/>
          <w:szCs w:val="24"/>
        </w:rPr>
        <w:t>1.17.2</w:t>
      </w:r>
      <w:r>
        <w:rPr>
          <w:rFonts w:ascii="Calibri" w:hAnsi="Calibri" w:cs="Calibri"/>
          <w:sz w:val="24"/>
          <w:szCs w:val="24"/>
        </w:rPr>
        <w:t xml:space="preserve"> </w:t>
      </w:r>
      <w:r w:rsidRPr="00EE0F97">
        <w:rPr>
          <w:rFonts w:ascii="Calibri" w:hAnsi="Calibri" w:cs="Calibri"/>
          <w:sz w:val="24"/>
          <w:szCs w:val="24"/>
        </w:rPr>
        <w:t>All medicines for weight management should be used alongside a reduced-calorie diet and increased physical activity. </w:t>
      </w:r>
      <w:r w:rsidRPr="00EE0F97">
        <w:rPr>
          <w:rFonts w:ascii="Calibri" w:hAnsi="Calibri" w:cs="Calibri"/>
          <w:b/>
          <w:bCs/>
          <w:sz w:val="24"/>
          <w:szCs w:val="24"/>
        </w:rPr>
        <w:t>[2025]</w:t>
      </w:r>
    </w:p>
    <w:p w14:paraId="35D7666F" w14:textId="45708098" w:rsidR="00EE0F97" w:rsidRPr="00EE0F97" w:rsidRDefault="00EE0F97" w:rsidP="00EE0F97">
      <w:pPr>
        <w:rPr>
          <w:rFonts w:ascii="Calibri" w:hAnsi="Calibri" w:cs="Calibri"/>
          <w:sz w:val="24"/>
          <w:szCs w:val="24"/>
        </w:rPr>
      </w:pPr>
      <w:r w:rsidRPr="00EE0F97">
        <w:rPr>
          <w:rFonts w:ascii="Calibri" w:hAnsi="Calibri" w:cs="Calibri"/>
          <w:sz w:val="24"/>
          <w:szCs w:val="24"/>
        </w:rPr>
        <w:t>1.17.3</w:t>
      </w:r>
      <w:r>
        <w:rPr>
          <w:rFonts w:ascii="Calibri" w:hAnsi="Calibri" w:cs="Calibri"/>
          <w:sz w:val="24"/>
          <w:szCs w:val="24"/>
        </w:rPr>
        <w:t xml:space="preserve"> </w:t>
      </w:r>
      <w:r w:rsidRPr="00EE0F97">
        <w:rPr>
          <w:rFonts w:ascii="Calibri" w:hAnsi="Calibri" w:cs="Calibri"/>
          <w:sz w:val="24"/>
          <w:szCs w:val="24"/>
        </w:rPr>
        <w:t xml:space="preserve">Make the decision to start medicines after discussing them with the </w:t>
      </w:r>
      <w:proofErr w:type="gramStart"/>
      <w:r w:rsidRPr="00EE0F97">
        <w:rPr>
          <w:rFonts w:ascii="Calibri" w:hAnsi="Calibri" w:cs="Calibri"/>
          <w:sz w:val="24"/>
          <w:szCs w:val="24"/>
        </w:rPr>
        <w:t>person, and</w:t>
      </w:r>
      <w:proofErr w:type="gramEnd"/>
      <w:r w:rsidRPr="00EE0F97">
        <w:rPr>
          <w:rFonts w:ascii="Calibri" w:hAnsi="Calibri" w:cs="Calibri"/>
          <w:sz w:val="24"/>
          <w:szCs w:val="24"/>
        </w:rPr>
        <w:t xml:space="preserve"> discussing the potential impact on their motivation. Arrange information, support and counselling on additional diet, physical activity and behavioural strategies when medicines are prescribed, and give information on patient support programmes. </w:t>
      </w:r>
      <w:r w:rsidRPr="00EE0F97">
        <w:rPr>
          <w:rFonts w:ascii="Calibri" w:hAnsi="Calibri" w:cs="Calibri"/>
          <w:b/>
          <w:bCs/>
          <w:sz w:val="24"/>
          <w:szCs w:val="24"/>
        </w:rPr>
        <w:t>[2006, amended 2014]</w:t>
      </w:r>
    </w:p>
    <w:tbl>
      <w:tblPr>
        <w:tblW w:w="10480" w:type="dxa"/>
        <w:tblCellMar>
          <w:top w:w="15" w:type="dxa"/>
          <w:left w:w="15" w:type="dxa"/>
          <w:bottom w:w="15" w:type="dxa"/>
          <w:right w:w="15" w:type="dxa"/>
        </w:tblCellMar>
        <w:tblLook w:val="04A0" w:firstRow="1" w:lastRow="0" w:firstColumn="1" w:lastColumn="0" w:noHBand="0" w:noVBand="1"/>
      </w:tblPr>
      <w:tblGrid>
        <w:gridCol w:w="1438"/>
        <w:gridCol w:w="2214"/>
        <w:gridCol w:w="2554"/>
        <w:gridCol w:w="1820"/>
        <w:gridCol w:w="2454"/>
      </w:tblGrid>
      <w:tr w:rsidR="00EE0F97" w:rsidRPr="00EE0F97" w14:paraId="3A64ED07" w14:textId="77777777" w:rsidTr="00EE0F97">
        <w:trPr>
          <w:trHeight w:val="469"/>
          <w:tblHeader/>
        </w:trPr>
        <w:tc>
          <w:tcPr>
            <w:tcW w:w="0" w:type="auto"/>
            <w:gridSpan w:val="5"/>
            <w:tcBorders>
              <w:top w:val="nil"/>
              <w:left w:val="nil"/>
              <w:bottom w:val="nil"/>
              <w:right w:val="nil"/>
            </w:tcBorders>
            <w:shd w:val="clear" w:color="auto" w:fill="FFFFFF"/>
            <w:vAlign w:val="center"/>
            <w:hideMark/>
          </w:tcPr>
          <w:p w14:paraId="23818200" w14:textId="77777777" w:rsidR="00EE0F97" w:rsidRPr="00EE0F97" w:rsidRDefault="00EE0F97" w:rsidP="00EE0F97">
            <w:pPr>
              <w:rPr>
                <w:rFonts w:ascii="Calibri" w:hAnsi="Calibri" w:cs="Calibri"/>
                <w:sz w:val="24"/>
                <w:szCs w:val="24"/>
              </w:rPr>
            </w:pPr>
            <w:r w:rsidRPr="00EE0F97">
              <w:rPr>
                <w:rFonts w:ascii="Calibri" w:hAnsi="Calibri" w:cs="Calibri"/>
                <w:b/>
                <w:bCs/>
                <w:sz w:val="24"/>
                <w:szCs w:val="24"/>
              </w:rPr>
              <w:t>Table 1 Medicines options for weight management in adults</w:t>
            </w:r>
          </w:p>
        </w:tc>
      </w:tr>
      <w:tr w:rsidR="00EE0F97" w:rsidRPr="00EE0F97" w14:paraId="1686D83C" w14:textId="77777777" w:rsidTr="00EE0F97">
        <w:trPr>
          <w:trHeight w:val="469"/>
          <w:tblHeader/>
        </w:trPr>
        <w:tc>
          <w:tcPr>
            <w:tcW w:w="0" w:type="auto"/>
            <w:tcBorders>
              <w:top w:val="outset" w:sz="6" w:space="0" w:color="auto"/>
              <w:left w:val="single" w:sz="6" w:space="0" w:color="ADADAD"/>
              <w:bottom w:val="outset" w:sz="6" w:space="0" w:color="auto"/>
              <w:right w:val="single" w:sz="6" w:space="0" w:color="ADADAD"/>
            </w:tcBorders>
            <w:shd w:val="clear" w:color="auto" w:fill="FFFFFF"/>
            <w:hideMark/>
          </w:tcPr>
          <w:p w14:paraId="4CE5F3C5" w14:textId="77777777" w:rsidR="00EE0F97" w:rsidRPr="00EE0F97" w:rsidRDefault="00EE0F97" w:rsidP="00EE0F97">
            <w:pPr>
              <w:rPr>
                <w:rFonts w:ascii="Calibri" w:hAnsi="Calibri" w:cs="Calibri"/>
                <w:b/>
                <w:bCs/>
                <w:sz w:val="24"/>
                <w:szCs w:val="24"/>
              </w:rPr>
            </w:pPr>
            <w:r w:rsidRPr="00EE0F97">
              <w:rPr>
                <w:rFonts w:ascii="Calibri" w:hAnsi="Calibri" w:cs="Calibri"/>
                <w:b/>
                <w:bCs/>
                <w:sz w:val="24"/>
                <w:szCs w:val="24"/>
              </w:rPr>
              <w:t>-</w:t>
            </w:r>
          </w:p>
        </w:tc>
        <w:tc>
          <w:tcPr>
            <w:tcW w:w="0" w:type="auto"/>
            <w:tcBorders>
              <w:top w:val="outset" w:sz="6" w:space="0" w:color="auto"/>
              <w:left w:val="single" w:sz="6" w:space="0" w:color="ADADAD"/>
              <w:bottom w:val="outset" w:sz="6" w:space="0" w:color="auto"/>
              <w:right w:val="single" w:sz="6" w:space="0" w:color="ADADAD"/>
            </w:tcBorders>
            <w:shd w:val="clear" w:color="auto" w:fill="FFFFFF"/>
            <w:hideMark/>
          </w:tcPr>
          <w:p w14:paraId="2CC59852" w14:textId="77777777" w:rsidR="00EE0F97" w:rsidRPr="00EE0F97" w:rsidRDefault="00EE0F97" w:rsidP="00EE0F97">
            <w:pPr>
              <w:rPr>
                <w:rFonts w:ascii="Calibri" w:hAnsi="Calibri" w:cs="Calibri"/>
                <w:b/>
                <w:bCs/>
                <w:sz w:val="24"/>
                <w:szCs w:val="24"/>
              </w:rPr>
            </w:pPr>
            <w:proofErr w:type="spellStart"/>
            <w:r w:rsidRPr="00EE0F97">
              <w:rPr>
                <w:rFonts w:ascii="Calibri" w:hAnsi="Calibri" w:cs="Calibri"/>
                <w:b/>
                <w:bCs/>
                <w:sz w:val="24"/>
                <w:szCs w:val="24"/>
              </w:rPr>
              <w:t>Tirzepatide</w:t>
            </w:r>
            <w:proofErr w:type="spellEnd"/>
          </w:p>
        </w:tc>
        <w:tc>
          <w:tcPr>
            <w:tcW w:w="0" w:type="auto"/>
            <w:tcBorders>
              <w:top w:val="outset" w:sz="6" w:space="0" w:color="auto"/>
              <w:left w:val="single" w:sz="6" w:space="0" w:color="ADADAD"/>
              <w:bottom w:val="outset" w:sz="6" w:space="0" w:color="auto"/>
              <w:right w:val="single" w:sz="6" w:space="0" w:color="ADADAD"/>
            </w:tcBorders>
            <w:shd w:val="clear" w:color="auto" w:fill="FFFFFF"/>
            <w:hideMark/>
          </w:tcPr>
          <w:p w14:paraId="33714DC4" w14:textId="77777777" w:rsidR="00EE0F97" w:rsidRPr="00EE0F97" w:rsidRDefault="00EE0F97" w:rsidP="00EE0F97">
            <w:pPr>
              <w:rPr>
                <w:rFonts w:ascii="Calibri" w:hAnsi="Calibri" w:cs="Calibri"/>
                <w:b/>
                <w:bCs/>
                <w:sz w:val="24"/>
                <w:szCs w:val="24"/>
              </w:rPr>
            </w:pPr>
            <w:proofErr w:type="spellStart"/>
            <w:r w:rsidRPr="00EE0F97">
              <w:rPr>
                <w:rFonts w:ascii="Calibri" w:hAnsi="Calibri" w:cs="Calibri"/>
                <w:b/>
                <w:bCs/>
                <w:sz w:val="24"/>
                <w:szCs w:val="24"/>
              </w:rPr>
              <w:t>Semaglutide</w:t>
            </w:r>
            <w:proofErr w:type="spellEnd"/>
          </w:p>
        </w:tc>
        <w:tc>
          <w:tcPr>
            <w:tcW w:w="0" w:type="auto"/>
            <w:tcBorders>
              <w:top w:val="outset" w:sz="6" w:space="0" w:color="auto"/>
              <w:left w:val="single" w:sz="6" w:space="0" w:color="ADADAD"/>
              <w:bottom w:val="outset" w:sz="6" w:space="0" w:color="auto"/>
              <w:right w:val="single" w:sz="6" w:space="0" w:color="ADADAD"/>
            </w:tcBorders>
            <w:shd w:val="clear" w:color="auto" w:fill="FFFFFF"/>
            <w:hideMark/>
          </w:tcPr>
          <w:p w14:paraId="1CC13916" w14:textId="77777777" w:rsidR="00EE0F97" w:rsidRPr="00EE0F97" w:rsidRDefault="00EE0F97" w:rsidP="00EE0F97">
            <w:pPr>
              <w:rPr>
                <w:rFonts w:ascii="Calibri" w:hAnsi="Calibri" w:cs="Calibri"/>
                <w:b/>
                <w:bCs/>
                <w:sz w:val="24"/>
                <w:szCs w:val="24"/>
              </w:rPr>
            </w:pPr>
            <w:r w:rsidRPr="00EE0F97">
              <w:rPr>
                <w:rFonts w:ascii="Calibri" w:hAnsi="Calibri" w:cs="Calibri"/>
                <w:b/>
                <w:bCs/>
                <w:sz w:val="24"/>
                <w:szCs w:val="24"/>
              </w:rPr>
              <w:t>Liraglutide</w:t>
            </w:r>
          </w:p>
        </w:tc>
        <w:tc>
          <w:tcPr>
            <w:tcW w:w="0" w:type="auto"/>
            <w:tcBorders>
              <w:top w:val="outset" w:sz="6" w:space="0" w:color="auto"/>
              <w:left w:val="single" w:sz="6" w:space="0" w:color="ADADAD"/>
              <w:bottom w:val="outset" w:sz="6" w:space="0" w:color="auto"/>
              <w:right w:val="single" w:sz="6" w:space="0" w:color="ADADAD"/>
            </w:tcBorders>
            <w:shd w:val="clear" w:color="auto" w:fill="FFFFFF"/>
            <w:hideMark/>
          </w:tcPr>
          <w:p w14:paraId="3BB7D583" w14:textId="77777777" w:rsidR="00EE0F97" w:rsidRPr="00EE0F97" w:rsidRDefault="00EE0F97" w:rsidP="00EE0F97">
            <w:pPr>
              <w:rPr>
                <w:rFonts w:ascii="Calibri" w:hAnsi="Calibri" w:cs="Calibri"/>
                <w:b/>
                <w:bCs/>
                <w:sz w:val="24"/>
                <w:szCs w:val="24"/>
              </w:rPr>
            </w:pPr>
            <w:r w:rsidRPr="00EE0F97">
              <w:rPr>
                <w:rFonts w:ascii="Calibri" w:hAnsi="Calibri" w:cs="Calibri"/>
                <w:b/>
                <w:bCs/>
                <w:sz w:val="24"/>
                <w:szCs w:val="24"/>
              </w:rPr>
              <w:t>Orlistat</w:t>
            </w:r>
          </w:p>
        </w:tc>
      </w:tr>
      <w:tr w:rsidR="00EE0F97" w:rsidRPr="00EE0F97" w14:paraId="32B3E657" w14:textId="77777777" w:rsidTr="00EE0F97">
        <w:trPr>
          <w:trHeight w:val="2005"/>
        </w:trPr>
        <w:tc>
          <w:tcPr>
            <w:tcW w:w="0" w:type="auto"/>
            <w:tcBorders>
              <w:top w:val="outset" w:sz="6" w:space="0" w:color="auto"/>
              <w:left w:val="single" w:sz="6" w:space="0" w:color="ADADAD"/>
              <w:bottom w:val="outset" w:sz="6" w:space="0" w:color="auto"/>
              <w:right w:val="single" w:sz="6" w:space="0" w:color="ADADAD"/>
            </w:tcBorders>
            <w:shd w:val="clear" w:color="auto" w:fill="FBFAF8"/>
            <w:hideMark/>
          </w:tcPr>
          <w:p w14:paraId="4E2240E0" w14:textId="77777777" w:rsidR="00EE0F97" w:rsidRPr="00EE0F97" w:rsidRDefault="00EE0F97" w:rsidP="00EE0F97">
            <w:pPr>
              <w:rPr>
                <w:rFonts w:ascii="Calibri" w:hAnsi="Calibri" w:cs="Calibri"/>
                <w:sz w:val="24"/>
                <w:szCs w:val="24"/>
              </w:rPr>
            </w:pPr>
            <w:r w:rsidRPr="00EE0F97">
              <w:rPr>
                <w:rFonts w:ascii="Calibri" w:hAnsi="Calibri" w:cs="Calibri"/>
                <w:sz w:val="24"/>
                <w:szCs w:val="24"/>
              </w:rPr>
              <w:t>For more detail see</w:t>
            </w:r>
          </w:p>
        </w:tc>
        <w:tc>
          <w:tcPr>
            <w:tcW w:w="0" w:type="auto"/>
            <w:tcBorders>
              <w:top w:val="outset" w:sz="6" w:space="0" w:color="auto"/>
              <w:left w:val="single" w:sz="6" w:space="0" w:color="ADADAD"/>
              <w:bottom w:val="outset" w:sz="6" w:space="0" w:color="auto"/>
              <w:right w:val="single" w:sz="6" w:space="0" w:color="ADADAD"/>
            </w:tcBorders>
            <w:shd w:val="clear" w:color="auto" w:fill="FBFAF8"/>
            <w:hideMark/>
          </w:tcPr>
          <w:p w14:paraId="131FAB5E" w14:textId="77777777" w:rsidR="00EE0F97" w:rsidRPr="00EE0F97" w:rsidRDefault="00EE0F97" w:rsidP="00EE0F97">
            <w:pPr>
              <w:rPr>
                <w:rFonts w:ascii="Calibri" w:hAnsi="Calibri" w:cs="Calibri"/>
                <w:sz w:val="24"/>
                <w:szCs w:val="24"/>
              </w:rPr>
            </w:pPr>
            <w:hyperlink r:id="rId37" w:tgtFrame="_top" w:history="1">
              <w:r w:rsidRPr="00EE0F97">
                <w:rPr>
                  <w:rStyle w:val="Hyperlink"/>
                  <w:rFonts w:ascii="Calibri" w:hAnsi="Calibri" w:cs="Calibri"/>
                  <w:sz w:val="24"/>
                  <w:szCs w:val="24"/>
                </w:rPr>
                <w:t xml:space="preserve">NICE's technology appraisal guidance on </w:t>
              </w:r>
              <w:proofErr w:type="spellStart"/>
              <w:r w:rsidRPr="00EE0F97">
                <w:rPr>
                  <w:rStyle w:val="Hyperlink"/>
                  <w:rFonts w:ascii="Calibri" w:hAnsi="Calibri" w:cs="Calibri"/>
                  <w:sz w:val="24"/>
                  <w:szCs w:val="24"/>
                </w:rPr>
                <w:t>tirzepatide</w:t>
              </w:r>
              <w:proofErr w:type="spellEnd"/>
              <w:r w:rsidRPr="00EE0F97">
                <w:rPr>
                  <w:rStyle w:val="Hyperlink"/>
                  <w:rFonts w:ascii="Calibri" w:hAnsi="Calibri" w:cs="Calibri"/>
                  <w:sz w:val="24"/>
                  <w:szCs w:val="24"/>
                </w:rPr>
                <w:t xml:space="preserve"> for managing overweight and obesity</w:t>
              </w:r>
            </w:hyperlink>
            <w:r w:rsidRPr="00EE0F97">
              <w:rPr>
                <w:rFonts w:ascii="Calibri" w:hAnsi="Calibri" w:cs="Calibri"/>
                <w:sz w:val="24"/>
                <w:szCs w:val="24"/>
              </w:rPr>
              <w:t> (TA1026, December 2024)</w:t>
            </w:r>
          </w:p>
        </w:tc>
        <w:tc>
          <w:tcPr>
            <w:tcW w:w="0" w:type="auto"/>
            <w:tcBorders>
              <w:top w:val="outset" w:sz="6" w:space="0" w:color="auto"/>
              <w:left w:val="single" w:sz="6" w:space="0" w:color="ADADAD"/>
              <w:bottom w:val="outset" w:sz="6" w:space="0" w:color="auto"/>
              <w:right w:val="single" w:sz="6" w:space="0" w:color="ADADAD"/>
            </w:tcBorders>
            <w:shd w:val="clear" w:color="auto" w:fill="FBFAF8"/>
            <w:hideMark/>
          </w:tcPr>
          <w:p w14:paraId="40FDEE65" w14:textId="77777777" w:rsidR="00EE0F97" w:rsidRPr="00EE0F97" w:rsidRDefault="00EE0F97" w:rsidP="00EE0F97">
            <w:pPr>
              <w:rPr>
                <w:rFonts w:ascii="Calibri" w:hAnsi="Calibri" w:cs="Calibri"/>
                <w:sz w:val="24"/>
                <w:szCs w:val="24"/>
              </w:rPr>
            </w:pPr>
            <w:hyperlink r:id="rId38" w:tgtFrame="_top" w:history="1">
              <w:r w:rsidRPr="00EE0F97">
                <w:rPr>
                  <w:rStyle w:val="Hyperlink"/>
                  <w:rFonts w:ascii="Calibri" w:hAnsi="Calibri" w:cs="Calibri"/>
                  <w:sz w:val="24"/>
                  <w:szCs w:val="24"/>
                </w:rPr>
                <w:t xml:space="preserve">NICE's technology appraisal guidance on </w:t>
              </w:r>
              <w:proofErr w:type="spellStart"/>
              <w:r w:rsidRPr="00EE0F97">
                <w:rPr>
                  <w:rStyle w:val="Hyperlink"/>
                  <w:rFonts w:ascii="Calibri" w:hAnsi="Calibri" w:cs="Calibri"/>
                  <w:sz w:val="24"/>
                  <w:szCs w:val="24"/>
                </w:rPr>
                <w:t>semaglutide</w:t>
              </w:r>
              <w:proofErr w:type="spellEnd"/>
              <w:r w:rsidRPr="00EE0F97">
                <w:rPr>
                  <w:rStyle w:val="Hyperlink"/>
                  <w:rFonts w:ascii="Calibri" w:hAnsi="Calibri" w:cs="Calibri"/>
                  <w:sz w:val="24"/>
                  <w:szCs w:val="24"/>
                </w:rPr>
                <w:t xml:space="preserve"> for managing overweight and obesity</w:t>
              </w:r>
            </w:hyperlink>
            <w:r w:rsidRPr="00EE0F97">
              <w:rPr>
                <w:rFonts w:ascii="Calibri" w:hAnsi="Calibri" w:cs="Calibri"/>
                <w:sz w:val="24"/>
                <w:szCs w:val="24"/>
              </w:rPr>
              <w:t> (TA875, March 2023)</w:t>
            </w:r>
          </w:p>
        </w:tc>
        <w:tc>
          <w:tcPr>
            <w:tcW w:w="0" w:type="auto"/>
            <w:tcBorders>
              <w:top w:val="outset" w:sz="6" w:space="0" w:color="auto"/>
              <w:left w:val="single" w:sz="6" w:space="0" w:color="ADADAD"/>
              <w:bottom w:val="outset" w:sz="6" w:space="0" w:color="auto"/>
              <w:right w:val="single" w:sz="6" w:space="0" w:color="ADADAD"/>
            </w:tcBorders>
            <w:shd w:val="clear" w:color="auto" w:fill="FBFAF8"/>
            <w:hideMark/>
          </w:tcPr>
          <w:p w14:paraId="68AF69D6" w14:textId="77777777" w:rsidR="00EE0F97" w:rsidRPr="00EE0F97" w:rsidRDefault="00EE0F97" w:rsidP="00EE0F97">
            <w:pPr>
              <w:rPr>
                <w:rFonts w:ascii="Calibri" w:hAnsi="Calibri" w:cs="Calibri"/>
                <w:sz w:val="24"/>
                <w:szCs w:val="24"/>
              </w:rPr>
            </w:pPr>
            <w:hyperlink r:id="rId39" w:tgtFrame="_top" w:history="1">
              <w:r w:rsidRPr="00EE0F97">
                <w:rPr>
                  <w:rStyle w:val="Hyperlink"/>
                  <w:rFonts w:ascii="Calibri" w:hAnsi="Calibri" w:cs="Calibri"/>
                  <w:sz w:val="24"/>
                  <w:szCs w:val="24"/>
                </w:rPr>
                <w:t xml:space="preserve">NICE's technology appraisal guidance on liraglutide for managing overweight and </w:t>
              </w:r>
              <w:r w:rsidRPr="00EE0F97">
                <w:rPr>
                  <w:rStyle w:val="Hyperlink"/>
                  <w:rFonts w:ascii="Calibri" w:hAnsi="Calibri" w:cs="Calibri"/>
                  <w:sz w:val="24"/>
                  <w:szCs w:val="24"/>
                </w:rPr>
                <w:lastRenderedPageBreak/>
                <w:t>obesity</w:t>
              </w:r>
            </w:hyperlink>
            <w:r w:rsidRPr="00EE0F97">
              <w:rPr>
                <w:rFonts w:ascii="Calibri" w:hAnsi="Calibri" w:cs="Calibri"/>
                <w:sz w:val="24"/>
                <w:szCs w:val="24"/>
              </w:rPr>
              <w:t> (TA664, December 2020)</w:t>
            </w:r>
          </w:p>
        </w:tc>
        <w:tc>
          <w:tcPr>
            <w:tcW w:w="0" w:type="auto"/>
            <w:tcBorders>
              <w:top w:val="outset" w:sz="6" w:space="0" w:color="auto"/>
              <w:left w:val="single" w:sz="6" w:space="0" w:color="ADADAD"/>
              <w:bottom w:val="outset" w:sz="6" w:space="0" w:color="auto"/>
              <w:right w:val="single" w:sz="6" w:space="0" w:color="ADADAD"/>
            </w:tcBorders>
            <w:shd w:val="clear" w:color="auto" w:fill="FBFAF8"/>
            <w:hideMark/>
          </w:tcPr>
          <w:p w14:paraId="2C7C2C15" w14:textId="77777777" w:rsidR="00EE0F97" w:rsidRPr="00EE0F97" w:rsidRDefault="00EE0F97" w:rsidP="00EE0F97">
            <w:pPr>
              <w:rPr>
                <w:rFonts w:ascii="Calibri" w:hAnsi="Calibri" w:cs="Calibri"/>
                <w:sz w:val="24"/>
                <w:szCs w:val="24"/>
              </w:rPr>
            </w:pPr>
            <w:r w:rsidRPr="00EE0F97">
              <w:rPr>
                <w:rFonts w:ascii="Calibri" w:hAnsi="Calibri" w:cs="Calibri"/>
                <w:sz w:val="24"/>
                <w:szCs w:val="24"/>
              </w:rPr>
              <w:lastRenderedPageBreak/>
              <w:t>There is no NICE technology appraisal guidance on orlistat</w:t>
            </w:r>
          </w:p>
        </w:tc>
      </w:tr>
      <w:tr w:rsidR="00EE0F97" w:rsidRPr="00EE0F97" w14:paraId="57E1A6C7" w14:textId="77777777" w:rsidTr="00EE0F97">
        <w:trPr>
          <w:trHeight w:val="1536"/>
        </w:trPr>
        <w:tc>
          <w:tcPr>
            <w:tcW w:w="0" w:type="auto"/>
            <w:tcBorders>
              <w:top w:val="outset" w:sz="6" w:space="0" w:color="auto"/>
              <w:left w:val="single" w:sz="6" w:space="0" w:color="ADADAD"/>
              <w:bottom w:val="outset" w:sz="6" w:space="0" w:color="auto"/>
              <w:right w:val="single" w:sz="6" w:space="0" w:color="ADADAD"/>
            </w:tcBorders>
            <w:shd w:val="clear" w:color="auto" w:fill="FBFAF8"/>
            <w:hideMark/>
          </w:tcPr>
          <w:p w14:paraId="3A9860BC" w14:textId="77777777" w:rsidR="00EE0F97" w:rsidRPr="00EE0F97" w:rsidRDefault="00EE0F97" w:rsidP="00EE0F97">
            <w:pPr>
              <w:rPr>
                <w:rFonts w:ascii="Calibri" w:hAnsi="Calibri" w:cs="Calibri"/>
                <w:sz w:val="24"/>
                <w:szCs w:val="24"/>
              </w:rPr>
            </w:pPr>
            <w:r w:rsidRPr="00EE0F97">
              <w:rPr>
                <w:rFonts w:ascii="Calibri" w:hAnsi="Calibri" w:cs="Calibri"/>
                <w:sz w:val="24"/>
                <w:szCs w:val="24"/>
              </w:rPr>
              <w:t>For adults with</w:t>
            </w:r>
          </w:p>
        </w:tc>
        <w:tc>
          <w:tcPr>
            <w:tcW w:w="0" w:type="auto"/>
            <w:tcBorders>
              <w:top w:val="outset" w:sz="6" w:space="0" w:color="auto"/>
              <w:left w:val="single" w:sz="6" w:space="0" w:color="ADADAD"/>
              <w:bottom w:val="outset" w:sz="6" w:space="0" w:color="auto"/>
              <w:right w:val="single" w:sz="6" w:space="0" w:color="ADADAD"/>
            </w:tcBorders>
            <w:shd w:val="clear" w:color="auto" w:fill="FBFAF8"/>
            <w:hideMark/>
          </w:tcPr>
          <w:p w14:paraId="02C3F0EE" w14:textId="77777777" w:rsidR="00EE0F97" w:rsidRPr="00EE0F97" w:rsidRDefault="00EE0F97" w:rsidP="00EE0F97">
            <w:pPr>
              <w:rPr>
                <w:rFonts w:ascii="Calibri" w:hAnsi="Calibri" w:cs="Calibri"/>
                <w:sz w:val="24"/>
                <w:szCs w:val="24"/>
              </w:rPr>
            </w:pPr>
            <w:r w:rsidRPr="00EE0F97">
              <w:rPr>
                <w:rFonts w:ascii="Calibri" w:hAnsi="Calibri" w:cs="Calibri"/>
                <w:sz w:val="24"/>
                <w:szCs w:val="24"/>
              </w:rPr>
              <w:t>An initial BMI of at least 35 kg/m</w:t>
            </w:r>
            <w:r w:rsidRPr="00EE0F97">
              <w:rPr>
                <w:rFonts w:ascii="Calibri" w:hAnsi="Calibri" w:cs="Calibri"/>
                <w:sz w:val="24"/>
                <w:szCs w:val="24"/>
                <w:vertAlign w:val="superscript"/>
              </w:rPr>
              <w:t>2</w:t>
            </w:r>
            <w:r w:rsidRPr="00EE0F97">
              <w:rPr>
                <w:rFonts w:ascii="Calibri" w:hAnsi="Calibri" w:cs="Calibri"/>
                <w:sz w:val="24"/>
                <w:szCs w:val="24"/>
              </w:rPr>
              <w:t> and at least 1 weight-related comorbidity.</w:t>
            </w:r>
          </w:p>
        </w:tc>
        <w:tc>
          <w:tcPr>
            <w:tcW w:w="0" w:type="auto"/>
            <w:tcBorders>
              <w:top w:val="outset" w:sz="6" w:space="0" w:color="auto"/>
              <w:left w:val="single" w:sz="6" w:space="0" w:color="ADADAD"/>
              <w:bottom w:val="outset" w:sz="6" w:space="0" w:color="auto"/>
              <w:right w:val="single" w:sz="6" w:space="0" w:color="ADADAD"/>
            </w:tcBorders>
            <w:shd w:val="clear" w:color="auto" w:fill="FBFAF8"/>
            <w:hideMark/>
          </w:tcPr>
          <w:p w14:paraId="31FE8BC4" w14:textId="77777777" w:rsidR="00EE0F97" w:rsidRPr="00EE0F97" w:rsidRDefault="00EE0F97" w:rsidP="00EE0F97">
            <w:pPr>
              <w:rPr>
                <w:rFonts w:ascii="Calibri" w:hAnsi="Calibri" w:cs="Calibri"/>
                <w:sz w:val="24"/>
                <w:szCs w:val="24"/>
              </w:rPr>
            </w:pPr>
            <w:r w:rsidRPr="00EE0F97">
              <w:rPr>
                <w:rFonts w:ascii="Calibri" w:hAnsi="Calibri" w:cs="Calibri"/>
                <w:sz w:val="24"/>
                <w:szCs w:val="24"/>
              </w:rPr>
              <w:t>At least 1 weight-related comorbidity </w:t>
            </w:r>
            <w:r w:rsidRPr="00EE0F97">
              <w:rPr>
                <w:rFonts w:ascii="Calibri" w:hAnsi="Calibri" w:cs="Calibri"/>
                <w:b/>
                <w:bCs/>
                <w:sz w:val="24"/>
                <w:szCs w:val="24"/>
              </w:rPr>
              <w:t>and</w:t>
            </w:r>
            <w:r w:rsidRPr="00EE0F97">
              <w:rPr>
                <w:rFonts w:ascii="Calibri" w:hAnsi="Calibri" w:cs="Calibri"/>
                <w:sz w:val="24"/>
                <w:szCs w:val="24"/>
              </w:rPr>
              <w:t>:</w:t>
            </w:r>
          </w:p>
          <w:p w14:paraId="0D44A59E" w14:textId="77777777" w:rsidR="00EE0F97" w:rsidRPr="00EE0F97" w:rsidRDefault="00EE0F97" w:rsidP="00EE0F97">
            <w:pPr>
              <w:numPr>
                <w:ilvl w:val="0"/>
                <w:numId w:val="5"/>
              </w:numPr>
              <w:rPr>
                <w:rFonts w:ascii="Calibri" w:hAnsi="Calibri" w:cs="Calibri"/>
                <w:sz w:val="24"/>
                <w:szCs w:val="24"/>
              </w:rPr>
            </w:pPr>
            <w:r w:rsidRPr="00EE0F97">
              <w:rPr>
                <w:rFonts w:ascii="Calibri" w:hAnsi="Calibri" w:cs="Calibri"/>
                <w:sz w:val="24"/>
                <w:szCs w:val="24"/>
              </w:rPr>
              <w:t>an initial BMI of 35.0 kg/m</w:t>
            </w:r>
            <w:r w:rsidRPr="00EE0F97">
              <w:rPr>
                <w:rFonts w:ascii="Calibri" w:hAnsi="Calibri" w:cs="Calibri"/>
                <w:sz w:val="24"/>
                <w:szCs w:val="24"/>
                <w:vertAlign w:val="superscript"/>
              </w:rPr>
              <w:t>2</w:t>
            </w:r>
            <w:r w:rsidRPr="00EE0F97">
              <w:rPr>
                <w:rFonts w:ascii="Calibri" w:hAnsi="Calibri" w:cs="Calibri"/>
                <w:sz w:val="24"/>
                <w:szCs w:val="24"/>
              </w:rPr>
              <w:t> or more,</w:t>
            </w:r>
          </w:p>
          <w:p w14:paraId="1D92467D" w14:textId="77777777" w:rsidR="00EE0F97" w:rsidRPr="00EE0F97" w:rsidRDefault="00EE0F97" w:rsidP="00EE0F97">
            <w:pPr>
              <w:rPr>
                <w:rFonts w:ascii="Calibri" w:hAnsi="Calibri" w:cs="Calibri"/>
                <w:sz w:val="24"/>
                <w:szCs w:val="24"/>
              </w:rPr>
            </w:pPr>
            <w:r w:rsidRPr="00EE0F97">
              <w:rPr>
                <w:rFonts w:ascii="Calibri" w:hAnsi="Calibri" w:cs="Calibri"/>
                <w:b/>
                <w:bCs/>
                <w:sz w:val="24"/>
                <w:szCs w:val="24"/>
              </w:rPr>
              <w:t>or</w:t>
            </w:r>
          </w:p>
          <w:p w14:paraId="0FA6E3B5" w14:textId="77777777" w:rsidR="00EE0F97" w:rsidRPr="00EE0F97" w:rsidRDefault="00EE0F97" w:rsidP="00EE0F97">
            <w:pPr>
              <w:numPr>
                <w:ilvl w:val="0"/>
                <w:numId w:val="6"/>
              </w:numPr>
              <w:rPr>
                <w:rFonts w:ascii="Calibri" w:hAnsi="Calibri" w:cs="Calibri"/>
                <w:sz w:val="24"/>
                <w:szCs w:val="24"/>
              </w:rPr>
            </w:pPr>
            <w:r w:rsidRPr="00EE0F97">
              <w:rPr>
                <w:rFonts w:ascii="Calibri" w:hAnsi="Calibri" w:cs="Calibri"/>
                <w:sz w:val="24"/>
                <w:szCs w:val="24"/>
              </w:rPr>
              <w:t>an initial BMI of 30.0 kg/m</w:t>
            </w:r>
            <w:r w:rsidRPr="00EE0F97">
              <w:rPr>
                <w:rFonts w:ascii="Calibri" w:hAnsi="Calibri" w:cs="Calibri"/>
                <w:sz w:val="24"/>
                <w:szCs w:val="24"/>
                <w:vertAlign w:val="superscript"/>
              </w:rPr>
              <w:t>2</w:t>
            </w:r>
            <w:r w:rsidRPr="00EE0F97">
              <w:rPr>
                <w:rFonts w:ascii="Calibri" w:hAnsi="Calibri" w:cs="Calibri"/>
                <w:sz w:val="24"/>
                <w:szCs w:val="24"/>
              </w:rPr>
              <w:t> to 34.9 kg/m</w:t>
            </w:r>
            <w:r w:rsidRPr="00EE0F97">
              <w:rPr>
                <w:rFonts w:ascii="Calibri" w:hAnsi="Calibri" w:cs="Calibri"/>
                <w:sz w:val="24"/>
                <w:szCs w:val="24"/>
                <w:vertAlign w:val="superscript"/>
              </w:rPr>
              <w:t>2</w:t>
            </w:r>
            <w:r w:rsidRPr="00EE0F97">
              <w:rPr>
                <w:rFonts w:ascii="Calibri" w:hAnsi="Calibri" w:cs="Calibri"/>
                <w:sz w:val="24"/>
                <w:szCs w:val="24"/>
              </w:rPr>
              <w:t> and who meet the criteria for referral to </w:t>
            </w:r>
            <w:hyperlink r:id="rId40" w:anchor="specialist-overweight-and-obesity-management-services" w:tgtFrame="_top" w:history="1">
              <w:r w:rsidRPr="00EE0F97">
                <w:rPr>
                  <w:rStyle w:val="Hyperlink"/>
                  <w:rFonts w:ascii="Calibri" w:hAnsi="Calibri" w:cs="Calibri"/>
                  <w:sz w:val="24"/>
                  <w:szCs w:val="24"/>
                </w:rPr>
                <w:t>specialist overweight and obesity management services</w:t>
              </w:r>
            </w:hyperlink>
            <w:r w:rsidRPr="00EE0F97">
              <w:rPr>
                <w:rFonts w:ascii="Calibri" w:hAnsi="Calibri" w:cs="Calibri"/>
                <w:sz w:val="24"/>
                <w:szCs w:val="24"/>
              </w:rPr>
              <w:t>.</w:t>
            </w:r>
          </w:p>
        </w:tc>
        <w:tc>
          <w:tcPr>
            <w:tcW w:w="0" w:type="auto"/>
            <w:tcBorders>
              <w:top w:val="outset" w:sz="6" w:space="0" w:color="auto"/>
              <w:left w:val="single" w:sz="6" w:space="0" w:color="ADADAD"/>
              <w:bottom w:val="outset" w:sz="6" w:space="0" w:color="auto"/>
              <w:right w:val="single" w:sz="6" w:space="0" w:color="ADADAD"/>
            </w:tcBorders>
            <w:shd w:val="clear" w:color="auto" w:fill="FBFAF8"/>
            <w:hideMark/>
          </w:tcPr>
          <w:p w14:paraId="107A565F" w14:textId="77777777" w:rsidR="00EE0F97" w:rsidRPr="00EE0F97" w:rsidRDefault="00EE0F97" w:rsidP="00EE0F97">
            <w:pPr>
              <w:rPr>
                <w:rFonts w:ascii="Calibri" w:hAnsi="Calibri" w:cs="Calibri"/>
                <w:sz w:val="24"/>
                <w:szCs w:val="24"/>
              </w:rPr>
            </w:pPr>
            <w:r w:rsidRPr="00EE0F97">
              <w:rPr>
                <w:rFonts w:ascii="Calibri" w:hAnsi="Calibri" w:cs="Calibri"/>
                <w:sz w:val="24"/>
                <w:szCs w:val="24"/>
              </w:rPr>
              <w:t>An initial BMI of 35 kg/m</w:t>
            </w:r>
            <w:r w:rsidRPr="00EE0F97">
              <w:rPr>
                <w:rFonts w:ascii="Calibri" w:hAnsi="Calibri" w:cs="Calibri"/>
                <w:sz w:val="24"/>
                <w:szCs w:val="24"/>
                <w:vertAlign w:val="superscript"/>
              </w:rPr>
              <w:t>2</w:t>
            </w:r>
            <w:r w:rsidRPr="00EE0F97">
              <w:rPr>
                <w:rFonts w:ascii="Calibri" w:hAnsi="Calibri" w:cs="Calibri"/>
                <w:sz w:val="24"/>
                <w:szCs w:val="24"/>
              </w:rPr>
              <w:t> or more</w:t>
            </w:r>
          </w:p>
          <w:p w14:paraId="40503628" w14:textId="77777777" w:rsidR="00EE0F97" w:rsidRPr="00EE0F97" w:rsidRDefault="00EE0F97" w:rsidP="00EE0F97">
            <w:pPr>
              <w:rPr>
                <w:rFonts w:ascii="Calibri" w:hAnsi="Calibri" w:cs="Calibri"/>
                <w:sz w:val="24"/>
                <w:szCs w:val="24"/>
              </w:rPr>
            </w:pPr>
            <w:r w:rsidRPr="00EE0F97">
              <w:rPr>
                <w:rFonts w:ascii="Calibri" w:hAnsi="Calibri" w:cs="Calibri"/>
                <w:b/>
                <w:bCs/>
                <w:sz w:val="24"/>
                <w:szCs w:val="24"/>
              </w:rPr>
              <w:t>and</w:t>
            </w:r>
          </w:p>
          <w:p w14:paraId="603A667C" w14:textId="77777777" w:rsidR="00EE0F97" w:rsidRPr="00EE0F97" w:rsidRDefault="00EE0F97" w:rsidP="00EE0F97">
            <w:pPr>
              <w:rPr>
                <w:rFonts w:ascii="Calibri" w:hAnsi="Calibri" w:cs="Calibri"/>
                <w:sz w:val="24"/>
                <w:szCs w:val="24"/>
              </w:rPr>
            </w:pPr>
            <w:r w:rsidRPr="00EE0F97">
              <w:rPr>
                <w:rFonts w:ascii="Calibri" w:hAnsi="Calibri" w:cs="Calibri"/>
                <w:sz w:val="24"/>
                <w:szCs w:val="24"/>
              </w:rPr>
              <w:t>non-diabetic hyperglycaemia</w:t>
            </w:r>
          </w:p>
          <w:p w14:paraId="3B7A879A" w14:textId="77777777" w:rsidR="00EE0F97" w:rsidRPr="00EE0F97" w:rsidRDefault="00EE0F97" w:rsidP="00EE0F97">
            <w:pPr>
              <w:rPr>
                <w:rFonts w:ascii="Calibri" w:hAnsi="Calibri" w:cs="Calibri"/>
                <w:sz w:val="24"/>
                <w:szCs w:val="24"/>
              </w:rPr>
            </w:pPr>
            <w:r w:rsidRPr="00EE0F97">
              <w:rPr>
                <w:rFonts w:ascii="Calibri" w:hAnsi="Calibri" w:cs="Calibri"/>
                <w:b/>
                <w:bCs/>
                <w:sz w:val="24"/>
                <w:szCs w:val="24"/>
              </w:rPr>
              <w:t>and</w:t>
            </w:r>
          </w:p>
          <w:p w14:paraId="66B0EFA4" w14:textId="77777777" w:rsidR="00EE0F97" w:rsidRPr="00EE0F97" w:rsidRDefault="00EE0F97" w:rsidP="00EE0F97">
            <w:pPr>
              <w:rPr>
                <w:rFonts w:ascii="Calibri" w:hAnsi="Calibri" w:cs="Calibri"/>
                <w:sz w:val="24"/>
                <w:szCs w:val="24"/>
              </w:rPr>
            </w:pPr>
            <w:r w:rsidRPr="00EE0F97">
              <w:rPr>
                <w:rFonts w:ascii="Calibri" w:hAnsi="Calibri" w:cs="Calibri"/>
                <w:sz w:val="24"/>
                <w:szCs w:val="24"/>
              </w:rPr>
              <w:t>a high risk of cardiovascular disease.</w:t>
            </w:r>
          </w:p>
        </w:tc>
        <w:tc>
          <w:tcPr>
            <w:tcW w:w="0" w:type="auto"/>
            <w:tcBorders>
              <w:top w:val="outset" w:sz="6" w:space="0" w:color="auto"/>
              <w:left w:val="single" w:sz="6" w:space="0" w:color="ADADAD"/>
              <w:bottom w:val="outset" w:sz="6" w:space="0" w:color="auto"/>
              <w:right w:val="single" w:sz="6" w:space="0" w:color="ADADAD"/>
            </w:tcBorders>
            <w:shd w:val="clear" w:color="auto" w:fill="FBFAF8"/>
            <w:hideMark/>
          </w:tcPr>
          <w:p w14:paraId="2CE65878" w14:textId="77777777" w:rsidR="00EE0F97" w:rsidRPr="00EE0F97" w:rsidRDefault="00EE0F97" w:rsidP="00EE0F97">
            <w:pPr>
              <w:rPr>
                <w:rFonts w:ascii="Calibri" w:hAnsi="Calibri" w:cs="Calibri"/>
                <w:sz w:val="24"/>
                <w:szCs w:val="24"/>
              </w:rPr>
            </w:pPr>
            <w:r w:rsidRPr="00EE0F97">
              <w:rPr>
                <w:rFonts w:ascii="Calibri" w:hAnsi="Calibri" w:cs="Calibri"/>
                <w:sz w:val="24"/>
                <w:szCs w:val="24"/>
              </w:rPr>
              <w:t>A BMI of 30 kg/m</w:t>
            </w:r>
            <w:r w:rsidRPr="00EE0F97">
              <w:rPr>
                <w:rFonts w:ascii="Calibri" w:hAnsi="Calibri" w:cs="Calibri"/>
                <w:sz w:val="24"/>
                <w:szCs w:val="24"/>
                <w:vertAlign w:val="superscript"/>
              </w:rPr>
              <w:t>2</w:t>
            </w:r>
            <w:r w:rsidRPr="00EE0F97">
              <w:rPr>
                <w:rFonts w:ascii="Calibri" w:hAnsi="Calibri" w:cs="Calibri"/>
                <w:sz w:val="24"/>
                <w:szCs w:val="24"/>
              </w:rPr>
              <w:t> or more</w:t>
            </w:r>
          </w:p>
          <w:p w14:paraId="1BDCD108" w14:textId="77777777" w:rsidR="00EE0F97" w:rsidRPr="00EE0F97" w:rsidRDefault="00EE0F97" w:rsidP="00EE0F97">
            <w:pPr>
              <w:rPr>
                <w:rFonts w:ascii="Calibri" w:hAnsi="Calibri" w:cs="Calibri"/>
                <w:sz w:val="24"/>
                <w:szCs w:val="24"/>
              </w:rPr>
            </w:pPr>
            <w:r w:rsidRPr="00EE0F97">
              <w:rPr>
                <w:rFonts w:ascii="Calibri" w:hAnsi="Calibri" w:cs="Calibri"/>
                <w:b/>
                <w:bCs/>
                <w:sz w:val="24"/>
                <w:szCs w:val="24"/>
              </w:rPr>
              <w:t>or</w:t>
            </w:r>
          </w:p>
          <w:p w14:paraId="014BE6CB" w14:textId="77777777" w:rsidR="00EE0F97" w:rsidRPr="00EE0F97" w:rsidRDefault="00EE0F97" w:rsidP="00EE0F97">
            <w:pPr>
              <w:rPr>
                <w:rFonts w:ascii="Calibri" w:hAnsi="Calibri" w:cs="Calibri"/>
                <w:sz w:val="24"/>
                <w:szCs w:val="24"/>
              </w:rPr>
            </w:pPr>
            <w:r w:rsidRPr="00EE0F97">
              <w:rPr>
                <w:rFonts w:ascii="Calibri" w:hAnsi="Calibri" w:cs="Calibri"/>
                <w:sz w:val="24"/>
                <w:szCs w:val="24"/>
              </w:rPr>
              <w:t>a BMI of 28 kg/m</w:t>
            </w:r>
            <w:r w:rsidRPr="00EE0F97">
              <w:rPr>
                <w:rFonts w:ascii="Calibri" w:hAnsi="Calibri" w:cs="Calibri"/>
                <w:sz w:val="24"/>
                <w:szCs w:val="24"/>
                <w:vertAlign w:val="superscript"/>
              </w:rPr>
              <w:t>2</w:t>
            </w:r>
            <w:r w:rsidRPr="00EE0F97">
              <w:rPr>
                <w:rFonts w:ascii="Calibri" w:hAnsi="Calibri" w:cs="Calibri"/>
                <w:sz w:val="24"/>
                <w:szCs w:val="24"/>
              </w:rPr>
              <w:t> or more and associated risk factors. (</w:t>
            </w:r>
            <w:hyperlink r:id="rId41" w:tgtFrame="_top" w:history="1">
              <w:r w:rsidRPr="00EE0F97">
                <w:rPr>
                  <w:rStyle w:val="Hyperlink"/>
                  <w:rFonts w:ascii="Calibri" w:hAnsi="Calibri" w:cs="Calibri"/>
                  <w:sz w:val="24"/>
                  <w:szCs w:val="24"/>
                </w:rPr>
                <w:t>orlistat summary of product characteristics</w:t>
              </w:r>
            </w:hyperlink>
            <w:r w:rsidRPr="00EE0F97">
              <w:rPr>
                <w:rFonts w:ascii="Calibri" w:hAnsi="Calibri" w:cs="Calibri"/>
                <w:sz w:val="24"/>
                <w:szCs w:val="24"/>
              </w:rPr>
              <w:t> [SPC])</w:t>
            </w:r>
          </w:p>
        </w:tc>
      </w:tr>
      <w:tr w:rsidR="00EE0F97" w:rsidRPr="00EE0F97" w14:paraId="25606D10" w14:textId="77777777" w:rsidTr="00EE0F97">
        <w:trPr>
          <w:trHeight w:val="140"/>
        </w:trPr>
        <w:tc>
          <w:tcPr>
            <w:tcW w:w="0" w:type="auto"/>
            <w:tcBorders>
              <w:top w:val="outset" w:sz="6" w:space="0" w:color="auto"/>
              <w:left w:val="single" w:sz="6" w:space="0" w:color="ADADAD"/>
              <w:bottom w:val="outset" w:sz="6" w:space="0" w:color="auto"/>
              <w:right w:val="single" w:sz="6" w:space="0" w:color="ADADAD"/>
            </w:tcBorders>
            <w:shd w:val="clear" w:color="auto" w:fill="FBFAF8"/>
            <w:hideMark/>
          </w:tcPr>
          <w:p w14:paraId="06C80082" w14:textId="77777777" w:rsidR="00EE0F97" w:rsidRPr="00EE0F97" w:rsidRDefault="00EE0F97" w:rsidP="00EE0F97">
            <w:pPr>
              <w:rPr>
                <w:rFonts w:ascii="Calibri" w:hAnsi="Calibri" w:cs="Calibri"/>
                <w:sz w:val="24"/>
                <w:szCs w:val="24"/>
              </w:rPr>
            </w:pPr>
            <w:r w:rsidRPr="00EE0F97">
              <w:rPr>
                <w:rFonts w:ascii="Calibri" w:hAnsi="Calibri" w:cs="Calibri"/>
                <w:sz w:val="24"/>
                <w:szCs w:val="24"/>
              </w:rPr>
              <w:t>Setting</w:t>
            </w:r>
          </w:p>
        </w:tc>
        <w:tc>
          <w:tcPr>
            <w:tcW w:w="0" w:type="auto"/>
            <w:tcBorders>
              <w:top w:val="outset" w:sz="6" w:space="0" w:color="auto"/>
              <w:left w:val="single" w:sz="6" w:space="0" w:color="ADADAD"/>
              <w:bottom w:val="outset" w:sz="6" w:space="0" w:color="auto"/>
              <w:right w:val="single" w:sz="6" w:space="0" w:color="ADADAD"/>
            </w:tcBorders>
            <w:shd w:val="clear" w:color="auto" w:fill="FBFAF8"/>
            <w:hideMark/>
          </w:tcPr>
          <w:p w14:paraId="41C81C7F" w14:textId="77777777" w:rsidR="00EE0F97" w:rsidRPr="00EE0F97" w:rsidRDefault="00EE0F97" w:rsidP="00EE0F97">
            <w:pPr>
              <w:rPr>
                <w:rFonts w:ascii="Calibri" w:hAnsi="Calibri" w:cs="Calibri"/>
                <w:sz w:val="24"/>
                <w:szCs w:val="24"/>
              </w:rPr>
            </w:pPr>
            <w:r w:rsidRPr="00EE0F97">
              <w:rPr>
                <w:rFonts w:ascii="Calibri" w:hAnsi="Calibri" w:cs="Calibri"/>
                <w:sz w:val="24"/>
                <w:szCs w:val="24"/>
              </w:rPr>
              <w:t>Prescribed in primary care or a </w:t>
            </w:r>
            <w:hyperlink r:id="rId42" w:anchor="specialist-overweight-and-obesity-management-services" w:tgtFrame="_top" w:history="1">
              <w:r w:rsidRPr="00EE0F97">
                <w:rPr>
                  <w:rStyle w:val="Hyperlink"/>
                  <w:rFonts w:ascii="Calibri" w:hAnsi="Calibri" w:cs="Calibri"/>
                  <w:sz w:val="24"/>
                  <w:szCs w:val="24"/>
                </w:rPr>
                <w:t>specialist overweight and obesity management service</w:t>
              </w:r>
            </w:hyperlink>
            <w:r w:rsidRPr="00EE0F97">
              <w:rPr>
                <w:rFonts w:ascii="Calibri" w:hAnsi="Calibri" w:cs="Calibri"/>
                <w:sz w:val="24"/>
                <w:szCs w:val="24"/>
              </w:rPr>
              <w:t>.</w:t>
            </w:r>
          </w:p>
        </w:tc>
        <w:tc>
          <w:tcPr>
            <w:tcW w:w="0" w:type="auto"/>
            <w:tcBorders>
              <w:top w:val="outset" w:sz="6" w:space="0" w:color="auto"/>
              <w:left w:val="single" w:sz="6" w:space="0" w:color="ADADAD"/>
              <w:bottom w:val="outset" w:sz="6" w:space="0" w:color="auto"/>
              <w:right w:val="single" w:sz="6" w:space="0" w:color="ADADAD"/>
            </w:tcBorders>
            <w:shd w:val="clear" w:color="auto" w:fill="FBFAF8"/>
            <w:hideMark/>
          </w:tcPr>
          <w:p w14:paraId="34FA007D" w14:textId="77777777" w:rsidR="00EE0F97" w:rsidRPr="00EE0F97" w:rsidRDefault="00EE0F97" w:rsidP="00EE0F97">
            <w:pPr>
              <w:rPr>
                <w:rFonts w:ascii="Calibri" w:hAnsi="Calibri" w:cs="Calibri"/>
                <w:sz w:val="24"/>
                <w:szCs w:val="24"/>
              </w:rPr>
            </w:pPr>
            <w:r w:rsidRPr="00EE0F97">
              <w:rPr>
                <w:rFonts w:ascii="Calibri" w:hAnsi="Calibri" w:cs="Calibri"/>
                <w:sz w:val="24"/>
                <w:szCs w:val="24"/>
              </w:rPr>
              <w:t>Prescribed in a </w:t>
            </w:r>
            <w:hyperlink r:id="rId43" w:anchor="specialist-overweight-and-obesity-management-services" w:tgtFrame="_top" w:history="1">
              <w:r w:rsidRPr="00EE0F97">
                <w:rPr>
                  <w:rStyle w:val="Hyperlink"/>
                  <w:rFonts w:ascii="Calibri" w:hAnsi="Calibri" w:cs="Calibri"/>
                  <w:sz w:val="24"/>
                  <w:szCs w:val="24"/>
                </w:rPr>
                <w:t>specialist overweight and obesity management service</w:t>
              </w:r>
            </w:hyperlink>
            <w:r w:rsidRPr="00EE0F97">
              <w:rPr>
                <w:rFonts w:ascii="Calibri" w:hAnsi="Calibri" w:cs="Calibri"/>
                <w:sz w:val="24"/>
                <w:szCs w:val="24"/>
              </w:rPr>
              <w:t>.</w:t>
            </w:r>
          </w:p>
        </w:tc>
        <w:tc>
          <w:tcPr>
            <w:tcW w:w="0" w:type="auto"/>
            <w:tcBorders>
              <w:top w:val="outset" w:sz="6" w:space="0" w:color="auto"/>
              <w:left w:val="single" w:sz="6" w:space="0" w:color="ADADAD"/>
              <w:bottom w:val="outset" w:sz="6" w:space="0" w:color="auto"/>
              <w:right w:val="single" w:sz="6" w:space="0" w:color="ADADAD"/>
            </w:tcBorders>
            <w:shd w:val="clear" w:color="auto" w:fill="FBFAF8"/>
            <w:hideMark/>
          </w:tcPr>
          <w:p w14:paraId="75F198C5" w14:textId="77777777" w:rsidR="00EE0F97" w:rsidRPr="00EE0F97" w:rsidRDefault="00EE0F97" w:rsidP="00EE0F97">
            <w:pPr>
              <w:rPr>
                <w:rFonts w:ascii="Calibri" w:hAnsi="Calibri" w:cs="Calibri"/>
                <w:sz w:val="24"/>
                <w:szCs w:val="24"/>
              </w:rPr>
            </w:pPr>
            <w:r w:rsidRPr="00EE0F97">
              <w:rPr>
                <w:rFonts w:ascii="Calibri" w:hAnsi="Calibri" w:cs="Calibri"/>
                <w:sz w:val="24"/>
                <w:szCs w:val="24"/>
              </w:rPr>
              <w:t>Prescribed in secondary care by a </w:t>
            </w:r>
            <w:hyperlink r:id="rId44" w:anchor="specialist-overweight-and-obesity-management-services" w:tgtFrame="_top" w:history="1">
              <w:r w:rsidRPr="00EE0F97">
                <w:rPr>
                  <w:rStyle w:val="Hyperlink"/>
                  <w:rFonts w:ascii="Calibri" w:hAnsi="Calibri" w:cs="Calibri"/>
                  <w:sz w:val="24"/>
                  <w:szCs w:val="24"/>
                </w:rPr>
                <w:t>specialist overweight and obesity management service</w:t>
              </w:r>
            </w:hyperlink>
            <w:r w:rsidRPr="00EE0F97">
              <w:rPr>
                <w:rFonts w:ascii="Calibri" w:hAnsi="Calibri" w:cs="Calibri"/>
                <w:sz w:val="24"/>
                <w:szCs w:val="24"/>
              </w:rPr>
              <w:t>.</w:t>
            </w:r>
          </w:p>
        </w:tc>
        <w:tc>
          <w:tcPr>
            <w:tcW w:w="0" w:type="auto"/>
            <w:tcBorders>
              <w:top w:val="outset" w:sz="6" w:space="0" w:color="auto"/>
              <w:left w:val="single" w:sz="6" w:space="0" w:color="ADADAD"/>
              <w:bottom w:val="outset" w:sz="6" w:space="0" w:color="auto"/>
              <w:right w:val="single" w:sz="6" w:space="0" w:color="ADADAD"/>
            </w:tcBorders>
            <w:shd w:val="clear" w:color="auto" w:fill="FBFAF8"/>
            <w:hideMark/>
          </w:tcPr>
          <w:p w14:paraId="507EA3D8" w14:textId="77777777" w:rsidR="00EE0F97" w:rsidRPr="00EE0F97" w:rsidRDefault="00EE0F97" w:rsidP="00EE0F97">
            <w:pPr>
              <w:rPr>
                <w:rFonts w:ascii="Calibri" w:hAnsi="Calibri" w:cs="Calibri"/>
                <w:sz w:val="24"/>
                <w:szCs w:val="24"/>
              </w:rPr>
            </w:pPr>
            <w:r w:rsidRPr="00EE0F97">
              <w:rPr>
                <w:rFonts w:ascii="Calibri" w:hAnsi="Calibri" w:cs="Calibri"/>
                <w:sz w:val="24"/>
                <w:szCs w:val="24"/>
              </w:rPr>
              <w:t>Prescribed in all settings and available in a lower dose from a pharmacy.</w:t>
            </w:r>
          </w:p>
        </w:tc>
      </w:tr>
      <w:tr w:rsidR="00EE0F97" w:rsidRPr="00EE0F97" w14:paraId="0B9CA246" w14:textId="77777777" w:rsidTr="00EE0F97">
        <w:trPr>
          <w:trHeight w:val="140"/>
        </w:trPr>
        <w:tc>
          <w:tcPr>
            <w:tcW w:w="0" w:type="auto"/>
            <w:tcBorders>
              <w:top w:val="outset" w:sz="6" w:space="0" w:color="auto"/>
              <w:left w:val="single" w:sz="6" w:space="0" w:color="ADADAD"/>
              <w:bottom w:val="outset" w:sz="6" w:space="0" w:color="auto"/>
              <w:right w:val="single" w:sz="6" w:space="0" w:color="ADADAD"/>
            </w:tcBorders>
            <w:shd w:val="clear" w:color="auto" w:fill="FBFAF8"/>
            <w:hideMark/>
          </w:tcPr>
          <w:p w14:paraId="7F44BF3F" w14:textId="77777777" w:rsidR="00EE0F97" w:rsidRPr="00EE0F97" w:rsidRDefault="00EE0F97" w:rsidP="00EE0F97">
            <w:pPr>
              <w:rPr>
                <w:rFonts w:ascii="Calibri" w:hAnsi="Calibri" w:cs="Calibri"/>
                <w:sz w:val="24"/>
                <w:szCs w:val="24"/>
              </w:rPr>
            </w:pPr>
            <w:r w:rsidRPr="00EE0F97">
              <w:rPr>
                <w:rFonts w:ascii="Calibri" w:hAnsi="Calibri" w:cs="Calibri"/>
                <w:sz w:val="24"/>
                <w:szCs w:val="24"/>
              </w:rPr>
              <w:t>Route and frequency</w:t>
            </w:r>
          </w:p>
        </w:tc>
        <w:tc>
          <w:tcPr>
            <w:tcW w:w="0" w:type="auto"/>
            <w:tcBorders>
              <w:top w:val="outset" w:sz="6" w:space="0" w:color="auto"/>
              <w:left w:val="single" w:sz="6" w:space="0" w:color="ADADAD"/>
              <w:bottom w:val="outset" w:sz="6" w:space="0" w:color="auto"/>
              <w:right w:val="single" w:sz="6" w:space="0" w:color="ADADAD"/>
            </w:tcBorders>
            <w:shd w:val="clear" w:color="auto" w:fill="FBFAF8"/>
            <w:hideMark/>
          </w:tcPr>
          <w:p w14:paraId="0B69DC2F" w14:textId="77777777" w:rsidR="00EE0F97" w:rsidRPr="00EE0F97" w:rsidRDefault="00EE0F97" w:rsidP="00EE0F97">
            <w:pPr>
              <w:rPr>
                <w:rFonts w:ascii="Calibri" w:hAnsi="Calibri" w:cs="Calibri"/>
                <w:sz w:val="24"/>
                <w:szCs w:val="24"/>
              </w:rPr>
            </w:pPr>
            <w:r w:rsidRPr="00EE0F97">
              <w:rPr>
                <w:rFonts w:ascii="Calibri" w:hAnsi="Calibri" w:cs="Calibri"/>
                <w:sz w:val="24"/>
                <w:szCs w:val="24"/>
              </w:rPr>
              <w:t>Weekly subcutaneous injection.</w:t>
            </w:r>
          </w:p>
        </w:tc>
        <w:tc>
          <w:tcPr>
            <w:tcW w:w="0" w:type="auto"/>
            <w:tcBorders>
              <w:top w:val="outset" w:sz="6" w:space="0" w:color="auto"/>
              <w:left w:val="single" w:sz="6" w:space="0" w:color="ADADAD"/>
              <w:bottom w:val="outset" w:sz="6" w:space="0" w:color="auto"/>
              <w:right w:val="single" w:sz="6" w:space="0" w:color="ADADAD"/>
            </w:tcBorders>
            <w:shd w:val="clear" w:color="auto" w:fill="FBFAF8"/>
            <w:hideMark/>
          </w:tcPr>
          <w:p w14:paraId="7730BA22" w14:textId="77777777" w:rsidR="00EE0F97" w:rsidRPr="00EE0F97" w:rsidRDefault="00EE0F97" w:rsidP="00EE0F97">
            <w:pPr>
              <w:rPr>
                <w:rFonts w:ascii="Calibri" w:hAnsi="Calibri" w:cs="Calibri"/>
                <w:sz w:val="24"/>
                <w:szCs w:val="24"/>
              </w:rPr>
            </w:pPr>
            <w:r w:rsidRPr="00EE0F97">
              <w:rPr>
                <w:rFonts w:ascii="Calibri" w:hAnsi="Calibri" w:cs="Calibri"/>
                <w:sz w:val="24"/>
                <w:szCs w:val="24"/>
              </w:rPr>
              <w:t>Weekly subcutaneous injection.</w:t>
            </w:r>
          </w:p>
        </w:tc>
        <w:tc>
          <w:tcPr>
            <w:tcW w:w="0" w:type="auto"/>
            <w:tcBorders>
              <w:top w:val="outset" w:sz="6" w:space="0" w:color="auto"/>
              <w:left w:val="single" w:sz="6" w:space="0" w:color="ADADAD"/>
              <w:bottom w:val="outset" w:sz="6" w:space="0" w:color="auto"/>
              <w:right w:val="single" w:sz="6" w:space="0" w:color="ADADAD"/>
            </w:tcBorders>
            <w:shd w:val="clear" w:color="auto" w:fill="FBFAF8"/>
            <w:hideMark/>
          </w:tcPr>
          <w:p w14:paraId="236199FF" w14:textId="77777777" w:rsidR="00EE0F97" w:rsidRPr="00EE0F97" w:rsidRDefault="00EE0F97" w:rsidP="00EE0F97">
            <w:pPr>
              <w:rPr>
                <w:rFonts w:ascii="Calibri" w:hAnsi="Calibri" w:cs="Calibri"/>
                <w:sz w:val="24"/>
                <w:szCs w:val="24"/>
              </w:rPr>
            </w:pPr>
            <w:r w:rsidRPr="00EE0F97">
              <w:rPr>
                <w:rFonts w:ascii="Calibri" w:hAnsi="Calibri" w:cs="Calibri"/>
                <w:sz w:val="24"/>
                <w:szCs w:val="24"/>
              </w:rPr>
              <w:t>Daily subcutaneous injection.</w:t>
            </w:r>
          </w:p>
        </w:tc>
        <w:tc>
          <w:tcPr>
            <w:tcW w:w="0" w:type="auto"/>
            <w:tcBorders>
              <w:top w:val="outset" w:sz="6" w:space="0" w:color="auto"/>
              <w:left w:val="single" w:sz="6" w:space="0" w:color="ADADAD"/>
              <w:bottom w:val="outset" w:sz="6" w:space="0" w:color="auto"/>
              <w:right w:val="single" w:sz="6" w:space="0" w:color="ADADAD"/>
            </w:tcBorders>
            <w:shd w:val="clear" w:color="auto" w:fill="FBFAF8"/>
            <w:hideMark/>
          </w:tcPr>
          <w:p w14:paraId="725D97FC" w14:textId="77777777" w:rsidR="00EE0F97" w:rsidRPr="00EE0F97" w:rsidRDefault="00EE0F97" w:rsidP="00EE0F97">
            <w:pPr>
              <w:rPr>
                <w:rFonts w:ascii="Calibri" w:hAnsi="Calibri" w:cs="Calibri"/>
                <w:sz w:val="24"/>
                <w:szCs w:val="24"/>
              </w:rPr>
            </w:pPr>
            <w:r w:rsidRPr="00EE0F97">
              <w:rPr>
                <w:rFonts w:ascii="Calibri" w:hAnsi="Calibri" w:cs="Calibri"/>
                <w:sz w:val="24"/>
                <w:szCs w:val="24"/>
              </w:rPr>
              <w:t>Oral capsule, up to 3 times a day.</w:t>
            </w:r>
          </w:p>
        </w:tc>
      </w:tr>
      <w:tr w:rsidR="00EE0F97" w:rsidRPr="00EE0F97" w14:paraId="616A2584" w14:textId="77777777" w:rsidTr="00EE0F97">
        <w:trPr>
          <w:trHeight w:val="140"/>
        </w:trPr>
        <w:tc>
          <w:tcPr>
            <w:tcW w:w="0" w:type="auto"/>
            <w:tcBorders>
              <w:top w:val="outset" w:sz="6" w:space="0" w:color="auto"/>
              <w:left w:val="single" w:sz="6" w:space="0" w:color="ADADAD"/>
              <w:bottom w:val="outset" w:sz="6" w:space="0" w:color="auto"/>
              <w:right w:val="single" w:sz="6" w:space="0" w:color="ADADAD"/>
            </w:tcBorders>
            <w:shd w:val="clear" w:color="auto" w:fill="FBFAF8"/>
            <w:hideMark/>
          </w:tcPr>
          <w:p w14:paraId="130A177F" w14:textId="77777777" w:rsidR="00EE0F97" w:rsidRPr="00EE0F97" w:rsidRDefault="00EE0F97" w:rsidP="00EE0F97">
            <w:pPr>
              <w:rPr>
                <w:rFonts w:ascii="Calibri" w:hAnsi="Calibri" w:cs="Calibri"/>
                <w:sz w:val="24"/>
                <w:szCs w:val="24"/>
              </w:rPr>
            </w:pPr>
            <w:r w:rsidRPr="00EE0F97">
              <w:rPr>
                <w:rFonts w:ascii="Calibri" w:hAnsi="Calibri" w:cs="Calibri"/>
                <w:sz w:val="24"/>
                <w:szCs w:val="24"/>
              </w:rPr>
              <w:t>Pregnancy and contraception</w:t>
            </w:r>
          </w:p>
        </w:tc>
        <w:tc>
          <w:tcPr>
            <w:tcW w:w="0" w:type="auto"/>
            <w:tcBorders>
              <w:top w:val="outset" w:sz="6" w:space="0" w:color="auto"/>
              <w:left w:val="single" w:sz="6" w:space="0" w:color="ADADAD"/>
              <w:bottom w:val="outset" w:sz="6" w:space="0" w:color="auto"/>
              <w:right w:val="single" w:sz="6" w:space="0" w:color="ADADAD"/>
            </w:tcBorders>
            <w:shd w:val="clear" w:color="auto" w:fill="FBFAF8"/>
            <w:hideMark/>
          </w:tcPr>
          <w:p w14:paraId="0534223B" w14:textId="77777777" w:rsidR="00EE0F97" w:rsidRPr="00EE0F97" w:rsidRDefault="00EE0F97" w:rsidP="00EE0F97">
            <w:pPr>
              <w:rPr>
                <w:rFonts w:ascii="Calibri" w:hAnsi="Calibri" w:cs="Calibri"/>
                <w:sz w:val="24"/>
                <w:szCs w:val="24"/>
              </w:rPr>
            </w:pPr>
            <w:r w:rsidRPr="00EE0F97">
              <w:rPr>
                <w:rFonts w:ascii="Calibri" w:hAnsi="Calibri" w:cs="Calibri"/>
                <w:sz w:val="24"/>
                <w:szCs w:val="24"/>
              </w:rPr>
              <w:t xml:space="preserve">Do not use in pregnancy or in women of </w:t>
            </w:r>
            <w:r w:rsidRPr="00EE0F97">
              <w:rPr>
                <w:rFonts w:ascii="Calibri" w:hAnsi="Calibri" w:cs="Calibri"/>
                <w:sz w:val="24"/>
                <w:szCs w:val="24"/>
              </w:rPr>
              <w:lastRenderedPageBreak/>
              <w:t>childbearing potential not using contraception. Switch to a non-oral contraceptive method, or add a barrier method of contraception, for 4 weeks on initiation and after each dose escalation.</w:t>
            </w:r>
          </w:p>
          <w:p w14:paraId="3C11E2A9" w14:textId="77777777" w:rsidR="00EE0F97" w:rsidRPr="00EE0F97" w:rsidRDefault="00EE0F97" w:rsidP="00EE0F97">
            <w:pPr>
              <w:rPr>
                <w:rFonts w:ascii="Calibri" w:hAnsi="Calibri" w:cs="Calibri"/>
                <w:sz w:val="24"/>
                <w:szCs w:val="24"/>
              </w:rPr>
            </w:pPr>
            <w:r w:rsidRPr="00EE0F97">
              <w:rPr>
                <w:rFonts w:ascii="Calibri" w:hAnsi="Calibri" w:cs="Calibri"/>
                <w:sz w:val="24"/>
                <w:szCs w:val="24"/>
              </w:rPr>
              <w:t>(</w:t>
            </w:r>
            <w:proofErr w:type="spellStart"/>
            <w:r w:rsidRPr="00EE0F97">
              <w:rPr>
                <w:rFonts w:ascii="Calibri" w:hAnsi="Calibri" w:cs="Calibri"/>
                <w:sz w:val="24"/>
                <w:szCs w:val="24"/>
              </w:rPr>
              <w:fldChar w:fldCharType="begin"/>
            </w:r>
            <w:r w:rsidRPr="00EE0F97">
              <w:rPr>
                <w:rFonts w:ascii="Calibri" w:hAnsi="Calibri" w:cs="Calibri"/>
                <w:sz w:val="24"/>
                <w:szCs w:val="24"/>
              </w:rPr>
              <w:instrText>HYPERLINK "https://www.medicines.org.uk/emc/product/15484%20/h" \t "_top"</w:instrText>
            </w:r>
            <w:r w:rsidRPr="00EE0F97">
              <w:rPr>
                <w:rFonts w:ascii="Calibri" w:hAnsi="Calibri" w:cs="Calibri"/>
                <w:sz w:val="24"/>
                <w:szCs w:val="24"/>
              </w:rPr>
            </w:r>
            <w:r w:rsidRPr="00EE0F97">
              <w:rPr>
                <w:rFonts w:ascii="Calibri" w:hAnsi="Calibri" w:cs="Calibri"/>
                <w:sz w:val="24"/>
                <w:szCs w:val="24"/>
              </w:rPr>
              <w:fldChar w:fldCharType="separate"/>
            </w:r>
            <w:r w:rsidRPr="00EE0F97">
              <w:rPr>
                <w:rStyle w:val="Hyperlink"/>
                <w:rFonts w:ascii="Calibri" w:hAnsi="Calibri" w:cs="Calibri"/>
                <w:sz w:val="24"/>
                <w:szCs w:val="24"/>
              </w:rPr>
              <w:t>tirzepatide</w:t>
            </w:r>
            <w:proofErr w:type="spellEnd"/>
            <w:r w:rsidRPr="00EE0F97">
              <w:rPr>
                <w:rStyle w:val="Hyperlink"/>
                <w:rFonts w:ascii="Calibri" w:hAnsi="Calibri" w:cs="Calibri"/>
                <w:sz w:val="24"/>
                <w:szCs w:val="24"/>
              </w:rPr>
              <w:t xml:space="preserve"> SPC</w:t>
            </w:r>
            <w:r w:rsidRPr="00EE0F97">
              <w:rPr>
                <w:rFonts w:ascii="Calibri" w:hAnsi="Calibri" w:cs="Calibri"/>
                <w:sz w:val="24"/>
                <w:szCs w:val="24"/>
              </w:rPr>
              <w:fldChar w:fldCharType="end"/>
            </w:r>
            <w:r w:rsidRPr="00EE0F97">
              <w:rPr>
                <w:rFonts w:ascii="Calibri" w:hAnsi="Calibri" w:cs="Calibri"/>
                <w:sz w:val="24"/>
                <w:szCs w:val="24"/>
              </w:rPr>
              <w:t>)</w:t>
            </w:r>
          </w:p>
        </w:tc>
        <w:tc>
          <w:tcPr>
            <w:tcW w:w="0" w:type="auto"/>
            <w:tcBorders>
              <w:top w:val="outset" w:sz="6" w:space="0" w:color="auto"/>
              <w:left w:val="single" w:sz="6" w:space="0" w:color="ADADAD"/>
              <w:bottom w:val="outset" w:sz="6" w:space="0" w:color="auto"/>
              <w:right w:val="single" w:sz="6" w:space="0" w:color="ADADAD"/>
            </w:tcBorders>
            <w:shd w:val="clear" w:color="auto" w:fill="FBFAF8"/>
            <w:hideMark/>
          </w:tcPr>
          <w:p w14:paraId="15315433" w14:textId="77777777" w:rsidR="00EE0F97" w:rsidRPr="00EE0F97" w:rsidRDefault="00EE0F97" w:rsidP="00EE0F97">
            <w:pPr>
              <w:rPr>
                <w:rFonts w:ascii="Calibri" w:hAnsi="Calibri" w:cs="Calibri"/>
                <w:sz w:val="24"/>
                <w:szCs w:val="24"/>
              </w:rPr>
            </w:pPr>
            <w:r w:rsidRPr="00EE0F97">
              <w:rPr>
                <w:rFonts w:ascii="Calibri" w:hAnsi="Calibri" w:cs="Calibri"/>
                <w:sz w:val="24"/>
                <w:szCs w:val="24"/>
              </w:rPr>
              <w:lastRenderedPageBreak/>
              <w:t xml:space="preserve">Do not use in pregnancy. Women of childbearing potential are </w:t>
            </w:r>
            <w:r w:rsidRPr="00EE0F97">
              <w:rPr>
                <w:rFonts w:ascii="Calibri" w:hAnsi="Calibri" w:cs="Calibri"/>
                <w:sz w:val="24"/>
                <w:szCs w:val="24"/>
              </w:rPr>
              <w:lastRenderedPageBreak/>
              <w:t>recommended to use contraception. (</w:t>
            </w:r>
            <w:proofErr w:type="spellStart"/>
            <w:r w:rsidRPr="00EE0F97">
              <w:rPr>
                <w:rFonts w:ascii="Calibri" w:hAnsi="Calibri" w:cs="Calibri"/>
                <w:sz w:val="24"/>
                <w:szCs w:val="24"/>
              </w:rPr>
              <w:fldChar w:fldCharType="begin"/>
            </w:r>
            <w:r w:rsidRPr="00EE0F97">
              <w:rPr>
                <w:rFonts w:ascii="Calibri" w:hAnsi="Calibri" w:cs="Calibri"/>
                <w:sz w:val="24"/>
                <w:szCs w:val="24"/>
              </w:rPr>
              <w:instrText>HYPERLINK "https://www.medicines.org.uk/emc/product/13799" \t "_top"</w:instrText>
            </w:r>
            <w:r w:rsidRPr="00EE0F97">
              <w:rPr>
                <w:rFonts w:ascii="Calibri" w:hAnsi="Calibri" w:cs="Calibri"/>
                <w:sz w:val="24"/>
                <w:szCs w:val="24"/>
              </w:rPr>
            </w:r>
            <w:r w:rsidRPr="00EE0F97">
              <w:rPr>
                <w:rFonts w:ascii="Calibri" w:hAnsi="Calibri" w:cs="Calibri"/>
                <w:sz w:val="24"/>
                <w:szCs w:val="24"/>
              </w:rPr>
              <w:fldChar w:fldCharType="separate"/>
            </w:r>
            <w:r w:rsidRPr="00EE0F97">
              <w:rPr>
                <w:rStyle w:val="Hyperlink"/>
                <w:rFonts w:ascii="Calibri" w:hAnsi="Calibri" w:cs="Calibri"/>
                <w:sz w:val="24"/>
                <w:szCs w:val="24"/>
              </w:rPr>
              <w:t>semaglutide</w:t>
            </w:r>
            <w:proofErr w:type="spellEnd"/>
            <w:r w:rsidRPr="00EE0F97">
              <w:rPr>
                <w:rStyle w:val="Hyperlink"/>
                <w:rFonts w:ascii="Calibri" w:hAnsi="Calibri" w:cs="Calibri"/>
                <w:sz w:val="24"/>
                <w:szCs w:val="24"/>
              </w:rPr>
              <w:t xml:space="preserve"> SPC</w:t>
            </w:r>
            <w:r w:rsidRPr="00EE0F97">
              <w:rPr>
                <w:rFonts w:ascii="Calibri" w:hAnsi="Calibri" w:cs="Calibri"/>
                <w:sz w:val="24"/>
                <w:szCs w:val="24"/>
              </w:rPr>
              <w:fldChar w:fldCharType="end"/>
            </w:r>
            <w:r w:rsidRPr="00EE0F97">
              <w:rPr>
                <w:rFonts w:ascii="Calibri" w:hAnsi="Calibri" w:cs="Calibri"/>
                <w:sz w:val="24"/>
                <w:szCs w:val="24"/>
              </w:rPr>
              <w:t>)</w:t>
            </w:r>
          </w:p>
        </w:tc>
        <w:tc>
          <w:tcPr>
            <w:tcW w:w="0" w:type="auto"/>
            <w:tcBorders>
              <w:top w:val="outset" w:sz="6" w:space="0" w:color="auto"/>
              <w:left w:val="single" w:sz="6" w:space="0" w:color="ADADAD"/>
              <w:bottom w:val="outset" w:sz="6" w:space="0" w:color="auto"/>
              <w:right w:val="single" w:sz="6" w:space="0" w:color="ADADAD"/>
            </w:tcBorders>
            <w:shd w:val="clear" w:color="auto" w:fill="FBFAF8"/>
            <w:hideMark/>
          </w:tcPr>
          <w:p w14:paraId="2077E419" w14:textId="77777777" w:rsidR="00EE0F97" w:rsidRPr="00EE0F97" w:rsidRDefault="00EE0F97" w:rsidP="00EE0F97">
            <w:pPr>
              <w:rPr>
                <w:rFonts w:ascii="Calibri" w:hAnsi="Calibri" w:cs="Calibri"/>
                <w:sz w:val="24"/>
                <w:szCs w:val="24"/>
              </w:rPr>
            </w:pPr>
            <w:r w:rsidRPr="00EE0F97">
              <w:rPr>
                <w:rFonts w:ascii="Calibri" w:hAnsi="Calibri" w:cs="Calibri"/>
                <w:sz w:val="24"/>
                <w:szCs w:val="24"/>
              </w:rPr>
              <w:lastRenderedPageBreak/>
              <w:t>Do not use in pregnancy. (</w:t>
            </w:r>
            <w:hyperlink r:id="rId45" w:tgtFrame="_top" w:history="1">
              <w:r w:rsidRPr="00EE0F97">
                <w:rPr>
                  <w:rStyle w:val="Hyperlink"/>
                  <w:rFonts w:ascii="Calibri" w:hAnsi="Calibri" w:cs="Calibri"/>
                  <w:sz w:val="24"/>
                  <w:szCs w:val="24"/>
                </w:rPr>
                <w:t>liraglutide SPC</w:t>
              </w:r>
            </w:hyperlink>
            <w:r w:rsidRPr="00EE0F97">
              <w:rPr>
                <w:rFonts w:ascii="Calibri" w:hAnsi="Calibri" w:cs="Calibri"/>
                <w:sz w:val="24"/>
                <w:szCs w:val="24"/>
              </w:rPr>
              <w:t>)</w:t>
            </w:r>
          </w:p>
        </w:tc>
        <w:tc>
          <w:tcPr>
            <w:tcW w:w="0" w:type="auto"/>
            <w:tcBorders>
              <w:top w:val="outset" w:sz="6" w:space="0" w:color="auto"/>
              <w:left w:val="single" w:sz="6" w:space="0" w:color="ADADAD"/>
              <w:bottom w:val="outset" w:sz="6" w:space="0" w:color="auto"/>
              <w:right w:val="single" w:sz="6" w:space="0" w:color="ADADAD"/>
            </w:tcBorders>
            <w:shd w:val="clear" w:color="auto" w:fill="FBFAF8"/>
            <w:hideMark/>
          </w:tcPr>
          <w:p w14:paraId="32765612" w14:textId="77777777" w:rsidR="00EE0F97" w:rsidRPr="00EE0F97" w:rsidRDefault="00EE0F97" w:rsidP="00EE0F97">
            <w:pPr>
              <w:rPr>
                <w:rFonts w:ascii="Calibri" w:hAnsi="Calibri" w:cs="Calibri"/>
                <w:sz w:val="24"/>
                <w:szCs w:val="24"/>
              </w:rPr>
            </w:pPr>
            <w:r w:rsidRPr="00EE0F97">
              <w:rPr>
                <w:rFonts w:ascii="Calibri" w:hAnsi="Calibri" w:cs="Calibri"/>
                <w:sz w:val="24"/>
                <w:szCs w:val="24"/>
              </w:rPr>
              <w:t>Caution in pregnancy.</w:t>
            </w:r>
          </w:p>
          <w:p w14:paraId="00D0B2DB" w14:textId="77777777" w:rsidR="00EE0F97" w:rsidRPr="00EE0F97" w:rsidRDefault="00EE0F97" w:rsidP="00EE0F97">
            <w:pPr>
              <w:rPr>
                <w:rFonts w:ascii="Calibri" w:hAnsi="Calibri" w:cs="Calibri"/>
                <w:sz w:val="24"/>
                <w:szCs w:val="24"/>
              </w:rPr>
            </w:pPr>
            <w:r w:rsidRPr="00EE0F97">
              <w:rPr>
                <w:rFonts w:ascii="Calibri" w:hAnsi="Calibri" w:cs="Calibri"/>
                <w:sz w:val="24"/>
                <w:szCs w:val="24"/>
              </w:rPr>
              <w:t xml:space="preserve">The use of an additional contraceptive method is </w:t>
            </w:r>
            <w:r w:rsidRPr="00EE0F97">
              <w:rPr>
                <w:rFonts w:ascii="Calibri" w:hAnsi="Calibri" w:cs="Calibri"/>
                <w:sz w:val="24"/>
                <w:szCs w:val="24"/>
              </w:rPr>
              <w:lastRenderedPageBreak/>
              <w:t>recommended to prevent possible failure of oral contraception that could occur in case of severe diarrhoea. (</w:t>
            </w:r>
            <w:hyperlink r:id="rId46" w:tgtFrame="_top" w:history="1">
              <w:r w:rsidRPr="00EE0F97">
                <w:rPr>
                  <w:rStyle w:val="Hyperlink"/>
                  <w:rFonts w:ascii="Calibri" w:hAnsi="Calibri" w:cs="Calibri"/>
                  <w:sz w:val="24"/>
                  <w:szCs w:val="24"/>
                </w:rPr>
                <w:t>orlistat SPC</w:t>
              </w:r>
            </w:hyperlink>
            <w:r w:rsidRPr="00EE0F97">
              <w:rPr>
                <w:rFonts w:ascii="Calibri" w:hAnsi="Calibri" w:cs="Calibri"/>
                <w:sz w:val="24"/>
                <w:szCs w:val="24"/>
              </w:rPr>
              <w:t>)</w:t>
            </w:r>
          </w:p>
        </w:tc>
      </w:tr>
      <w:tr w:rsidR="00EE0F97" w:rsidRPr="00EE0F97" w14:paraId="33F3C88B" w14:textId="77777777" w:rsidTr="00EE0F97">
        <w:trPr>
          <w:trHeight w:val="2146"/>
        </w:trPr>
        <w:tc>
          <w:tcPr>
            <w:tcW w:w="0" w:type="auto"/>
            <w:tcBorders>
              <w:top w:val="outset" w:sz="6" w:space="0" w:color="auto"/>
              <w:left w:val="single" w:sz="6" w:space="0" w:color="ADADAD"/>
              <w:bottom w:val="outset" w:sz="6" w:space="0" w:color="auto"/>
              <w:right w:val="single" w:sz="6" w:space="0" w:color="ADADAD"/>
            </w:tcBorders>
            <w:shd w:val="clear" w:color="auto" w:fill="FBFAF8"/>
            <w:hideMark/>
          </w:tcPr>
          <w:p w14:paraId="402E2E5E" w14:textId="77777777" w:rsidR="00EE0F97" w:rsidRPr="00EE0F97" w:rsidRDefault="00EE0F97" w:rsidP="00EE0F97">
            <w:pPr>
              <w:rPr>
                <w:rFonts w:ascii="Calibri" w:hAnsi="Calibri" w:cs="Calibri"/>
                <w:sz w:val="24"/>
                <w:szCs w:val="24"/>
              </w:rPr>
            </w:pPr>
            <w:r w:rsidRPr="00EE0F97">
              <w:rPr>
                <w:rFonts w:ascii="Calibri" w:hAnsi="Calibri" w:cs="Calibri"/>
                <w:sz w:val="24"/>
                <w:szCs w:val="24"/>
              </w:rPr>
              <w:lastRenderedPageBreak/>
              <w:t>When to stop treatment</w:t>
            </w:r>
          </w:p>
        </w:tc>
        <w:tc>
          <w:tcPr>
            <w:tcW w:w="0" w:type="auto"/>
            <w:tcBorders>
              <w:top w:val="outset" w:sz="6" w:space="0" w:color="auto"/>
              <w:left w:val="single" w:sz="6" w:space="0" w:color="ADADAD"/>
              <w:bottom w:val="outset" w:sz="6" w:space="0" w:color="auto"/>
              <w:right w:val="single" w:sz="6" w:space="0" w:color="ADADAD"/>
            </w:tcBorders>
            <w:shd w:val="clear" w:color="auto" w:fill="FBFAF8"/>
            <w:hideMark/>
          </w:tcPr>
          <w:p w14:paraId="46B5A34A" w14:textId="77777777" w:rsidR="00EE0F97" w:rsidRPr="00EE0F97" w:rsidRDefault="00EE0F97" w:rsidP="00EE0F97">
            <w:pPr>
              <w:rPr>
                <w:rFonts w:ascii="Calibri" w:hAnsi="Calibri" w:cs="Calibri"/>
                <w:sz w:val="24"/>
                <w:szCs w:val="24"/>
              </w:rPr>
            </w:pPr>
            <w:r w:rsidRPr="00EE0F97">
              <w:rPr>
                <w:rFonts w:ascii="Calibri" w:hAnsi="Calibri" w:cs="Calibri"/>
                <w:sz w:val="24"/>
                <w:szCs w:val="24"/>
              </w:rPr>
              <w:t xml:space="preserve">If less than 5% of the initial weight has been lost after 6 months on the highest tolerated dose, decide whether to continue treatment, </w:t>
            </w:r>
            <w:proofErr w:type="gramStart"/>
            <w:r w:rsidRPr="00EE0F97">
              <w:rPr>
                <w:rFonts w:ascii="Calibri" w:hAnsi="Calibri" w:cs="Calibri"/>
                <w:sz w:val="24"/>
                <w:szCs w:val="24"/>
              </w:rPr>
              <w:t>taking into account</w:t>
            </w:r>
            <w:proofErr w:type="gramEnd"/>
            <w:r w:rsidRPr="00EE0F97">
              <w:rPr>
                <w:rFonts w:ascii="Calibri" w:hAnsi="Calibri" w:cs="Calibri"/>
                <w:sz w:val="24"/>
                <w:szCs w:val="24"/>
              </w:rPr>
              <w:t xml:space="preserve"> the benefits and risks of treatment for the person.</w:t>
            </w:r>
          </w:p>
        </w:tc>
        <w:tc>
          <w:tcPr>
            <w:tcW w:w="0" w:type="auto"/>
            <w:tcBorders>
              <w:top w:val="outset" w:sz="6" w:space="0" w:color="auto"/>
              <w:left w:val="single" w:sz="6" w:space="0" w:color="ADADAD"/>
              <w:bottom w:val="outset" w:sz="6" w:space="0" w:color="auto"/>
              <w:right w:val="single" w:sz="6" w:space="0" w:color="ADADAD"/>
            </w:tcBorders>
            <w:shd w:val="clear" w:color="auto" w:fill="FBFAF8"/>
            <w:hideMark/>
          </w:tcPr>
          <w:p w14:paraId="4146313D" w14:textId="77777777" w:rsidR="00EE0F97" w:rsidRPr="00EE0F97" w:rsidRDefault="00EE0F97" w:rsidP="00EE0F97">
            <w:pPr>
              <w:rPr>
                <w:rFonts w:ascii="Calibri" w:hAnsi="Calibri" w:cs="Calibri"/>
                <w:sz w:val="24"/>
                <w:szCs w:val="24"/>
              </w:rPr>
            </w:pPr>
            <w:r w:rsidRPr="00EE0F97">
              <w:rPr>
                <w:rFonts w:ascii="Calibri" w:hAnsi="Calibri" w:cs="Calibri"/>
                <w:sz w:val="24"/>
                <w:szCs w:val="24"/>
              </w:rPr>
              <w:t>Consider stopping if less than 5% of the initial weight has been lost after 6 months of treatment.</w:t>
            </w:r>
          </w:p>
        </w:tc>
        <w:tc>
          <w:tcPr>
            <w:tcW w:w="0" w:type="auto"/>
            <w:tcBorders>
              <w:top w:val="outset" w:sz="6" w:space="0" w:color="auto"/>
              <w:left w:val="single" w:sz="6" w:space="0" w:color="ADADAD"/>
              <w:bottom w:val="outset" w:sz="6" w:space="0" w:color="auto"/>
              <w:right w:val="single" w:sz="6" w:space="0" w:color="ADADAD"/>
            </w:tcBorders>
            <w:shd w:val="clear" w:color="auto" w:fill="FBFAF8"/>
            <w:hideMark/>
          </w:tcPr>
          <w:p w14:paraId="3CDBC574" w14:textId="77777777" w:rsidR="00EE0F97" w:rsidRPr="00EE0F97" w:rsidRDefault="00EE0F97" w:rsidP="00EE0F97">
            <w:pPr>
              <w:rPr>
                <w:rFonts w:ascii="Calibri" w:hAnsi="Calibri" w:cs="Calibri"/>
                <w:sz w:val="24"/>
                <w:szCs w:val="24"/>
              </w:rPr>
            </w:pPr>
            <w:r w:rsidRPr="00EE0F97">
              <w:rPr>
                <w:rFonts w:ascii="Calibri" w:hAnsi="Calibri" w:cs="Calibri"/>
                <w:sz w:val="24"/>
                <w:szCs w:val="24"/>
              </w:rPr>
              <w:t>Stop after 12 weeks on the 3.0 mg/day dose if at least 5% of the initial body weight has not been lost.</w:t>
            </w:r>
          </w:p>
          <w:p w14:paraId="5632DA3E" w14:textId="77777777" w:rsidR="00EE0F97" w:rsidRPr="00EE0F97" w:rsidRDefault="00EE0F97" w:rsidP="00EE0F97">
            <w:pPr>
              <w:rPr>
                <w:rFonts w:ascii="Calibri" w:hAnsi="Calibri" w:cs="Calibri"/>
                <w:sz w:val="24"/>
                <w:szCs w:val="24"/>
              </w:rPr>
            </w:pPr>
            <w:r w:rsidRPr="00EE0F97">
              <w:rPr>
                <w:rFonts w:ascii="Calibri" w:hAnsi="Calibri" w:cs="Calibri"/>
                <w:sz w:val="24"/>
                <w:szCs w:val="24"/>
              </w:rPr>
              <w:t>(</w:t>
            </w:r>
            <w:hyperlink r:id="rId47" w:tgtFrame="_top" w:history="1">
              <w:r w:rsidRPr="00EE0F97">
                <w:rPr>
                  <w:rStyle w:val="Hyperlink"/>
                  <w:rFonts w:ascii="Calibri" w:hAnsi="Calibri" w:cs="Calibri"/>
                  <w:sz w:val="24"/>
                  <w:szCs w:val="24"/>
                </w:rPr>
                <w:t>liraglutide SPC</w:t>
              </w:r>
            </w:hyperlink>
            <w:r w:rsidRPr="00EE0F97">
              <w:rPr>
                <w:rFonts w:ascii="Calibri" w:hAnsi="Calibri" w:cs="Calibri"/>
                <w:sz w:val="24"/>
                <w:szCs w:val="24"/>
              </w:rPr>
              <w:t>)</w:t>
            </w:r>
          </w:p>
        </w:tc>
        <w:tc>
          <w:tcPr>
            <w:tcW w:w="0" w:type="auto"/>
            <w:tcBorders>
              <w:top w:val="outset" w:sz="6" w:space="0" w:color="auto"/>
              <w:left w:val="single" w:sz="6" w:space="0" w:color="ADADAD"/>
              <w:bottom w:val="outset" w:sz="6" w:space="0" w:color="auto"/>
              <w:right w:val="single" w:sz="6" w:space="0" w:color="ADADAD"/>
            </w:tcBorders>
            <w:shd w:val="clear" w:color="auto" w:fill="FBFAF8"/>
            <w:hideMark/>
          </w:tcPr>
          <w:p w14:paraId="77EB53F6" w14:textId="77777777" w:rsidR="00EE0F97" w:rsidRPr="00EE0F97" w:rsidRDefault="00EE0F97" w:rsidP="00EE0F97">
            <w:pPr>
              <w:rPr>
                <w:rFonts w:ascii="Calibri" w:hAnsi="Calibri" w:cs="Calibri"/>
                <w:sz w:val="24"/>
                <w:szCs w:val="24"/>
              </w:rPr>
            </w:pPr>
            <w:r w:rsidRPr="00EE0F97">
              <w:rPr>
                <w:rFonts w:ascii="Calibri" w:hAnsi="Calibri" w:cs="Calibri"/>
                <w:sz w:val="24"/>
                <w:szCs w:val="24"/>
              </w:rPr>
              <w:t>Stop after 12 weeks if at least 5% of the initial body weight has not been lost.</w:t>
            </w:r>
          </w:p>
          <w:p w14:paraId="1A010399" w14:textId="77777777" w:rsidR="00EE0F97" w:rsidRPr="00EE0F97" w:rsidRDefault="00EE0F97" w:rsidP="00EE0F97">
            <w:pPr>
              <w:rPr>
                <w:rFonts w:ascii="Calibri" w:hAnsi="Calibri" w:cs="Calibri"/>
                <w:sz w:val="24"/>
                <w:szCs w:val="24"/>
              </w:rPr>
            </w:pPr>
            <w:r w:rsidRPr="00EE0F97">
              <w:rPr>
                <w:rFonts w:ascii="Calibri" w:hAnsi="Calibri" w:cs="Calibri"/>
                <w:sz w:val="24"/>
                <w:szCs w:val="24"/>
              </w:rPr>
              <w:t>(</w:t>
            </w:r>
            <w:hyperlink r:id="rId48" w:tgtFrame="_top" w:history="1">
              <w:r w:rsidRPr="00EE0F97">
                <w:rPr>
                  <w:rStyle w:val="Hyperlink"/>
                  <w:rFonts w:ascii="Calibri" w:hAnsi="Calibri" w:cs="Calibri"/>
                  <w:sz w:val="24"/>
                  <w:szCs w:val="24"/>
                </w:rPr>
                <w:t>orlistat SPC</w:t>
              </w:r>
            </w:hyperlink>
            <w:r w:rsidRPr="00EE0F97">
              <w:rPr>
                <w:rFonts w:ascii="Calibri" w:hAnsi="Calibri" w:cs="Calibri"/>
                <w:sz w:val="24"/>
                <w:szCs w:val="24"/>
              </w:rPr>
              <w:t>)</w:t>
            </w:r>
          </w:p>
        </w:tc>
      </w:tr>
    </w:tbl>
    <w:p w14:paraId="2A614CAC" w14:textId="7EBFBA75" w:rsidR="00EE0F97" w:rsidRPr="00EE0F97" w:rsidRDefault="00EE0F97" w:rsidP="00EE0F97">
      <w:pPr>
        <w:rPr>
          <w:rFonts w:ascii="Calibri" w:hAnsi="Calibri" w:cs="Calibri"/>
          <w:sz w:val="24"/>
          <w:szCs w:val="24"/>
        </w:rPr>
      </w:pPr>
      <w:proofErr w:type="spellStart"/>
      <w:r w:rsidRPr="00EE0F97">
        <w:rPr>
          <w:rFonts w:ascii="Calibri" w:hAnsi="Calibri" w:cs="Calibri"/>
          <w:sz w:val="24"/>
          <w:szCs w:val="24"/>
        </w:rPr>
        <w:t>Semaglutide</w:t>
      </w:r>
      <w:proofErr w:type="spellEnd"/>
      <w:r w:rsidRPr="00EE0F97">
        <w:rPr>
          <w:rFonts w:ascii="Calibri" w:hAnsi="Calibri" w:cs="Calibri"/>
          <w:sz w:val="24"/>
          <w:szCs w:val="24"/>
        </w:rPr>
        <w:t xml:space="preserve"> and liraglutide are recommended for use within specialist weight management </w:t>
      </w:r>
      <w:r w:rsidR="00D326B7">
        <w:rPr>
          <w:rFonts w:ascii="Calibri" w:hAnsi="Calibri" w:cs="Calibri"/>
          <w:sz w:val="24"/>
          <w:szCs w:val="24"/>
        </w:rPr>
        <w:t>-</w:t>
      </w:r>
      <w:r w:rsidRPr="00EE0F97">
        <w:rPr>
          <w:rFonts w:ascii="Calibri" w:hAnsi="Calibri" w:cs="Calibri"/>
          <w:sz w:val="24"/>
          <w:szCs w:val="24"/>
        </w:rPr>
        <w:t>services, which are usually accessed for up to 2 years.</w:t>
      </w:r>
    </w:p>
    <w:p w14:paraId="71C72398" w14:textId="77777777" w:rsidR="00EE0F97" w:rsidRPr="00EE0F97" w:rsidRDefault="00EE0F97" w:rsidP="00EE0F97">
      <w:pPr>
        <w:rPr>
          <w:rFonts w:ascii="Calibri" w:hAnsi="Calibri" w:cs="Calibri"/>
          <w:sz w:val="24"/>
          <w:szCs w:val="24"/>
        </w:rPr>
      </w:pPr>
      <w:r w:rsidRPr="00EE0F97">
        <w:rPr>
          <w:rFonts w:ascii="Calibri" w:hAnsi="Calibri" w:cs="Calibri"/>
          <w:sz w:val="24"/>
          <w:szCs w:val="24"/>
        </w:rPr>
        <w:t xml:space="preserve">For </w:t>
      </w:r>
      <w:proofErr w:type="spellStart"/>
      <w:r w:rsidRPr="00EE0F97">
        <w:rPr>
          <w:rFonts w:ascii="Calibri" w:hAnsi="Calibri" w:cs="Calibri"/>
          <w:sz w:val="24"/>
          <w:szCs w:val="24"/>
        </w:rPr>
        <w:t>tirzepatide</w:t>
      </w:r>
      <w:proofErr w:type="spellEnd"/>
      <w:r w:rsidRPr="00EE0F97">
        <w:rPr>
          <w:rFonts w:ascii="Calibri" w:hAnsi="Calibri" w:cs="Calibri"/>
          <w:sz w:val="24"/>
          <w:szCs w:val="24"/>
        </w:rPr>
        <w:t xml:space="preserve">, </w:t>
      </w:r>
      <w:proofErr w:type="spellStart"/>
      <w:r w:rsidRPr="00EE0F97">
        <w:rPr>
          <w:rFonts w:ascii="Calibri" w:hAnsi="Calibri" w:cs="Calibri"/>
          <w:sz w:val="24"/>
          <w:szCs w:val="24"/>
        </w:rPr>
        <w:t>semaglutide</w:t>
      </w:r>
      <w:proofErr w:type="spellEnd"/>
      <w:r w:rsidRPr="00EE0F97">
        <w:rPr>
          <w:rFonts w:ascii="Calibri" w:hAnsi="Calibri" w:cs="Calibri"/>
          <w:sz w:val="24"/>
          <w:szCs w:val="24"/>
        </w:rPr>
        <w:t xml:space="preserve"> and liraglutide, use lower BMI thresholds (usually reduced by 2.5 kg/m</w:t>
      </w:r>
      <w:r w:rsidRPr="00EE0F97">
        <w:rPr>
          <w:rFonts w:ascii="Calibri" w:hAnsi="Calibri" w:cs="Calibri"/>
          <w:sz w:val="24"/>
          <w:szCs w:val="24"/>
          <w:vertAlign w:val="superscript"/>
        </w:rPr>
        <w:t>2</w:t>
      </w:r>
      <w:r w:rsidRPr="00EE0F97">
        <w:rPr>
          <w:rFonts w:ascii="Calibri" w:hAnsi="Calibri" w:cs="Calibri"/>
          <w:sz w:val="24"/>
          <w:szCs w:val="24"/>
        </w:rPr>
        <w:t>) for people from South Asian, Chinese, other Asian, Middle Eastern, Black African or African-Caribbean ethnic backgrounds.</w:t>
      </w:r>
    </w:p>
    <w:p w14:paraId="7FAD7880" w14:textId="77777777" w:rsidR="00EE0F97" w:rsidRPr="00EE0F97" w:rsidRDefault="00EE0F97" w:rsidP="00EE0F97">
      <w:pPr>
        <w:rPr>
          <w:rFonts w:ascii="Calibri" w:hAnsi="Calibri" w:cs="Calibri"/>
          <w:sz w:val="24"/>
          <w:szCs w:val="24"/>
        </w:rPr>
      </w:pPr>
      <w:r w:rsidRPr="00EE0F97">
        <w:rPr>
          <w:rFonts w:ascii="Calibri" w:hAnsi="Calibri" w:cs="Calibri"/>
          <w:sz w:val="24"/>
          <w:szCs w:val="24"/>
        </w:rPr>
        <w:t>Non-diabetic hyperglycaemia is defined as a haemoglobin A1c level of 42 mmol/mol to 47 mmol/mol (6.0% to 6.4%) or a fasting plasma glucose level of 5.5 mmol/litre to 6.9 mmol/litre.</w:t>
      </w:r>
    </w:p>
    <w:p w14:paraId="5F80244E" w14:textId="4ECC176F" w:rsidR="00776815" w:rsidRDefault="00776815">
      <w:pPr>
        <w:rPr>
          <w:rFonts w:ascii="Calibri" w:hAnsi="Calibri" w:cs="Calibri"/>
          <w:sz w:val="24"/>
          <w:szCs w:val="24"/>
        </w:rPr>
      </w:pPr>
      <w:r>
        <w:rPr>
          <w:rFonts w:ascii="Calibri" w:hAnsi="Calibri" w:cs="Calibri"/>
          <w:sz w:val="24"/>
          <w:szCs w:val="24"/>
        </w:rPr>
        <w:br w:type="page"/>
      </w:r>
    </w:p>
    <w:p w14:paraId="06ABE4F4" w14:textId="3CE82BB5" w:rsidR="0008483E" w:rsidRPr="00652074" w:rsidRDefault="00776815" w:rsidP="00776815">
      <w:pPr>
        <w:pStyle w:val="Heading2"/>
        <w:rPr>
          <w:rFonts w:ascii="Calibri" w:hAnsi="Calibri" w:cs="Calibri"/>
        </w:rPr>
      </w:pPr>
      <w:bookmarkStart w:id="15" w:name="_Toc202386435"/>
      <w:r w:rsidRPr="00652074">
        <w:rPr>
          <w:rFonts w:ascii="Calibri" w:hAnsi="Calibri" w:cs="Calibri"/>
        </w:rPr>
        <w:lastRenderedPageBreak/>
        <w:t>Appendix B</w:t>
      </w:r>
      <w:bookmarkEnd w:id="15"/>
    </w:p>
    <w:p w14:paraId="38769C12" w14:textId="2DDF708A" w:rsidR="00785AD7" w:rsidRDefault="00776815" w:rsidP="00776815">
      <w:pPr>
        <w:rPr>
          <w:rFonts w:ascii="Calibri" w:hAnsi="Calibri" w:cs="Calibri"/>
          <w:sz w:val="24"/>
          <w:szCs w:val="24"/>
        </w:rPr>
      </w:pPr>
      <w:r>
        <w:rPr>
          <w:noProof/>
          <w14:ligatures w14:val="standardContextual"/>
        </w:rPr>
        <w:drawing>
          <wp:anchor distT="0" distB="0" distL="114300" distR="114300" simplePos="0" relativeHeight="251651072" behindDoc="1" locked="0" layoutInCell="1" allowOverlap="1" wp14:anchorId="680E7D33" wp14:editId="3C005DFA">
            <wp:simplePos x="0" y="0"/>
            <wp:positionH relativeFrom="column">
              <wp:posOffset>0</wp:posOffset>
            </wp:positionH>
            <wp:positionV relativeFrom="paragraph">
              <wp:posOffset>1270</wp:posOffset>
            </wp:positionV>
            <wp:extent cx="5731510" cy="4462145"/>
            <wp:effectExtent l="0" t="0" r="2540" b="0"/>
            <wp:wrapTight wrapText="bothSides">
              <wp:wrapPolygon edited="0">
                <wp:start x="0" y="0"/>
                <wp:lineTo x="0" y="21486"/>
                <wp:lineTo x="21538" y="21486"/>
                <wp:lineTo x="21538" y="0"/>
                <wp:lineTo x="0" y="0"/>
              </wp:wrapPolygon>
            </wp:wrapTight>
            <wp:docPr id="1419063888" name="Picture 1" descr="A screenshot of a service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9063888" name="Picture 1" descr="A screenshot of a service model"/>
                    <pic:cNvPicPr/>
                  </pic:nvPicPr>
                  <pic:blipFill>
                    <a:blip r:embed="rId49">
                      <a:extLst>
                        <a:ext uri="{28A0092B-C50C-407E-A947-70E740481C1C}">
                          <a14:useLocalDpi xmlns:a14="http://schemas.microsoft.com/office/drawing/2010/main" val="0"/>
                        </a:ext>
                      </a:extLst>
                    </a:blip>
                    <a:stretch>
                      <a:fillRect/>
                    </a:stretch>
                  </pic:blipFill>
                  <pic:spPr>
                    <a:xfrm>
                      <a:off x="0" y="0"/>
                      <a:ext cx="5731510" cy="4462145"/>
                    </a:xfrm>
                    <a:prstGeom prst="rect">
                      <a:avLst/>
                    </a:prstGeom>
                  </pic:spPr>
                </pic:pic>
              </a:graphicData>
            </a:graphic>
          </wp:anchor>
        </w:drawing>
      </w:r>
      <w:r>
        <w:rPr>
          <w:rFonts w:ascii="Calibri" w:hAnsi="Calibri" w:cs="Calibri"/>
          <w:sz w:val="24"/>
          <w:szCs w:val="24"/>
        </w:rPr>
        <w:t xml:space="preserve">Figure </w:t>
      </w:r>
      <w:proofErr w:type="gramStart"/>
      <w:r>
        <w:rPr>
          <w:rFonts w:ascii="Calibri" w:hAnsi="Calibri" w:cs="Calibri"/>
          <w:sz w:val="24"/>
          <w:szCs w:val="24"/>
        </w:rPr>
        <w:t>1 :</w:t>
      </w:r>
      <w:proofErr w:type="gramEnd"/>
      <w:r>
        <w:rPr>
          <w:rFonts w:ascii="Calibri" w:hAnsi="Calibri" w:cs="Calibri"/>
          <w:sz w:val="24"/>
          <w:szCs w:val="24"/>
        </w:rPr>
        <w:t xml:space="preserve"> </w:t>
      </w:r>
      <w:r w:rsidR="001B56E6">
        <w:rPr>
          <w:rFonts w:ascii="Calibri" w:hAnsi="Calibri" w:cs="Calibri"/>
          <w:sz w:val="24"/>
          <w:szCs w:val="24"/>
        </w:rPr>
        <w:t xml:space="preserve">Homer </w:t>
      </w:r>
      <w:r w:rsidR="001B56E6">
        <w:rPr>
          <w:rFonts w:ascii="Calibri" w:hAnsi="Calibri" w:cs="Calibri"/>
          <w:i/>
          <w:iCs/>
          <w:sz w:val="24"/>
          <w:szCs w:val="24"/>
        </w:rPr>
        <w:t xml:space="preserve">et al. </w:t>
      </w:r>
      <w:r w:rsidR="001B56E6">
        <w:rPr>
          <w:rFonts w:ascii="Calibri" w:hAnsi="Calibri" w:cs="Calibri"/>
          <w:sz w:val="24"/>
          <w:szCs w:val="24"/>
        </w:rPr>
        <w:t>(2016)</w:t>
      </w:r>
    </w:p>
    <w:p w14:paraId="55184E19" w14:textId="77777777" w:rsidR="000E2AE3" w:rsidRDefault="000E2AE3">
      <w:pPr>
        <w:rPr>
          <w:rFonts w:ascii="Calibri" w:hAnsi="Calibri" w:cs="Calibri"/>
          <w:sz w:val="24"/>
          <w:szCs w:val="24"/>
        </w:rPr>
      </w:pPr>
      <w:r>
        <w:rPr>
          <w:rFonts w:ascii="Calibri" w:hAnsi="Calibri" w:cs="Calibri"/>
          <w:sz w:val="24"/>
          <w:szCs w:val="24"/>
        </w:rPr>
        <w:br w:type="page"/>
      </w:r>
    </w:p>
    <w:p w14:paraId="4769FE5F" w14:textId="5CCA96FA" w:rsidR="000E2AE3" w:rsidRPr="00652074" w:rsidRDefault="000E2AE3" w:rsidP="000E2AE3">
      <w:pPr>
        <w:pStyle w:val="Heading2"/>
        <w:rPr>
          <w:rFonts w:ascii="Calibri" w:hAnsi="Calibri" w:cs="Calibri"/>
        </w:rPr>
      </w:pPr>
      <w:bookmarkStart w:id="16" w:name="_Toc202386436"/>
      <w:r w:rsidRPr="00652074">
        <w:rPr>
          <w:rFonts w:ascii="Calibri" w:hAnsi="Calibri" w:cs="Calibri"/>
        </w:rPr>
        <w:lastRenderedPageBreak/>
        <w:t xml:space="preserve">Appendix </w:t>
      </w:r>
      <w:r w:rsidR="00774580" w:rsidRPr="00652074">
        <w:rPr>
          <w:rFonts w:ascii="Calibri" w:hAnsi="Calibri" w:cs="Calibri"/>
        </w:rPr>
        <w:t>C</w:t>
      </w:r>
      <w:bookmarkEnd w:id="16"/>
    </w:p>
    <w:p w14:paraId="5A27B269" w14:textId="77777777" w:rsidR="00932F5D" w:rsidRDefault="00FD6389" w:rsidP="00FD6389">
      <w:pPr>
        <w:rPr>
          <w:rFonts w:ascii="Calibri" w:hAnsi="Calibri" w:cs="Calibri"/>
          <w:sz w:val="24"/>
          <w:szCs w:val="24"/>
        </w:rPr>
      </w:pPr>
      <w:r>
        <w:rPr>
          <w:noProof/>
          <w14:ligatures w14:val="standardContextual"/>
        </w:rPr>
        <w:drawing>
          <wp:anchor distT="0" distB="0" distL="114300" distR="114300" simplePos="0" relativeHeight="251655168" behindDoc="1" locked="0" layoutInCell="1" allowOverlap="1" wp14:anchorId="6DD9ED5B" wp14:editId="5EE36C4F">
            <wp:simplePos x="0" y="0"/>
            <wp:positionH relativeFrom="column">
              <wp:posOffset>0</wp:posOffset>
            </wp:positionH>
            <wp:positionV relativeFrom="paragraph">
              <wp:posOffset>46990</wp:posOffset>
            </wp:positionV>
            <wp:extent cx="5731510" cy="3149600"/>
            <wp:effectExtent l="0" t="0" r="2540" b="0"/>
            <wp:wrapTight wrapText="bothSides">
              <wp:wrapPolygon edited="0">
                <wp:start x="0" y="0"/>
                <wp:lineTo x="0" y="21426"/>
                <wp:lineTo x="21538" y="21426"/>
                <wp:lineTo x="21538" y="0"/>
                <wp:lineTo x="0" y="0"/>
              </wp:wrapPolygon>
            </wp:wrapTight>
            <wp:docPr id="938753110" name="Picture 2" descr="A diagram of quality contro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8753110" name="Picture 2" descr="A diagram of quality control&#10;&#10;AI-generated content may be incorrect."/>
                    <pic:cNvPicPr/>
                  </pic:nvPicPr>
                  <pic:blipFill>
                    <a:blip r:embed="rId50">
                      <a:extLst>
                        <a:ext uri="{28A0092B-C50C-407E-A947-70E740481C1C}">
                          <a14:useLocalDpi xmlns:a14="http://schemas.microsoft.com/office/drawing/2010/main" val="0"/>
                        </a:ext>
                      </a:extLst>
                    </a:blip>
                    <a:stretch>
                      <a:fillRect/>
                    </a:stretch>
                  </pic:blipFill>
                  <pic:spPr>
                    <a:xfrm>
                      <a:off x="0" y="0"/>
                      <a:ext cx="5731510" cy="3149600"/>
                    </a:xfrm>
                    <a:prstGeom prst="rect">
                      <a:avLst/>
                    </a:prstGeom>
                  </pic:spPr>
                </pic:pic>
              </a:graphicData>
            </a:graphic>
          </wp:anchor>
        </w:drawing>
      </w:r>
      <w:r>
        <w:rPr>
          <w:rFonts w:ascii="Calibri" w:hAnsi="Calibri" w:cs="Calibri"/>
          <w:sz w:val="24"/>
          <w:szCs w:val="24"/>
        </w:rPr>
        <w:t xml:space="preserve">Figure </w:t>
      </w:r>
      <w:r w:rsidR="00D326B7">
        <w:rPr>
          <w:rFonts w:ascii="Calibri" w:hAnsi="Calibri" w:cs="Calibri"/>
          <w:sz w:val="24"/>
          <w:szCs w:val="24"/>
        </w:rPr>
        <w:t>2: Juran Model (Quality Gurus, 2025).</w:t>
      </w:r>
    </w:p>
    <w:p w14:paraId="1C0A6CE6" w14:textId="77777777" w:rsidR="00932F5D" w:rsidRDefault="00932F5D">
      <w:pPr>
        <w:rPr>
          <w:rFonts w:ascii="Calibri" w:hAnsi="Calibri" w:cs="Calibri"/>
          <w:sz w:val="24"/>
          <w:szCs w:val="24"/>
        </w:rPr>
      </w:pPr>
      <w:r>
        <w:rPr>
          <w:rFonts w:ascii="Calibri" w:hAnsi="Calibri" w:cs="Calibri"/>
          <w:sz w:val="24"/>
          <w:szCs w:val="24"/>
        </w:rPr>
        <w:br w:type="page"/>
      </w:r>
    </w:p>
    <w:p w14:paraId="44CE7064" w14:textId="1A73A76B" w:rsidR="00D40F29" w:rsidRPr="00652074" w:rsidRDefault="00932F5D" w:rsidP="00D40F29">
      <w:pPr>
        <w:pStyle w:val="Heading2"/>
        <w:rPr>
          <w:rFonts w:ascii="Calibri" w:hAnsi="Calibri" w:cs="Calibri"/>
        </w:rPr>
      </w:pPr>
      <w:bookmarkStart w:id="17" w:name="_Toc202386437"/>
      <w:r w:rsidRPr="00652074">
        <w:rPr>
          <w:rFonts w:ascii="Calibri" w:hAnsi="Calibri" w:cs="Calibri"/>
        </w:rPr>
        <w:lastRenderedPageBreak/>
        <w:t>Appendix D</w:t>
      </w:r>
      <w:bookmarkEnd w:id="17"/>
    </w:p>
    <w:p w14:paraId="7963294D" w14:textId="77777777" w:rsidR="00D40F29" w:rsidRPr="00D40F29" w:rsidRDefault="00D40F29" w:rsidP="00D40F29"/>
    <w:p w14:paraId="4BBB0D0F" w14:textId="5327EFFB" w:rsidR="002A613C" w:rsidRDefault="009139F1" w:rsidP="002176C9">
      <w:pPr>
        <w:rPr>
          <w:rFonts w:ascii="Calibri" w:hAnsi="Calibri" w:cs="Calibri"/>
          <w:sz w:val="24"/>
          <w:szCs w:val="24"/>
        </w:rPr>
      </w:pPr>
      <w:r w:rsidRPr="00960897">
        <w:rPr>
          <w:rFonts w:ascii="Calibri" w:hAnsi="Calibri" w:cs="Calibri"/>
          <w:noProof/>
          <w:sz w:val="24"/>
          <w:szCs w:val="24"/>
          <w14:ligatures w14:val="standardContextual"/>
        </w:rPr>
        <w:drawing>
          <wp:anchor distT="0" distB="0" distL="114300" distR="114300" simplePos="0" relativeHeight="251659264" behindDoc="1" locked="0" layoutInCell="1" allowOverlap="1" wp14:anchorId="53CF3B88" wp14:editId="59451C2F">
            <wp:simplePos x="0" y="0"/>
            <wp:positionH relativeFrom="column">
              <wp:posOffset>0</wp:posOffset>
            </wp:positionH>
            <wp:positionV relativeFrom="paragraph">
              <wp:posOffset>1270</wp:posOffset>
            </wp:positionV>
            <wp:extent cx="4400550" cy="4610735"/>
            <wp:effectExtent l="0" t="0" r="0" b="0"/>
            <wp:wrapSquare wrapText="bothSides"/>
            <wp:docPr id="1789162724" name="Picture 3" descr="A diagram of quality and performan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9162724" name="Picture 3" descr="A diagram of quality and performance&#10;&#10;AI-generated content may be incorrect."/>
                    <pic:cNvPicPr/>
                  </pic:nvPicPr>
                  <pic:blipFill>
                    <a:blip r:embed="rId51">
                      <a:extLst>
                        <a:ext uri="{28A0092B-C50C-407E-A947-70E740481C1C}">
                          <a14:useLocalDpi xmlns:a14="http://schemas.microsoft.com/office/drawing/2010/main" val="0"/>
                        </a:ext>
                      </a:extLst>
                    </a:blip>
                    <a:stretch>
                      <a:fillRect/>
                    </a:stretch>
                  </pic:blipFill>
                  <pic:spPr>
                    <a:xfrm>
                      <a:off x="0" y="0"/>
                      <a:ext cx="4400550" cy="4610735"/>
                    </a:xfrm>
                    <a:prstGeom prst="rect">
                      <a:avLst/>
                    </a:prstGeom>
                  </pic:spPr>
                </pic:pic>
              </a:graphicData>
            </a:graphic>
          </wp:anchor>
        </w:drawing>
      </w:r>
      <w:r w:rsidR="00960897" w:rsidRPr="00960897">
        <w:rPr>
          <w:rFonts w:ascii="Calibri" w:hAnsi="Calibri" w:cs="Calibri"/>
          <w:sz w:val="24"/>
          <w:szCs w:val="24"/>
        </w:rPr>
        <w:t>Figure 3:</w:t>
      </w:r>
      <w:r w:rsidR="00960897">
        <w:rPr>
          <w:rFonts w:ascii="Calibri" w:hAnsi="Calibri" w:cs="Calibri"/>
          <w:sz w:val="24"/>
          <w:szCs w:val="24"/>
        </w:rPr>
        <w:t xml:space="preserve"> </w:t>
      </w:r>
      <w:proofErr w:type="spellStart"/>
      <w:r w:rsidR="00960897">
        <w:rPr>
          <w:rFonts w:ascii="Calibri" w:hAnsi="Calibri" w:cs="Calibri"/>
          <w:sz w:val="24"/>
          <w:szCs w:val="24"/>
        </w:rPr>
        <w:t>Garvins</w:t>
      </w:r>
      <w:proofErr w:type="spellEnd"/>
      <w:r w:rsidR="00960897">
        <w:rPr>
          <w:rFonts w:ascii="Calibri" w:hAnsi="Calibri" w:cs="Calibri"/>
          <w:sz w:val="24"/>
          <w:szCs w:val="24"/>
        </w:rPr>
        <w:t xml:space="preserve"> Eight Dimensions of Quality. (Strategic Dreamers, 2021)</w:t>
      </w:r>
      <w:r w:rsidR="00E51930">
        <w:rPr>
          <w:rFonts w:ascii="Calibri" w:hAnsi="Calibri" w:cs="Calibri"/>
          <w:sz w:val="24"/>
          <w:szCs w:val="24"/>
        </w:rPr>
        <w:t>.</w:t>
      </w:r>
    </w:p>
    <w:p w14:paraId="6D1C856F" w14:textId="77777777" w:rsidR="002A613C" w:rsidRDefault="002A613C">
      <w:pPr>
        <w:rPr>
          <w:rFonts w:ascii="Calibri" w:hAnsi="Calibri" w:cs="Calibri"/>
          <w:sz w:val="24"/>
          <w:szCs w:val="24"/>
        </w:rPr>
      </w:pPr>
      <w:r>
        <w:rPr>
          <w:rFonts w:ascii="Calibri" w:hAnsi="Calibri" w:cs="Calibri"/>
          <w:sz w:val="24"/>
          <w:szCs w:val="24"/>
        </w:rPr>
        <w:br w:type="page"/>
      </w:r>
    </w:p>
    <w:p w14:paraId="6003FA4D" w14:textId="77777777" w:rsidR="002A613C" w:rsidRPr="00652074" w:rsidRDefault="002A613C" w:rsidP="002A613C">
      <w:pPr>
        <w:pStyle w:val="Heading2"/>
        <w:rPr>
          <w:rFonts w:ascii="Calibri" w:hAnsi="Calibri" w:cs="Calibri"/>
        </w:rPr>
      </w:pPr>
      <w:bookmarkStart w:id="18" w:name="_Toc202386438"/>
      <w:r w:rsidRPr="00652074">
        <w:rPr>
          <w:rFonts w:ascii="Calibri" w:hAnsi="Calibri" w:cs="Calibri"/>
        </w:rPr>
        <w:lastRenderedPageBreak/>
        <w:t>Appendix E</w:t>
      </w:r>
      <w:bookmarkEnd w:id="18"/>
    </w:p>
    <w:p w14:paraId="7AE74585" w14:textId="77777777" w:rsidR="0069629B" w:rsidRDefault="002A613C" w:rsidP="002A613C">
      <w:r>
        <w:rPr>
          <w:noProof/>
          <w14:ligatures w14:val="standardContextual"/>
        </w:rPr>
        <w:drawing>
          <wp:anchor distT="0" distB="0" distL="114300" distR="114300" simplePos="0" relativeHeight="251663360" behindDoc="1" locked="0" layoutInCell="1" allowOverlap="1" wp14:anchorId="1CABFB55" wp14:editId="5DFBEDB8">
            <wp:simplePos x="0" y="0"/>
            <wp:positionH relativeFrom="column">
              <wp:posOffset>0</wp:posOffset>
            </wp:positionH>
            <wp:positionV relativeFrom="paragraph">
              <wp:posOffset>46990</wp:posOffset>
            </wp:positionV>
            <wp:extent cx="5731510" cy="7884795"/>
            <wp:effectExtent l="0" t="0" r="2540" b="1905"/>
            <wp:wrapTight wrapText="bothSides">
              <wp:wrapPolygon edited="0">
                <wp:start x="0" y="0"/>
                <wp:lineTo x="0" y="21553"/>
                <wp:lineTo x="21538" y="21553"/>
                <wp:lineTo x="21538" y="0"/>
                <wp:lineTo x="0" y="0"/>
              </wp:wrapPolygon>
            </wp:wrapTight>
            <wp:docPr id="703078989" name="Picture 5" descr="A diagram of a pyram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3078989" name="Picture 5" descr="A diagram of a pyramid&#10;&#10;AI-generated content may be incorrect."/>
                    <pic:cNvPicPr/>
                  </pic:nvPicPr>
                  <pic:blipFill>
                    <a:blip r:embed="rId52" cstate="print">
                      <a:extLst>
                        <a:ext uri="{28A0092B-C50C-407E-A947-70E740481C1C}">
                          <a14:useLocalDpi xmlns:a14="http://schemas.microsoft.com/office/drawing/2010/main" val="0"/>
                        </a:ext>
                      </a:extLst>
                    </a:blip>
                    <a:stretch>
                      <a:fillRect/>
                    </a:stretch>
                  </pic:blipFill>
                  <pic:spPr>
                    <a:xfrm>
                      <a:off x="0" y="0"/>
                      <a:ext cx="5731510" cy="7884795"/>
                    </a:xfrm>
                    <a:prstGeom prst="rect">
                      <a:avLst/>
                    </a:prstGeom>
                  </pic:spPr>
                </pic:pic>
              </a:graphicData>
            </a:graphic>
          </wp:anchor>
        </w:drawing>
      </w:r>
      <w:r>
        <w:rPr>
          <w:rFonts w:ascii="Calibri" w:hAnsi="Calibri" w:cs="Calibri"/>
          <w:sz w:val="24"/>
          <w:szCs w:val="24"/>
        </w:rPr>
        <w:t xml:space="preserve">Figure 4: </w:t>
      </w:r>
      <w:r w:rsidR="00E51930">
        <w:rPr>
          <w:rFonts w:ascii="Calibri" w:hAnsi="Calibri" w:cs="Calibri"/>
          <w:sz w:val="24"/>
          <w:szCs w:val="24"/>
        </w:rPr>
        <w:t xml:space="preserve">The elements of value pyramid (Almquist </w:t>
      </w:r>
      <w:r w:rsidR="00E51930">
        <w:rPr>
          <w:rFonts w:ascii="Calibri" w:hAnsi="Calibri" w:cs="Calibri"/>
          <w:i/>
          <w:iCs/>
          <w:sz w:val="24"/>
          <w:szCs w:val="24"/>
        </w:rPr>
        <w:t xml:space="preserve">et al. </w:t>
      </w:r>
      <w:r w:rsidR="00E51930">
        <w:rPr>
          <w:rFonts w:ascii="Calibri" w:hAnsi="Calibri" w:cs="Calibri"/>
          <w:sz w:val="24"/>
          <w:szCs w:val="24"/>
        </w:rPr>
        <w:t>2016).</w:t>
      </w:r>
    </w:p>
    <w:p w14:paraId="136CD1FF" w14:textId="77777777" w:rsidR="0069629B" w:rsidRDefault="0069629B">
      <w:r>
        <w:br w:type="page"/>
      </w:r>
    </w:p>
    <w:p w14:paraId="16D1587C" w14:textId="77777777" w:rsidR="0069629B" w:rsidRPr="00652074" w:rsidRDefault="0069629B" w:rsidP="0069629B">
      <w:pPr>
        <w:pStyle w:val="Heading2"/>
        <w:rPr>
          <w:rFonts w:ascii="Calibri" w:hAnsi="Calibri" w:cs="Calibri"/>
        </w:rPr>
      </w:pPr>
      <w:bookmarkStart w:id="19" w:name="_Toc202386439"/>
      <w:r w:rsidRPr="00652074">
        <w:rPr>
          <w:rFonts w:ascii="Calibri" w:hAnsi="Calibri" w:cs="Calibri"/>
        </w:rPr>
        <w:lastRenderedPageBreak/>
        <w:t>Appendix F</w:t>
      </w:r>
      <w:bookmarkEnd w:id="19"/>
    </w:p>
    <w:p w14:paraId="3D8F01F1" w14:textId="44436FF4" w:rsidR="00D40F29" w:rsidRPr="00960897" w:rsidRDefault="00825E69" w:rsidP="00483DA0">
      <w:r>
        <w:rPr>
          <w:noProof/>
          <w14:ligatures w14:val="standardContextual"/>
        </w:rPr>
        <w:drawing>
          <wp:anchor distT="0" distB="0" distL="114300" distR="114300" simplePos="0" relativeHeight="251667456" behindDoc="1" locked="0" layoutInCell="1" allowOverlap="1" wp14:anchorId="57D368E3" wp14:editId="1902C5CC">
            <wp:simplePos x="0" y="0"/>
            <wp:positionH relativeFrom="column">
              <wp:posOffset>0</wp:posOffset>
            </wp:positionH>
            <wp:positionV relativeFrom="paragraph">
              <wp:posOffset>1270</wp:posOffset>
            </wp:positionV>
            <wp:extent cx="5731510" cy="5731510"/>
            <wp:effectExtent l="0" t="0" r="2540" b="2540"/>
            <wp:wrapTight wrapText="bothSides">
              <wp:wrapPolygon edited="0">
                <wp:start x="0" y="0"/>
                <wp:lineTo x="0" y="21538"/>
                <wp:lineTo x="21538" y="21538"/>
                <wp:lineTo x="21538" y="0"/>
                <wp:lineTo x="0" y="0"/>
              </wp:wrapPolygon>
            </wp:wrapTight>
            <wp:docPr id="1104701312" name="Picture 1" descr="A diagram of different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4701312" name="Picture 1" descr="A diagram of different colored lines&#10;&#10;AI-generated content may be incorrect."/>
                    <pic:cNvPicPr/>
                  </pic:nvPicPr>
                  <pic:blipFill>
                    <a:blip r:embed="rId53">
                      <a:extLst>
                        <a:ext uri="{28A0092B-C50C-407E-A947-70E740481C1C}">
                          <a14:useLocalDpi xmlns:a14="http://schemas.microsoft.com/office/drawing/2010/main" val="0"/>
                        </a:ext>
                      </a:extLst>
                    </a:blip>
                    <a:stretch>
                      <a:fillRect/>
                    </a:stretch>
                  </pic:blipFill>
                  <pic:spPr>
                    <a:xfrm>
                      <a:off x="0" y="0"/>
                      <a:ext cx="5731510" cy="5731510"/>
                    </a:xfrm>
                    <a:prstGeom prst="rect">
                      <a:avLst/>
                    </a:prstGeom>
                  </pic:spPr>
                </pic:pic>
              </a:graphicData>
            </a:graphic>
          </wp:anchor>
        </w:drawing>
      </w:r>
      <w:r w:rsidR="00436AB0">
        <w:rPr>
          <w:rFonts w:ascii="Calibri" w:hAnsi="Calibri" w:cs="Calibri"/>
          <w:sz w:val="24"/>
          <w:szCs w:val="24"/>
        </w:rPr>
        <w:t xml:space="preserve">Figure 5: The Kano Model </w:t>
      </w:r>
      <w:r w:rsidR="007333BA">
        <w:rPr>
          <w:rFonts w:ascii="Calibri" w:hAnsi="Calibri" w:cs="Calibri"/>
          <w:sz w:val="24"/>
          <w:szCs w:val="24"/>
        </w:rPr>
        <w:t>(Tech Agilist, 2025).</w:t>
      </w:r>
      <w:r w:rsidR="0069629B">
        <w:br w:type="page"/>
      </w:r>
    </w:p>
    <w:p w14:paraId="762CC070" w14:textId="31A7DB1C" w:rsidR="00776815" w:rsidRPr="00652074" w:rsidRDefault="00785AD7" w:rsidP="00785AD7">
      <w:pPr>
        <w:pStyle w:val="Heading1"/>
        <w:rPr>
          <w:rFonts w:ascii="Calibri" w:hAnsi="Calibri" w:cs="Calibri"/>
        </w:rPr>
      </w:pPr>
      <w:bookmarkStart w:id="20" w:name="_Toc202386440"/>
      <w:r w:rsidRPr="00652074">
        <w:rPr>
          <w:rFonts w:ascii="Calibri" w:hAnsi="Calibri" w:cs="Calibri"/>
        </w:rPr>
        <w:lastRenderedPageBreak/>
        <w:t>Bibliography</w:t>
      </w:r>
      <w:bookmarkEnd w:id="20"/>
    </w:p>
    <w:p w14:paraId="0DD3AA3C" w14:textId="77777777" w:rsidR="00CD73CD" w:rsidRDefault="00CD73CD" w:rsidP="005667C5">
      <w:pPr>
        <w:ind w:left="720" w:hanging="720"/>
        <w:rPr>
          <w:rFonts w:ascii="Calibri" w:hAnsi="Calibri" w:cs="Calibri"/>
          <w:sz w:val="24"/>
          <w:szCs w:val="24"/>
        </w:rPr>
      </w:pPr>
      <w:r w:rsidRPr="00FD184E">
        <w:rPr>
          <w:rFonts w:ascii="Calibri" w:hAnsi="Calibri" w:cs="Calibri"/>
          <w:sz w:val="24"/>
          <w:szCs w:val="24"/>
        </w:rPr>
        <w:t xml:space="preserve">Almquist, E., Senior, J., &amp; Bloch, N. (2016, September). The elements of value: Measuring—and delivering—what consumers really want. </w:t>
      </w:r>
      <w:r w:rsidRPr="00FD184E">
        <w:rPr>
          <w:rFonts w:ascii="Calibri" w:hAnsi="Calibri" w:cs="Calibri"/>
          <w:i/>
          <w:iCs/>
          <w:sz w:val="24"/>
          <w:szCs w:val="24"/>
        </w:rPr>
        <w:t>Harvard Business Review</w:t>
      </w:r>
      <w:r w:rsidRPr="00FD184E">
        <w:rPr>
          <w:rFonts w:ascii="Calibri" w:hAnsi="Calibri" w:cs="Calibri"/>
          <w:sz w:val="24"/>
          <w:szCs w:val="24"/>
        </w:rPr>
        <w:t xml:space="preserve">. </w:t>
      </w:r>
      <w:hyperlink r:id="rId54" w:history="1">
        <w:r w:rsidRPr="007F1063">
          <w:rPr>
            <w:rStyle w:val="Hyperlink"/>
            <w:rFonts w:ascii="Calibri" w:hAnsi="Calibri" w:cs="Calibri"/>
            <w:sz w:val="24"/>
            <w:szCs w:val="24"/>
          </w:rPr>
          <w:t>https://hbr.org/2016/09/the-elements-of-value</w:t>
        </w:r>
      </w:hyperlink>
    </w:p>
    <w:p w14:paraId="1F8C7AA1" w14:textId="77777777" w:rsidR="00CD73CD" w:rsidRDefault="00CD73CD" w:rsidP="005667C5">
      <w:pPr>
        <w:ind w:left="720" w:hanging="720"/>
        <w:rPr>
          <w:rFonts w:ascii="Calibri" w:hAnsi="Calibri" w:cs="Calibri"/>
          <w:sz w:val="24"/>
          <w:szCs w:val="24"/>
        </w:rPr>
      </w:pPr>
      <w:proofErr w:type="spellStart"/>
      <w:r w:rsidRPr="002D5A2E">
        <w:rPr>
          <w:rFonts w:ascii="Calibri" w:hAnsi="Calibri" w:cs="Calibri"/>
          <w:sz w:val="24"/>
          <w:szCs w:val="24"/>
        </w:rPr>
        <w:t>Baashar</w:t>
      </w:r>
      <w:proofErr w:type="spellEnd"/>
      <w:r w:rsidRPr="002D5A2E">
        <w:rPr>
          <w:rFonts w:ascii="Calibri" w:hAnsi="Calibri" w:cs="Calibri"/>
          <w:sz w:val="24"/>
          <w:szCs w:val="24"/>
        </w:rPr>
        <w:t xml:space="preserve">, Y., </w:t>
      </w:r>
      <w:proofErr w:type="spellStart"/>
      <w:r w:rsidRPr="002D5A2E">
        <w:rPr>
          <w:rFonts w:ascii="Calibri" w:hAnsi="Calibri" w:cs="Calibri"/>
          <w:sz w:val="24"/>
          <w:szCs w:val="24"/>
        </w:rPr>
        <w:t>Alhussian</w:t>
      </w:r>
      <w:proofErr w:type="spellEnd"/>
      <w:r w:rsidRPr="002D5A2E">
        <w:rPr>
          <w:rFonts w:ascii="Calibri" w:hAnsi="Calibri" w:cs="Calibri"/>
          <w:sz w:val="24"/>
          <w:szCs w:val="24"/>
        </w:rPr>
        <w:t xml:space="preserve">, H., Patel, A., </w:t>
      </w:r>
      <w:proofErr w:type="spellStart"/>
      <w:r w:rsidRPr="002D5A2E">
        <w:rPr>
          <w:rFonts w:ascii="Calibri" w:hAnsi="Calibri" w:cs="Calibri"/>
          <w:sz w:val="24"/>
          <w:szCs w:val="24"/>
        </w:rPr>
        <w:t>Alkawsi</w:t>
      </w:r>
      <w:proofErr w:type="spellEnd"/>
      <w:r w:rsidRPr="002D5A2E">
        <w:rPr>
          <w:rFonts w:ascii="Calibri" w:hAnsi="Calibri" w:cs="Calibri"/>
          <w:sz w:val="24"/>
          <w:szCs w:val="24"/>
        </w:rPr>
        <w:t xml:space="preserve">, G., Alzahrani, A. I., </w:t>
      </w:r>
      <w:proofErr w:type="spellStart"/>
      <w:r w:rsidRPr="002D5A2E">
        <w:rPr>
          <w:rFonts w:ascii="Calibri" w:hAnsi="Calibri" w:cs="Calibri"/>
          <w:sz w:val="24"/>
          <w:szCs w:val="24"/>
        </w:rPr>
        <w:t>Alfarraj</w:t>
      </w:r>
      <w:proofErr w:type="spellEnd"/>
      <w:r w:rsidRPr="002D5A2E">
        <w:rPr>
          <w:rFonts w:ascii="Calibri" w:hAnsi="Calibri" w:cs="Calibri"/>
          <w:sz w:val="24"/>
          <w:szCs w:val="24"/>
        </w:rPr>
        <w:t xml:space="preserve">, O., &amp; Hayder, G. (2020). Customer relationship management systems (CRMS) in the healthcare environment: A systematic literature review. </w:t>
      </w:r>
      <w:r w:rsidRPr="002D5A2E">
        <w:rPr>
          <w:rFonts w:ascii="Calibri" w:hAnsi="Calibri" w:cs="Calibri"/>
          <w:i/>
          <w:iCs/>
          <w:sz w:val="24"/>
          <w:szCs w:val="24"/>
        </w:rPr>
        <w:t>Computer Standards &amp; Interfaces, 71</w:t>
      </w:r>
      <w:r w:rsidRPr="002D5A2E">
        <w:rPr>
          <w:rFonts w:ascii="Calibri" w:hAnsi="Calibri" w:cs="Calibri"/>
          <w:sz w:val="24"/>
          <w:szCs w:val="24"/>
        </w:rPr>
        <w:t xml:space="preserve">, 103442. </w:t>
      </w:r>
      <w:hyperlink r:id="rId55" w:history="1">
        <w:r w:rsidRPr="002D5A2E">
          <w:rPr>
            <w:rStyle w:val="Hyperlink"/>
            <w:rFonts w:ascii="Calibri" w:hAnsi="Calibri" w:cs="Calibri"/>
            <w:sz w:val="24"/>
            <w:szCs w:val="24"/>
          </w:rPr>
          <w:t>https://doi.org/10.1016/j.csi.2020.103442</w:t>
        </w:r>
      </w:hyperlink>
    </w:p>
    <w:p w14:paraId="6B4942A9" w14:textId="77777777" w:rsidR="00CD73CD" w:rsidRDefault="00CD73CD" w:rsidP="005667C5">
      <w:pPr>
        <w:spacing w:line="360" w:lineRule="auto"/>
        <w:ind w:left="720" w:hanging="720"/>
        <w:rPr>
          <w:rFonts w:ascii="Calibri" w:hAnsi="Calibri" w:cs="Calibri"/>
          <w:sz w:val="24"/>
          <w:szCs w:val="24"/>
        </w:rPr>
      </w:pPr>
      <w:r w:rsidRPr="00E41044">
        <w:rPr>
          <w:rFonts w:ascii="Calibri" w:hAnsi="Calibri" w:cs="Calibri"/>
          <w:sz w:val="24"/>
          <w:szCs w:val="24"/>
        </w:rPr>
        <w:t xml:space="preserve">Crail, C. (2024, June 2). </w:t>
      </w:r>
      <w:r w:rsidRPr="00E41044">
        <w:rPr>
          <w:rFonts w:ascii="Calibri" w:hAnsi="Calibri" w:cs="Calibri"/>
          <w:i/>
          <w:iCs/>
          <w:sz w:val="24"/>
          <w:szCs w:val="24"/>
        </w:rPr>
        <w:t>Customer lifecycle management (CLM): The ultimate guide</w:t>
      </w:r>
      <w:r w:rsidRPr="00E41044">
        <w:rPr>
          <w:rFonts w:ascii="Calibri" w:hAnsi="Calibri" w:cs="Calibri"/>
          <w:sz w:val="24"/>
          <w:szCs w:val="24"/>
        </w:rPr>
        <w:t xml:space="preserve">. Forbes Advisor. </w:t>
      </w:r>
      <w:hyperlink r:id="rId56" w:history="1">
        <w:r w:rsidRPr="007F1063">
          <w:rPr>
            <w:rStyle w:val="Hyperlink"/>
            <w:rFonts w:ascii="Calibri" w:hAnsi="Calibri" w:cs="Calibri"/>
            <w:sz w:val="24"/>
            <w:szCs w:val="24"/>
          </w:rPr>
          <w:t>https://www.forbes.com/advisor/business/customer-lifecycle-management/</w:t>
        </w:r>
      </w:hyperlink>
    </w:p>
    <w:p w14:paraId="748F34DE" w14:textId="77777777" w:rsidR="00CD73CD" w:rsidRDefault="00CD73CD" w:rsidP="005667C5">
      <w:pPr>
        <w:ind w:left="720" w:hanging="720"/>
        <w:rPr>
          <w:rFonts w:ascii="Calibri" w:hAnsi="Calibri" w:cs="Calibri"/>
          <w:sz w:val="24"/>
          <w:szCs w:val="24"/>
        </w:rPr>
      </w:pPr>
      <w:r w:rsidRPr="00A47C81">
        <w:rPr>
          <w:rFonts w:ascii="Calibri" w:hAnsi="Calibri" w:cs="Calibri"/>
          <w:sz w:val="24"/>
          <w:szCs w:val="24"/>
        </w:rPr>
        <w:t xml:space="preserve">Croft, D. (2025). </w:t>
      </w:r>
      <w:r w:rsidRPr="00A47C81">
        <w:rPr>
          <w:rFonts w:ascii="Calibri" w:hAnsi="Calibri" w:cs="Calibri"/>
          <w:i/>
          <w:iCs/>
          <w:sz w:val="24"/>
          <w:szCs w:val="24"/>
        </w:rPr>
        <w:t>Joseph M. Juran: Quality management</w:t>
      </w:r>
      <w:r w:rsidRPr="00A47C81">
        <w:rPr>
          <w:rFonts w:ascii="Calibri" w:hAnsi="Calibri" w:cs="Calibri"/>
          <w:sz w:val="24"/>
          <w:szCs w:val="24"/>
        </w:rPr>
        <w:t xml:space="preserve">. Learn Lean Sigma. </w:t>
      </w:r>
      <w:hyperlink r:id="rId57" w:history="1">
        <w:r w:rsidRPr="007F1063">
          <w:rPr>
            <w:rStyle w:val="Hyperlink"/>
            <w:rFonts w:ascii="Calibri" w:hAnsi="Calibri" w:cs="Calibri"/>
            <w:sz w:val="24"/>
            <w:szCs w:val="24"/>
          </w:rPr>
          <w:t>https://www.learnleansigma.com/lean_visionaries/joseph-m-juran-quality-management/</w:t>
        </w:r>
      </w:hyperlink>
      <w:r>
        <w:rPr>
          <w:rFonts w:ascii="Calibri" w:hAnsi="Calibri" w:cs="Calibri"/>
          <w:sz w:val="24"/>
          <w:szCs w:val="24"/>
        </w:rPr>
        <w:t xml:space="preserve"> </w:t>
      </w:r>
    </w:p>
    <w:p w14:paraId="34EC2302" w14:textId="77777777" w:rsidR="00CD73CD" w:rsidRDefault="00CD73CD" w:rsidP="005667C5">
      <w:pPr>
        <w:spacing w:line="360" w:lineRule="auto"/>
        <w:ind w:left="720" w:hanging="720"/>
        <w:rPr>
          <w:rFonts w:ascii="Calibri" w:hAnsi="Calibri" w:cs="Calibri"/>
          <w:sz w:val="24"/>
          <w:szCs w:val="24"/>
        </w:rPr>
      </w:pPr>
      <w:r w:rsidRPr="00B1620B">
        <w:rPr>
          <w:rFonts w:ascii="Calibri" w:hAnsi="Calibri" w:cs="Calibri"/>
          <w:sz w:val="24"/>
          <w:szCs w:val="24"/>
        </w:rPr>
        <w:t xml:space="preserve">Elmaleh-Sachs, A., Schwartz, J. L., Bramante, C. T., &amp; et al. (2023). Obesity management in adults: A review. </w:t>
      </w:r>
      <w:r w:rsidRPr="00B1620B">
        <w:rPr>
          <w:rFonts w:ascii="Calibri" w:hAnsi="Calibri" w:cs="Calibri"/>
          <w:i/>
          <w:iCs/>
          <w:sz w:val="24"/>
          <w:szCs w:val="24"/>
        </w:rPr>
        <w:t>JAMA, 330</w:t>
      </w:r>
      <w:r w:rsidRPr="00B1620B">
        <w:rPr>
          <w:rFonts w:ascii="Calibri" w:hAnsi="Calibri" w:cs="Calibri"/>
          <w:sz w:val="24"/>
          <w:szCs w:val="24"/>
        </w:rPr>
        <w:t xml:space="preserve">(20), 2000–2015. </w:t>
      </w:r>
      <w:hyperlink r:id="rId58" w:history="1">
        <w:r w:rsidRPr="007F1063">
          <w:rPr>
            <w:rStyle w:val="Hyperlink"/>
            <w:rFonts w:ascii="Calibri" w:hAnsi="Calibri" w:cs="Calibri"/>
            <w:sz w:val="24"/>
            <w:szCs w:val="24"/>
          </w:rPr>
          <w:t>https://doi.org/10.1001/jama.2023.19897</w:t>
        </w:r>
      </w:hyperlink>
    </w:p>
    <w:p w14:paraId="6207CF07" w14:textId="77777777" w:rsidR="00CD73CD" w:rsidRDefault="00CD73CD" w:rsidP="005667C5">
      <w:pPr>
        <w:spacing w:line="360" w:lineRule="auto"/>
        <w:ind w:left="720" w:hanging="720"/>
        <w:rPr>
          <w:rFonts w:ascii="Calibri" w:hAnsi="Calibri" w:cs="Calibri"/>
          <w:sz w:val="24"/>
          <w:szCs w:val="24"/>
        </w:rPr>
      </w:pPr>
      <w:r w:rsidRPr="00373BD1">
        <w:rPr>
          <w:rFonts w:ascii="Calibri" w:hAnsi="Calibri" w:cs="Calibri"/>
          <w:sz w:val="24"/>
          <w:szCs w:val="24"/>
        </w:rPr>
        <w:t xml:space="preserve">Ertz, M., &amp; Patrick, K. (2020). The future of sustainable healthcare: Extending product lifecycles. </w:t>
      </w:r>
      <w:r w:rsidRPr="00373BD1">
        <w:rPr>
          <w:rFonts w:ascii="Calibri" w:hAnsi="Calibri" w:cs="Calibri"/>
          <w:i/>
          <w:iCs/>
          <w:sz w:val="24"/>
          <w:szCs w:val="24"/>
        </w:rPr>
        <w:t>Resources, Conservation &amp; Recycling, 153</w:t>
      </w:r>
      <w:r w:rsidRPr="00373BD1">
        <w:rPr>
          <w:rFonts w:ascii="Calibri" w:hAnsi="Calibri" w:cs="Calibri"/>
          <w:sz w:val="24"/>
          <w:szCs w:val="24"/>
        </w:rPr>
        <w:t xml:space="preserve">, 104589. </w:t>
      </w:r>
      <w:hyperlink r:id="rId59" w:history="1">
        <w:r w:rsidRPr="007F1063">
          <w:rPr>
            <w:rStyle w:val="Hyperlink"/>
            <w:rFonts w:ascii="Calibri" w:hAnsi="Calibri" w:cs="Calibri"/>
            <w:sz w:val="24"/>
            <w:szCs w:val="24"/>
          </w:rPr>
          <w:t>https://doi.org/10.1016/j.resconrec.2019.104589</w:t>
        </w:r>
      </w:hyperlink>
    </w:p>
    <w:p w14:paraId="609E2E6F" w14:textId="77777777" w:rsidR="00CD73CD" w:rsidRDefault="00CD73CD" w:rsidP="005667C5">
      <w:pPr>
        <w:ind w:left="720" w:hanging="720"/>
        <w:rPr>
          <w:rFonts w:ascii="Calibri" w:hAnsi="Calibri" w:cs="Calibri"/>
          <w:sz w:val="24"/>
          <w:szCs w:val="24"/>
        </w:rPr>
      </w:pPr>
      <w:r w:rsidRPr="002A6A90">
        <w:rPr>
          <w:rFonts w:ascii="Calibri" w:hAnsi="Calibri" w:cs="Calibri"/>
          <w:sz w:val="24"/>
          <w:szCs w:val="24"/>
        </w:rPr>
        <w:t xml:space="preserve">Fitzsimons, B., &amp; Cornwell, J. (2018). What can we learn from patients’ perspectives on the quality and safety of hospital care? </w:t>
      </w:r>
      <w:r w:rsidRPr="002A6A90">
        <w:rPr>
          <w:rFonts w:ascii="Calibri" w:hAnsi="Calibri" w:cs="Calibri"/>
          <w:i/>
          <w:iCs/>
          <w:sz w:val="24"/>
          <w:szCs w:val="24"/>
        </w:rPr>
        <w:t>BMJ Quality &amp; Safety, 27</w:t>
      </w:r>
      <w:r w:rsidRPr="002A6A90">
        <w:rPr>
          <w:rFonts w:ascii="Calibri" w:hAnsi="Calibri" w:cs="Calibri"/>
          <w:sz w:val="24"/>
          <w:szCs w:val="24"/>
        </w:rPr>
        <w:t xml:space="preserve">(9), 671–672. </w:t>
      </w:r>
      <w:hyperlink r:id="rId60" w:history="1">
        <w:r w:rsidRPr="007F1063">
          <w:rPr>
            <w:rStyle w:val="Hyperlink"/>
            <w:rFonts w:ascii="Calibri" w:hAnsi="Calibri" w:cs="Calibri"/>
            <w:sz w:val="24"/>
            <w:szCs w:val="24"/>
          </w:rPr>
          <w:t>https://doi.org/10.1136/bmjqs-2018-008106</w:t>
        </w:r>
      </w:hyperlink>
    </w:p>
    <w:p w14:paraId="2F6851EF" w14:textId="77777777" w:rsidR="00CD73CD" w:rsidRDefault="00CD73CD" w:rsidP="005667C5">
      <w:pPr>
        <w:ind w:left="720" w:hanging="720"/>
        <w:rPr>
          <w:rFonts w:ascii="Calibri" w:hAnsi="Calibri" w:cs="Calibri"/>
          <w:sz w:val="24"/>
          <w:szCs w:val="24"/>
        </w:rPr>
      </w:pPr>
      <w:r w:rsidRPr="00163B24">
        <w:rPr>
          <w:rFonts w:ascii="Calibri" w:hAnsi="Calibri" w:cs="Calibri"/>
          <w:sz w:val="24"/>
          <w:szCs w:val="24"/>
        </w:rPr>
        <w:t xml:space="preserve">Garvin, D. A. (1987, November). </w:t>
      </w:r>
      <w:r w:rsidRPr="00163B24">
        <w:rPr>
          <w:rFonts w:ascii="Calibri" w:hAnsi="Calibri" w:cs="Calibri"/>
          <w:i/>
          <w:iCs/>
          <w:sz w:val="24"/>
          <w:szCs w:val="24"/>
        </w:rPr>
        <w:t>Competing on the eight dimensions of quality</w:t>
      </w:r>
      <w:r w:rsidRPr="00163B24">
        <w:rPr>
          <w:rFonts w:ascii="Calibri" w:hAnsi="Calibri" w:cs="Calibri"/>
          <w:sz w:val="24"/>
          <w:szCs w:val="24"/>
        </w:rPr>
        <w:t xml:space="preserve">. Harvard Business Review. </w:t>
      </w:r>
      <w:hyperlink r:id="rId61" w:history="1">
        <w:r w:rsidRPr="007F1063">
          <w:rPr>
            <w:rStyle w:val="Hyperlink"/>
            <w:rFonts w:ascii="Calibri" w:hAnsi="Calibri" w:cs="Calibri"/>
            <w:sz w:val="24"/>
            <w:szCs w:val="24"/>
          </w:rPr>
          <w:t>https://hbr.org/1987/11/competing-on-the-eight-dimensions-of-quality</w:t>
        </w:r>
      </w:hyperlink>
      <w:r>
        <w:rPr>
          <w:rFonts w:ascii="Calibri" w:hAnsi="Calibri" w:cs="Calibri"/>
          <w:sz w:val="24"/>
          <w:szCs w:val="24"/>
        </w:rPr>
        <w:t xml:space="preserve"> </w:t>
      </w:r>
    </w:p>
    <w:p w14:paraId="501C1018" w14:textId="77777777" w:rsidR="00CD73CD" w:rsidRDefault="00CD73CD" w:rsidP="005667C5">
      <w:pPr>
        <w:ind w:left="720" w:hanging="720"/>
        <w:rPr>
          <w:rFonts w:ascii="Calibri" w:hAnsi="Calibri" w:cs="Calibri"/>
          <w:sz w:val="24"/>
          <w:szCs w:val="24"/>
        </w:rPr>
      </w:pPr>
      <w:r w:rsidRPr="00345417">
        <w:rPr>
          <w:rFonts w:ascii="Calibri" w:hAnsi="Calibri" w:cs="Calibri"/>
          <w:sz w:val="24"/>
          <w:szCs w:val="24"/>
        </w:rPr>
        <w:t xml:space="preserve">Good Governance Institute. (2020, July 20). </w:t>
      </w:r>
      <w:r w:rsidRPr="00345417">
        <w:rPr>
          <w:rFonts w:ascii="Calibri" w:hAnsi="Calibri" w:cs="Calibri"/>
          <w:i/>
          <w:iCs/>
          <w:sz w:val="24"/>
          <w:szCs w:val="24"/>
        </w:rPr>
        <w:t>Patient engagement</w:t>
      </w:r>
      <w:r w:rsidRPr="00345417">
        <w:rPr>
          <w:rFonts w:ascii="Calibri" w:hAnsi="Calibri" w:cs="Calibri"/>
          <w:sz w:val="24"/>
          <w:szCs w:val="24"/>
        </w:rPr>
        <w:t xml:space="preserve">. </w:t>
      </w:r>
      <w:hyperlink r:id="rId62" w:history="1">
        <w:r w:rsidRPr="007F1063">
          <w:rPr>
            <w:rStyle w:val="Hyperlink"/>
            <w:rFonts w:ascii="Calibri" w:hAnsi="Calibri" w:cs="Calibri"/>
            <w:sz w:val="24"/>
            <w:szCs w:val="24"/>
          </w:rPr>
          <w:t>https://www.good-governance.org.uk/publications/insights/patient-engagement</w:t>
        </w:r>
      </w:hyperlink>
    </w:p>
    <w:p w14:paraId="5FA2537D" w14:textId="77777777" w:rsidR="00CD73CD" w:rsidRDefault="00CD73CD" w:rsidP="005667C5">
      <w:pPr>
        <w:spacing w:line="360" w:lineRule="auto"/>
        <w:ind w:left="720" w:hanging="720"/>
        <w:rPr>
          <w:rFonts w:ascii="Calibri" w:hAnsi="Calibri" w:cs="Calibri"/>
          <w:sz w:val="24"/>
          <w:szCs w:val="24"/>
        </w:rPr>
      </w:pPr>
      <w:r w:rsidRPr="00C03C13">
        <w:rPr>
          <w:rFonts w:ascii="Calibri" w:hAnsi="Calibri" w:cs="Calibri"/>
          <w:sz w:val="24"/>
          <w:szCs w:val="24"/>
        </w:rPr>
        <w:t>Gottlieb, B. H., &amp; Bergen, A. E. (2010). Social support concepts and measures. </w:t>
      </w:r>
      <w:r w:rsidRPr="00C03C13">
        <w:rPr>
          <w:rFonts w:ascii="Calibri" w:hAnsi="Calibri" w:cs="Calibri"/>
          <w:i/>
          <w:iCs/>
          <w:sz w:val="24"/>
          <w:szCs w:val="24"/>
        </w:rPr>
        <w:t>Journal of Psychosomatic Research, 69</w:t>
      </w:r>
      <w:r w:rsidRPr="00C03C13">
        <w:rPr>
          <w:rFonts w:ascii="Calibri" w:hAnsi="Calibri" w:cs="Calibri"/>
          <w:sz w:val="24"/>
          <w:szCs w:val="24"/>
        </w:rPr>
        <w:t>(5), 511-520. </w:t>
      </w:r>
      <w:hyperlink r:id="rId63" w:history="1">
        <w:r w:rsidRPr="007F1063">
          <w:rPr>
            <w:rStyle w:val="Hyperlink"/>
            <w:rFonts w:ascii="Calibri" w:hAnsi="Calibri" w:cs="Calibri"/>
            <w:sz w:val="24"/>
            <w:szCs w:val="24"/>
          </w:rPr>
          <w:t>https://doi.org/10.1016/j.jpsychores.2009.10.001</w:t>
        </w:r>
      </w:hyperlink>
    </w:p>
    <w:p w14:paraId="7169DC64" w14:textId="77777777" w:rsidR="00CD73CD" w:rsidRDefault="00CD73CD" w:rsidP="005667C5">
      <w:pPr>
        <w:spacing w:line="360" w:lineRule="auto"/>
        <w:ind w:left="720" w:hanging="720"/>
        <w:rPr>
          <w:rFonts w:ascii="Calibri" w:hAnsi="Calibri" w:cs="Calibri"/>
          <w:sz w:val="24"/>
          <w:szCs w:val="24"/>
        </w:rPr>
      </w:pPr>
      <w:r w:rsidRPr="00212FCD">
        <w:rPr>
          <w:rFonts w:ascii="Calibri" w:hAnsi="Calibri" w:cs="Calibri"/>
          <w:sz w:val="24"/>
          <w:szCs w:val="24"/>
        </w:rPr>
        <w:lastRenderedPageBreak/>
        <w:t xml:space="preserve">Hariharan, V. (2025, April 16). </w:t>
      </w:r>
      <w:r w:rsidRPr="00212FCD">
        <w:rPr>
          <w:rFonts w:ascii="Calibri" w:hAnsi="Calibri" w:cs="Calibri"/>
          <w:i/>
          <w:iCs/>
          <w:sz w:val="24"/>
          <w:szCs w:val="24"/>
        </w:rPr>
        <w:t>CRM in healthcare: Benefits, use cases &amp; best practices 2025</w:t>
      </w:r>
      <w:r w:rsidRPr="00212FCD">
        <w:rPr>
          <w:rFonts w:ascii="Calibri" w:hAnsi="Calibri" w:cs="Calibri"/>
          <w:sz w:val="24"/>
          <w:szCs w:val="24"/>
        </w:rPr>
        <w:t xml:space="preserve">. </w:t>
      </w:r>
      <w:proofErr w:type="spellStart"/>
      <w:r w:rsidRPr="00212FCD">
        <w:rPr>
          <w:rFonts w:ascii="Calibri" w:hAnsi="Calibri" w:cs="Calibri"/>
          <w:sz w:val="24"/>
          <w:szCs w:val="24"/>
        </w:rPr>
        <w:t>LeadSquared</w:t>
      </w:r>
      <w:proofErr w:type="spellEnd"/>
      <w:r w:rsidRPr="00212FCD">
        <w:rPr>
          <w:rFonts w:ascii="Calibri" w:hAnsi="Calibri" w:cs="Calibri"/>
          <w:sz w:val="24"/>
          <w:szCs w:val="24"/>
        </w:rPr>
        <w:t xml:space="preserve">. </w:t>
      </w:r>
      <w:hyperlink r:id="rId64" w:history="1">
        <w:r w:rsidRPr="007F1063">
          <w:rPr>
            <w:rStyle w:val="Hyperlink"/>
            <w:rFonts w:ascii="Calibri" w:hAnsi="Calibri" w:cs="Calibri"/>
            <w:sz w:val="24"/>
            <w:szCs w:val="24"/>
          </w:rPr>
          <w:t>https://www.leadsquared.com/industries/healthcare/crm-in-healthcare-industry/</w:t>
        </w:r>
      </w:hyperlink>
    </w:p>
    <w:p w14:paraId="0538DD72" w14:textId="77777777" w:rsidR="00CD73CD" w:rsidRDefault="00CD73CD" w:rsidP="005667C5">
      <w:pPr>
        <w:ind w:left="720" w:hanging="720"/>
        <w:rPr>
          <w:rFonts w:ascii="Calibri" w:hAnsi="Calibri" w:cs="Calibri"/>
          <w:sz w:val="24"/>
          <w:szCs w:val="24"/>
        </w:rPr>
      </w:pPr>
      <w:r w:rsidRPr="009256FE">
        <w:rPr>
          <w:rFonts w:ascii="Calibri" w:hAnsi="Calibri" w:cs="Calibri"/>
          <w:sz w:val="24"/>
          <w:szCs w:val="24"/>
        </w:rPr>
        <w:t xml:space="preserve">Hariharan, V. (2025, April 16). </w:t>
      </w:r>
      <w:r w:rsidRPr="009256FE">
        <w:rPr>
          <w:rFonts w:ascii="Calibri" w:hAnsi="Calibri" w:cs="Calibri"/>
          <w:i/>
          <w:iCs/>
          <w:sz w:val="24"/>
          <w:szCs w:val="24"/>
        </w:rPr>
        <w:t>CRM in healthcare: Benefits, use cases &amp; best practices 2025</w:t>
      </w:r>
      <w:r w:rsidRPr="009256FE">
        <w:rPr>
          <w:rFonts w:ascii="Calibri" w:hAnsi="Calibri" w:cs="Calibri"/>
          <w:sz w:val="24"/>
          <w:szCs w:val="24"/>
        </w:rPr>
        <w:t xml:space="preserve">. </w:t>
      </w:r>
      <w:proofErr w:type="spellStart"/>
      <w:r w:rsidRPr="009256FE">
        <w:rPr>
          <w:rFonts w:ascii="Calibri" w:hAnsi="Calibri" w:cs="Calibri"/>
          <w:sz w:val="24"/>
          <w:szCs w:val="24"/>
        </w:rPr>
        <w:t>LeadSquared</w:t>
      </w:r>
      <w:proofErr w:type="spellEnd"/>
      <w:r w:rsidRPr="009256FE">
        <w:rPr>
          <w:rFonts w:ascii="Calibri" w:hAnsi="Calibri" w:cs="Calibri"/>
          <w:sz w:val="24"/>
          <w:szCs w:val="24"/>
        </w:rPr>
        <w:t xml:space="preserve">. </w:t>
      </w:r>
      <w:hyperlink r:id="rId65" w:history="1">
        <w:r w:rsidRPr="007F1063">
          <w:rPr>
            <w:rStyle w:val="Hyperlink"/>
            <w:rFonts w:ascii="Calibri" w:hAnsi="Calibri" w:cs="Calibri"/>
            <w:sz w:val="24"/>
            <w:szCs w:val="24"/>
          </w:rPr>
          <w:t>https://www.leadsquared.com/industries/healthcare/crm-in-healthcare-industry/</w:t>
        </w:r>
      </w:hyperlink>
    </w:p>
    <w:p w14:paraId="71940E4A" w14:textId="77777777" w:rsidR="00CD73CD" w:rsidRDefault="00CD73CD" w:rsidP="005667C5">
      <w:pPr>
        <w:spacing w:line="360" w:lineRule="auto"/>
        <w:ind w:left="720" w:hanging="720"/>
        <w:rPr>
          <w:rFonts w:ascii="Calibri" w:hAnsi="Calibri" w:cs="Calibri"/>
          <w:sz w:val="24"/>
          <w:szCs w:val="24"/>
        </w:rPr>
      </w:pPr>
      <w:r w:rsidRPr="00A72F44">
        <w:rPr>
          <w:rFonts w:ascii="Calibri" w:hAnsi="Calibri" w:cs="Calibri"/>
          <w:sz w:val="24"/>
          <w:szCs w:val="24"/>
        </w:rPr>
        <w:t xml:space="preserve">Hazlehurst, J. M., Logue, J., </w:t>
      </w:r>
      <w:proofErr w:type="spellStart"/>
      <w:r w:rsidRPr="00A72F44">
        <w:rPr>
          <w:rFonts w:ascii="Calibri" w:hAnsi="Calibri" w:cs="Calibri"/>
          <w:sz w:val="24"/>
          <w:szCs w:val="24"/>
        </w:rPr>
        <w:t>Parretti</w:t>
      </w:r>
      <w:proofErr w:type="spellEnd"/>
      <w:r w:rsidRPr="00A72F44">
        <w:rPr>
          <w:rFonts w:ascii="Calibri" w:hAnsi="Calibri" w:cs="Calibri"/>
          <w:sz w:val="24"/>
          <w:szCs w:val="24"/>
        </w:rPr>
        <w:t xml:space="preserve">, H. M., Abbott, S., Brown, A., Pournaras, D. J., &amp; </w:t>
      </w:r>
      <w:proofErr w:type="spellStart"/>
      <w:r w:rsidRPr="00A72F44">
        <w:rPr>
          <w:rFonts w:ascii="Calibri" w:hAnsi="Calibri" w:cs="Calibri"/>
          <w:sz w:val="24"/>
          <w:szCs w:val="24"/>
        </w:rPr>
        <w:t>Tahrani</w:t>
      </w:r>
      <w:proofErr w:type="spellEnd"/>
      <w:r w:rsidRPr="00A72F44">
        <w:rPr>
          <w:rFonts w:ascii="Calibri" w:hAnsi="Calibri" w:cs="Calibri"/>
          <w:sz w:val="24"/>
          <w:szCs w:val="24"/>
        </w:rPr>
        <w:t xml:space="preserve">, A. A. (2020). Developing integrated clinical pathways for the management of clinically severe adult obesity: A critique of NHS England policy. </w:t>
      </w:r>
      <w:r w:rsidRPr="00A72F44">
        <w:rPr>
          <w:rFonts w:ascii="Calibri" w:hAnsi="Calibri" w:cs="Calibri"/>
          <w:i/>
          <w:iCs/>
          <w:sz w:val="24"/>
          <w:szCs w:val="24"/>
        </w:rPr>
        <w:t>Current Obesity Reports, 9</w:t>
      </w:r>
      <w:r w:rsidRPr="00A72F44">
        <w:rPr>
          <w:rFonts w:ascii="Calibri" w:hAnsi="Calibri" w:cs="Calibri"/>
          <w:sz w:val="24"/>
          <w:szCs w:val="24"/>
        </w:rPr>
        <w:t xml:space="preserve">(4), 530–543. </w:t>
      </w:r>
      <w:hyperlink r:id="rId66" w:history="1">
        <w:r w:rsidRPr="007F1063">
          <w:rPr>
            <w:rStyle w:val="Hyperlink"/>
            <w:rFonts w:ascii="Calibri" w:hAnsi="Calibri" w:cs="Calibri"/>
            <w:sz w:val="24"/>
            <w:szCs w:val="24"/>
          </w:rPr>
          <w:t>https://doi.org/10.1007/s13679-020-00416-8</w:t>
        </w:r>
      </w:hyperlink>
    </w:p>
    <w:p w14:paraId="57F52FB5" w14:textId="77777777" w:rsidR="00CD73CD" w:rsidRDefault="00CD73CD" w:rsidP="005667C5">
      <w:pPr>
        <w:spacing w:line="360" w:lineRule="auto"/>
        <w:ind w:left="720" w:hanging="720"/>
        <w:rPr>
          <w:rFonts w:ascii="Calibri" w:hAnsi="Calibri" w:cs="Calibri"/>
          <w:sz w:val="24"/>
          <w:szCs w:val="24"/>
        </w:rPr>
      </w:pPr>
      <w:r w:rsidRPr="00617AA3">
        <w:rPr>
          <w:rFonts w:ascii="Calibri" w:hAnsi="Calibri" w:cs="Calibri"/>
          <w:sz w:val="24"/>
          <w:szCs w:val="24"/>
        </w:rPr>
        <w:t xml:space="preserve">Healthier Weight. (2019). </w:t>
      </w:r>
      <w:r w:rsidRPr="00617AA3">
        <w:rPr>
          <w:rFonts w:ascii="Calibri" w:hAnsi="Calibri" w:cs="Calibri"/>
          <w:i/>
          <w:iCs/>
          <w:sz w:val="24"/>
          <w:szCs w:val="24"/>
        </w:rPr>
        <w:t>Weight loss surgery – Private vs NHS</w:t>
      </w:r>
      <w:r w:rsidRPr="00617AA3">
        <w:rPr>
          <w:rFonts w:ascii="Calibri" w:hAnsi="Calibri" w:cs="Calibri"/>
          <w:sz w:val="24"/>
          <w:szCs w:val="24"/>
        </w:rPr>
        <w:t xml:space="preserve">. </w:t>
      </w:r>
      <w:hyperlink r:id="rId67" w:history="1">
        <w:r w:rsidRPr="007F1063">
          <w:rPr>
            <w:rStyle w:val="Hyperlink"/>
            <w:rFonts w:ascii="Calibri" w:hAnsi="Calibri" w:cs="Calibri"/>
            <w:sz w:val="24"/>
            <w:szCs w:val="24"/>
          </w:rPr>
          <w:t>https://www.healthierweight.co.uk/wp-content/uploads/2019/10/Private-vs-NHS-v1.pdf</w:t>
        </w:r>
      </w:hyperlink>
    </w:p>
    <w:p w14:paraId="1A4E180F" w14:textId="77777777" w:rsidR="00CD73CD" w:rsidRDefault="00CD73CD" w:rsidP="005667C5">
      <w:pPr>
        <w:ind w:left="720" w:hanging="720"/>
        <w:rPr>
          <w:rFonts w:ascii="Calibri" w:hAnsi="Calibri" w:cs="Calibri"/>
          <w:sz w:val="24"/>
          <w:szCs w:val="24"/>
        </w:rPr>
      </w:pPr>
      <w:r w:rsidRPr="00816FB0">
        <w:rPr>
          <w:rFonts w:ascii="Calibri" w:hAnsi="Calibri" w:cs="Calibri"/>
          <w:sz w:val="24"/>
          <w:szCs w:val="24"/>
        </w:rPr>
        <w:t xml:space="preserve">Homer, C. V., Tod, A. M., Thompson, A. R., </w:t>
      </w:r>
      <w:proofErr w:type="spellStart"/>
      <w:r w:rsidRPr="00816FB0">
        <w:rPr>
          <w:rFonts w:ascii="Calibri" w:hAnsi="Calibri" w:cs="Calibri"/>
          <w:sz w:val="24"/>
          <w:szCs w:val="24"/>
        </w:rPr>
        <w:t>Allmark</w:t>
      </w:r>
      <w:proofErr w:type="spellEnd"/>
      <w:r w:rsidRPr="00816FB0">
        <w:rPr>
          <w:rFonts w:ascii="Calibri" w:hAnsi="Calibri" w:cs="Calibri"/>
          <w:sz w:val="24"/>
          <w:szCs w:val="24"/>
        </w:rPr>
        <w:t xml:space="preserve">, P., &amp; Goyder, E. (2016). Expectations and patients’ experiences of obesity prior to bariatric surgery: A qualitative study. </w:t>
      </w:r>
      <w:r w:rsidRPr="00816FB0">
        <w:rPr>
          <w:rFonts w:ascii="Calibri" w:hAnsi="Calibri" w:cs="Calibri"/>
          <w:i/>
          <w:iCs/>
          <w:sz w:val="24"/>
          <w:szCs w:val="24"/>
        </w:rPr>
        <w:t>BMJ Open, 6</w:t>
      </w:r>
      <w:r w:rsidRPr="00816FB0">
        <w:rPr>
          <w:rFonts w:ascii="Calibri" w:hAnsi="Calibri" w:cs="Calibri"/>
          <w:sz w:val="24"/>
          <w:szCs w:val="24"/>
        </w:rPr>
        <w:t xml:space="preserve">(2), e009389. </w:t>
      </w:r>
      <w:hyperlink r:id="rId68" w:history="1">
        <w:r w:rsidRPr="007F1063">
          <w:rPr>
            <w:rStyle w:val="Hyperlink"/>
            <w:rFonts w:ascii="Calibri" w:hAnsi="Calibri" w:cs="Calibri"/>
            <w:sz w:val="24"/>
            <w:szCs w:val="24"/>
          </w:rPr>
          <w:t>https://doi.org/10.1136/bmjopen-2015-009389</w:t>
        </w:r>
      </w:hyperlink>
    </w:p>
    <w:p w14:paraId="40FDC9B9" w14:textId="77777777" w:rsidR="00CD73CD" w:rsidRDefault="00CD73CD" w:rsidP="005667C5">
      <w:pPr>
        <w:ind w:left="720" w:hanging="720"/>
        <w:rPr>
          <w:rFonts w:ascii="Calibri" w:hAnsi="Calibri" w:cs="Calibri"/>
          <w:sz w:val="24"/>
          <w:szCs w:val="24"/>
        </w:rPr>
      </w:pPr>
      <w:proofErr w:type="spellStart"/>
      <w:r w:rsidRPr="00642A43">
        <w:rPr>
          <w:rFonts w:ascii="Calibri" w:hAnsi="Calibri" w:cs="Calibri"/>
          <w:sz w:val="24"/>
          <w:szCs w:val="24"/>
        </w:rPr>
        <w:t>HotPMO</w:t>
      </w:r>
      <w:proofErr w:type="spellEnd"/>
      <w:r w:rsidRPr="00642A43">
        <w:rPr>
          <w:rFonts w:ascii="Calibri" w:hAnsi="Calibri" w:cs="Calibri"/>
          <w:sz w:val="24"/>
          <w:szCs w:val="24"/>
        </w:rPr>
        <w:t xml:space="preserve">. (2025). </w:t>
      </w:r>
      <w:r w:rsidRPr="00642A43">
        <w:rPr>
          <w:rFonts w:ascii="Calibri" w:hAnsi="Calibri" w:cs="Calibri"/>
          <w:i/>
          <w:iCs/>
          <w:sz w:val="24"/>
          <w:szCs w:val="24"/>
        </w:rPr>
        <w:t xml:space="preserve">Kano Model vs </w:t>
      </w:r>
      <w:proofErr w:type="spellStart"/>
      <w:r w:rsidRPr="00642A43">
        <w:rPr>
          <w:rFonts w:ascii="Calibri" w:hAnsi="Calibri" w:cs="Calibri"/>
          <w:i/>
          <w:iCs/>
          <w:sz w:val="24"/>
          <w:szCs w:val="24"/>
        </w:rPr>
        <w:t>MoSCoW</w:t>
      </w:r>
      <w:proofErr w:type="spellEnd"/>
      <w:r w:rsidRPr="00642A43">
        <w:rPr>
          <w:rFonts w:ascii="Calibri" w:hAnsi="Calibri" w:cs="Calibri"/>
          <w:i/>
          <w:iCs/>
          <w:sz w:val="24"/>
          <w:szCs w:val="24"/>
        </w:rPr>
        <w:t xml:space="preserve"> – How do you prioritize?</w:t>
      </w:r>
      <w:r w:rsidRPr="00642A43">
        <w:rPr>
          <w:rFonts w:ascii="Calibri" w:hAnsi="Calibri" w:cs="Calibri"/>
          <w:sz w:val="24"/>
          <w:szCs w:val="24"/>
        </w:rPr>
        <w:t xml:space="preserve"> </w:t>
      </w:r>
      <w:hyperlink r:id="rId69" w:history="1">
        <w:r w:rsidRPr="00AF28D8">
          <w:rPr>
            <w:rStyle w:val="Hyperlink"/>
            <w:rFonts w:ascii="Calibri" w:hAnsi="Calibri" w:cs="Calibri"/>
            <w:sz w:val="24"/>
            <w:szCs w:val="24"/>
          </w:rPr>
          <w:t>https://www.hotpmo.com/management-models/moscow-kano-prioritize/</w:t>
        </w:r>
      </w:hyperlink>
    </w:p>
    <w:p w14:paraId="6330829D" w14:textId="77777777" w:rsidR="00CD73CD" w:rsidRDefault="00CD73CD" w:rsidP="005667C5">
      <w:pPr>
        <w:spacing w:line="360" w:lineRule="auto"/>
        <w:ind w:left="720" w:hanging="720"/>
        <w:rPr>
          <w:rFonts w:ascii="Calibri" w:hAnsi="Calibri" w:cs="Calibri"/>
          <w:sz w:val="24"/>
          <w:szCs w:val="24"/>
        </w:rPr>
      </w:pPr>
      <w:r w:rsidRPr="0077275E">
        <w:rPr>
          <w:rFonts w:ascii="Calibri" w:hAnsi="Calibri" w:cs="Calibri"/>
          <w:sz w:val="24"/>
          <w:szCs w:val="24"/>
        </w:rPr>
        <w:t xml:space="preserve">Jane, M., Hagger, M., Foster, J., Ho, S., &amp; Pal, S. (2018). Social media for health promotion and weight management: A critical debate. </w:t>
      </w:r>
      <w:r w:rsidRPr="0077275E">
        <w:rPr>
          <w:rFonts w:ascii="Calibri" w:hAnsi="Calibri" w:cs="Calibri"/>
          <w:i/>
          <w:iCs/>
          <w:sz w:val="24"/>
          <w:szCs w:val="24"/>
        </w:rPr>
        <w:t>BMC Public Health, 18</w:t>
      </w:r>
      <w:r w:rsidRPr="0077275E">
        <w:rPr>
          <w:rFonts w:ascii="Calibri" w:hAnsi="Calibri" w:cs="Calibri"/>
          <w:sz w:val="24"/>
          <w:szCs w:val="24"/>
        </w:rPr>
        <w:t xml:space="preserve">, Article 932. </w:t>
      </w:r>
      <w:hyperlink r:id="rId70" w:history="1">
        <w:r w:rsidRPr="007F1063">
          <w:rPr>
            <w:rStyle w:val="Hyperlink"/>
            <w:rFonts w:ascii="Calibri" w:hAnsi="Calibri" w:cs="Calibri"/>
            <w:sz w:val="24"/>
            <w:szCs w:val="24"/>
          </w:rPr>
          <w:t>https://doi.org/10.1186/s12889-018-5837-3</w:t>
        </w:r>
      </w:hyperlink>
    </w:p>
    <w:p w14:paraId="6F8BF9D7" w14:textId="77777777" w:rsidR="00CD73CD" w:rsidRDefault="00CD73CD" w:rsidP="005667C5">
      <w:pPr>
        <w:ind w:left="720" w:hanging="720"/>
        <w:rPr>
          <w:rFonts w:ascii="Calibri" w:hAnsi="Calibri" w:cs="Calibri"/>
          <w:sz w:val="24"/>
          <w:szCs w:val="24"/>
        </w:rPr>
      </w:pPr>
      <w:r w:rsidRPr="00E857A8">
        <w:rPr>
          <w:rFonts w:ascii="Calibri" w:hAnsi="Calibri" w:cs="Calibri"/>
          <w:sz w:val="24"/>
          <w:szCs w:val="24"/>
        </w:rPr>
        <w:t xml:space="preserve">Joseph, A. L., </w:t>
      </w:r>
      <w:proofErr w:type="spellStart"/>
      <w:r w:rsidRPr="00E857A8">
        <w:rPr>
          <w:rFonts w:ascii="Calibri" w:hAnsi="Calibri" w:cs="Calibri"/>
          <w:sz w:val="24"/>
          <w:szCs w:val="24"/>
        </w:rPr>
        <w:t>Kushniruk</w:t>
      </w:r>
      <w:proofErr w:type="spellEnd"/>
      <w:r w:rsidRPr="00E857A8">
        <w:rPr>
          <w:rFonts w:ascii="Calibri" w:hAnsi="Calibri" w:cs="Calibri"/>
          <w:sz w:val="24"/>
          <w:szCs w:val="24"/>
        </w:rPr>
        <w:t xml:space="preserve">, A. W., &amp; </w:t>
      </w:r>
      <w:proofErr w:type="spellStart"/>
      <w:r w:rsidRPr="00E857A8">
        <w:rPr>
          <w:rFonts w:ascii="Calibri" w:hAnsi="Calibri" w:cs="Calibri"/>
          <w:sz w:val="24"/>
          <w:szCs w:val="24"/>
        </w:rPr>
        <w:t>Borycki</w:t>
      </w:r>
      <w:proofErr w:type="spellEnd"/>
      <w:r w:rsidRPr="00E857A8">
        <w:rPr>
          <w:rFonts w:ascii="Calibri" w:hAnsi="Calibri" w:cs="Calibri"/>
          <w:sz w:val="24"/>
          <w:szCs w:val="24"/>
        </w:rPr>
        <w:t xml:space="preserve">, E. M. (2020). Patient journey mapping: Current practices, challenges and future opportunities in healthcare. </w:t>
      </w:r>
      <w:r w:rsidRPr="00E857A8">
        <w:rPr>
          <w:rFonts w:ascii="Calibri" w:hAnsi="Calibri" w:cs="Calibri"/>
          <w:i/>
          <w:iCs/>
          <w:sz w:val="24"/>
          <w:szCs w:val="24"/>
        </w:rPr>
        <w:t>Knowledge Management &amp; E-Learning, 12</w:t>
      </w:r>
      <w:r w:rsidRPr="00E857A8">
        <w:rPr>
          <w:rFonts w:ascii="Calibri" w:hAnsi="Calibri" w:cs="Calibri"/>
          <w:sz w:val="24"/>
          <w:szCs w:val="24"/>
        </w:rPr>
        <w:t xml:space="preserve">(4), 387–404. </w:t>
      </w:r>
      <w:hyperlink r:id="rId71" w:history="1">
        <w:r w:rsidRPr="007F1063">
          <w:rPr>
            <w:rStyle w:val="Hyperlink"/>
            <w:rFonts w:ascii="Calibri" w:hAnsi="Calibri" w:cs="Calibri"/>
            <w:sz w:val="24"/>
            <w:szCs w:val="24"/>
          </w:rPr>
          <w:t>https://www.proquest.com/docview/2509652877</w:t>
        </w:r>
      </w:hyperlink>
    </w:p>
    <w:p w14:paraId="67FCA8F6" w14:textId="77777777" w:rsidR="00CD73CD" w:rsidRDefault="00CD73CD" w:rsidP="005667C5">
      <w:pPr>
        <w:spacing w:line="360" w:lineRule="auto"/>
        <w:ind w:left="720" w:hanging="720"/>
        <w:rPr>
          <w:rFonts w:ascii="Calibri" w:hAnsi="Calibri" w:cs="Calibri"/>
          <w:sz w:val="24"/>
          <w:szCs w:val="24"/>
        </w:rPr>
      </w:pPr>
      <w:r w:rsidRPr="00AF7DD9">
        <w:rPr>
          <w:rFonts w:ascii="Calibri" w:hAnsi="Calibri" w:cs="Calibri"/>
          <w:sz w:val="24"/>
          <w:szCs w:val="24"/>
        </w:rPr>
        <w:t xml:space="preserve">Kamakura, W., Mela, C. F., Ansari, A., Bodapati, A., Fader, P., Iyengar, R., Naik, P., </w:t>
      </w:r>
      <w:proofErr w:type="spellStart"/>
      <w:r w:rsidRPr="00AF7DD9">
        <w:rPr>
          <w:rFonts w:ascii="Calibri" w:hAnsi="Calibri" w:cs="Calibri"/>
          <w:sz w:val="24"/>
          <w:szCs w:val="24"/>
        </w:rPr>
        <w:t>Neslin</w:t>
      </w:r>
      <w:proofErr w:type="spellEnd"/>
      <w:r w:rsidRPr="00AF7DD9">
        <w:rPr>
          <w:rFonts w:ascii="Calibri" w:hAnsi="Calibri" w:cs="Calibri"/>
          <w:sz w:val="24"/>
          <w:szCs w:val="24"/>
        </w:rPr>
        <w:t>, S., Sun, B., Verhoef, P. C., Wedel, M., &amp; Wilcox, R. (2005). Choice models and customer relationship management. </w:t>
      </w:r>
      <w:r w:rsidRPr="00AF7DD9">
        <w:rPr>
          <w:rFonts w:ascii="Calibri" w:hAnsi="Calibri" w:cs="Calibri"/>
          <w:i/>
          <w:iCs/>
          <w:sz w:val="24"/>
          <w:szCs w:val="24"/>
        </w:rPr>
        <w:t>Marketing Letters, 16</w:t>
      </w:r>
      <w:r w:rsidRPr="00AF7DD9">
        <w:rPr>
          <w:rFonts w:ascii="Calibri" w:hAnsi="Calibri" w:cs="Calibri"/>
          <w:sz w:val="24"/>
          <w:szCs w:val="24"/>
        </w:rPr>
        <w:t>(4), 279-291. </w:t>
      </w:r>
      <w:hyperlink r:id="rId72" w:history="1">
        <w:r w:rsidRPr="007F1063">
          <w:rPr>
            <w:rStyle w:val="Hyperlink"/>
            <w:rFonts w:ascii="Calibri" w:hAnsi="Calibri" w:cs="Calibri"/>
            <w:sz w:val="24"/>
            <w:szCs w:val="24"/>
          </w:rPr>
          <w:t>https://doi.org/10.1007/s11002-005-5892-2</w:t>
        </w:r>
      </w:hyperlink>
    </w:p>
    <w:p w14:paraId="62EAC8F2" w14:textId="77777777" w:rsidR="00CD73CD" w:rsidRDefault="00CD73CD" w:rsidP="005667C5">
      <w:pPr>
        <w:spacing w:line="360" w:lineRule="auto"/>
        <w:ind w:left="720" w:hanging="720"/>
        <w:rPr>
          <w:rFonts w:ascii="Calibri" w:hAnsi="Calibri" w:cs="Calibri"/>
          <w:sz w:val="24"/>
          <w:szCs w:val="24"/>
        </w:rPr>
      </w:pPr>
      <w:proofErr w:type="spellStart"/>
      <w:r w:rsidRPr="002E678D">
        <w:rPr>
          <w:rFonts w:ascii="Calibri" w:hAnsi="Calibri" w:cs="Calibri"/>
          <w:sz w:val="24"/>
          <w:szCs w:val="24"/>
        </w:rPr>
        <w:t>Kanchanapoom</w:t>
      </w:r>
      <w:proofErr w:type="spellEnd"/>
      <w:r w:rsidRPr="002E678D">
        <w:rPr>
          <w:rFonts w:ascii="Calibri" w:hAnsi="Calibri" w:cs="Calibri"/>
          <w:sz w:val="24"/>
          <w:szCs w:val="24"/>
        </w:rPr>
        <w:t xml:space="preserve">, K., &amp; </w:t>
      </w:r>
      <w:proofErr w:type="spellStart"/>
      <w:r w:rsidRPr="002E678D">
        <w:rPr>
          <w:rFonts w:ascii="Calibri" w:hAnsi="Calibri" w:cs="Calibri"/>
          <w:sz w:val="24"/>
          <w:szCs w:val="24"/>
        </w:rPr>
        <w:t>Chongwatpol</w:t>
      </w:r>
      <w:proofErr w:type="spellEnd"/>
      <w:r w:rsidRPr="002E678D">
        <w:rPr>
          <w:rFonts w:ascii="Calibri" w:hAnsi="Calibri" w:cs="Calibri"/>
          <w:sz w:val="24"/>
          <w:szCs w:val="24"/>
        </w:rPr>
        <w:t>, J. (2023). Integrated customer lifetime value (CLV) and customer migration model to improve customer segmentation. </w:t>
      </w:r>
      <w:r w:rsidRPr="002E678D">
        <w:rPr>
          <w:rFonts w:ascii="Calibri" w:hAnsi="Calibri" w:cs="Calibri"/>
          <w:i/>
          <w:iCs/>
          <w:sz w:val="24"/>
          <w:szCs w:val="24"/>
        </w:rPr>
        <w:t>Journal of Marketing Analytics, 11</w:t>
      </w:r>
      <w:r w:rsidRPr="002E678D">
        <w:rPr>
          <w:rFonts w:ascii="Calibri" w:hAnsi="Calibri" w:cs="Calibri"/>
          <w:sz w:val="24"/>
          <w:szCs w:val="24"/>
        </w:rPr>
        <w:t>(2), 172-185. </w:t>
      </w:r>
      <w:hyperlink r:id="rId73" w:history="1">
        <w:r w:rsidRPr="007F1063">
          <w:rPr>
            <w:rStyle w:val="Hyperlink"/>
            <w:rFonts w:ascii="Calibri" w:hAnsi="Calibri" w:cs="Calibri"/>
            <w:sz w:val="24"/>
            <w:szCs w:val="24"/>
          </w:rPr>
          <w:t>https://doi.org/10.1057/s41270-022-00158-7</w:t>
        </w:r>
      </w:hyperlink>
    </w:p>
    <w:p w14:paraId="642BD51D" w14:textId="77777777" w:rsidR="00CD73CD" w:rsidRDefault="00CD73CD" w:rsidP="005667C5">
      <w:pPr>
        <w:spacing w:line="360" w:lineRule="auto"/>
        <w:ind w:left="720" w:hanging="720"/>
        <w:rPr>
          <w:rFonts w:ascii="Calibri" w:hAnsi="Calibri" w:cs="Calibri"/>
          <w:sz w:val="24"/>
          <w:szCs w:val="24"/>
        </w:rPr>
      </w:pPr>
      <w:proofErr w:type="spellStart"/>
      <w:r w:rsidRPr="00737AA7">
        <w:rPr>
          <w:rFonts w:ascii="Calibri" w:hAnsi="Calibri" w:cs="Calibri"/>
          <w:sz w:val="24"/>
          <w:szCs w:val="24"/>
        </w:rPr>
        <w:lastRenderedPageBreak/>
        <w:t>Khoshraftar</w:t>
      </w:r>
      <w:proofErr w:type="spellEnd"/>
      <w:r w:rsidRPr="00737AA7">
        <w:rPr>
          <w:rFonts w:ascii="Calibri" w:hAnsi="Calibri" w:cs="Calibri"/>
          <w:sz w:val="24"/>
          <w:szCs w:val="24"/>
        </w:rPr>
        <w:t xml:space="preserve">, A., Yazdi, M. F. A., Ibrahim, O., Amini, M., </w:t>
      </w:r>
      <w:proofErr w:type="spellStart"/>
      <w:r w:rsidRPr="00737AA7">
        <w:rPr>
          <w:rFonts w:ascii="Calibri" w:hAnsi="Calibri" w:cs="Calibri"/>
          <w:sz w:val="24"/>
          <w:szCs w:val="24"/>
        </w:rPr>
        <w:t>Nilashi</w:t>
      </w:r>
      <w:proofErr w:type="spellEnd"/>
      <w:r w:rsidRPr="00737AA7">
        <w:rPr>
          <w:rFonts w:ascii="Calibri" w:hAnsi="Calibri" w:cs="Calibri"/>
          <w:sz w:val="24"/>
          <w:szCs w:val="24"/>
        </w:rPr>
        <w:t xml:space="preserve">, M., </w:t>
      </w:r>
      <w:proofErr w:type="spellStart"/>
      <w:r w:rsidRPr="00737AA7">
        <w:rPr>
          <w:rFonts w:ascii="Calibri" w:hAnsi="Calibri" w:cs="Calibri"/>
          <w:sz w:val="24"/>
          <w:szCs w:val="24"/>
        </w:rPr>
        <w:t>Khoshraftar</w:t>
      </w:r>
      <w:proofErr w:type="spellEnd"/>
      <w:r w:rsidRPr="00737AA7">
        <w:rPr>
          <w:rFonts w:ascii="Calibri" w:hAnsi="Calibri" w:cs="Calibri"/>
          <w:sz w:val="24"/>
          <w:szCs w:val="24"/>
        </w:rPr>
        <w:t xml:space="preserve">, A., &amp; Talebi, A. (2011). </w:t>
      </w:r>
      <w:r w:rsidRPr="00737AA7">
        <w:rPr>
          <w:rFonts w:ascii="Calibri" w:hAnsi="Calibri" w:cs="Calibri"/>
          <w:i/>
          <w:iCs/>
          <w:sz w:val="24"/>
          <w:szCs w:val="24"/>
        </w:rPr>
        <w:t>Improving the CRM system in healthcare organization</w:t>
      </w:r>
      <w:r w:rsidRPr="00737AA7">
        <w:rPr>
          <w:rFonts w:ascii="Calibri" w:hAnsi="Calibri" w:cs="Calibri"/>
          <w:sz w:val="24"/>
          <w:szCs w:val="24"/>
        </w:rPr>
        <w:t xml:space="preserve">. </w:t>
      </w:r>
      <w:r w:rsidRPr="00737AA7">
        <w:rPr>
          <w:rFonts w:ascii="Calibri" w:hAnsi="Calibri" w:cs="Calibri"/>
          <w:i/>
          <w:iCs/>
          <w:sz w:val="24"/>
          <w:szCs w:val="24"/>
        </w:rPr>
        <w:t>International Journal of Computer Engineering &amp; Science, 1</w:t>
      </w:r>
      <w:r w:rsidRPr="00737AA7">
        <w:rPr>
          <w:rFonts w:ascii="Calibri" w:hAnsi="Calibri" w:cs="Calibri"/>
          <w:sz w:val="24"/>
          <w:szCs w:val="24"/>
        </w:rPr>
        <w:t xml:space="preserve">(2), 28–35. </w:t>
      </w:r>
      <w:hyperlink r:id="rId74" w:history="1">
        <w:r w:rsidRPr="007F1063">
          <w:rPr>
            <w:rStyle w:val="Hyperlink"/>
            <w:rFonts w:ascii="Calibri" w:hAnsi="Calibri" w:cs="Calibri"/>
            <w:sz w:val="24"/>
            <w:szCs w:val="24"/>
          </w:rPr>
          <w:t>https://d1wqtxts1xzle7.cloudfront.net/34522497/1.Improving_the_CRM_System_in_Healthcare_Organization-libre.pdf</w:t>
        </w:r>
      </w:hyperlink>
    </w:p>
    <w:p w14:paraId="009B9447" w14:textId="77777777" w:rsidR="00CD73CD" w:rsidRDefault="00CD73CD" w:rsidP="005667C5">
      <w:pPr>
        <w:ind w:left="720" w:hanging="720"/>
        <w:rPr>
          <w:rFonts w:ascii="Calibri" w:hAnsi="Calibri" w:cs="Calibri"/>
          <w:sz w:val="24"/>
          <w:szCs w:val="24"/>
        </w:rPr>
      </w:pPr>
      <w:r w:rsidRPr="001452DF">
        <w:rPr>
          <w:rFonts w:ascii="Calibri" w:hAnsi="Calibri" w:cs="Calibri"/>
          <w:sz w:val="24"/>
          <w:szCs w:val="24"/>
        </w:rPr>
        <w:t xml:space="preserve">Kulpa, J. (2017, October 24). </w:t>
      </w:r>
      <w:r w:rsidRPr="001452DF">
        <w:rPr>
          <w:rFonts w:ascii="Calibri" w:hAnsi="Calibri" w:cs="Calibri"/>
          <w:i/>
          <w:iCs/>
          <w:sz w:val="24"/>
          <w:szCs w:val="24"/>
        </w:rPr>
        <w:t>Why is customer relationship management so important?</w:t>
      </w:r>
      <w:r w:rsidRPr="001452DF">
        <w:rPr>
          <w:rFonts w:ascii="Calibri" w:hAnsi="Calibri" w:cs="Calibri"/>
          <w:sz w:val="24"/>
          <w:szCs w:val="24"/>
        </w:rPr>
        <w:t xml:space="preserve"> Forbes. </w:t>
      </w:r>
      <w:hyperlink r:id="rId75" w:history="1">
        <w:r w:rsidRPr="007F1063">
          <w:rPr>
            <w:rStyle w:val="Hyperlink"/>
            <w:rFonts w:ascii="Calibri" w:hAnsi="Calibri" w:cs="Calibri"/>
            <w:sz w:val="24"/>
            <w:szCs w:val="24"/>
          </w:rPr>
          <w:t>https://www.forbes.com/sites/forbesagencycouncil/2017/10/24/why-is-customer-relationship-management-so-important</w:t>
        </w:r>
      </w:hyperlink>
    </w:p>
    <w:p w14:paraId="6B9419FE" w14:textId="77777777" w:rsidR="00CD73CD" w:rsidRDefault="00CD73CD" w:rsidP="005667C5">
      <w:pPr>
        <w:spacing w:line="360" w:lineRule="auto"/>
        <w:ind w:left="720" w:hanging="720"/>
        <w:rPr>
          <w:rFonts w:ascii="Calibri" w:hAnsi="Calibri" w:cs="Calibri"/>
          <w:sz w:val="24"/>
          <w:szCs w:val="24"/>
        </w:rPr>
      </w:pPr>
      <w:r w:rsidRPr="00050829">
        <w:rPr>
          <w:rFonts w:ascii="Calibri" w:hAnsi="Calibri" w:cs="Calibri"/>
          <w:sz w:val="24"/>
          <w:szCs w:val="24"/>
        </w:rPr>
        <w:t>Kushner, R. F. (2014). Weight loss strategies for treatment of obesity. </w:t>
      </w:r>
      <w:r w:rsidRPr="00050829">
        <w:rPr>
          <w:rFonts w:ascii="Calibri" w:hAnsi="Calibri" w:cs="Calibri"/>
          <w:i/>
          <w:iCs/>
          <w:sz w:val="24"/>
          <w:szCs w:val="24"/>
        </w:rPr>
        <w:t>Progress in Cardiovascular Diseases, 56</w:t>
      </w:r>
      <w:r w:rsidRPr="00050829">
        <w:rPr>
          <w:rFonts w:ascii="Calibri" w:hAnsi="Calibri" w:cs="Calibri"/>
          <w:sz w:val="24"/>
          <w:szCs w:val="24"/>
        </w:rPr>
        <w:t>(4), 465-472. </w:t>
      </w:r>
      <w:hyperlink r:id="rId76" w:history="1">
        <w:r w:rsidRPr="007F1063">
          <w:rPr>
            <w:rStyle w:val="Hyperlink"/>
            <w:rFonts w:ascii="Calibri" w:hAnsi="Calibri" w:cs="Calibri"/>
            <w:sz w:val="24"/>
            <w:szCs w:val="24"/>
          </w:rPr>
          <w:t>https://doi.org/10.1016/j.pcad.2013.09.005</w:t>
        </w:r>
      </w:hyperlink>
    </w:p>
    <w:p w14:paraId="2BB619F1" w14:textId="77777777" w:rsidR="00CD73CD" w:rsidRPr="00866698" w:rsidRDefault="00CD73CD" w:rsidP="005667C5">
      <w:pPr>
        <w:spacing w:line="360" w:lineRule="auto"/>
        <w:ind w:left="720" w:hanging="720"/>
        <w:rPr>
          <w:rFonts w:ascii="Calibri" w:hAnsi="Calibri" w:cs="Calibri"/>
          <w:sz w:val="24"/>
          <w:szCs w:val="24"/>
        </w:rPr>
      </w:pPr>
      <w:r w:rsidRPr="00866698">
        <w:rPr>
          <w:rFonts w:ascii="Calibri" w:hAnsi="Calibri" w:cs="Calibri"/>
          <w:sz w:val="24"/>
          <w:szCs w:val="24"/>
        </w:rPr>
        <w:t xml:space="preserve">MacPhee, C. (2024, January 15). </w:t>
      </w:r>
      <w:r w:rsidRPr="00866698">
        <w:rPr>
          <w:rFonts w:ascii="Calibri" w:hAnsi="Calibri" w:cs="Calibri"/>
          <w:i/>
          <w:iCs/>
          <w:sz w:val="24"/>
          <w:szCs w:val="24"/>
        </w:rPr>
        <w:t>Bariatric tourism care costs NHS more than actual surgery – study</w:t>
      </w:r>
      <w:r>
        <w:rPr>
          <w:rFonts w:ascii="Calibri" w:hAnsi="Calibri" w:cs="Calibri"/>
          <w:i/>
          <w:iCs/>
          <w:sz w:val="24"/>
          <w:szCs w:val="24"/>
        </w:rPr>
        <w:t xml:space="preserve">. </w:t>
      </w:r>
      <w:r w:rsidRPr="00866698">
        <w:rPr>
          <w:rFonts w:ascii="Calibri" w:hAnsi="Calibri" w:cs="Calibri"/>
          <w:i/>
          <w:iCs/>
          <w:sz w:val="24"/>
          <w:szCs w:val="24"/>
        </w:rPr>
        <w:t xml:space="preserve">BBC News. </w:t>
      </w:r>
      <w:hyperlink r:id="rId77" w:history="1">
        <w:r w:rsidRPr="00866698">
          <w:rPr>
            <w:rStyle w:val="Hyperlink"/>
            <w:rFonts w:ascii="Calibri" w:hAnsi="Calibri" w:cs="Calibri"/>
            <w:sz w:val="24"/>
            <w:szCs w:val="24"/>
          </w:rPr>
          <w:t>https://www.bbc.co.uk/news/uk-england-london-67946049</w:t>
        </w:r>
      </w:hyperlink>
    </w:p>
    <w:p w14:paraId="040DEA87" w14:textId="77777777" w:rsidR="00CD73CD" w:rsidRDefault="00CD73CD" w:rsidP="005667C5">
      <w:pPr>
        <w:ind w:left="720" w:hanging="720"/>
        <w:rPr>
          <w:rFonts w:ascii="Calibri" w:hAnsi="Calibri" w:cs="Calibri"/>
          <w:sz w:val="24"/>
          <w:szCs w:val="24"/>
        </w:rPr>
      </w:pPr>
      <w:r w:rsidRPr="00552A59">
        <w:rPr>
          <w:rFonts w:ascii="Calibri" w:hAnsi="Calibri" w:cs="Calibri"/>
          <w:sz w:val="24"/>
          <w:szCs w:val="24"/>
        </w:rPr>
        <w:t xml:space="preserve">Marcu, R., &amp; Popescu, D. (2020). Healthcare customer relationship management: Marketing process deliverable approach. </w:t>
      </w:r>
      <w:r w:rsidRPr="00552A59">
        <w:rPr>
          <w:rFonts w:ascii="Calibri" w:hAnsi="Calibri" w:cs="Calibri"/>
          <w:i/>
          <w:iCs/>
          <w:sz w:val="24"/>
          <w:szCs w:val="24"/>
        </w:rPr>
        <w:t>Studies in Informatics and Control, 29</w:t>
      </w:r>
      <w:r w:rsidRPr="00552A59">
        <w:rPr>
          <w:rFonts w:ascii="Calibri" w:hAnsi="Calibri" w:cs="Calibri"/>
          <w:sz w:val="24"/>
          <w:szCs w:val="24"/>
        </w:rPr>
        <w:t xml:space="preserve">(3), 329–336. </w:t>
      </w:r>
      <w:hyperlink r:id="rId78" w:history="1">
        <w:r w:rsidRPr="007F1063">
          <w:rPr>
            <w:rStyle w:val="Hyperlink"/>
            <w:rFonts w:ascii="Calibri" w:hAnsi="Calibri" w:cs="Calibri"/>
            <w:sz w:val="24"/>
            <w:szCs w:val="24"/>
          </w:rPr>
          <w:t>https://doi.org/10.24846/v29i3y202006330</w:t>
        </w:r>
      </w:hyperlink>
    </w:p>
    <w:p w14:paraId="24EAE475" w14:textId="77777777" w:rsidR="00CD73CD" w:rsidRDefault="00CD73CD" w:rsidP="005667C5">
      <w:pPr>
        <w:spacing w:line="360" w:lineRule="auto"/>
        <w:ind w:left="720" w:hanging="720"/>
        <w:rPr>
          <w:rFonts w:ascii="Calibri" w:hAnsi="Calibri" w:cs="Calibri"/>
          <w:sz w:val="24"/>
          <w:szCs w:val="24"/>
        </w:rPr>
      </w:pPr>
      <w:r w:rsidRPr="00B65320">
        <w:rPr>
          <w:rFonts w:ascii="Calibri" w:hAnsi="Calibri" w:cs="Calibri"/>
          <w:sz w:val="24"/>
          <w:szCs w:val="24"/>
        </w:rPr>
        <w:t>Minami, C., &amp; Dawson, J. (2008). The CRM process in retail and service sector firms in Japan: Loyalty development and financial return. </w:t>
      </w:r>
      <w:r w:rsidRPr="00B65320">
        <w:rPr>
          <w:rFonts w:ascii="Calibri" w:hAnsi="Calibri" w:cs="Calibri"/>
          <w:i/>
          <w:iCs/>
          <w:sz w:val="24"/>
          <w:szCs w:val="24"/>
        </w:rPr>
        <w:t>Journal of Retailing and Consumer Services, 15</w:t>
      </w:r>
      <w:r w:rsidRPr="00B65320">
        <w:rPr>
          <w:rFonts w:ascii="Calibri" w:hAnsi="Calibri" w:cs="Calibri"/>
          <w:sz w:val="24"/>
          <w:szCs w:val="24"/>
        </w:rPr>
        <w:t>(5), 375-385. </w:t>
      </w:r>
      <w:hyperlink r:id="rId79" w:history="1">
        <w:r w:rsidRPr="007F1063">
          <w:rPr>
            <w:rStyle w:val="Hyperlink"/>
            <w:rFonts w:ascii="Calibri" w:hAnsi="Calibri" w:cs="Calibri"/>
            <w:sz w:val="24"/>
            <w:szCs w:val="24"/>
          </w:rPr>
          <w:t>https://doi.org/10.1016/j.jretconser.2007.09.001</w:t>
        </w:r>
      </w:hyperlink>
    </w:p>
    <w:p w14:paraId="624B24CF" w14:textId="77777777" w:rsidR="00CD73CD" w:rsidRPr="002D5A2E" w:rsidRDefault="00CD73CD" w:rsidP="005667C5">
      <w:pPr>
        <w:ind w:left="720" w:hanging="720"/>
        <w:rPr>
          <w:rFonts w:ascii="Calibri" w:hAnsi="Calibri" w:cs="Calibri"/>
          <w:sz w:val="24"/>
          <w:szCs w:val="24"/>
        </w:rPr>
      </w:pPr>
      <w:r w:rsidRPr="008E1FDE">
        <w:rPr>
          <w:rFonts w:ascii="Calibri" w:hAnsi="Calibri" w:cs="Calibri"/>
          <w:sz w:val="24"/>
          <w:szCs w:val="24"/>
        </w:rPr>
        <w:t xml:space="preserve">Moore, L., Britten, N., Lydahl, D., </w:t>
      </w:r>
      <w:proofErr w:type="spellStart"/>
      <w:r w:rsidRPr="008E1FDE">
        <w:rPr>
          <w:rFonts w:ascii="Calibri" w:hAnsi="Calibri" w:cs="Calibri"/>
          <w:sz w:val="24"/>
          <w:szCs w:val="24"/>
        </w:rPr>
        <w:t>Naldemirci</w:t>
      </w:r>
      <w:proofErr w:type="spellEnd"/>
      <w:r w:rsidRPr="008E1FDE">
        <w:rPr>
          <w:rFonts w:ascii="Calibri" w:hAnsi="Calibri" w:cs="Calibri"/>
          <w:sz w:val="24"/>
          <w:szCs w:val="24"/>
        </w:rPr>
        <w:t xml:space="preserve">, Ö., Elam, M., &amp; Wolf, A. (2016). Barriers and facilitators to the implementation of person‐centred care in different healthcare contexts. </w:t>
      </w:r>
      <w:r w:rsidRPr="008E1FDE">
        <w:rPr>
          <w:rFonts w:ascii="Calibri" w:hAnsi="Calibri" w:cs="Calibri"/>
          <w:i/>
          <w:iCs/>
          <w:sz w:val="24"/>
          <w:szCs w:val="24"/>
        </w:rPr>
        <w:t>Scandinavian Journal of Caring Sciences, 31</w:t>
      </w:r>
      <w:r w:rsidRPr="008E1FDE">
        <w:rPr>
          <w:rFonts w:ascii="Calibri" w:hAnsi="Calibri" w:cs="Calibri"/>
          <w:sz w:val="24"/>
          <w:szCs w:val="24"/>
        </w:rPr>
        <w:t xml:space="preserve">(4), 662–673. </w:t>
      </w:r>
      <w:hyperlink r:id="rId80" w:history="1">
        <w:r w:rsidRPr="00AF28D8">
          <w:rPr>
            <w:rStyle w:val="Hyperlink"/>
            <w:rFonts w:ascii="Calibri" w:hAnsi="Calibri" w:cs="Calibri"/>
            <w:sz w:val="24"/>
            <w:szCs w:val="24"/>
          </w:rPr>
          <w:t>https://pmc.ncbi.nlm.nih.gov/articles/PMC5724704</w:t>
        </w:r>
      </w:hyperlink>
    </w:p>
    <w:p w14:paraId="77CFFDE6" w14:textId="77777777" w:rsidR="00CD73CD" w:rsidRDefault="00CD73CD" w:rsidP="005667C5">
      <w:pPr>
        <w:spacing w:line="360" w:lineRule="auto"/>
        <w:ind w:left="720" w:hanging="720"/>
        <w:rPr>
          <w:rFonts w:ascii="Calibri" w:hAnsi="Calibri" w:cs="Calibri"/>
          <w:sz w:val="24"/>
          <w:szCs w:val="24"/>
        </w:rPr>
      </w:pPr>
      <w:r w:rsidRPr="007F5781">
        <w:rPr>
          <w:rFonts w:ascii="Calibri" w:hAnsi="Calibri" w:cs="Calibri"/>
          <w:sz w:val="24"/>
          <w:szCs w:val="24"/>
        </w:rPr>
        <w:t>Nuffield Health. (2025)</w:t>
      </w:r>
      <w:r>
        <w:rPr>
          <w:rFonts w:ascii="Calibri" w:hAnsi="Calibri" w:cs="Calibri"/>
          <w:sz w:val="24"/>
          <w:szCs w:val="24"/>
        </w:rPr>
        <w:t>.</w:t>
      </w:r>
      <w:r w:rsidRPr="007F5781">
        <w:rPr>
          <w:rFonts w:ascii="Calibri" w:hAnsi="Calibri" w:cs="Calibri"/>
          <w:sz w:val="24"/>
          <w:szCs w:val="24"/>
        </w:rPr>
        <w:t xml:space="preserve"> </w:t>
      </w:r>
      <w:r w:rsidRPr="007F5781">
        <w:rPr>
          <w:rFonts w:ascii="Calibri" w:hAnsi="Calibri" w:cs="Calibri"/>
          <w:i/>
          <w:iCs/>
          <w:sz w:val="24"/>
          <w:szCs w:val="24"/>
        </w:rPr>
        <w:t>Weight loss surgery</w:t>
      </w:r>
      <w:r w:rsidRPr="007F5781">
        <w:rPr>
          <w:rFonts w:ascii="Calibri" w:hAnsi="Calibri" w:cs="Calibri"/>
          <w:sz w:val="24"/>
          <w:szCs w:val="24"/>
        </w:rPr>
        <w:t xml:space="preserve">. </w:t>
      </w:r>
      <w:hyperlink r:id="rId81" w:history="1">
        <w:r w:rsidRPr="007F1063">
          <w:rPr>
            <w:rStyle w:val="Hyperlink"/>
            <w:rFonts w:ascii="Calibri" w:hAnsi="Calibri" w:cs="Calibri"/>
            <w:sz w:val="24"/>
            <w:szCs w:val="24"/>
          </w:rPr>
          <w:t>https://www.nuffieldhealth.com/treatments/weight-loss-surgery</w:t>
        </w:r>
      </w:hyperlink>
    </w:p>
    <w:p w14:paraId="014C658E" w14:textId="77777777" w:rsidR="00CD73CD" w:rsidRDefault="00CD73CD" w:rsidP="005667C5">
      <w:pPr>
        <w:ind w:left="720" w:hanging="720"/>
        <w:rPr>
          <w:rFonts w:ascii="Calibri" w:hAnsi="Calibri" w:cs="Calibri"/>
          <w:sz w:val="24"/>
          <w:szCs w:val="24"/>
        </w:rPr>
      </w:pPr>
      <w:proofErr w:type="spellStart"/>
      <w:r w:rsidRPr="008121A5">
        <w:rPr>
          <w:rFonts w:ascii="Calibri" w:hAnsi="Calibri" w:cs="Calibri"/>
          <w:sz w:val="24"/>
          <w:szCs w:val="24"/>
        </w:rPr>
        <w:t>Ozcelik</w:t>
      </w:r>
      <w:proofErr w:type="spellEnd"/>
      <w:r w:rsidRPr="008121A5">
        <w:rPr>
          <w:rFonts w:ascii="Calibri" w:hAnsi="Calibri" w:cs="Calibri"/>
          <w:sz w:val="24"/>
          <w:szCs w:val="24"/>
        </w:rPr>
        <w:t xml:space="preserve">, A. B., &amp; </w:t>
      </w:r>
      <w:proofErr w:type="spellStart"/>
      <w:r w:rsidRPr="008121A5">
        <w:rPr>
          <w:rFonts w:ascii="Calibri" w:hAnsi="Calibri" w:cs="Calibri"/>
          <w:sz w:val="24"/>
          <w:szCs w:val="24"/>
        </w:rPr>
        <w:t>Burnaz</w:t>
      </w:r>
      <w:proofErr w:type="spellEnd"/>
      <w:r w:rsidRPr="008121A5">
        <w:rPr>
          <w:rFonts w:ascii="Calibri" w:hAnsi="Calibri" w:cs="Calibri"/>
          <w:sz w:val="24"/>
          <w:szCs w:val="24"/>
        </w:rPr>
        <w:t xml:space="preserve">, S. (2019). Customer experience quality dimensions in health care: Perspectives of industry experts. </w:t>
      </w:r>
      <w:r w:rsidRPr="008121A5">
        <w:rPr>
          <w:rFonts w:ascii="Calibri" w:hAnsi="Calibri" w:cs="Calibri"/>
          <w:i/>
          <w:iCs/>
          <w:sz w:val="24"/>
          <w:szCs w:val="24"/>
        </w:rPr>
        <w:t>Journal of Management, Marketing and Logistics</w:t>
      </w:r>
      <w:r w:rsidRPr="008121A5">
        <w:rPr>
          <w:rFonts w:ascii="Calibri" w:hAnsi="Calibri" w:cs="Calibri"/>
          <w:sz w:val="24"/>
          <w:szCs w:val="24"/>
        </w:rPr>
        <w:t xml:space="preserve">, </w:t>
      </w:r>
      <w:r w:rsidRPr="008121A5">
        <w:rPr>
          <w:rFonts w:ascii="Calibri" w:hAnsi="Calibri" w:cs="Calibri"/>
          <w:i/>
          <w:iCs/>
          <w:sz w:val="24"/>
          <w:szCs w:val="24"/>
        </w:rPr>
        <w:t>6</w:t>
      </w:r>
      <w:r w:rsidRPr="008121A5">
        <w:rPr>
          <w:rFonts w:ascii="Calibri" w:hAnsi="Calibri" w:cs="Calibri"/>
          <w:sz w:val="24"/>
          <w:szCs w:val="24"/>
        </w:rPr>
        <w:t xml:space="preserve">(2), 62–72. </w:t>
      </w:r>
      <w:hyperlink r:id="rId82" w:history="1">
        <w:r w:rsidRPr="007F1063">
          <w:rPr>
            <w:rStyle w:val="Hyperlink"/>
            <w:rFonts w:ascii="Calibri" w:hAnsi="Calibri" w:cs="Calibri"/>
            <w:sz w:val="24"/>
            <w:szCs w:val="24"/>
          </w:rPr>
          <w:t>https://doi.org/10.17261/Pressacademia.2019.1034</w:t>
        </w:r>
      </w:hyperlink>
    </w:p>
    <w:p w14:paraId="6AE0BBF2" w14:textId="77777777" w:rsidR="00CD73CD" w:rsidRDefault="00CD73CD" w:rsidP="005667C5">
      <w:pPr>
        <w:spacing w:line="360" w:lineRule="auto"/>
        <w:ind w:left="720" w:hanging="720"/>
        <w:rPr>
          <w:rFonts w:ascii="Calibri" w:hAnsi="Calibri" w:cs="Calibri"/>
          <w:sz w:val="24"/>
          <w:szCs w:val="24"/>
        </w:rPr>
      </w:pPr>
      <w:r w:rsidRPr="00C8219A">
        <w:rPr>
          <w:rFonts w:ascii="Calibri" w:hAnsi="Calibri" w:cs="Calibri"/>
          <w:sz w:val="24"/>
          <w:szCs w:val="24"/>
        </w:rPr>
        <w:t xml:space="preserve">Private Healthcare Information Network. (2024, December 3). </w:t>
      </w:r>
      <w:r w:rsidRPr="00C8219A">
        <w:rPr>
          <w:rFonts w:ascii="Calibri" w:hAnsi="Calibri" w:cs="Calibri"/>
          <w:i/>
          <w:iCs/>
          <w:sz w:val="24"/>
          <w:szCs w:val="24"/>
        </w:rPr>
        <w:t>Worth the weight? An analysis of weight loss surgery in England 2016–2023</w:t>
      </w:r>
      <w:r w:rsidRPr="00C8219A">
        <w:rPr>
          <w:rFonts w:ascii="Calibri" w:hAnsi="Calibri" w:cs="Calibri"/>
          <w:sz w:val="24"/>
          <w:szCs w:val="24"/>
        </w:rPr>
        <w:t xml:space="preserve">. </w:t>
      </w:r>
      <w:hyperlink r:id="rId83" w:history="1">
        <w:r w:rsidRPr="007F1063">
          <w:rPr>
            <w:rStyle w:val="Hyperlink"/>
            <w:rFonts w:ascii="Calibri" w:hAnsi="Calibri" w:cs="Calibri"/>
            <w:sz w:val="24"/>
            <w:szCs w:val="24"/>
          </w:rPr>
          <w:t>https://www.phin.org.uk/news/worth-the-weight-an-analysis-of-weight-loss-surgery-in-england-2016-2023</w:t>
        </w:r>
      </w:hyperlink>
    </w:p>
    <w:p w14:paraId="4A971811" w14:textId="77777777" w:rsidR="00CD73CD" w:rsidRDefault="00CD73CD" w:rsidP="005667C5">
      <w:pPr>
        <w:ind w:left="720" w:hanging="720"/>
        <w:rPr>
          <w:rFonts w:ascii="Calibri" w:hAnsi="Calibri" w:cs="Calibri"/>
          <w:sz w:val="24"/>
          <w:szCs w:val="24"/>
        </w:rPr>
      </w:pPr>
      <w:proofErr w:type="spellStart"/>
      <w:r w:rsidRPr="007C3110">
        <w:rPr>
          <w:rFonts w:ascii="Calibri" w:hAnsi="Calibri" w:cs="Calibri"/>
          <w:sz w:val="24"/>
          <w:szCs w:val="24"/>
        </w:rPr>
        <w:lastRenderedPageBreak/>
        <w:t>ProductPlan</w:t>
      </w:r>
      <w:proofErr w:type="spellEnd"/>
      <w:r w:rsidRPr="007C3110">
        <w:rPr>
          <w:rFonts w:ascii="Calibri" w:hAnsi="Calibri" w:cs="Calibri"/>
          <w:sz w:val="24"/>
          <w:szCs w:val="24"/>
        </w:rPr>
        <w:t xml:space="preserve">. (2025). </w:t>
      </w:r>
      <w:r w:rsidRPr="007C3110">
        <w:rPr>
          <w:rFonts w:ascii="Calibri" w:hAnsi="Calibri" w:cs="Calibri"/>
          <w:i/>
          <w:iCs/>
          <w:sz w:val="24"/>
          <w:szCs w:val="24"/>
        </w:rPr>
        <w:t xml:space="preserve">What is </w:t>
      </w:r>
      <w:proofErr w:type="spellStart"/>
      <w:r w:rsidRPr="007C3110">
        <w:rPr>
          <w:rFonts w:ascii="Calibri" w:hAnsi="Calibri" w:cs="Calibri"/>
          <w:i/>
          <w:iCs/>
          <w:sz w:val="24"/>
          <w:szCs w:val="24"/>
        </w:rPr>
        <w:t>MoSCoW</w:t>
      </w:r>
      <w:proofErr w:type="spellEnd"/>
      <w:r w:rsidRPr="007C3110">
        <w:rPr>
          <w:rFonts w:ascii="Calibri" w:hAnsi="Calibri" w:cs="Calibri"/>
          <w:i/>
          <w:iCs/>
          <w:sz w:val="24"/>
          <w:szCs w:val="24"/>
        </w:rPr>
        <w:t xml:space="preserve"> Prioritization? | Overview of the </w:t>
      </w:r>
      <w:proofErr w:type="spellStart"/>
      <w:r w:rsidRPr="007C3110">
        <w:rPr>
          <w:rFonts w:ascii="Calibri" w:hAnsi="Calibri" w:cs="Calibri"/>
          <w:i/>
          <w:iCs/>
          <w:sz w:val="24"/>
          <w:szCs w:val="24"/>
        </w:rPr>
        <w:t>MoSCoW</w:t>
      </w:r>
      <w:proofErr w:type="spellEnd"/>
      <w:r w:rsidRPr="007C3110">
        <w:rPr>
          <w:rFonts w:ascii="Calibri" w:hAnsi="Calibri" w:cs="Calibri"/>
          <w:i/>
          <w:iCs/>
          <w:sz w:val="24"/>
          <w:szCs w:val="24"/>
        </w:rPr>
        <w:t xml:space="preserve"> method</w:t>
      </w:r>
      <w:r w:rsidRPr="007C3110">
        <w:rPr>
          <w:rFonts w:ascii="Calibri" w:hAnsi="Calibri" w:cs="Calibri"/>
          <w:sz w:val="24"/>
          <w:szCs w:val="24"/>
        </w:rPr>
        <w:t xml:space="preserve">. </w:t>
      </w:r>
      <w:hyperlink r:id="rId84" w:history="1">
        <w:r w:rsidRPr="00AF28D8">
          <w:rPr>
            <w:rStyle w:val="Hyperlink"/>
            <w:rFonts w:ascii="Calibri" w:hAnsi="Calibri" w:cs="Calibri"/>
            <w:sz w:val="24"/>
            <w:szCs w:val="24"/>
          </w:rPr>
          <w:t>https://www.productplan.com/glossary/moscow-prioritization/</w:t>
        </w:r>
      </w:hyperlink>
    </w:p>
    <w:p w14:paraId="218331CC" w14:textId="77777777" w:rsidR="00CD73CD" w:rsidRDefault="00CD73CD" w:rsidP="005667C5">
      <w:pPr>
        <w:ind w:left="720" w:hanging="720"/>
        <w:rPr>
          <w:rFonts w:ascii="Calibri" w:hAnsi="Calibri" w:cs="Calibri"/>
          <w:sz w:val="24"/>
          <w:szCs w:val="24"/>
        </w:rPr>
      </w:pPr>
      <w:r w:rsidRPr="00943072">
        <w:rPr>
          <w:rFonts w:ascii="Calibri" w:hAnsi="Calibri" w:cs="Calibri"/>
          <w:sz w:val="24"/>
          <w:szCs w:val="24"/>
        </w:rPr>
        <w:t xml:space="preserve">Quality Gurus. (2025). </w:t>
      </w:r>
      <w:r w:rsidRPr="00943072">
        <w:rPr>
          <w:rFonts w:ascii="Calibri" w:hAnsi="Calibri" w:cs="Calibri"/>
          <w:i/>
          <w:iCs/>
          <w:sz w:val="24"/>
          <w:szCs w:val="24"/>
        </w:rPr>
        <w:t>Garvin’s 8 dimensions of quality</w:t>
      </w:r>
      <w:r w:rsidRPr="00943072">
        <w:rPr>
          <w:rFonts w:ascii="Calibri" w:hAnsi="Calibri" w:cs="Calibri"/>
          <w:sz w:val="24"/>
          <w:szCs w:val="24"/>
        </w:rPr>
        <w:t xml:space="preserve">. </w:t>
      </w:r>
      <w:hyperlink r:id="rId85" w:history="1">
        <w:r w:rsidRPr="007F1063">
          <w:rPr>
            <w:rStyle w:val="Hyperlink"/>
            <w:rFonts w:ascii="Calibri" w:hAnsi="Calibri" w:cs="Calibri"/>
            <w:sz w:val="24"/>
            <w:szCs w:val="24"/>
          </w:rPr>
          <w:t>https://www.qualitygurus.com/garvins-8-dimensions-of-quality/</w:t>
        </w:r>
      </w:hyperlink>
    </w:p>
    <w:p w14:paraId="411A2EFC" w14:textId="77777777" w:rsidR="00CD73CD" w:rsidRDefault="00CD73CD" w:rsidP="005667C5">
      <w:pPr>
        <w:ind w:left="720" w:hanging="720"/>
        <w:rPr>
          <w:rFonts w:ascii="Calibri" w:hAnsi="Calibri" w:cs="Calibri"/>
          <w:sz w:val="24"/>
          <w:szCs w:val="24"/>
        </w:rPr>
      </w:pPr>
      <w:r w:rsidRPr="0070004C">
        <w:rPr>
          <w:rFonts w:ascii="Calibri" w:hAnsi="Calibri" w:cs="Calibri"/>
          <w:sz w:val="24"/>
          <w:szCs w:val="24"/>
        </w:rPr>
        <w:t xml:space="preserve">Quality Gurus. (2025). </w:t>
      </w:r>
      <w:r w:rsidRPr="0070004C">
        <w:rPr>
          <w:rFonts w:ascii="Calibri" w:hAnsi="Calibri" w:cs="Calibri"/>
          <w:i/>
          <w:iCs/>
          <w:sz w:val="24"/>
          <w:szCs w:val="24"/>
        </w:rPr>
        <w:t>Juran’s quality trilogy: A comprehensive guide</w:t>
      </w:r>
      <w:r w:rsidRPr="0070004C">
        <w:rPr>
          <w:rFonts w:ascii="Calibri" w:hAnsi="Calibri" w:cs="Calibri"/>
          <w:sz w:val="24"/>
          <w:szCs w:val="24"/>
        </w:rPr>
        <w:t xml:space="preserve">. </w:t>
      </w:r>
      <w:hyperlink r:id="rId86" w:history="1">
        <w:r w:rsidRPr="007F1063">
          <w:rPr>
            <w:rStyle w:val="Hyperlink"/>
            <w:rFonts w:ascii="Calibri" w:hAnsi="Calibri" w:cs="Calibri"/>
            <w:sz w:val="24"/>
            <w:szCs w:val="24"/>
          </w:rPr>
          <w:t>https://www.qualitygurus.com/jurans-quality-trilogy-a-comprehensive-guide/</w:t>
        </w:r>
      </w:hyperlink>
    </w:p>
    <w:p w14:paraId="24894527" w14:textId="77777777" w:rsidR="00CD73CD" w:rsidRDefault="00CD73CD" w:rsidP="005667C5">
      <w:pPr>
        <w:spacing w:line="360" w:lineRule="auto"/>
        <w:ind w:left="720" w:hanging="720"/>
        <w:rPr>
          <w:rFonts w:ascii="Calibri" w:hAnsi="Calibri" w:cs="Calibri"/>
          <w:sz w:val="24"/>
          <w:szCs w:val="24"/>
        </w:rPr>
      </w:pPr>
      <w:r w:rsidRPr="00382AAD">
        <w:rPr>
          <w:rFonts w:ascii="Calibri" w:hAnsi="Calibri" w:cs="Calibri"/>
          <w:sz w:val="24"/>
          <w:szCs w:val="24"/>
        </w:rPr>
        <w:t xml:space="preserve">Royal Berkshire NHS Foundation Trust. (2024, August). </w:t>
      </w:r>
      <w:r w:rsidRPr="00382AAD">
        <w:rPr>
          <w:rFonts w:ascii="Calibri" w:hAnsi="Calibri" w:cs="Calibri"/>
          <w:i/>
          <w:iCs/>
          <w:sz w:val="24"/>
          <w:szCs w:val="24"/>
        </w:rPr>
        <w:t>Weight loss (bariatric) surgery – key facts</w:t>
      </w:r>
      <w:r w:rsidRPr="00382AAD">
        <w:rPr>
          <w:rFonts w:ascii="Calibri" w:hAnsi="Calibri" w:cs="Calibri"/>
          <w:sz w:val="24"/>
          <w:szCs w:val="24"/>
        </w:rPr>
        <w:t xml:space="preserve">. </w:t>
      </w:r>
      <w:hyperlink r:id="rId87" w:history="1">
        <w:r w:rsidRPr="007F1063">
          <w:rPr>
            <w:rStyle w:val="Hyperlink"/>
            <w:rFonts w:ascii="Calibri" w:hAnsi="Calibri" w:cs="Calibri"/>
            <w:sz w:val="24"/>
            <w:szCs w:val="24"/>
          </w:rPr>
          <w:t>https://www.royalberkshire.nhs.uk/media/nbrbjc13/weight-loss-bariatric-surgery-key-facts_aug24.pdf</w:t>
        </w:r>
      </w:hyperlink>
    </w:p>
    <w:p w14:paraId="412EA735" w14:textId="77777777" w:rsidR="00CD73CD" w:rsidRPr="000E3633" w:rsidRDefault="00CD73CD" w:rsidP="005667C5">
      <w:pPr>
        <w:ind w:left="720" w:hanging="720"/>
        <w:rPr>
          <w:rFonts w:ascii="Calibri" w:hAnsi="Calibri" w:cs="Calibri"/>
          <w:sz w:val="24"/>
          <w:szCs w:val="24"/>
        </w:rPr>
      </w:pPr>
      <w:r w:rsidRPr="00BB1075">
        <w:rPr>
          <w:rFonts w:ascii="Calibri" w:hAnsi="Calibri" w:cs="Calibri"/>
          <w:sz w:val="24"/>
          <w:szCs w:val="24"/>
        </w:rPr>
        <w:t xml:space="preserve">Soni, V. (2025). </w:t>
      </w:r>
      <w:r w:rsidRPr="00BB1075">
        <w:rPr>
          <w:rFonts w:ascii="Calibri" w:hAnsi="Calibri" w:cs="Calibri"/>
          <w:i/>
          <w:iCs/>
          <w:sz w:val="24"/>
          <w:szCs w:val="24"/>
        </w:rPr>
        <w:t>Large language models for enhancing customer lifecycle management</w:t>
      </w:r>
      <w:r w:rsidRPr="00BB1075">
        <w:rPr>
          <w:rFonts w:ascii="Calibri" w:hAnsi="Calibri" w:cs="Calibri"/>
          <w:sz w:val="24"/>
          <w:szCs w:val="24"/>
        </w:rPr>
        <w:t xml:space="preserve">. Journal of Empirical Social Science Studies, 7(1), 67–80. Retrieved from </w:t>
      </w:r>
      <w:hyperlink r:id="rId88" w:history="1">
        <w:r w:rsidRPr="007F1063">
          <w:rPr>
            <w:rStyle w:val="Hyperlink"/>
            <w:rFonts w:ascii="Calibri" w:hAnsi="Calibri" w:cs="Calibri"/>
            <w:sz w:val="24"/>
            <w:szCs w:val="24"/>
          </w:rPr>
          <w:t>https://www.researchgate.net/profile/Vishvesh-Soni/publication/376612739_Large_Language_Models_for_Enhancing_Customer_Lifecycle_Management/links/658092472468df72d3b6e2e4/Large-Language-Models-for-Enhancing-Customer-Lifecycle</w:t>
        </w:r>
      </w:hyperlink>
      <w:r>
        <w:rPr>
          <w:rFonts w:ascii="Calibri" w:hAnsi="Calibri" w:cs="Calibri"/>
          <w:sz w:val="24"/>
          <w:szCs w:val="24"/>
        </w:rPr>
        <w:t xml:space="preserve"> </w:t>
      </w:r>
    </w:p>
    <w:p w14:paraId="41F6AE02" w14:textId="77777777" w:rsidR="00CD73CD" w:rsidRDefault="00CD73CD" w:rsidP="005667C5">
      <w:pPr>
        <w:spacing w:line="360" w:lineRule="auto"/>
        <w:ind w:left="720" w:hanging="720"/>
        <w:rPr>
          <w:rFonts w:ascii="Calibri" w:hAnsi="Calibri" w:cs="Calibri"/>
          <w:sz w:val="24"/>
          <w:szCs w:val="24"/>
        </w:rPr>
      </w:pPr>
      <w:proofErr w:type="spellStart"/>
      <w:r w:rsidRPr="00630CA1">
        <w:rPr>
          <w:rFonts w:ascii="Calibri" w:hAnsi="Calibri" w:cs="Calibri"/>
          <w:sz w:val="24"/>
          <w:szCs w:val="24"/>
        </w:rPr>
        <w:t>Tarokh</w:t>
      </w:r>
      <w:proofErr w:type="spellEnd"/>
      <w:r w:rsidRPr="00630CA1">
        <w:rPr>
          <w:rFonts w:ascii="Calibri" w:hAnsi="Calibri" w:cs="Calibri"/>
          <w:sz w:val="24"/>
          <w:szCs w:val="24"/>
        </w:rPr>
        <w:t xml:space="preserve">, M. J., &amp; </w:t>
      </w:r>
      <w:proofErr w:type="spellStart"/>
      <w:r w:rsidRPr="00630CA1">
        <w:rPr>
          <w:rFonts w:ascii="Calibri" w:hAnsi="Calibri" w:cs="Calibri"/>
          <w:sz w:val="24"/>
          <w:szCs w:val="24"/>
        </w:rPr>
        <w:t>EsmaeiliGookeh</w:t>
      </w:r>
      <w:proofErr w:type="spellEnd"/>
      <w:r w:rsidRPr="00630CA1">
        <w:rPr>
          <w:rFonts w:ascii="Calibri" w:hAnsi="Calibri" w:cs="Calibri"/>
          <w:sz w:val="24"/>
          <w:szCs w:val="24"/>
        </w:rPr>
        <w:t xml:space="preserve">, M. (2019). </w:t>
      </w:r>
      <w:proofErr w:type="spellStart"/>
      <w:r w:rsidRPr="00630CA1">
        <w:rPr>
          <w:rFonts w:ascii="Calibri" w:hAnsi="Calibri" w:cs="Calibri"/>
          <w:sz w:val="24"/>
          <w:szCs w:val="24"/>
        </w:rPr>
        <w:t>Modeling</w:t>
      </w:r>
      <w:proofErr w:type="spellEnd"/>
      <w:r w:rsidRPr="00630CA1">
        <w:rPr>
          <w:rFonts w:ascii="Calibri" w:hAnsi="Calibri" w:cs="Calibri"/>
          <w:sz w:val="24"/>
          <w:szCs w:val="24"/>
        </w:rPr>
        <w:t xml:space="preserve"> patient's value using a stochastic approach: An empirical study in the medical industry. </w:t>
      </w:r>
      <w:r w:rsidRPr="00630CA1">
        <w:rPr>
          <w:rFonts w:ascii="Calibri" w:hAnsi="Calibri" w:cs="Calibri"/>
          <w:i/>
          <w:iCs/>
          <w:sz w:val="24"/>
          <w:szCs w:val="24"/>
        </w:rPr>
        <w:t>Computer Methods and Programs in Biomedicine, 176</w:t>
      </w:r>
      <w:r w:rsidRPr="00630CA1">
        <w:rPr>
          <w:rFonts w:ascii="Calibri" w:hAnsi="Calibri" w:cs="Calibri"/>
          <w:sz w:val="24"/>
          <w:szCs w:val="24"/>
        </w:rPr>
        <w:t xml:space="preserve">, 51–59. </w:t>
      </w:r>
      <w:hyperlink r:id="rId89" w:history="1">
        <w:r w:rsidRPr="007F1063">
          <w:rPr>
            <w:rStyle w:val="Hyperlink"/>
            <w:rFonts w:ascii="Calibri" w:hAnsi="Calibri" w:cs="Calibri"/>
            <w:sz w:val="24"/>
            <w:szCs w:val="24"/>
          </w:rPr>
          <w:t>https://doi.org/10.1016/j.cmpb.2019.04.021</w:t>
        </w:r>
      </w:hyperlink>
    </w:p>
    <w:p w14:paraId="2F7E5F6A" w14:textId="77777777" w:rsidR="00CD73CD" w:rsidRDefault="00CD73CD" w:rsidP="005667C5">
      <w:pPr>
        <w:ind w:left="720" w:hanging="720"/>
        <w:rPr>
          <w:rFonts w:ascii="Calibri" w:hAnsi="Calibri" w:cs="Calibri"/>
          <w:sz w:val="24"/>
          <w:szCs w:val="24"/>
        </w:rPr>
      </w:pPr>
      <w:r w:rsidRPr="004737D0">
        <w:rPr>
          <w:rFonts w:ascii="Calibri" w:hAnsi="Calibri" w:cs="Calibri"/>
          <w:sz w:val="24"/>
          <w:szCs w:val="24"/>
        </w:rPr>
        <w:t xml:space="preserve">Team </w:t>
      </w:r>
      <w:proofErr w:type="spellStart"/>
      <w:r w:rsidRPr="004737D0">
        <w:rPr>
          <w:rFonts w:ascii="Calibri" w:hAnsi="Calibri" w:cs="Calibri"/>
          <w:sz w:val="24"/>
          <w:szCs w:val="24"/>
        </w:rPr>
        <w:t>Zorgle</w:t>
      </w:r>
      <w:proofErr w:type="spellEnd"/>
      <w:r w:rsidRPr="004737D0">
        <w:rPr>
          <w:rFonts w:ascii="Calibri" w:hAnsi="Calibri" w:cs="Calibri"/>
          <w:sz w:val="24"/>
          <w:szCs w:val="24"/>
        </w:rPr>
        <w:t xml:space="preserve">. (2024, September 20). What are the 5 stages of the customer life cycle? </w:t>
      </w:r>
      <w:proofErr w:type="spellStart"/>
      <w:r w:rsidRPr="004737D0">
        <w:rPr>
          <w:rFonts w:ascii="Calibri" w:hAnsi="Calibri" w:cs="Calibri"/>
          <w:i/>
          <w:iCs/>
          <w:sz w:val="24"/>
          <w:szCs w:val="24"/>
        </w:rPr>
        <w:t>Zorgle</w:t>
      </w:r>
      <w:proofErr w:type="spellEnd"/>
      <w:r w:rsidRPr="004737D0">
        <w:rPr>
          <w:rFonts w:ascii="Calibri" w:hAnsi="Calibri" w:cs="Calibri"/>
          <w:sz w:val="24"/>
          <w:szCs w:val="24"/>
        </w:rPr>
        <w:t xml:space="preserve">. </w:t>
      </w:r>
      <w:hyperlink r:id="rId90" w:history="1">
        <w:r w:rsidRPr="007F1063">
          <w:rPr>
            <w:rStyle w:val="Hyperlink"/>
            <w:rFonts w:ascii="Calibri" w:hAnsi="Calibri" w:cs="Calibri"/>
            <w:sz w:val="24"/>
            <w:szCs w:val="24"/>
          </w:rPr>
          <w:t>https://zorgle.co.uk/what-are-the-5-stages-of-the-customer-life-cycle/</w:t>
        </w:r>
      </w:hyperlink>
    </w:p>
    <w:p w14:paraId="1E1F3370" w14:textId="77777777" w:rsidR="00CD73CD" w:rsidRDefault="00CD73CD" w:rsidP="005667C5">
      <w:pPr>
        <w:ind w:left="720" w:hanging="720"/>
        <w:rPr>
          <w:rFonts w:ascii="Calibri" w:hAnsi="Calibri" w:cs="Calibri"/>
          <w:sz w:val="24"/>
          <w:szCs w:val="24"/>
        </w:rPr>
      </w:pPr>
      <w:r w:rsidRPr="00436AB0">
        <w:rPr>
          <w:rFonts w:ascii="Calibri" w:hAnsi="Calibri" w:cs="Calibri"/>
          <w:sz w:val="24"/>
          <w:szCs w:val="24"/>
        </w:rPr>
        <w:t xml:space="preserve">Tech Agilist. (2025). </w:t>
      </w:r>
      <w:r w:rsidRPr="00436AB0">
        <w:rPr>
          <w:rFonts w:ascii="Calibri" w:hAnsi="Calibri" w:cs="Calibri"/>
          <w:i/>
          <w:iCs/>
          <w:sz w:val="24"/>
          <w:szCs w:val="24"/>
        </w:rPr>
        <w:t>KANO analysis model – Value based prioritization techniques</w:t>
      </w:r>
      <w:r w:rsidRPr="00436AB0">
        <w:rPr>
          <w:rFonts w:ascii="Calibri" w:hAnsi="Calibri" w:cs="Calibri"/>
          <w:sz w:val="24"/>
          <w:szCs w:val="24"/>
        </w:rPr>
        <w:t xml:space="preserve">. </w:t>
      </w:r>
      <w:hyperlink r:id="rId91" w:history="1">
        <w:r w:rsidRPr="00AF28D8">
          <w:rPr>
            <w:rStyle w:val="Hyperlink"/>
            <w:rFonts w:ascii="Calibri" w:hAnsi="Calibri" w:cs="Calibri"/>
            <w:sz w:val="24"/>
            <w:szCs w:val="24"/>
          </w:rPr>
          <w:t>https://www.techagilist.com/agile/kano-analysis-model-value-based-prioritization-techniques/</w:t>
        </w:r>
      </w:hyperlink>
    </w:p>
    <w:p w14:paraId="2E04FF91" w14:textId="77777777" w:rsidR="00CD73CD" w:rsidRDefault="00CD73CD" w:rsidP="005667C5">
      <w:pPr>
        <w:ind w:left="720" w:hanging="720"/>
        <w:rPr>
          <w:rFonts w:ascii="Calibri" w:hAnsi="Calibri" w:cs="Calibri"/>
          <w:sz w:val="24"/>
          <w:szCs w:val="24"/>
        </w:rPr>
      </w:pPr>
      <w:r w:rsidRPr="00355156">
        <w:rPr>
          <w:rFonts w:ascii="Calibri" w:hAnsi="Calibri" w:cs="Calibri"/>
          <w:sz w:val="24"/>
          <w:szCs w:val="24"/>
        </w:rPr>
        <w:t xml:space="preserve">The </w:t>
      </w:r>
      <w:proofErr w:type="spellStart"/>
      <w:r w:rsidRPr="00355156">
        <w:rPr>
          <w:rFonts w:ascii="Calibri" w:hAnsi="Calibri" w:cs="Calibri"/>
          <w:sz w:val="24"/>
          <w:szCs w:val="24"/>
        </w:rPr>
        <w:t>MarkeTech</w:t>
      </w:r>
      <w:proofErr w:type="spellEnd"/>
      <w:r w:rsidRPr="00355156">
        <w:rPr>
          <w:rFonts w:ascii="Calibri" w:hAnsi="Calibri" w:cs="Calibri"/>
          <w:sz w:val="24"/>
          <w:szCs w:val="24"/>
        </w:rPr>
        <w:t xml:space="preserve"> Group. (2025, April 10). </w:t>
      </w:r>
      <w:r w:rsidRPr="00355156">
        <w:rPr>
          <w:rFonts w:ascii="Calibri" w:hAnsi="Calibri" w:cs="Calibri"/>
          <w:i/>
          <w:iCs/>
          <w:sz w:val="24"/>
          <w:szCs w:val="24"/>
        </w:rPr>
        <w:t>Guide to market segmentation in healthcare marketing</w:t>
      </w:r>
      <w:r w:rsidRPr="00355156">
        <w:rPr>
          <w:rFonts w:ascii="Calibri" w:hAnsi="Calibri" w:cs="Calibri"/>
          <w:sz w:val="24"/>
          <w:szCs w:val="24"/>
        </w:rPr>
        <w:t xml:space="preserve">. </w:t>
      </w:r>
      <w:hyperlink r:id="rId92" w:history="1">
        <w:r w:rsidRPr="007F1063">
          <w:rPr>
            <w:rStyle w:val="Hyperlink"/>
            <w:rFonts w:ascii="Calibri" w:hAnsi="Calibri" w:cs="Calibri"/>
            <w:sz w:val="24"/>
            <w:szCs w:val="24"/>
          </w:rPr>
          <w:t>https://www.themarketechgroup.com/market-segmentation-in-healthcare-marketing</w:t>
        </w:r>
      </w:hyperlink>
    </w:p>
    <w:p w14:paraId="10CD3A24" w14:textId="77777777" w:rsidR="00CD73CD" w:rsidRDefault="00CD73CD" w:rsidP="005667C5">
      <w:pPr>
        <w:ind w:left="720" w:hanging="720"/>
        <w:rPr>
          <w:rFonts w:ascii="Calibri" w:hAnsi="Calibri" w:cs="Calibri"/>
          <w:sz w:val="24"/>
          <w:szCs w:val="24"/>
        </w:rPr>
      </w:pPr>
      <w:r w:rsidRPr="002964B3">
        <w:rPr>
          <w:rFonts w:ascii="Calibri" w:hAnsi="Calibri" w:cs="Calibri"/>
          <w:sz w:val="24"/>
          <w:szCs w:val="24"/>
        </w:rPr>
        <w:t xml:space="preserve">Vain, C. (2022, September 29). </w:t>
      </w:r>
      <w:r w:rsidRPr="002964B3">
        <w:rPr>
          <w:rFonts w:ascii="Calibri" w:hAnsi="Calibri" w:cs="Calibri"/>
          <w:i/>
          <w:iCs/>
          <w:sz w:val="24"/>
          <w:szCs w:val="24"/>
        </w:rPr>
        <w:t>The complete guide to the Kano model</w:t>
      </w:r>
      <w:r w:rsidRPr="002964B3">
        <w:rPr>
          <w:rFonts w:ascii="Calibri" w:hAnsi="Calibri" w:cs="Calibri"/>
          <w:sz w:val="24"/>
          <w:szCs w:val="24"/>
        </w:rPr>
        <w:t xml:space="preserve">. Folding Burritos. </w:t>
      </w:r>
      <w:hyperlink r:id="rId93" w:history="1">
        <w:r w:rsidRPr="00AF28D8">
          <w:rPr>
            <w:rStyle w:val="Hyperlink"/>
            <w:rFonts w:ascii="Calibri" w:hAnsi="Calibri" w:cs="Calibri"/>
            <w:sz w:val="24"/>
            <w:szCs w:val="24"/>
          </w:rPr>
          <w:t>https://foldingburritos.com/blog/kano-model/</w:t>
        </w:r>
      </w:hyperlink>
      <w:r>
        <w:rPr>
          <w:rFonts w:ascii="Calibri" w:hAnsi="Calibri" w:cs="Calibri"/>
          <w:sz w:val="24"/>
          <w:szCs w:val="24"/>
        </w:rPr>
        <w:t xml:space="preserve"> </w:t>
      </w:r>
    </w:p>
    <w:p w14:paraId="2C3C301A" w14:textId="77777777" w:rsidR="00CD73CD" w:rsidRDefault="00CD73CD" w:rsidP="005667C5">
      <w:pPr>
        <w:ind w:left="720" w:hanging="720"/>
        <w:rPr>
          <w:rFonts w:ascii="Calibri" w:hAnsi="Calibri" w:cs="Calibri"/>
          <w:sz w:val="24"/>
          <w:szCs w:val="24"/>
        </w:rPr>
      </w:pPr>
      <w:r w:rsidRPr="00207165">
        <w:rPr>
          <w:rFonts w:ascii="Calibri" w:hAnsi="Calibri" w:cs="Calibri"/>
          <w:sz w:val="24"/>
          <w:szCs w:val="24"/>
        </w:rPr>
        <w:t xml:space="preserve">Vain, C. (2024, May 29). </w:t>
      </w:r>
      <w:r w:rsidRPr="00207165">
        <w:rPr>
          <w:rFonts w:ascii="Calibri" w:hAnsi="Calibri" w:cs="Calibri"/>
          <w:i/>
          <w:iCs/>
          <w:sz w:val="24"/>
          <w:szCs w:val="24"/>
        </w:rPr>
        <w:t>The importance of exceptional customer service in health and social care</w:t>
      </w:r>
      <w:r w:rsidRPr="00207165">
        <w:rPr>
          <w:rFonts w:ascii="Calibri" w:hAnsi="Calibri" w:cs="Calibri"/>
          <w:sz w:val="24"/>
          <w:szCs w:val="24"/>
        </w:rPr>
        <w:t xml:space="preserve">. CPD Online College. </w:t>
      </w:r>
      <w:hyperlink r:id="rId94" w:history="1">
        <w:r w:rsidRPr="007F1063">
          <w:rPr>
            <w:rStyle w:val="Hyperlink"/>
            <w:rFonts w:ascii="Calibri" w:hAnsi="Calibri" w:cs="Calibri"/>
            <w:sz w:val="24"/>
            <w:szCs w:val="24"/>
          </w:rPr>
          <w:t>https://cpdonline.co.uk/knowledge-base/care/health-and-social-care-exceptional-customer-service</w:t>
        </w:r>
      </w:hyperlink>
    </w:p>
    <w:p w14:paraId="62C96846" w14:textId="77777777" w:rsidR="00CD73CD" w:rsidRDefault="00CD73CD" w:rsidP="005667C5">
      <w:pPr>
        <w:ind w:left="720" w:hanging="720"/>
        <w:rPr>
          <w:rFonts w:ascii="Calibri" w:hAnsi="Calibri" w:cs="Calibri"/>
          <w:sz w:val="24"/>
          <w:szCs w:val="24"/>
        </w:rPr>
      </w:pPr>
      <w:r w:rsidRPr="006B5D71">
        <w:rPr>
          <w:rFonts w:ascii="Calibri" w:hAnsi="Calibri" w:cs="Calibri"/>
          <w:sz w:val="24"/>
          <w:szCs w:val="24"/>
        </w:rPr>
        <w:t xml:space="preserve">World Health Organization. (2025, May 7). </w:t>
      </w:r>
      <w:r w:rsidRPr="006B5D71">
        <w:rPr>
          <w:rFonts w:ascii="Calibri" w:hAnsi="Calibri" w:cs="Calibri"/>
          <w:i/>
          <w:iCs/>
          <w:sz w:val="24"/>
          <w:szCs w:val="24"/>
        </w:rPr>
        <w:t>Obesity and overweight</w:t>
      </w:r>
      <w:r w:rsidRPr="006B5D71">
        <w:rPr>
          <w:rFonts w:ascii="Calibri" w:hAnsi="Calibri" w:cs="Calibri"/>
          <w:sz w:val="24"/>
          <w:szCs w:val="24"/>
        </w:rPr>
        <w:t xml:space="preserve">. </w:t>
      </w:r>
      <w:hyperlink r:id="rId95" w:history="1">
        <w:r w:rsidRPr="007F1063">
          <w:rPr>
            <w:rStyle w:val="Hyperlink"/>
            <w:rFonts w:ascii="Calibri" w:hAnsi="Calibri" w:cs="Calibri"/>
            <w:sz w:val="24"/>
            <w:szCs w:val="24"/>
          </w:rPr>
          <w:t>https://www.who.int/en/news-room/fact-sheets/detail/obesity-and-overweight</w:t>
        </w:r>
      </w:hyperlink>
    </w:p>
    <w:p w14:paraId="45697558" w14:textId="4A5E62B1" w:rsidR="002E678D" w:rsidRPr="00866698" w:rsidRDefault="00CD73CD" w:rsidP="005667C5">
      <w:pPr>
        <w:ind w:left="720" w:hanging="720"/>
        <w:rPr>
          <w:rFonts w:ascii="Calibri" w:hAnsi="Calibri" w:cs="Calibri"/>
          <w:sz w:val="24"/>
          <w:szCs w:val="24"/>
        </w:rPr>
      </w:pPr>
      <w:r w:rsidRPr="00031F63">
        <w:rPr>
          <w:rFonts w:ascii="Calibri" w:hAnsi="Calibri" w:cs="Calibri"/>
          <w:sz w:val="24"/>
          <w:szCs w:val="24"/>
        </w:rPr>
        <w:t xml:space="preserve">Zendesk. (2024, December 13). </w:t>
      </w:r>
      <w:r w:rsidRPr="00031F63">
        <w:rPr>
          <w:rFonts w:ascii="Calibri" w:hAnsi="Calibri" w:cs="Calibri"/>
          <w:i/>
          <w:iCs/>
          <w:sz w:val="24"/>
          <w:szCs w:val="24"/>
        </w:rPr>
        <w:t>What is customer value? Definition, formula, and importance</w:t>
      </w:r>
      <w:r w:rsidRPr="00031F63">
        <w:rPr>
          <w:rFonts w:ascii="Calibri" w:hAnsi="Calibri" w:cs="Calibri"/>
          <w:sz w:val="24"/>
          <w:szCs w:val="24"/>
        </w:rPr>
        <w:t xml:space="preserve">. </w:t>
      </w:r>
      <w:hyperlink r:id="rId96" w:history="1">
        <w:r w:rsidRPr="007F1063">
          <w:rPr>
            <w:rStyle w:val="Hyperlink"/>
            <w:rFonts w:ascii="Calibri" w:hAnsi="Calibri" w:cs="Calibri"/>
            <w:sz w:val="24"/>
            <w:szCs w:val="24"/>
          </w:rPr>
          <w:t>https://www.zendesk.co.uk/blog/customer-value/</w:t>
        </w:r>
      </w:hyperlink>
    </w:p>
    <w:sectPr w:rsidR="002E678D" w:rsidRPr="00866698">
      <w:footerReference w:type="default" r:id="rId9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FB65D0" w14:textId="77777777" w:rsidR="008C7D31" w:rsidRDefault="008C7D31" w:rsidP="00636C34">
      <w:pPr>
        <w:spacing w:after="0" w:line="240" w:lineRule="auto"/>
      </w:pPr>
      <w:r>
        <w:separator/>
      </w:r>
    </w:p>
  </w:endnote>
  <w:endnote w:type="continuationSeparator" w:id="0">
    <w:p w14:paraId="0E272F72" w14:textId="77777777" w:rsidR="008C7D31" w:rsidRDefault="008C7D31" w:rsidP="00636C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67102725"/>
      <w:docPartObj>
        <w:docPartGallery w:val="Page Numbers (Bottom of Page)"/>
        <w:docPartUnique/>
      </w:docPartObj>
    </w:sdtPr>
    <w:sdtEndPr/>
    <w:sdtContent>
      <w:p w14:paraId="66BBC50A" w14:textId="59DF2249" w:rsidR="00636C34" w:rsidRDefault="00636C34">
        <w:pPr>
          <w:pStyle w:val="Footer"/>
          <w:jc w:val="right"/>
        </w:pPr>
        <w:r>
          <w:fldChar w:fldCharType="begin"/>
        </w:r>
        <w:r>
          <w:instrText>PAGE   \* MERGEFORMAT</w:instrText>
        </w:r>
        <w:r>
          <w:fldChar w:fldCharType="separate"/>
        </w:r>
        <w:r>
          <w:t>2</w:t>
        </w:r>
        <w:r>
          <w:fldChar w:fldCharType="end"/>
        </w:r>
      </w:p>
    </w:sdtContent>
  </w:sdt>
  <w:p w14:paraId="353A6615" w14:textId="77777777" w:rsidR="00636C34" w:rsidRDefault="00636C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DAF04A" w14:textId="77777777" w:rsidR="008C7D31" w:rsidRDefault="008C7D31" w:rsidP="00636C34">
      <w:pPr>
        <w:spacing w:after="0" w:line="240" w:lineRule="auto"/>
      </w:pPr>
      <w:r>
        <w:separator/>
      </w:r>
    </w:p>
  </w:footnote>
  <w:footnote w:type="continuationSeparator" w:id="0">
    <w:p w14:paraId="690E4CE8" w14:textId="77777777" w:rsidR="008C7D31" w:rsidRDefault="008C7D31" w:rsidP="00636C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0B5219"/>
    <w:multiLevelType w:val="multilevel"/>
    <w:tmpl w:val="B3AA1E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2F5666"/>
    <w:multiLevelType w:val="multilevel"/>
    <w:tmpl w:val="9FB21136"/>
    <w:lvl w:ilvl="0">
      <w:start w:val="5"/>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AAB055B"/>
    <w:multiLevelType w:val="multilevel"/>
    <w:tmpl w:val="65BC5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E225CA4"/>
    <w:multiLevelType w:val="multilevel"/>
    <w:tmpl w:val="7AC0B9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1E82547"/>
    <w:multiLevelType w:val="multilevel"/>
    <w:tmpl w:val="9A10EB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E6409FE"/>
    <w:multiLevelType w:val="hybridMultilevel"/>
    <w:tmpl w:val="F18294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8A4599"/>
    <w:multiLevelType w:val="multilevel"/>
    <w:tmpl w:val="803C1D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23D271F"/>
    <w:multiLevelType w:val="multilevel"/>
    <w:tmpl w:val="F0988D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F544B4"/>
    <w:multiLevelType w:val="multilevel"/>
    <w:tmpl w:val="C79681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9B813A8"/>
    <w:multiLevelType w:val="multilevel"/>
    <w:tmpl w:val="77927D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72056FB"/>
    <w:multiLevelType w:val="multilevel"/>
    <w:tmpl w:val="46B4D3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79151E7"/>
    <w:multiLevelType w:val="multilevel"/>
    <w:tmpl w:val="C526D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B3125BA"/>
    <w:multiLevelType w:val="multilevel"/>
    <w:tmpl w:val="036A4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DB93C1C"/>
    <w:multiLevelType w:val="multilevel"/>
    <w:tmpl w:val="7C762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2406BDF"/>
    <w:multiLevelType w:val="multilevel"/>
    <w:tmpl w:val="534C2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4ED1C84"/>
    <w:multiLevelType w:val="multilevel"/>
    <w:tmpl w:val="5BD42B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8D01524"/>
    <w:multiLevelType w:val="multilevel"/>
    <w:tmpl w:val="5C00BE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D9B7591"/>
    <w:multiLevelType w:val="hybridMultilevel"/>
    <w:tmpl w:val="2182C5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E1B1B99"/>
    <w:multiLevelType w:val="multilevel"/>
    <w:tmpl w:val="C4160B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7E8E5AB3"/>
    <w:multiLevelType w:val="multilevel"/>
    <w:tmpl w:val="AA8A05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FB64D75"/>
    <w:multiLevelType w:val="multilevel"/>
    <w:tmpl w:val="75A0E1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51810936">
    <w:abstractNumId w:val="9"/>
  </w:num>
  <w:num w:numId="2" w16cid:durableId="619459786">
    <w:abstractNumId w:val="11"/>
  </w:num>
  <w:num w:numId="3" w16cid:durableId="530456850">
    <w:abstractNumId w:val="19"/>
  </w:num>
  <w:num w:numId="4" w16cid:durableId="1345401596">
    <w:abstractNumId w:val="20"/>
  </w:num>
  <w:num w:numId="5" w16cid:durableId="443617984">
    <w:abstractNumId w:val="7"/>
  </w:num>
  <w:num w:numId="6" w16cid:durableId="388723616">
    <w:abstractNumId w:val="15"/>
  </w:num>
  <w:num w:numId="7" w16cid:durableId="1867021368">
    <w:abstractNumId w:val="0"/>
  </w:num>
  <w:num w:numId="8" w16cid:durableId="552738830">
    <w:abstractNumId w:val="3"/>
  </w:num>
  <w:num w:numId="9" w16cid:durableId="947464248">
    <w:abstractNumId w:val="13"/>
  </w:num>
  <w:num w:numId="10" w16cid:durableId="1140077520">
    <w:abstractNumId w:val="6"/>
  </w:num>
  <w:num w:numId="11" w16cid:durableId="1357775167">
    <w:abstractNumId w:val="17"/>
  </w:num>
  <w:num w:numId="12" w16cid:durableId="1463964381">
    <w:abstractNumId w:val="12"/>
  </w:num>
  <w:num w:numId="13" w16cid:durableId="205407551">
    <w:abstractNumId w:val="14"/>
  </w:num>
  <w:num w:numId="14" w16cid:durableId="791174927">
    <w:abstractNumId w:val="8"/>
  </w:num>
  <w:num w:numId="15" w16cid:durableId="368258774">
    <w:abstractNumId w:val="18"/>
  </w:num>
  <w:num w:numId="16" w16cid:durableId="1942638182">
    <w:abstractNumId w:val="4"/>
  </w:num>
  <w:num w:numId="17" w16cid:durableId="741105316">
    <w:abstractNumId w:val="10"/>
  </w:num>
  <w:num w:numId="18" w16cid:durableId="1241060480">
    <w:abstractNumId w:val="16"/>
  </w:num>
  <w:num w:numId="19" w16cid:durableId="1463694119">
    <w:abstractNumId w:val="2"/>
  </w:num>
  <w:num w:numId="20" w16cid:durableId="1855724085">
    <w:abstractNumId w:val="5"/>
  </w:num>
  <w:num w:numId="21" w16cid:durableId="12165012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0271"/>
    <w:rsid w:val="00000E02"/>
    <w:rsid w:val="00002FEC"/>
    <w:rsid w:val="00031F63"/>
    <w:rsid w:val="000377C7"/>
    <w:rsid w:val="00045047"/>
    <w:rsid w:val="00046AA0"/>
    <w:rsid w:val="00050829"/>
    <w:rsid w:val="00053F93"/>
    <w:rsid w:val="00054D1F"/>
    <w:rsid w:val="000554E1"/>
    <w:rsid w:val="00062C04"/>
    <w:rsid w:val="000675FA"/>
    <w:rsid w:val="0006795B"/>
    <w:rsid w:val="000759F8"/>
    <w:rsid w:val="000805E3"/>
    <w:rsid w:val="0008483E"/>
    <w:rsid w:val="000866AE"/>
    <w:rsid w:val="000957C0"/>
    <w:rsid w:val="00096F3F"/>
    <w:rsid w:val="0009766A"/>
    <w:rsid w:val="000A7A3B"/>
    <w:rsid w:val="000C4BA8"/>
    <w:rsid w:val="000D3243"/>
    <w:rsid w:val="000D4D69"/>
    <w:rsid w:val="000E2AE3"/>
    <w:rsid w:val="000E3633"/>
    <w:rsid w:val="000F2755"/>
    <w:rsid w:val="000F2F26"/>
    <w:rsid w:val="000F32C9"/>
    <w:rsid w:val="00102847"/>
    <w:rsid w:val="00107406"/>
    <w:rsid w:val="001102E0"/>
    <w:rsid w:val="00122721"/>
    <w:rsid w:val="0012474A"/>
    <w:rsid w:val="001317F2"/>
    <w:rsid w:val="00131F26"/>
    <w:rsid w:val="0013243D"/>
    <w:rsid w:val="00137C74"/>
    <w:rsid w:val="00140DD6"/>
    <w:rsid w:val="001452DF"/>
    <w:rsid w:val="00154C62"/>
    <w:rsid w:val="00154DC4"/>
    <w:rsid w:val="00163B24"/>
    <w:rsid w:val="00177831"/>
    <w:rsid w:val="001809FF"/>
    <w:rsid w:val="00181F34"/>
    <w:rsid w:val="0018530C"/>
    <w:rsid w:val="00185E12"/>
    <w:rsid w:val="00196463"/>
    <w:rsid w:val="001A539B"/>
    <w:rsid w:val="001A6EEA"/>
    <w:rsid w:val="001A75D0"/>
    <w:rsid w:val="001B3569"/>
    <w:rsid w:val="001B56E6"/>
    <w:rsid w:val="001C027C"/>
    <w:rsid w:val="001D28A0"/>
    <w:rsid w:val="001D2C0F"/>
    <w:rsid w:val="001D53F8"/>
    <w:rsid w:val="001E077F"/>
    <w:rsid w:val="001E5B47"/>
    <w:rsid w:val="0020020C"/>
    <w:rsid w:val="00200A08"/>
    <w:rsid w:val="00200DBE"/>
    <w:rsid w:val="00201311"/>
    <w:rsid w:val="00202E3F"/>
    <w:rsid w:val="002049F6"/>
    <w:rsid w:val="00205CE7"/>
    <w:rsid w:val="00207165"/>
    <w:rsid w:val="00210271"/>
    <w:rsid w:val="00212FCD"/>
    <w:rsid w:val="0021487D"/>
    <w:rsid w:val="002176C9"/>
    <w:rsid w:val="00220358"/>
    <w:rsid w:val="0022649A"/>
    <w:rsid w:val="00236743"/>
    <w:rsid w:val="00242F01"/>
    <w:rsid w:val="002444E7"/>
    <w:rsid w:val="00247744"/>
    <w:rsid w:val="002652B9"/>
    <w:rsid w:val="00270CEB"/>
    <w:rsid w:val="00276026"/>
    <w:rsid w:val="00283B8A"/>
    <w:rsid w:val="00284D7B"/>
    <w:rsid w:val="002869B5"/>
    <w:rsid w:val="00293AB7"/>
    <w:rsid w:val="00294DEA"/>
    <w:rsid w:val="002964B3"/>
    <w:rsid w:val="002A613C"/>
    <w:rsid w:val="002A6A90"/>
    <w:rsid w:val="002B01B4"/>
    <w:rsid w:val="002B1515"/>
    <w:rsid w:val="002B26FF"/>
    <w:rsid w:val="002C6DEE"/>
    <w:rsid w:val="002C6FB1"/>
    <w:rsid w:val="002D5A2E"/>
    <w:rsid w:val="002D733E"/>
    <w:rsid w:val="002E678D"/>
    <w:rsid w:val="002E6E8C"/>
    <w:rsid w:val="002E79FF"/>
    <w:rsid w:val="002F37BB"/>
    <w:rsid w:val="002F3CC5"/>
    <w:rsid w:val="002F6247"/>
    <w:rsid w:val="003016C9"/>
    <w:rsid w:val="0032759A"/>
    <w:rsid w:val="00332800"/>
    <w:rsid w:val="00333EFB"/>
    <w:rsid w:val="003434ED"/>
    <w:rsid w:val="00344141"/>
    <w:rsid w:val="00345417"/>
    <w:rsid w:val="00345B43"/>
    <w:rsid w:val="00352F37"/>
    <w:rsid w:val="00355156"/>
    <w:rsid w:val="003555FD"/>
    <w:rsid w:val="00361C6A"/>
    <w:rsid w:val="003673C5"/>
    <w:rsid w:val="00367563"/>
    <w:rsid w:val="00367CA8"/>
    <w:rsid w:val="0037008A"/>
    <w:rsid w:val="00372483"/>
    <w:rsid w:val="00372546"/>
    <w:rsid w:val="00373BD1"/>
    <w:rsid w:val="0037735B"/>
    <w:rsid w:val="00381B69"/>
    <w:rsid w:val="00382AAD"/>
    <w:rsid w:val="003900A9"/>
    <w:rsid w:val="00390DF4"/>
    <w:rsid w:val="00394776"/>
    <w:rsid w:val="00395F91"/>
    <w:rsid w:val="003B3C6B"/>
    <w:rsid w:val="003C7F3D"/>
    <w:rsid w:val="003D0607"/>
    <w:rsid w:val="003D1B4C"/>
    <w:rsid w:val="003D44E7"/>
    <w:rsid w:val="003D6C7A"/>
    <w:rsid w:val="003E1CEE"/>
    <w:rsid w:val="003E4F2A"/>
    <w:rsid w:val="003F3F96"/>
    <w:rsid w:val="00402029"/>
    <w:rsid w:val="00402DFD"/>
    <w:rsid w:val="00412593"/>
    <w:rsid w:val="00414FB3"/>
    <w:rsid w:val="004256D9"/>
    <w:rsid w:val="0043210D"/>
    <w:rsid w:val="00432C33"/>
    <w:rsid w:val="0043676C"/>
    <w:rsid w:val="00436AB0"/>
    <w:rsid w:val="00446F41"/>
    <w:rsid w:val="004472DF"/>
    <w:rsid w:val="00452C76"/>
    <w:rsid w:val="00455980"/>
    <w:rsid w:val="004565F7"/>
    <w:rsid w:val="00456F05"/>
    <w:rsid w:val="00472B57"/>
    <w:rsid w:val="004736E9"/>
    <w:rsid w:val="004737D0"/>
    <w:rsid w:val="004823AE"/>
    <w:rsid w:val="00483DA0"/>
    <w:rsid w:val="0048448A"/>
    <w:rsid w:val="004B3805"/>
    <w:rsid w:val="004B404A"/>
    <w:rsid w:val="004D100F"/>
    <w:rsid w:val="004D4311"/>
    <w:rsid w:val="004D4B1E"/>
    <w:rsid w:val="004D70CC"/>
    <w:rsid w:val="004E3D78"/>
    <w:rsid w:val="004E7683"/>
    <w:rsid w:val="004F66A2"/>
    <w:rsid w:val="00500F64"/>
    <w:rsid w:val="0050773A"/>
    <w:rsid w:val="005231AD"/>
    <w:rsid w:val="005255E6"/>
    <w:rsid w:val="00527403"/>
    <w:rsid w:val="0053190C"/>
    <w:rsid w:val="005341AE"/>
    <w:rsid w:val="00537859"/>
    <w:rsid w:val="00552A59"/>
    <w:rsid w:val="0055751C"/>
    <w:rsid w:val="00560BEA"/>
    <w:rsid w:val="00561F50"/>
    <w:rsid w:val="0056473F"/>
    <w:rsid w:val="005667C5"/>
    <w:rsid w:val="00575D67"/>
    <w:rsid w:val="00584886"/>
    <w:rsid w:val="005870FF"/>
    <w:rsid w:val="00594D7C"/>
    <w:rsid w:val="005A6129"/>
    <w:rsid w:val="005B56BE"/>
    <w:rsid w:val="005B58DD"/>
    <w:rsid w:val="005C1EF4"/>
    <w:rsid w:val="005C2AB9"/>
    <w:rsid w:val="005C3CF8"/>
    <w:rsid w:val="005C616D"/>
    <w:rsid w:val="005D37FA"/>
    <w:rsid w:val="005D6120"/>
    <w:rsid w:val="005F172C"/>
    <w:rsid w:val="005F544C"/>
    <w:rsid w:val="00602F04"/>
    <w:rsid w:val="006058BA"/>
    <w:rsid w:val="00606093"/>
    <w:rsid w:val="006070C3"/>
    <w:rsid w:val="00617AA3"/>
    <w:rsid w:val="00624792"/>
    <w:rsid w:val="00625F33"/>
    <w:rsid w:val="00630CA1"/>
    <w:rsid w:val="00636C34"/>
    <w:rsid w:val="0063711A"/>
    <w:rsid w:val="00642A43"/>
    <w:rsid w:val="00651332"/>
    <w:rsid w:val="00652074"/>
    <w:rsid w:val="00660A76"/>
    <w:rsid w:val="00661442"/>
    <w:rsid w:val="00677C3B"/>
    <w:rsid w:val="00682D44"/>
    <w:rsid w:val="00683E60"/>
    <w:rsid w:val="0068506E"/>
    <w:rsid w:val="006909DB"/>
    <w:rsid w:val="00694511"/>
    <w:rsid w:val="006945FB"/>
    <w:rsid w:val="0069629B"/>
    <w:rsid w:val="006A4F59"/>
    <w:rsid w:val="006A5C7A"/>
    <w:rsid w:val="006B065A"/>
    <w:rsid w:val="006B4329"/>
    <w:rsid w:val="006B5D71"/>
    <w:rsid w:val="006C1345"/>
    <w:rsid w:val="006D0405"/>
    <w:rsid w:val="006D55DA"/>
    <w:rsid w:val="006D70E1"/>
    <w:rsid w:val="006E4DFF"/>
    <w:rsid w:val="006E7636"/>
    <w:rsid w:val="006F3A44"/>
    <w:rsid w:val="0070004C"/>
    <w:rsid w:val="00701AAE"/>
    <w:rsid w:val="00703EC9"/>
    <w:rsid w:val="00711EFC"/>
    <w:rsid w:val="00715062"/>
    <w:rsid w:val="00725D1D"/>
    <w:rsid w:val="00730432"/>
    <w:rsid w:val="007333BA"/>
    <w:rsid w:val="007347C6"/>
    <w:rsid w:val="00735AC7"/>
    <w:rsid w:val="00737AA7"/>
    <w:rsid w:val="0075575C"/>
    <w:rsid w:val="007578E2"/>
    <w:rsid w:val="00757E1A"/>
    <w:rsid w:val="0076064D"/>
    <w:rsid w:val="007617DB"/>
    <w:rsid w:val="00761987"/>
    <w:rsid w:val="00765A97"/>
    <w:rsid w:val="0077275E"/>
    <w:rsid w:val="00774580"/>
    <w:rsid w:val="00776815"/>
    <w:rsid w:val="00777382"/>
    <w:rsid w:val="00785AD7"/>
    <w:rsid w:val="007935D7"/>
    <w:rsid w:val="007A73E6"/>
    <w:rsid w:val="007B0545"/>
    <w:rsid w:val="007B3104"/>
    <w:rsid w:val="007B6D10"/>
    <w:rsid w:val="007C3110"/>
    <w:rsid w:val="007D4E77"/>
    <w:rsid w:val="007D7F29"/>
    <w:rsid w:val="007E7547"/>
    <w:rsid w:val="007F2E07"/>
    <w:rsid w:val="007F4498"/>
    <w:rsid w:val="007F556F"/>
    <w:rsid w:val="007F5781"/>
    <w:rsid w:val="00804C3F"/>
    <w:rsid w:val="00811048"/>
    <w:rsid w:val="008121A5"/>
    <w:rsid w:val="008137C6"/>
    <w:rsid w:val="008153F0"/>
    <w:rsid w:val="00816977"/>
    <w:rsid w:val="00816FB0"/>
    <w:rsid w:val="00821377"/>
    <w:rsid w:val="00821C0E"/>
    <w:rsid w:val="0082317D"/>
    <w:rsid w:val="00825E69"/>
    <w:rsid w:val="0082735F"/>
    <w:rsid w:val="00842CF2"/>
    <w:rsid w:val="008471B9"/>
    <w:rsid w:val="008555DB"/>
    <w:rsid w:val="0085764A"/>
    <w:rsid w:val="00857EA7"/>
    <w:rsid w:val="00866698"/>
    <w:rsid w:val="00872A27"/>
    <w:rsid w:val="00880B46"/>
    <w:rsid w:val="008949F6"/>
    <w:rsid w:val="008A6829"/>
    <w:rsid w:val="008A731E"/>
    <w:rsid w:val="008C0B97"/>
    <w:rsid w:val="008C1146"/>
    <w:rsid w:val="008C161E"/>
    <w:rsid w:val="008C200C"/>
    <w:rsid w:val="008C3851"/>
    <w:rsid w:val="008C7D31"/>
    <w:rsid w:val="008D59A2"/>
    <w:rsid w:val="008E1FDE"/>
    <w:rsid w:val="008E55FF"/>
    <w:rsid w:val="008E7F6C"/>
    <w:rsid w:val="008F205A"/>
    <w:rsid w:val="008F3C4A"/>
    <w:rsid w:val="008F76CE"/>
    <w:rsid w:val="008F7A7F"/>
    <w:rsid w:val="00902897"/>
    <w:rsid w:val="009064F1"/>
    <w:rsid w:val="00906907"/>
    <w:rsid w:val="00906973"/>
    <w:rsid w:val="00907988"/>
    <w:rsid w:val="009139F1"/>
    <w:rsid w:val="00915201"/>
    <w:rsid w:val="00915918"/>
    <w:rsid w:val="00917767"/>
    <w:rsid w:val="009178E6"/>
    <w:rsid w:val="00923D52"/>
    <w:rsid w:val="009256FE"/>
    <w:rsid w:val="00932F5D"/>
    <w:rsid w:val="00934484"/>
    <w:rsid w:val="00935A75"/>
    <w:rsid w:val="0093730B"/>
    <w:rsid w:val="0094278B"/>
    <w:rsid w:val="009427F5"/>
    <w:rsid w:val="00943072"/>
    <w:rsid w:val="00943214"/>
    <w:rsid w:val="00943D3E"/>
    <w:rsid w:val="0095630F"/>
    <w:rsid w:val="0096061D"/>
    <w:rsid w:val="00960897"/>
    <w:rsid w:val="00964210"/>
    <w:rsid w:val="00966387"/>
    <w:rsid w:val="00967331"/>
    <w:rsid w:val="00967567"/>
    <w:rsid w:val="00976F54"/>
    <w:rsid w:val="00977A43"/>
    <w:rsid w:val="00977C2E"/>
    <w:rsid w:val="00977C47"/>
    <w:rsid w:val="00981463"/>
    <w:rsid w:val="00995801"/>
    <w:rsid w:val="009A09EE"/>
    <w:rsid w:val="009A3419"/>
    <w:rsid w:val="009A6512"/>
    <w:rsid w:val="009C01A0"/>
    <w:rsid w:val="009C0A02"/>
    <w:rsid w:val="009C7DBC"/>
    <w:rsid w:val="009D707F"/>
    <w:rsid w:val="009E376E"/>
    <w:rsid w:val="009E654F"/>
    <w:rsid w:val="009E7ED2"/>
    <w:rsid w:val="00A04026"/>
    <w:rsid w:val="00A04D30"/>
    <w:rsid w:val="00A10E3E"/>
    <w:rsid w:val="00A171E8"/>
    <w:rsid w:val="00A204B8"/>
    <w:rsid w:val="00A234D0"/>
    <w:rsid w:val="00A27641"/>
    <w:rsid w:val="00A27756"/>
    <w:rsid w:val="00A37167"/>
    <w:rsid w:val="00A429C8"/>
    <w:rsid w:val="00A47C81"/>
    <w:rsid w:val="00A50744"/>
    <w:rsid w:val="00A52D6A"/>
    <w:rsid w:val="00A5752A"/>
    <w:rsid w:val="00A60FE2"/>
    <w:rsid w:val="00A61C87"/>
    <w:rsid w:val="00A66DDF"/>
    <w:rsid w:val="00A67036"/>
    <w:rsid w:val="00A71CFB"/>
    <w:rsid w:val="00A72F44"/>
    <w:rsid w:val="00A76165"/>
    <w:rsid w:val="00A77535"/>
    <w:rsid w:val="00A8174C"/>
    <w:rsid w:val="00A8264A"/>
    <w:rsid w:val="00A97EB1"/>
    <w:rsid w:val="00AA0DF5"/>
    <w:rsid w:val="00AA48B2"/>
    <w:rsid w:val="00AA5547"/>
    <w:rsid w:val="00AB67EA"/>
    <w:rsid w:val="00AC0EC6"/>
    <w:rsid w:val="00AD072A"/>
    <w:rsid w:val="00AD1B6C"/>
    <w:rsid w:val="00AD51D6"/>
    <w:rsid w:val="00AD667D"/>
    <w:rsid w:val="00AF729E"/>
    <w:rsid w:val="00AF7DD9"/>
    <w:rsid w:val="00B057AC"/>
    <w:rsid w:val="00B1053E"/>
    <w:rsid w:val="00B1620B"/>
    <w:rsid w:val="00B25997"/>
    <w:rsid w:val="00B25AD4"/>
    <w:rsid w:val="00B30625"/>
    <w:rsid w:val="00B35ADD"/>
    <w:rsid w:val="00B35DB4"/>
    <w:rsid w:val="00B475B6"/>
    <w:rsid w:val="00B52AA6"/>
    <w:rsid w:val="00B52F1E"/>
    <w:rsid w:val="00B57468"/>
    <w:rsid w:val="00B57769"/>
    <w:rsid w:val="00B6165F"/>
    <w:rsid w:val="00B65320"/>
    <w:rsid w:val="00B66F58"/>
    <w:rsid w:val="00B746AA"/>
    <w:rsid w:val="00B81BD2"/>
    <w:rsid w:val="00B820CA"/>
    <w:rsid w:val="00B85564"/>
    <w:rsid w:val="00B919C0"/>
    <w:rsid w:val="00BA0905"/>
    <w:rsid w:val="00BA351B"/>
    <w:rsid w:val="00BA3B4C"/>
    <w:rsid w:val="00BB1075"/>
    <w:rsid w:val="00BB41EE"/>
    <w:rsid w:val="00BD6695"/>
    <w:rsid w:val="00BF46B5"/>
    <w:rsid w:val="00C00270"/>
    <w:rsid w:val="00C03C13"/>
    <w:rsid w:val="00C04EBE"/>
    <w:rsid w:val="00C06871"/>
    <w:rsid w:val="00C10C1A"/>
    <w:rsid w:val="00C208EC"/>
    <w:rsid w:val="00C313C7"/>
    <w:rsid w:val="00C31748"/>
    <w:rsid w:val="00C5111E"/>
    <w:rsid w:val="00C566A7"/>
    <w:rsid w:val="00C61893"/>
    <w:rsid w:val="00C641E5"/>
    <w:rsid w:val="00C670C4"/>
    <w:rsid w:val="00C73819"/>
    <w:rsid w:val="00C8219A"/>
    <w:rsid w:val="00C87C89"/>
    <w:rsid w:val="00C92543"/>
    <w:rsid w:val="00C96E60"/>
    <w:rsid w:val="00CA0B3E"/>
    <w:rsid w:val="00CA6B69"/>
    <w:rsid w:val="00CB30B3"/>
    <w:rsid w:val="00CB3ED7"/>
    <w:rsid w:val="00CC2EA7"/>
    <w:rsid w:val="00CC383C"/>
    <w:rsid w:val="00CC6260"/>
    <w:rsid w:val="00CD4910"/>
    <w:rsid w:val="00CD73CD"/>
    <w:rsid w:val="00CD7F30"/>
    <w:rsid w:val="00CE5CC7"/>
    <w:rsid w:val="00CF609F"/>
    <w:rsid w:val="00CF65A5"/>
    <w:rsid w:val="00D0673A"/>
    <w:rsid w:val="00D17720"/>
    <w:rsid w:val="00D25670"/>
    <w:rsid w:val="00D26945"/>
    <w:rsid w:val="00D326B7"/>
    <w:rsid w:val="00D3439D"/>
    <w:rsid w:val="00D40F29"/>
    <w:rsid w:val="00D41EB4"/>
    <w:rsid w:val="00D4529F"/>
    <w:rsid w:val="00D45EFE"/>
    <w:rsid w:val="00D5044A"/>
    <w:rsid w:val="00D51695"/>
    <w:rsid w:val="00D53F88"/>
    <w:rsid w:val="00D6034C"/>
    <w:rsid w:val="00D61387"/>
    <w:rsid w:val="00D72779"/>
    <w:rsid w:val="00D8101E"/>
    <w:rsid w:val="00D877F2"/>
    <w:rsid w:val="00D95AE0"/>
    <w:rsid w:val="00DA2568"/>
    <w:rsid w:val="00DA2BB0"/>
    <w:rsid w:val="00DA517A"/>
    <w:rsid w:val="00DB4DA7"/>
    <w:rsid w:val="00DC3066"/>
    <w:rsid w:val="00DC6B9F"/>
    <w:rsid w:val="00DC7A61"/>
    <w:rsid w:val="00DD3538"/>
    <w:rsid w:val="00DD5FF5"/>
    <w:rsid w:val="00DE7951"/>
    <w:rsid w:val="00DF3DA7"/>
    <w:rsid w:val="00DF57EE"/>
    <w:rsid w:val="00DF60F5"/>
    <w:rsid w:val="00DF62C3"/>
    <w:rsid w:val="00DF6341"/>
    <w:rsid w:val="00DF743F"/>
    <w:rsid w:val="00E01AD6"/>
    <w:rsid w:val="00E1399E"/>
    <w:rsid w:val="00E224CC"/>
    <w:rsid w:val="00E24B8C"/>
    <w:rsid w:val="00E316AA"/>
    <w:rsid w:val="00E320A9"/>
    <w:rsid w:val="00E400F3"/>
    <w:rsid w:val="00E41044"/>
    <w:rsid w:val="00E41FE4"/>
    <w:rsid w:val="00E457C1"/>
    <w:rsid w:val="00E51930"/>
    <w:rsid w:val="00E52A2C"/>
    <w:rsid w:val="00E600A1"/>
    <w:rsid w:val="00E6394D"/>
    <w:rsid w:val="00E827EA"/>
    <w:rsid w:val="00E84091"/>
    <w:rsid w:val="00E84316"/>
    <w:rsid w:val="00E857A8"/>
    <w:rsid w:val="00E86A1B"/>
    <w:rsid w:val="00E95EF3"/>
    <w:rsid w:val="00EA1269"/>
    <w:rsid w:val="00EA17BE"/>
    <w:rsid w:val="00EA18C5"/>
    <w:rsid w:val="00EA213F"/>
    <w:rsid w:val="00EA7846"/>
    <w:rsid w:val="00EC20E8"/>
    <w:rsid w:val="00EC4F62"/>
    <w:rsid w:val="00EC5BDF"/>
    <w:rsid w:val="00EE0F97"/>
    <w:rsid w:val="00EE6D42"/>
    <w:rsid w:val="00F20AAA"/>
    <w:rsid w:val="00F24B5C"/>
    <w:rsid w:val="00F27B59"/>
    <w:rsid w:val="00F3000D"/>
    <w:rsid w:val="00F5274E"/>
    <w:rsid w:val="00F56BFC"/>
    <w:rsid w:val="00F60D57"/>
    <w:rsid w:val="00F665A8"/>
    <w:rsid w:val="00F70781"/>
    <w:rsid w:val="00F70C09"/>
    <w:rsid w:val="00F76D9B"/>
    <w:rsid w:val="00F84289"/>
    <w:rsid w:val="00F869E7"/>
    <w:rsid w:val="00FA0DE1"/>
    <w:rsid w:val="00FB045C"/>
    <w:rsid w:val="00FB3AFC"/>
    <w:rsid w:val="00FC706F"/>
    <w:rsid w:val="00FD184E"/>
    <w:rsid w:val="00FD2D91"/>
    <w:rsid w:val="00FD6389"/>
    <w:rsid w:val="00FE75A7"/>
    <w:rsid w:val="00FE799D"/>
    <w:rsid w:val="00FF17FB"/>
    <w:rsid w:val="00FF2ED9"/>
    <w:rsid w:val="00FF3E32"/>
    <w:rsid w:val="00FF73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2E910C"/>
  <w15:chartTrackingRefBased/>
  <w15:docId w15:val="{9F798F64-8EC2-4AB7-A7C9-933B070317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0271"/>
    <w:rPr>
      <w:kern w:val="0"/>
      <w14:ligatures w14:val="none"/>
    </w:rPr>
  </w:style>
  <w:style w:type="paragraph" w:styleId="Heading1">
    <w:name w:val="heading 1"/>
    <w:basedOn w:val="Normal"/>
    <w:next w:val="Normal"/>
    <w:link w:val="Heading1Char"/>
    <w:uiPriority w:val="9"/>
    <w:qFormat/>
    <w:rsid w:val="0021027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1027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1027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1027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1027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1027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027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027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027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027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1027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1027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1027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1027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102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02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02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0271"/>
    <w:rPr>
      <w:rFonts w:eastAsiaTheme="majorEastAsia" w:cstheme="majorBidi"/>
      <w:color w:val="272727" w:themeColor="text1" w:themeTint="D8"/>
    </w:rPr>
  </w:style>
  <w:style w:type="paragraph" w:styleId="Title">
    <w:name w:val="Title"/>
    <w:basedOn w:val="Normal"/>
    <w:next w:val="Normal"/>
    <w:link w:val="TitleChar"/>
    <w:uiPriority w:val="10"/>
    <w:qFormat/>
    <w:rsid w:val="0021027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02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027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02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0271"/>
    <w:pPr>
      <w:spacing w:before="160"/>
      <w:jc w:val="center"/>
    </w:pPr>
    <w:rPr>
      <w:i/>
      <w:iCs/>
      <w:color w:val="404040" w:themeColor="text1" w:themeTint="BF"/>
    </w:rPr>
  </w:style>
  <w:style w:type="character" w:customStyle="1" w:styleId="QuoteChar">
    <w:name w:val="Quote Char"/>
    <w:basedOn w:val="DefaultParagraphFont"/>
    <w:link w:val="Quote"/>
    <w:uiPriority w:val="29"/>
    <w:rsid w:val="00210271"/>
    <w:rPr>
      <w:i/>
      <w:iCs/>
      <w:color w:val="404040" w:themeColor="text1" w:themeTint="BF"/>
    </w:rPr>
  </w:style>
  <w:style w:type="paragraph" w:styleId="ListParagraph">
    <w:name w:val="List Paragraph"/>
    <w:basedOn w:val="Normal"/>
    <w:uiPriority w:val="34"/>
    <w:qFormat/>
    <w:rsid w:val="00210271"/>
    <w:pPr>
      <w:ind w:left="720"/>
      <w:contextualSpacing/>
    </w:pPr>
  </w:style>
  <w:style w:type="character" w:styleId="IntenseEmphasis">
    <w:name w:val="Intense Emphasis"/>
    <w:basedOn w:val="DefaultParagraphFont"/>
    <w:uiPriority w:val="21"/>
    <w:qFormat/>
    <w:rsid w:val="00210271"/>
    <w:rPr>
      <w:i/>
      <w:iCs/>
      <w:color w:val="0F4761" w:themeColor="accent1" w:themeShade="BF"/>
    </w:rPr>
  </w:style>
  <w:style w:type="paragraph" w:styleId="IntenseQuote">
    <w:name w:val="Intense Quote"/>
    <w:basedOn w:val="Normal"/>
    <w:next w:val="Normal"/>
    <w:link w:val="IntenseQuoteChar"/>
    <w:uiPriority w:val="30"/>
    <w:qFormat/>
    <w:rsid w:val="0021027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0271"/>
    <w:rPr>
      <w:i/>
      <w:iCs/>
      <w:color w:val="0F4761" w:themeColor="accent1" w:themeShade="BF"/>
    </w:rPr>
  </w:style>
  <w:style w:type="character" w:styleId="IntenseReference">
    <w:name w:val="Intense Reference"/>
    <w:basedOn w:val="DefaultParagraphFont"/>
    <w:uiPriority w:val="32"/>
    <w:qFormat/>
    <w:rsid w:val="00210271"/>
    <w:rPr>
      <w:b/>
      <w:bCs/>
      <w:smallCaps/>
      <w:color w:val="0F4761" w:themeColor="accent1" w:themeShade="BF"/>
      <w:spacing w:val="5"/>
    </w:rPr>
  </w:style>
  <w:style w:type="paragraph" w:styleId="TOCHeading">
    <w:name w:val="TOC Heading"/>
    <w:basedOn w:val="Heading1"/>
    <w:next w:val="Normal"/>
    <w:uiPriority w:val="39"/>
    <w:unhideWhenUsed/>
    <w:qFormat/>
    <w:rsid w:val="00210271"/>
    <w:pPr>
      <w:spacing w:before="240" w:after="0"/>
      <w:outlineLvl w:val="9"/>
    </w:pPr>
    <w:rPr>
      <w:sz w:val="32"/>
      <w:szCs w:val="32"/>
      <w:lang w:eastAsia="en-GB"/>
    </w:rPr>
  </w:style>
  <w:style w:type="paragraph" w:styleId="TOC1">
    <w:name w:val="toc 1"/>
    <w:basedOn w:val="Normal"/>
    <w:next w:val="Normal"/>
    <w:autoRedefine/>
    <w:uiPriority w:val="39"/>
    <w:unhideWhenUsed/>
    <w:rsid w:val="001A539B"/>
    <w:pPr>
      <w:spacing w:after="100"/>
    </w:pPr>
  </w:style>
  <w:style w:type="paragraph" w:styleId="TOC2">
    <w:name w:val="toc 2"/>
    <w:basedOn w:val="Normal"/>
    <w:next w:val="Normal"/>
    <w:autoRedefine/>
    <w:uiPriority w:val="39"/>
    <w:unhideWhenUsed/>
    <w:rsid w:val="001A539B"/>
    <w:pPr>
      <w:spacing w:after="100"/>
      <w:ind w:left="220"/>
    </w:pPr>
  </w:style>
  <w:style w:type="character" w:styleId="Hyperlink">
    <w:name w:val="Hyperlink"/>
    <w:basedOn w:val="DefaultParagraphFont"/>
    <w:uiPriority w:val="99"/>
    <w:unhideWhenUsed/>
    <w:rsid w:val="001A539B"/>
    <w:rPr>
      <w:color w:val="467886" w:themeColor="hyperlink"/>
      <w:u w:val="single"/>
    </w:rPr>
  </w:style>
  <w:style w:type="character" w:styleId="UnresolvedMention">
    <w:name w:val="Unresolved Mention"/>
    <w:basedOn w:val="DefaultParagraphFont"/>
    <w:uiPriority w:val="99"/>
    <w:semiHidden/>
    <w:unhideWhenUsed/>
    <w:rsid w:val="000E3633"/>
    <w:rPr>
      <w:color w:val="605E5C"/>
      <w:shd w:val="clear" w:color="auto" w:fill="E1DFDD"/>
    </w:rPr>
  </w:style>
  <w:style w:type="character" w:styleId="FollowedHyperlink">
    <w:name w:val="FollowedHyperlink"/>
    <w:basedOn w:val="DefaultParagraphFont"/>
    <w:uiPriority w:val="99"/>
    <w:semiHidden/>
    <w:unhideWhenUsed/>
    <w:rsid w:val="002D5A2E"/>
    <w:rPr>
      <w:color w:val="96607D" w:themeColor="followedHyperlink"/>
      <w:u w:val="single"/>
    </w:rPr>
  </w:style>
  <w:style w:type="paragraph" w:styleId="Header">
    <w:name w:val="header"/>
    <w:basedOn w:val="Normal"/>
    <w:link w:val="HeaderChar"/>
    <w:uiPriority w:val="99"/>
    <w:unhideWhenUsed/>
    <w:rsid w:val="00636C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6C34"/>
    <w:rPr>
      <w:kern w:val="0"/>
      <w14:ligatures w14:val="none"/>
    </w:rPr>
  </w:style>
  <w:style w:type="paragraph" w:styleId="Footer">
    <w:name w:val="footer"/>
    <w:basedOn w:val="Normal"/>
    <w:link w:val="FooterChar"/>
    <w:uiPriority w:val="99"/>
    <w:unhideWhenUsed/>
    <w:rsid w:val="00636C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6C34"/>
    <w:rPr>
      <w:kern w:val="0"/>
      <w14:ligatures w14:val="none"/>
    </w:rPr>
  </w:style>
  <w:style w:type="table" w:styleId="TableGridLight">
    <w:name w:val="Grid Table Light"/>
    <w:basedOn w:val="TableNormal"/>
    <w:uiPriority w:val="40"/>
    <w:rsid w:val="00943214"/>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7799738">
      <w:bodyDiv w:val="1"/>
      <w:marLeft w:val="0"/>
      <w:marRight w:val="0"/>
      <w:marTop w:val="0"/>
      <w:marBottom w:val="0"/>
      <w:divBdr>
        <w:top w:val="none" w:sz="0" w:space="0" w:color="auto"/>
        <w:left w:val="none" w:sz="0" w:space="0" w:color="auto"/>
        <w:bottom w:val="none" w:sz="0" w:space="0" w:color="auto"/>
        <w:right w:val="none" w:sz="0" w:space="0" w:color="auto"/>
      </w:divBdr>
    </w:div>
    <w:div w:id="149493131">
      <w:bodyDiv w:val="1"/>
      <w:marLeft w:val="0"/>
      <w:marRight w:val="0"/>
      <w:marTop w:val="0"/>
      <w:marBottom w:val="0"/>
      <w:divBdr>
        <w:top w:val="none" w:sz="0" w:space="0" w:color="auto"/>
        <w:left w:val="none" w:sz="0" w:space="0" w:color="auto"/>
        <w:bottom w:val="none" w:sz="0" w:space="0" w:color="auto"/>
        <w:right w:val="none" w:sz="0" w:space="0" w:color="auto"/>
      </w:divBdr>
    </w:div>
    <w:div w:id="161970232">
      <w:bodyDiv w:val="1"/>
      <w:marLeft w:val="0"/>
      <w:marRight w:val="0"/>
      <w:marTop w:val="0"/>
      <w:marBottom w:val="0"/>
      <w:divBdr>
        <w:top w:val="none" w:sz="0" w:space="0" w:color="auto"/>
        <w:left w:val="none" w:sz="0" w:space="0" w:color="auto"/>
        <w:bottom w:val="none" w:sz="0" w:space="0" w:color="auto"/>
        <w:right w:val="none" w:sz="0" w:space="0" w:color="auto"/>
      </w:divBdr>
    </w:div>
    <w:div w:id="213394373">
      <w:bodyDiv w:val="1"/>
      <w:marLeft w:val="0"/>
      <w:marRight w:val="0"/>
      <w:marTop w:val="0"/>
      <w:marBottom w:val="0"/>
      <w:divBdr>
        <w:top w:val="none" w:sz="0" w:space="0" w:color="auto"/>
        <w:left w:val="none" w:sz="0" w:space="0" w:color="auto"/>
        <w:bottom w:val="none" w:sz="0" w:space="0" w:color="auto"/>
        <w:right w:val="none" w:sz="0" w:space="0" w:color="auto"/>
      </w:divBdr>
    </w:div>
    <w:div w:id="235433132">
      <w:bodyDiv w:val="1"/>
      <w:marLeft w:val="0"/>
      <w:marRight w:val="0"/>
      <w:marTop w:val="0"/>
      <w:marBottom w:val="0"/>
      <w:divBdr>
        <w:top w:val="none" w:sz="0" w:space="0" w:color="auto"/>
        <w:left w:val="none" w:sz="0" w:space="0" w:color="auto"/>
        <w:bottom w:val="none" w:sz="0" w:space="0" w:color="auto"/>
        <w:right w:val="none" w:sz="0" w:space="0" w:color="auto"/>
      </w:divBdr>
    </w:div>
    <w:div w:id="309361316">
      <w:bodyDiv w:val="1"/>
      <w:marLeft w:val="0"/>
      <w:marRight w:val="0"/>
      <w:marTop w:val="0"/>
      <w:marBottom w:val="0"/>
      <w:divBdr>
        <w:top w:val="none" w:sz="0" w:space="0" w:color="auto"/>
        <w:left w:val="none" w:sz="0" w:space="0" w:color="auto"/>
        <w:bottom w:val="none" w:sz="0" w:space="0" w:color="auto"/>
        <w:right w:val="none" w:sz="0" w:space="0" w:color="auto"/>
      </w:divBdr>
    </w:div>
    <w:div w:id="367030565">
      <w:bodyDiv w:val="1"/>
      <w:marLeft w:val="0"/>
      <w:marRight w:val="0"/>
      <w:marTop w:val="0"/>
      <w:marBottom w:val="0"/>
      <w:divBdr>
        <w:top w:val="none" w:sz="0" w:space="0" w:color="auto"/>
        <w:left w:val="none" w:sz="0" w:space="0" w:color="auto"/>
        <w:bottom w:val="none" w:sz="0" w:space="0" w:color="auto"/>
        <w:right w:val="none" w:sz="0" w:space="0" w:color="auto"/>
      </w:divBdr>
    </w:div>
    <w:div w:id="393505388">
      <w:bodyDiv w:val="1"/>
      <w:marLeft w:val="0"/>
      <w:marRight w:val="0"/>
      <w:marTop w:val="0"/>
      <w:marBottom w:val="0"/>
      <w:divBdr>
        <w:top w:val="none" w:sz="0" w:space="0" w:color="auto"/>
        <w:left w:val="none" w:sz="0" w:space="0" w:color="auto"/>
        <w:bottom w:val="none" w:sz="0" w:space="0" w:color="auto"/>
        <w:right w:val="none" w:sz="0" w:space="0" w:color="auto"/>
      </w:divBdr>
      <w:divsChild>
        <w:div w:id="802499547">
          <w:marLeft w:val="0"/>
          <w:marRight w:val="0"/>
          <w:marTop w:val="0"/>
          <w:marBottom w:val="0"/>
          <w:divBdr>
            <w:top w:val="none" w:sz="0" w:space="0" w:color="auto"/>
            <w:left w:val="none" w:sz="0" w:space="0" w:color="auto"/>
            <w:bottom w:val="none" w:sz="0" w:space="0" w:color="auto"/>
            <w:right w:val="none" w:sz="0" w:space="0" w:color="auto"/>
          </w:divBdr>
          <w:divsChild>
            <w:div w:id="674382841">
              <w:marLeft w:val="0"/>
              <w:marRight w:val="0"/>
              <w:marTop w:val="0"/>
              <w:marBottom w:val="0"/>
              <w:divBdr>
                <w:top w:val="none" w:sz="0" w:space="0" w:color="auto"/>
                <w:left w:val="none" w:sz="0" w:space="0" w:color="auto"/>
                <w:bottom w:val="none" w:sz="0" w:space="0" w:color="auto"/>
                <w:right w:val="none" w:sz="0" w:space="0" w:color="auto"/>
              </w:divBdr>
            </w:div>
            <w:div w:id="908149640">
              <w:marLeft w:val="0"/>
              <w:marRight w:val="0"/>
              <w:marTop w:val="0"/>
              <w:marBottom w:val="0"/>
              <w:divBdr>
                <w:top w:val="none" w:sz="0" w:space="0" w:color="auto"/>
                <w:left w:val="none" w:sz="0" w:space="0" w:color="auto"/>
                <w:bottom w:val="none" w:sz="0" w:space="0" w:color="auto"/>
                <w:right w:val="none" w:sz="0" w:space="0" w:color="auto"/>
              </w:divBdr>
            </w:div>
            <w:div w:id="112867246">
              <w:marLeft w:val="0"/>
              <w:marRight w:val="0"/>
              <w:marTop w:val="0"/>
              <w:marBottom w:val="0"/>
              <w:divBdr>
                <w:top w:val="single" w:sz="18" w:space="0" w:color="91C0CB"/>
                <w:left w:val="single" w:sz="18" w:space="0" w:color="91C0CB"/>
                <w:bottom w:val="single" w:sz="18" w:space="0" w:color="91C0CB"/>
                <w:right w:val="single" w:sz="18" w:space="0" w:color="91C0CB"/>
              </w:divBdr>
              <w:divsChild>
                <w:div w:id="1716855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5542793">
          <w:marLeft w:val="0"/>
          <w:marRight w:val="0"/>
          <w:marTop w:val="0"/>
          <w:marBottom w:val="0"/>
          <w:divBdr>
            <w:top w:val="none" w:sz="0" w:space="0" w:color="auto"/>
            <w:left w:val="none" w:sz="0" w:space="0" w:color="auto"/>
            <w:bottom w:val="none" w:sz="0" w:space="0" w:color="auto"/>
            <w:right w:val="none" w:sz="0" w:space="0" w:color="auto"/>
          </w:divBdr>
          <w:divsChild>
            <w:div w:id="1552886306">
              <w:marLeft w:val="0"/>
              <w:marRight w:val="0"/>
              <w:marTop w:val="0"/>
              <w:marBottom w:val="0"/>
              <w:divBdr>
                <w:top w:val="none" w:sz="0" w:space="0" w:color="auto"/>
                <w:left w:val="none" w:sz="0" w:space="0" w:color="auto"/>
                <w:bottom w:val="none" w:sz="0" w:space="0" w:color="auto"/>
                <w:right w:val="none" w:sz="0" w:space="0" w:color="auto"/>
              </w:divBdr>
            </w:div>
            <w:div w:id="670793597">
              <w:marLeft w:val="0"/>
              <w:marRight w:val="0"/>
              <w:marTop w:val="0"/>
              <w:marBottom w:val="0"/>
              <w:divBdr>
                <w:top w:val="none" w:sz="0" w:space="0" w:color="auto"/>
                <w:left w:val="none" w:sz="0" w:space="0" w:color="auto"/>
                <w:bottom w:val="none" w:sz="0" w:space="0" w:color="auto"/>
                <w:right w:val="none" w:sz="0" w:space="0" w:color="auto"/>
              </w:divBdr>
            </w:div>
            <w:div w:id="257295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5980782">
      <w:bodyDiv w:val="1"/>
      <w:marLeft w:val="0"/>
      <w:marRight w:val="0"/>
      <w:marTop w:val="0"/>
      <w:marBottom w:val="0"/>
      <w:divBdr>
        <w:top w:val="none" w:sz="0" w:space="0" w:color="auto"/>
        <w:left w:val="none" w:sz="0" w:space="0" w:color="auto"/>
        <w:bottom w:val="none" w:sz="0" w:space="0" w:color="auto"/>
        <w:right w:val="none" w:sz="0" w:space="0" w:color="auto"/>
      </w:divBdr>
    </w:div>
    <w:div w:id="399598534">
      <w:bodyDiv w:val="1"/>
      <w:marLeft w:val="0"/>
      <w:marRight w:val="0"/>
      <w:marTop w:val="0"/>
      <w:marBottom w:val="0"/>
      <w:divBdr>
        <w:top w:val="none" w:sz="0" w:space="0" w:color="auto"/>
        <w:left w:val="none" w:sz="0" w:space="0" w:color="auto"/>
        <w:bottom w:val="none" w:sz="0" w:space="0" w:color="auto"/>
        <w:right w:val="none" w:sz="0" w:space="0" w:color="auto"/>
      </w:divBdr>
      <w:divsChild>
        <w:div w:id="750931040">
          <w:marLeft w:val="0"/>
          <w:marRight w:val="0"/>
          <w:marTop w:val="0"/>
          <w:marBottom w:val="0"/>
          <w:divBdr>
            <w:top w:val="none" w:sz="0" w:space="0" w:color="auto"/>
            <w:left w:val="none" w:sz="0" w:space="0" w:color="auto"/>
            <w:bottom w:val="none" w:sz="0" w:space="0" w:color="auto"/>
            <w:right w:val="none" w:sz="0" w:space="0" w:color="auto"/>
          </w:divBdr>
          <w:divsChild>
            <w:div w:id="2016416223">
              <w:marLeft w:val="0"/>
              <w:marRight w:val="0"/>
              <w:marTop w:val="0"/>
              <w:marBottom w:val="0"/>
              <w:divBdr>
                <w:top w:val="none" w:sz="0" w:space="0" w:color="auto"/>
                <w:left w:val="none" w:sz="0" w:space="0" w:color="auto"/>
                <w:bottom w:val="none" w:sz="0" w:space="0" w:color="auto"/>
                <w:right w:val="none" w:sz="0" w:space="0" w:color="auto"/>
              </w:divBdr>
              <w:divsChild>
                <w:div w:id="948439683">
                  <w:marLeft w:val="0"/>
                  <w:marRight w:val="0"/>
                  <w:marTop w:val="0"/>
                  <w:marBottom w:val="0"/>
                  <w:divBdr>
                    <w:top w:val="none" w:sz="0" w:space="0" w:color="auto"/>
                    <w:left w:val="none" w:sz="0" w:space="0" w:color="auto"/>
                    <w:bottom w:val="none" w:sz="0" w:space="0" w:color="auto"/>
                    <w:right w:val="none" w:sz="0" w:space="0" w:color="auto"/>
                  </w:divBdr>
                  <w:divsChild>
                    <w:div w:id="1789660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3963320">
          <w:marLeft w:val="0"/>
          <w:marRight w:val="0"/>
          <w:marTop w:val="0"/>
          <w:marBottom w:val="0"/>
          <w:divBdr>
            <w:top w:val="none" w:sz="0" w:space="0" w:color="auto"/>
            <w:left w:val="none" w:sz="0" w:space="0" w:color="auto"/>
            <w:bottom w:val="none" w:sz="0" w:space="0" w:color="auto"/>
            <w:right w:val="none" w:sz="0" w:space="0" w:color="auto"/>
          </w:divBdr>
          <w:divsChild>
            <w:div w:id="377902840">
              <w:marLeft w:val="0"/>
              <w:marRight w:val="0"/>
              <w:marTop w:val="0"/>
              <w:marBottom w:val="0"/>
              <w:divBdr>
                <w:top w:val="none" w:sz="0" w:space="0" w:color="auto"/>
                <w:left w:val="none" w:sz="0" w:space="0" w:color="auto"/>
                <w:bottom w:val="none" w:sz="0" w:space="0" w:color="auto"/>
                <w:right w:val="none" w:sz="0" w:space="0" w:color="auto"/>
              </w:divBdr>
              <w:divsChild>
                <w:div w:id="1272979128">
                  <w:marLeft w:val="0"/>
                  <w:marRight w:val="0"/>
                  <w:marTop w:val="0"/>
                  <w:marBottom w:val="0"/>
                  <w:divBdr>
                    <w:top w:val="none" w:sz="0" w:space="0" w:color="auto"/>
                    <w:left w:val="none" w:sz="0" w:space="0" w:color="auto"/>
                    <w:bottom w:val="none" w:sz="0" w:space="0" w:color="auto"/>
                    <w:right w:val="none" w:sz="0" w:space="0" w:color="auto"/>
                  </w:divBdr>
                  <w:divsChild>
                    <w:div w:id="628973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2476525">
          <w:marLeft w:val="0"/>
          <w:marRight w:val="0"/>
          <w:marTop w:val="0"/>
          <w:marBottom w:val="0"/>
          <w:divBdr>
            <w:top w:val="none" w:sz="0" w:space="0" w:color="auto"/>
            <w:left w:val="none" w:sz="0" w:space="0" w:color="auto"/>
            <w:bottom w:val="none" w:sz="0" w:space="0" w:color="auto"/>
            <w:right w:val="none" w:sz="0" w:space="0" w:color="auto"/>
          </w:divBdr>
          <w:divsChild>
            <w:div w:id="11685389">
              <w:marLeft w:val="0"/>
              <w:marRight w:val="0"/>
              <w:marTop w:val="0"/>
              <w:marBottom w:val="0"/>
              <w:divBdr>
                <w:top w:val="none" w:sz="0" w:space="0" w:color="auto"/>
                <w:left w:val="none" w:sz="0" w:space="0" w:color="auto"/>
                <w:bottom w:val="none" w:sz="0" w:space="0" w:color="auto"/>
                <w:right w:val="none" w:sz="0" w:space="0" w:color="auto"/>
              </w:divBdr>
              <w:divsChild>
                <w:div w:id="120012732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1436972891">
          <w:marLeft w:val="0"/>
          <w:marRight w:val="0"/>
          <w:marTop w:val="0"/>
          <w:marBottom w:val="0"/>
          <w:divBdr>
            <w:top w:val="none" w:sz="0" w:space="0" w:color="auto"/>
            <w:left w:val="none" w:sz="0" w:space="0" w:color="auto"/>
            <w:bottom w:val="none" w:sz="0" w:space="0" w:color="auto"/>
            <w:right w:val="none" w:sz="0" w:space="0" w:color="auto"/>
          </w:divBdr>
          <w:divsChild>
            <w:div w:id="627054149">
              <w:marLeft w:val="0"/>
              <w:marRight w:val="0"/>
              <w:marTop w:val="0"/>
              <w:marBottom w:val="0"/>
              <w:divBdr>
                <w:top w:val="none" w:sz="0" w:space="0" w:color="auto"/>
                <w:left w:val="none" w:sz="0" w:space="0" w:color="auto"/>
                <w:bottom w:val="none" w:sz="0" w:space="0" w:color="auto"/>
                <w:right w:val="none" w:sz="0" w:space="0" w:color="auto"/>
              </w:divBdr>
              <w:divsChild>
                <w:div w:id="1924680970">
                  <w:marLeft w:val="0"/>
                  <w:marRight w:val="0"/>
                  <w:marTop w:val="0"/>
                  <w:marBottom w:val="0"/>
                  <w:divBdr>
                    <w:top w:val="none" w:sz="0" w:space="0" w:color="auto"/>
                    <w:left w:val="none" w:sz="0" w:space="0" w:color="auto"/>
                    <w:bottom w:val="none" w:sz="0" w:space="0" w:color="auto"/>
                    <w:right w:val="none" w:sz="0" w:space="0" w:color="auto"/>
                  </w:divBdr>
                  <w:divsChild>
                    <w:div w:id="700933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1051078">
          <w:marLeft w:val="0"/>
          <w:marRight w:val="0"/>
          <w:marTop w:val="0"/>
          <w:marBottom w:val="0"/>
          <w:divBdr>
            <w:top w:val="none" w:sz="0" w:space="0" w:color="auto"/>
            <w:left w:val="none" w:sz="0" w:space="0" w:color="auto"/>
            <w:bottom w:val="none" w:sz="0" w:space="0" w:color="auto"/>
            <w:right w:val="none" w:sz="0" w:space="0" w:color="auto"/>
          </w:divBdr>
          <w:divsChild>
            <w:div w:id="600335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1879783">
      <w:bodyDiv w:val="1"/>
      <w:marLeft w:val="0"/>
      <w:marRight w:val="0"/>
      <w:marTop w:val="0"/>
      <w:marBottom w:val="0"/>
      <w:divBdr>
        <w:top w:val="none" w:sz="0" w:space="0" w:color="auto"/>
        <w:left w:val="none" w:sz="0" w:space="0" w:color="auto"/>
        <w:bottom w:val="none" w:sz="0" w:space="0" w:color="auto"/>
        <w:right w:val="none" w:sz="0" w:space="0" w:color="auto"/>
      </w:divBdr>
    </w:div>
    <w:div w:id="451167243">
      <w:bodyDiv w:val="1"/>
      <w:marLeft w:val="0"/>
      <w:marRight w:val="0"/>
      <w:marTop w:val="0"/>
      <w:marBottom w:val="0"/>
      <w:divBdr>
        <w:top w:val="none" w:sz="0" w:space="0" w:color="auto"/>
        <w:left w:val="none" w:sz="0" w:space="0" w:color="auto"/>
        <w:bottom w:val="none" w:sz="0" w:space="0" w:color="auto"/>
        <w:right w:val="none" w:sz="0" w:space="0" w:color="auto"/>
      </w:divBdr>
    </w:div>
    <w:div w:id="454564453">
      <w:bodyDiv w:val="1"/>
      <w:marLeft w:val="0"/>
      <w:marRight w:val="0"/>
      <w:marTop w:val="0"/>
      <w:marBottom w:val="0"/>
      <w:divBdr>
        <w:top w:val="none" w:sz="0" w:space="0" w:color="auto"/>
        <w:left w:val="none" w:sz="0" w:space="0" w:color="auto"/>
        <w:bottom w:val="none" w:sz="0" w:space="0" w:color="auto"/>
        <w:right w:val="none" w:sz="0" w:space="0" w:color="auto"/>
      </w:divBdr>
      <w:divsChild>
        <w:div w:id="390813095">
          <w:marLeft w:val="0"/>
          <w:marRight w:val="0"/>
          <w:marTop w:val="0"/>
          <w:marBottom w:val="0"/>
          <w:divBdr>
            <w:top w:val="none" w:sz="0" w:space="0" w:color="auto"/>
            <w:left w:val="none" w:sz="0" w:space="0" w:color="auto"/>
            <w:bottom w:val="none" w:sz="0" w:space="0" w:color="auto"/>
            <w:right w:val="none" w:sz="0" w:space="0" w:color="auto"/>
          </w:divBdr>
        </w:div>
        <w:div w:id="209612212">
          <w:marLeft w:val="0"/>
          <w:marRight w:val="0"/>
          <w:marTop w:val="0"/>
          <w:marBottom w:val="0"/>
          <w:divBdr>
            <w:top w:val="none" w:sz="0" w:space="0" w:color="auto"/>
            <w:left w:val="none" w:sz="0" w:space="0" w:color="auto"/>
            <w:bottom w:val="none" w:sz="0" w:space="0" w:color="auto"/>
            <w:right w:val="none" w:sz="0" w:space="0" w:color="auto"/>
          </w:divBdr>
        </w:div>
        <w:div w:id="992873841">
          <w:marLeft w:val="0"/>
          <w:marRight w:val="0"/>
          <w:marTop w:val="0"/>
          <w:marBottom w:val="0"/>
          <w:divBdr>
            <w:top w:val="none" w:sz="0" w:space="0" w:color="auto"/>
            <w:left w:val="none" w:sz="0" w:space="0" w:color="auto"/>
            <w:bottom w:val="none" w:sz="0" w:space="0" w:color="auto"/>
            <w:right w:val="none" w:sz="0" w:space="0" w:color="auto"/>
          </w:divBdr>
        </w:div>
        <w:div w:id="1510365408">
          <w:marLeft w:val="0"/>
          <w:marRight w:val="0"/>
          <w:marTop w:val="0"/>
          <w:marBottom w:val="0"/>
          <w:divBdr>
            <w:top w:val="none" w:sz="0" w:space="0" w:color="auto"/>
            <w:left w:val="none" w:sz="0" w:space="0" w:color="auto"/>
            <w:bottom w:val="none" w:sz="0" w:space="0" w:color="auto"/>
            <w:right w:val="none" w:sz="0" w:space="0" w:color="auto"/>
          </w:divBdr>
          <w:divsChild>
            <w:div w:id="818233013">
              <w:marLeft w:val="0"/>
              <w:marRight w:val="0"/>
              <w:marTop w:val="0"/>
              <w:marBottom w:val="0"/>
              <w:divBdr>
                <w:top w:val="none" w:sz="0" w:space="0" w:color="auto"/>
                <w:left w:val="none" w:sz="0" w:space="0" w:color="auto"/>
                <w:bottom w:val="none" w:sz="0" w:space="0" w:color="auto"/>
                <w:right w:val="none" w:sz="0" w:space="0" w:color="auto"/>
              </w:divBdr>
            </w:div>
            <w:div w:id="1678464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3329663">
      <w:bodyDiv w:val="1"/>
      <w:marLeft w:val="0"/>
      <w:marRight w:val="0"/>
      <w:marTop w:val="0"/>
      <w:marBottom w:val="0"/>
      <w:divBdr>
        <w:top w:val="none" w:sz="0" w:space="0" w:color="auto"/>
        <w:left w:val="none" w:sz="0" w:space="0" w:color="auto"/>
        <w:bottom w:val="none" w:sz="0" w:space="0" w:color="auto"/>
        <w:right w:val="none" w:sz="0" w:space="0" w:color="auto"/>
      </w:divBdr>
    </w:div>
    <w:div w:id="480075725">
      <w:bodyDiv w:val="1"/>
      <w:marLeft w:val="0"/>
      <w:marRight w:val="0"/>
      <w:marTop w:val="0"/>
      <w:marBottom w:val="0"/>
      <w:divBdr>
        <w:top w:val="none" w:sz="0" w:space="0" w:color="auto"/>
        <w:left w:val="none" w:sz="0" w:space="0" w:color="auto"/>
        <w:bottom w:val="none" w:sz="0" w:space="0" w:color="auto"/>
        <w:right w:val="none" w:sz="0" w:space="0" w:color="auto"/>
      </w:divBdr>
    </w:div>
    <w:div w:id="484051346">
      <w:bodyDiv w:val="1"/>
      <w:marLeft w:val="0"/>
      <w:marRight w:val="0"/>
      <w:marTop w:val="0"/>
      <w:marBottom w:val="0"/>
      <w:divBdr>
        <w:top w:val="none" w:sz="0" w:space="0" w:color="auto"/>
        <w:left w:val="none" w:sz="0" w:space="0" w:color="auto"/>
        <w:bottom w:val="none" w:sz="0" w:space="0" w:color="auto"/>
        <w:right w:val="none" w:sz="0" w:space="0" w:color="auto"/>
      </w:divBdr>
    </w:div>
    <w:div w:id="603464393">
      <w:bodyDiv w:val="1"/>
      <w:marLeft w:val="0"/>
      <w:marRight w:val="0"/>
      <w:marTop w:val="0"/>
      <w:marBottom w:val="0"/>
      <w:divBdr>
        <w:top w:val="none" w:sz="0" w:space="0" w:color="auto"/>
        <w:left w:val="none" w:sz="0" w:space="0" w:color="auto"/>
        <w:bottom w:val="none" w:sz="0" w:space="0" w:color="auto"/>
        <w:right w:val="none" w:sz="0" w:space="0" w:color="auto"/>
      </w:divBdr>
    </w:div>
    <w:div w:id="612859705">
      <w:bodyDiv w:val="1"/>
      <w:marLeft w:val="0"/>
      <w:marRight w:val="0"/>
      <w:marTop w:val="0"/>
      <w:marBottom w:val="0"/>
      <w:divBdr>
        <w:top w:val="none" w:sz="0" w:space="0" w:color="auto"/>
        <w:left w:val="none" w:sz="0" w:space="0" w:color="auto"/>
        <w:bottom w:val="none" w:sz="0" w:space="0" w:color="auto"/>
        <w:right w:val="none" w:sz="0" w:space="0" w:color="auto"/>
      </w:divBdr>
      <w:divsChild>
        <w:div w:id="1035544771">
          <w:marLeft w:val="0"/>
          <w:marRight w:val="0"/>
          <w:marTop w:val="0"/>
          <w:marBottom w:val="0"/>
          <w:divBdr>
            <w:top w:val="none" w:sz="0" w:space="0" w:color="auto"/>
            <w:left w:val="none" w:sz="0" w:space="0" w:color="auto"/>
            <w:bottom w:val="none" w:sz="0" w:space="0" w:color="auto"/>
            <w:right w:val="none" w:sz="0" w:space="0" w:color="auto"/>
          </w:divBdr>
          <w:divsChild>
            <w:div w:id="1796558607">
              <w:marLeft w:val="0"/>
              <w:marRight w:val="0"/>
              <w:marTop w:val="0"/>
              <w:marBottom w:val="0"/>
              <w:divBdr>
                <w:top w:val="none" w:sz="0" w:space="0" w:color="auto"/>
                <w:left w:val="none" w:sz="0" w:space="0" w:color="auto"/>
                <w:bottom w:val="none" w:sz="0" w:space="0" w:color="auto"/>
                <w:right w:val="none" w:sz="0" w:space="0" w:color="auto"/>
              </w:divBdr>
            </w:div>
            <w:div w:id="263803496">
              <w:marLeft w:val="0"/>
              <w:marRight w:val="0"/>
              <w:marTop w:val="0"/>
              <w:marBottom w:val="0"/>
              <w:divBdr>
                <w:top w:val="none" w:sz="0" w:space="0" w:color="auto"/>
                <w:left w:val="none" w:sz="0" w:space="0" w:color="auto"/>
                <w:bottom w:val="none" w:sz="0" w:space="0" w:color="auto"/>
                <w:right w:val="none" w:sz="0" w:space="0" w:color="auto"/>
              </w:divBdr>
            </w:div>
            <w:div w:id="2128116783">
              <w:marLeft w:val="0"/>
              <w:marRight w:val="0"/>
              <w:marTop w:val="0"/>
              <w:marBottom w:val="0"/>
              <w:divBdr>
                <w:top w:val="single" w:sz="18" w:space="0" w:color="91C0CB"/>
                <w:left w:val="single" w:sz="18" w:space="0" w:color="91C0CB"/>
                <w:bottom w:val="single" w:sz="18" w:space="0" w:color="91C0CB"/>
                <w:right w:val="single" w:sz="18" w:space="0" w:color="91C0CB"/>
              </w:divBdr>
              <w:divsChild>
                <w:div w:id="109858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2995835">
          <w:marLeft w:val="0"/>
          <w:marRight w:val="0"/>
          <w:marTop w:val="0"/>
          <w:marBottom w:val="0"/>
          <w:divBdr>
            <w:top w:val="none" w:sz="0" w:space="0" w:color="auto"/>
            <w:left w:val="none" w:sz="0" w:space="0" w:color="auto"/>
            <w:bottom w:val="none" w:sz="0" w:space="0" w:color="auto"/>
            <w:right w:val="none" w:sz="0" w:space="0" w:color="auto"/>
          </w:divBdr>
          <w:divsChild>
            <w:div w:id="1964531866">
              <w:marLeft w:val="0"/>
              <w:marRight w:val="0"/>
              <w:marTop w:val="0"/>
              <w:marBottom w:val="0"/>
              <w:divBdr>
                <w:top w:val="none" w:sz="0" w:space="0" w:color="auto"/>
                <w:left w:val="none" w:sz="0" w:space="0" w:color="auto"/>
                <w:bottom w:val="none" w:sz="0" w:space="0" w:color="auto"/>
                <w:right w:val="none" w:sz="0" w:space="0" w:color="auto"/>
              </w:divBdr>
            </w:div>
            <w:div w:id="2074429401">
              <w:marLeft w:val="0"/>
              <w:marRight w:val="0"/>
              <w:marTop w:val="0"/>
              <w:marBottom w:val="0"/>
              <w:divBdr>
                <w:top w:val="none" w:sz="0" w:space="0" w:color="auto"/>
                <w:left w:val="none" w:sz="0" w:space="0" w:color="auto"/>
                <w:bottom w:val="none" w:sz="0" w:space="0" w:color="auto"/>
                <w:right w:val="none" w:sz="0" w:space="0" w:color="auto"/>
              </w:divBdr>
            </w:div>
            <w:div w:id="1823623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7835135">
      <w:bodyDiv w:val="1"/>
      <w:marLeft w:val="0"/>
      <w:marRight w:val="0"/>
      <w:marTop w:val="0"/>
      <w:marBottom w:val="0"/>
      <w:divBdr>
        <w:top w:val="none" w:sz="0" w:space="0" w:color="auto"/>
        <w:left w:val="none" w:sz="0" w:space="0" w:color="auto"/>
        <w:bottom w:val="none" w:sz="0" w:space="0" w:color="auto"/>
        <w:right w:val="none" w:sz="0" w:space="0" w:color="auto"/>
      </w:divBdr>
    </w:div>
    <w:div w:id="664017805">
      <w:bodyDiv w:val="1"/>
      <w:marLeft w:val="0"/>
      <w:marRight w:val="0"/>
      <w:marTop w:val="0"/>
      <w:marBottom w:val="0"/>
      <w:divBdr>
        <w:top w:val="none" w:sz="0" w:space="0" w:color="auto"/>
        <w:left w:val="none" w:sz="0" w:space="0" w:color="auto"/>
        <w:bottom w:val="none" w:sz="0" w:space="0" w:color="auto"/>
        <w:right w:val="none" w:sz="0" w:space="0" w:color="auto"/>
      </w:divBdr>
    </w:div>
    <w:div w:id="703293832">
      <w:bodyDiv w:val="1"/>
      <w:marLeft w:val="0"/>
      <w:marRight w:val="0"/>
      <w:marTop w:val="0"/>
      <w:marBottom w:val="0"/>
      <w:divBdr>
        <w:top w:val="none" w:sz="0" w:space="0" w:color="auto"/>
        <w:left w:val="none" w:sz="0" w:space="0" w:color="auto"/>
        <w:bottom w:val="none" w:sz="0" w:space="0" w:color="auto"/>
        <w:right w:val="none" w:sz="0" w:space="0" w:color="auto"/>
      </w:divBdr>
    </w:div>
    <w:div w:id="726034732">
      <w:bodyDiv w:val="1"/>
      <w:marLeft w:val="0"/>
      <w:marRight w:val="0"/>
      <w:marTop w:val="0"/>
      <w:marBottom w:val="0"/>
      <w:divBdr>
        <w:top w:val="none" w:sz="0" w:space="0" w:color="auto"/>
        <w:left w:val="none" w:sz="0" w:space="0" w:color="auto"/>
        <w:bottom w:val="none" w:sz="0" w:space="0" w:color="auto"/>
        <w:right w:val="none" w:sz="0" w:space="0" w:color="auto"/>
      </w:divBdr>
    </w:div>
    <w:div w:id="773524931">
      <w:bodyDiv w:val="1"/>
      <w:marLeft w:val="0"/>
      <w:marRight w:val="0"/>
      <w:marTop w:val="0"/>
      <w:marBottom w:val="0"/>
      <w:divBdr>
        <w:top w:val="none" w:sz="0" w:space="0" w:color="auto"/>
        <w:left w:val="none" w:sz="0" w:space="0" w:color="auto"/>
        <w:bottom w:val="none" w:sz="0" w:space="0" w:color="auto"/>
        <w:right w:val="none" w:sz="0" w:space="0" w:color="auto"/>
      </w:divBdr>
    </w:div>
    <w:div w:id="815950218">
      <w:bodyDiv w:val="1"/>
      <w:marLeft w:val="0"/>
      <w:marRight w:val="0"/>
      <w:marTop w:val="0"/>
      <w:marBottom w:val="0"/>
      <w:divBdr>
        <w:top w:val="none" w:sz="0" w:space="0" w:color="auto"/>
        <w:left w:val="none" w:sz="0" w:space="0" w:color="auto"/>
        <w:bottom w:val="none" w:sz="0" w:space="0" w:color="auto"/>
        <w:right w:val="none" w:sz="0" w:space="0" w:color="auto"/>
      </w:divBdr>
    </w:div>
    <w:div w:id="829054260">
      <w:bodyDiv w:val="1"/>
      <w:marLeft w:val="0"/>
      <w:marRight w:val="0"/>
      <w:marTop w:val="0"/>
      <w:marBottom w:val="0"/>
      <w:divBdr>
        <w:top w:val="none" w:sz="0" w:space="0" w:color="auto"/>
        <w:left w:val="none" w:sz="0" w:space="0" w:color="auto"/>
        <w:bottom w:val="none" w:sz="0" w:space="0" w:color="auto"/>
        <w:right w:val="none" w:sz="0" w:space="0" w:color="auto"/>
      </w:divBdr>
    </w:div>
    <w:div w:id="869076711">
      <w:bodyDiv w:val="1"/>
      <w:marLeft w:val="0"/>
      <w:marRight w:val="0"/>
      <w:marTop w:val="0"/>
      <w:marBottom w:val="0"/>
      <w:divBdr>
        <w:top w:val="none" w:sz="0" w:space="0" w:color="auto"/>
        <w:left w:val="none" w:sz="0" w:space="0" w:color="auto"/>
        <w:bottom w:val="none" w:sz="0" w:space="0" w:color="auto"/>
        <w:right w:val="none" w:sz="0" w:space="0" w:color="auto"/>
      </w:divBdr>
    </w:div>
    <w:div w:id="998580435">
      <w:bodyDiv w:val="1"/>
      <w:marLeft w:val="0"/>
      <w:marRight w:val="0"/>
      <w:marTop w:val="0"/>
      <w:marBottom w:val="0"/>
      <w:divBdr>
        <w:top w:val="none" w:sz="0" w:space="0" w:color="auto"/>
        <w:left w:val="none" w:sz="0" w:space="0" w:color="auto"/>
        <w:bottom w:val="none" w:sz="0" w:space="0" w:color="auto"/>
        <w:right w:val="none" w:sz="0" w:space="0" w:color="auto"/>
      </w:divBdr>
    </w:div>
    <w:div w:id="1011222924">
      <w:bodyDiv w:val="1"/>
      <w:marLeft w:val="0"/>
      <w:marRight w:val="0"/>
      <w:marTop w:val="0"/>
      <w:marBottom w:val="0"/>
      <w:divBdr>
        <w:top w:val="none" w:sz="0" w:space="0" w:color="auto"/>
        <w:left w:val="none" w:sz="0" w:space="0" w:color="auto"/>
        <w:bottom w:val="none" w:sz="0" w:space="0" w:color="auto"/>
        <w:right w:val="none" w:sz="0" w:space="0" w:color="auto"/>
      </w:divBdr>
    </w:div>
    <w:div w:id="1055858487">
      <w:bodyDiv w:val="1"/>
      <w:marLeft w:val="0"/>
      <w:marRight w:val="0"/>
      <w:marTop w:val="0"/>
      <w:marBottom w:val="0"/>
      <w:divBdr>
        <w:top w:val="none" w:sz="0" w:space="0" w:color="auto"/>
        <w:left w:val="none" w:sz="0" w:space="0" w:color="auto"/>
        <w:bottom w:val="none" w:sz="0" w:space="0" w:color="auto"/>
        <w:right w:val="none" w:sz="0" w:space="0" w:color="auto"/>
      </w:divBdr>
    </w:div>
    <w:div w:id="1090010854">
      <w:bodyDiv w:val="1"/>
      <w:marLeft w:val="0"/>
      <w:marRight w:val="0"/>
      <w:marTop w:val="0"/>
      <w:marBottom w:val="0"/>
      <w:divBdr>
        <w:top w:val="none" w:sz="0" w:space="0" w:color="auto"/>
        <w:left w:val="none" w:sz="0" w:space="0" w:color="auto"/>
        <w:bottom w:val="none" w:sz="0" w:space="0" w:color="auto"/>
        <w:right w:val="none" w:sz="0" w:space="0" w:color="auto"/>
      </w:divBdr>
    </w:div>
    <w:div w:id="1115175552">
      <w:bodyDiv w:val="1"/>
      <w:marLeft w:val="0"/>
      <w:marRight w:val="0"/>
      <w:marTop w:val="0"/>
      <w:marBottom w:val="0"/>
      <w:divBdr>
        <w:top w:val="none" w:sz="0" w:space="0" w:color="auto"/>
        <w:left w:val="none" w:sz="0" w:space="0" w:color="auto"/>
        <w:bottom w:val="none" w:sz="0" w:space="0" w:color="auto"/>
        <w:right w:val="none" w:sz="0" w:space="0" w:color="auto"/>
      </w:divBdr>
      <w:divsChild>
        <w:div w:id="1401098790">
          <w:marLeft w:val="0"/>
          <w:marRight w:val="0"/>
          <w:marTop w:val="0"/>
          <w:marBottom w:val="0"/>
          <w:divBdr>
            <w:top w:val="none" w:sz="0" w:space="0" w:color="auto"/>
            <w:left w:val="none" w:sz="0" w:space="0" w:color="auto"/>
            <w:bottom w:val="none" w:sz="0" w:space="0" w:color="auto"/>
            <w:right w:val="none" w:sz="0" w:space="0" w:color="auto"/>
          </w:divBdr>
        </w:div>
        <w:div w:id="995382863">
          <w:marLeft w:val="0"/>
          <w:marRight w:val="0"/>
          <w:marTop w:val="0"/>
          <w:marBottom w:val="0"/>
          <w:divBdr>
            <w:top w:val="none" w:sz="0" w:space="0" w:color="auto"/>
            <w:left w:val="none" w:sz="0" w:space="0" w:color="auto"/>
            <w:bottom w:val="none" w:sz="0" w:space="0" w:color="auto"/>
            <w:right w:val="none" w:sz="0" w:space="0" w:color="auto"/>
          </w:divBdr>
        </w:div>
        <w:div w:id="903373959">
          <w:marLeft w:val="0"/>
          <w:marRight w:val="0"/>
          <w:marTop w:val="0"/>
          <w:marBottom w:val="0"/>
          <w:divBdr>
            <w:top w:val="none" w:sz="0" w:space="0" w:color="auto"/>
            <w:left w:val="none" w:sz="0" w:space="0" w:color="auto"/>
            <w:bottom w:val="none" w:sz="0" w:space="0" w:color="auto"/>
            <w:right w:val="none" w:sz="0" w:space="0" w:color="auto"/>
          </w:divBdr>
        </w:div>
        <w:div w:id="798844687">
          <w:marLeft w:val="0"/>
          <w:marRight w:val="0"/>
          <w:marTop w:val="0"/>
          <w:marBottom w:val="0"/>
          <w:divBdr>
            <w:top w:val="none" w:sz="0" w:space="0" w:color="auto"/>
            <w:left w:val="none" w:sz="0" w:space="0" w:color="auto"/>
            <w:bottom w:val="none" w:sz="0" w:space="0" w:color="auto"/>
            <w:right w:val="none" w:sz="0" w:space="0" w:color="auto"/>
          </w:divBdr>
          <w:divsChild>
            <w:div w:id="2138140616">
              <w:marLeft w:val="0"/>
              <w:marRight w:val="0"/>
              <w:marTop w:val="0"/>
              <w:marBottom w:val="0"/>
              <w:divBdr>
                <w:top w:val="none" w:sz="0" w:space="0" w:color="auto"/>
                <w:left w:val="none" w:sz="0" w:space="0" w:color="auto"/>
                <w:bottom w:val="none" w:sz="0" w:space="0" w:color="auto"/>
                <w:right w:val="none" w:sz="0" w:space="0" w:color="auto"/>
              </w:divBdr>
            </w:div>
            <w:div w:id="622229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7913795">
      <w:bodyDiv w:val="1"/>
      <w:marLeft w:val="0"/>
      <w:marRight w:val="0"/>
      <w:marTop w:val="0"/>
      <w:marBottom w:val="0"/>
      <w:divBdr>
        <w:top w:val="none" w:sz="0" w:space="0" w:color="auto"/>
        <w:left w:val="none" w:sz="0" w:space="0" w:color="auto"/>
        <w:bottom w:val="none" w:sz="0" w:space="0" w:color="auto"/>
        <w:right w:val="none" w:sz="0" w:space="0" w:color="auto"/>
      </w:divBdr>
      <w:divsChild>
        <w:div w:id="262500729">
          <w:marLeft w:val="0"/>
          <w:marRight w:val="0"/>
          <w:marTop w:val="0"/>
          <w:marBottom w:val="240"/>
          <w:divBdr>
            <w:top w:val="none" w:sz="0" w:space="0" w:color="auto"/>
            <w:left w:val="none" w:sz="0" w:space="0" w:color="auto"/>
            <w:bottom w:val="none" w:sz="0" w:space="0" w:color="auto"/>
            <w:right w:val="none" w:sz="0" w:space="0" w:color="auto"/>
          </w:divBdr>
        </w:div>
        <w:div w:id="1274510510">
          <w:marLeft w:val="0"/>
          <w:marRight w:val="0"/>
          <w:marTop w:val="0"/>
          <w:marBottom w:val="240"/>
          <w:divBdr>
            <w:top w:val="none" w:sz="0" w:space="0" w:color="auto"/>
            <w:left w:val="none" w:sz="0" w:space="0" w:color="auto"/>
            <w:bottom w:val="none" w:sz="0" w:space="0" w:color="auto"/>
            <w:right w:val="none" w:sz="0" w:space="0" w:color="auto"/>
          </w:divBdr>
        </w:div>
      </w:divsChild>
    </w:div>
    <w:div w:id="1145271490">
      <w:bodyDiv w:val="1"/>
      <w:marLeft w:val="0"/>
      <w:marRight w:val="0"/>
      <w:marTop w:val="0"/>
      <w:marBottom w:val="0"/>
      <w:divBdr>
        <w:top w:val="none" w:sz="0" w:space="0" w:color="auto"/>
        <w:left w:val="none" w:sz="0" w:space="0" w:color="auto"/>
        <w:bottom w:val="none" w:sz="0" w:space="0" w:color="auto"/>
        <w:right w:val="none" w:sz="0" w:space="0" w:color="auto"/>
      </w:divBdr>
    </w:div>
    <w:div w:id="1194419098">
      <w:bodyDiv w:val="1"/>
      <w:marLeft w:val="0"/>
      <w:marRight w:val="0"/>
      <w:marTop w:val="0"/>
      <w:marBottom w:val="0"/>
      <w:divBdr>
        <w:top w:val="none" w:sz="0" w:space="0" w:color="auto"/>
        <w:left w:val="none" w:sz="0" w:space="0" w:color="auto"/>
        <w:bottom w:val="none" w:sz="0" w:space="0" w:color="auto"/>
        <w:right w:val="none" w:sz="0" w:space="0" w:color="auto"/>
      </w:divBdr>
    </w:div>
    <w:div w:id="1205950337">
      <w:bodyDiv w:val="1"/>
      <w:marLeft w:val="0"/>
      <w:marRight w:val="0"/>
      <w:marTop w:val="0"/>
      <w:marBottom w:val="0"/>
      <w:divBdr>
        <w:top w:val="none" w:sz="0" w:space="0" w:color="auto"/>
        <w:left w:val="none" w:sz="0" w:space="0" w:color="auto"/>
        <w:bottom w:val="none" w:sz="0" w:space="0" w:color="auto"/>
        <w:right w:val="none" w:sz="0" w:space="0" w:color="auto"/>
      </w:divBdr>
    </w:div>
    <w:div w:id="1257322804">
      <w:bodyDiv w:val="1"/>
      <w:marLeft w:val="0"/>
      <w:marRight w:val="0"/>
      <w:marTop w:val="0"/>
      <w:marBottom w:val="0"/>
      <w:divBdr>
        <w:top w:val="none" w:sz="0" w:space="0" w:color="auto"/>
        <w:left w:val="none" w:sz="0" w:space="0" w:color="auto"/>
        <w:bottom w:val="none" w:sz="0" w:space="0" w:color="auto"/>
        <w:right w:val="none" w:sz="0" w:space="0" w:color="auto"/>
      </w:divBdr>
    </w:div>
    <w:div w:id="1303265305">
      <w:bodyDiv w:val="1"/>
      <w:marLeft w:val="0"/>
      <w:marRight w:val="0"/>
      <w:marTop w:val="0"/>
      <w:marBottom w:val="0"/>
      <w:divBdr>
        <w:top w:val="none" w:sz="0" w:space="0" w:color="auto"/>
        <w:left w:val="none" w:sz="0" w:space="0" w:color="auto"/>
        <w:bottom w:val="none" w:sz="0" w:space="0" w:color="auto"/>
        <w:right w:val="none" w:sz="0" w:space="0" w:color="auto"/>
      </w:divBdr>
      <w:divsChild>
        <w:div w:id="1261403480">
          <w:marLeft w:val="0"/>
          <w:marRight w:val="0"/>
          <w:marTop w:val="0"/>
          <w:marBottom w:val="240"/>
          <w:divBdr>
            <w:top w:val="none" w:sz="0" w:space="0" w:color="auto"/>
            <w:left w:val="none" w:sz="0" w:space="0" w:color="auto"/>
            <w:bottom w:val="none" w:sz="0" w:space="0" w:color="auto"/>
            <w:right w:val="none" w:sz="0" w:space="0" w:color="auto"/>
          </w:divBdr>
        </w:div>
        <w:div w:id="1400983916">
          <w:marLeft w:val="0"/>
          <w:marRight w:val="0"/>
          <w:marTop w:val="0"/>
          <w:marBottom w:val="240"/>
          <w:divBdr>
            <w:top w:val="none" w:sz="0" w:space="0" w:color="auto"/>
            <w:left w:val="none" w:sz="0" w:space="0" w:color="auto"/>
            <w:bottom w:val="none" w:sz="0" w:space="0" w:color="auto"/>
            <w:right w:val="none" w:sz="0" w:space="0" w:color="auto"/>
          </w:divBdr>
        </w:div>
      </w:divsChild>
    </w:div>
    <w:div w:id="1317688313">
      <w:bodyDiv w:val="1"/>
      <w:marLeft w:val="0"/>
      <w:marRight w:val="0"/>
      <w:marTop w:val="0"/>
      <w:marBottom w:val="0"/>
      <w:divBdr>
        <w:top w:val="none" w:sz="0" w:space="0" w:color="auto"/>
        <w:left w:val="none" w:sz="0" w:space="0" w:color="auto"/>
        <w:bottom w:val="none" w:sz="0" w:space="0" w:color="auto"/>
        <w:right w:val="none" w:sz="0" w:space="0" w:color="auto"/>
      </w:divBdr>
      <w:divsChild>
        <w:div w:id="1592397223">
          <w:marLeft w:val="0"/>
          <w:marRight w:val="0"/>
          <w:marTop w:val="0"/>
          <w:marBottom w:val="0"/>
          <w:divBdr>
            <w:top w:val="none" w:sz="0" w:space="0" w:color="auto"/>
            <w:left w:val="none" w:sz="0" w:space="0" w:color="auto"/>
            <w:bottom w:val="none" w:sz="0" w:space="0" w:color="auto"/>
            <w:right w:val="none" w:sz="0" w:space="0" w:color="auto"/>
          </w:divBdr>
          <w:divsChild>
            <w:div w:id="1354188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0937033">
      <w:bodyDiv w:val="1"/>
      <w:marLeft w:val="0"/>
      <w:marRight w:val="0"/>
      <w:marTop w:val="0"/>
      <w:marBottom w:val="0"/>
      <w:divBdr>
        <w:top w:val="none" w:sz="0" w:space="0" w:color="auto"/>
        <w:left w:val="none" w:sz="0" w:space="0" w:color="auto"/>
        <w:bottom w:val="none" w:sz="0" w:space="0" w:color="auto"/>
        <w:right w:val="none" w:sz="0" w:space="0" w:color="auto"/>
      </w:divBdr>
    </w:div>
    <w:div w:id="1363554729">
      <w:bodyDiv w:val="1"/>
      <w:marLeft w:val="0"/>
      <w:marRight w:val="0"/>
      <w:marTop w:val="0"/>
      <w:marBottom w:val="0"/>
      <w:divBdr>
        <w:top w:val="none" w:sz="0" w:space="0" w:color="auto"/>
        <w:left w:val="none" w:sz="0" w:space="0" w:color="auto"/>
        <w:bottom w:val="none" w:sz="0" w:space="0" w:color="auto"/>
        <w:right w:val="none" w:sz="0" w:space="0" w:color="auto"/>
      </w:divBdr>
      <w:divsChild>
        <w:div w:id="1220359414">
          <w:marLeft w:val="0"/>
          <w:marRight w:val="0"/>
          <w:marTop w:val="0"/>
          <w:marBottom w:val="0"/>
          <w:divBdr>
            <w:top w:val="none" w:sz="0" w:space="0" w:color="auto"/>
            <w:left w:val="none" w:sz="0" w:space="0" w:color="auto"/>
            <w:bottom w:val="none" w:sz="0" w:space="0" w:color="auto"/>
            <w:right w:val="none" w:sz="0" w:space="0" w:color="auto"/>
          </w:divBdr>
          <w:divsChild>
            <w:div w:id="227768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0615403">
      <w:bodyDiv w:val="1"/>
      <w:marLeft w:val="0"/>
      <w:marRight w:val="0"/>
      <w:marTop w:val="0"/>
      <w:marBottom w:val="0"/>
      <w:divBdr>
        <w:top w:val="none" w:sz="0" w:space="0" w:color="auto"/>
        <w:left w:val="none" w:sz="0" w:space="0" w:color="auto"/>
        <w:bottom w:val="none" w:sz="0" w:space="0" w:color="auto"/>
        <w:right w:val="none" w:sz="0" w:space="0" w:color="auto"/>
      </w:divBdr>
    </w:div>
    <w:div w:id="1401753464">
      <w:bodyDiv w:val="1"/>
      <w:marLeft w:val="0"/>
      <w:marRight w:val="0"/>
      <w:marTop w:val="0"/>
      <w:marBottom w:val="0"/>
      <w:divBdr>
        <w:top w:val="none" w:sz="0" w:space="0" w:color="auto"/>
        <w:left w:val="none" w:sz="0" w:space="0" w:color="auto"/>
        <w:bottom w:val="none" w:sz="0" w:space="0" w:color="auto"/>
        <w:right w:val="none" w:sz="0" w:space="0" w:color="auto"/>
      </w:divBdr>
    </w:div>
    <w:div w:id="1430811504">
      <w:bodyDiv w:val="1"/>
      <w:marLeft w:val="0"/>
      <w:marRight w:val="0"/>
      <w:marTop w:val="0"/>
      <w:marBottom w:val="0"/>
      <w:divBdr>
        <w:top w:val="none" w:sz="0" w:space="0" w:color="auto"/>
        <w:left w:val="none" w:sz="0" w:space="0" w:color="auto"/>
        <w:bottom w:val="none" w:sz="0" w:space="0" w:color="auto"/>
        <w:right w:val="none" w:sz="0" w:space="0" w:color="auto"/>
      </w:divBdr>
    </w:div>
    <w:div w:id="1436707847">
      <w:bodyDiv w:val="1"/>
      <w:marLeft w:val="0"/>
      <w:marRight w:val="0"/>
      <w:marTop w:val="0"/>
      <w:marBottom w:val="0"/>
      <w:divBdr>
        <w:top w:val="none" w:sz="0" w:space="0" w:color="auto"/>
        <w:left w:val="none" w:sz="0" w:space="0" w:color="auto"/>
        <w:bottom w:val="none" w:sz="0" w:space="0" w:color="auto"/>
        <w:right w:val="none" w:sz="0" w:space="0" w:color="auto"/>
      </w:divBdr>
    </w:div>
    <w:div w:id="1474181216">
      <w:bodyDiv w:val="1"/>
      <w:marLeft w:val="0"/>
      <w:marRight w:val="0"/>
      <w:marTop w:val="0"/>
      <w:marBottom w:val="0"/>
      <w:divBdr>
        <w:top w:val="none" w:sz="0" w:space="0" w:color="auto"/>
        <w:left w:val="none" w:sz="0" w:space="0" w:color="auto"/>
        <w:bottom w:val="none" w:sz="0" w:space="0" w:color="auto"/>
        <w:right w:val="none" w:sz="0" w:space="0" w:color="auto"/>
      </w:divBdr>
    </w:div>
    <w:div w:id="1576167137">
      <w:bodyDiv w:val="1"/>
      <w:marLeft w:val="0"/>
      <w:marRight w:val="0"/>
      <w:marTop w:val="0"/>
      <w:marBottom w:val="0"/>
      <w:divBdr>
        <w:top w:val="none" w:sz="0" w:space="0" w:color="auto"/>
        <w:left w:val="none" w:sz="0" w:space="0" w:color="auto"/>
        <w:bottom w:val="none" w:sz="0" w:space="0" w:color="auto"/>
        <w:right w:val="none" w:sz="0" w:space="0" w:color="auto"/>
      </w:divBdr>
    </w:div>
    <w:div w:id="1635713688">
      <w:bodyDiv w:val="1"/>
      <w:marLeft w:val="0"/>
      <w:marRight w:val="0"/>
      <w:marTop w:val="0"/>
      <w:marBottom w:val="0"/>
      <w:divBdr>
        <w:top w:val="none" w:sz="0" w:space="0" w:color="auto"/>
        <w:left w:val="none" w:sz="0" w:space="0" w:color="auto"/>
        <w:bottom w:val="none" w:sz="0" w:space="0" w:color="auto"/>
        <w:right w:val="none" w:sz="0" w:space="0" w:color="auto"/>
      </w:divBdr>
    </w:div>
    <w:div w:id="1797722428">
      <w:bodyDiv w:val="1"/>
      <w:marLeft w:val="0"/>
      <w:marRight w:val="0"/>
      <w:marTop w:val="0"/>
      <w:marBottom w:val="0"/>
      <w:divBdr>
        <w:top w:val="none" w:sz="0" w:space="0" w:color="auto"/>
        <w:left w:val="none" w:sz="0" w:space="0" w:color="auto"/>
        <w:bottom w:val="none" w:sz="0" w:space="0" w:color="auto"/>
        <w:right w:val="none" w:sz="0" w:space="0" w:color="auto"/>
      </w:divBdr>
    </w:div>
    <w:div w:id="1815365641">
      <w:bodyDiv w:val="1"/>
      <w:marLeft w:val="0"/>
      <w:marRight w:val="0"/>
      <w:marTop w:val="0"/>
      <w:marBottom w:val="0"/>
      <w:divBdr>
        <w:top w:val="none" w:sz="0" w:space="0" w:color="auto"/>
        <w:left w:val="none" w:sz="0" w:space="0" w:color="auto"/>
        <w:bottom w:val="none" w:sz="0" w:space="0" w:color="auto"/>
        <w:right w:val="none" w:sz="0" w:space="0" w:color="auto"/>
      </w:divBdr>
      <w:divsChild>
        <w:div w:id="1350982058">
          <w:marLeft w:val="0"/>
          <w:marRight w:val="0"/>
          <w:marTop w:val="0"/>
          <w:marBottom w:val="0"/>
          <w:divBdr>
            <w:top w:val="none" w:sz="0" w:space="0" w:color="auto"/>
            <w:left w:val="none" w:sz="0" w:space="0" w:color="auto"/>
            <w:bottom w:val="none" w:sz="0" w:space="0" w:color="auto"/>
            <w:right w:val="none" w:sz="0" w:space="0" w:color="auto"/>
          </w:divBdr>
          <w:divsChild>
            <w:div w:id="583491533">
              <w:marLeft w:val="0"/>
              <w:marRight w:val="0"/>
              <w:marTop w:val="0"/>
              <w:marBottom w:val="0"/>
              <w:divBdr>
                <w:top w:val="none" w:sz="0" w:space="0" w:color="auto"/>
                <w:left w:val="none" w:sz="0" w:space="0" w:color="auto"/>
                <w:bottom w:val="none" w:sz="0" w:space="0" w:color="auto"/>
                <w:right w:val="none" w:sz="0" w:space="0" w:color="auto"/>
              </w:divBdr>
              <w:divsChild>
                <w:div w:id="1624339389">
                  <w:marLeft w:val="0"/>
                  <w:marRight w:val="0"/>
                  <w:marTop w:val="0"/>
                  <w:marBottom w:val="0"/>
                  <w:divBdr>
                    <w:top w:val="none" w:sz="0" w:space="0" w:color="auto"/>
                    <w:left w:val="none" w:sz="0" w:space="0" w:color="auto"/>
                    <w:bottom w:val="none" w:sz="0" w:space="0" w:color="auto"/>
                    <w:right w:val="none" w:sz="0" w:space="0" w:color="auto"/>
                  </w:divBdr>
                  <w:divsChild>
                    <w:div w:id="226569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7072675">
          <w:marLeft w:val="0"/>
          <w:marRight w:val="0"/>
          <w:marTop w:val="0"/>
          <w:marBottom w:val="0"/>
          <w:divBdr>
            <w:top w:val="none" w:sz="0" w:space="0" w:color="auto"/>
            <w:left w:val="none" w:sz="0" w:space="0" w:color="auto"/>
            <w:bottom w:val="none" w:sz="0" w:space="0" w:color="auto"/>
            <w:right w:val="none" w:sz="0" w:space="0" w:color="auto"/>
          </w:divBdr>
          <w:divsChild>
            <w:div w:id="54743409">
              <w:marLeft w:val="0"/>
              <w:marRight w:val="0"/>
              <w:marTop w:val="0"/>
              <w:marBottom w:val="0"/>
              <w:divBdr>
                <w:top w:val="none" w:sz="0" w:space="0" w:color="auto"/>
                <w:left w:val="none" w:sz="0" w:space="0" w:color="auto"/>
                <w:bottom w:val="none" w:sz="0" w:space="0" w:color="auto"/>
                <w:right w:val="none" w:sz="0" w:space="0" w:color="auto"/>
              </w:divBdr>
              <w:divsChild>
                <w:div w:id="796990329">
                  <w:marLeft w:val="0"/>
                  <w:marRight w:val="0"/>
                  <w:marTop w:val="0"/>
                  <w:marBottom w:val="0"/>
                  <w:divBdr>
                    <w:top w:val="none" w:sz="0" w:space="0" w:color="auto"/>
                    <w:left w:val="none" w:sz="0" w:space="0" w:color="auto"/>
                    <w:bottom w:val="none" w:sz="0" w:space="0" w:color="auto"/>
                    <w:right w:val="none" w:sz="0" w:space="0" w:color="auto"/>
                  </w:divBdr>
                  <w:divsChild>
                    <w:div w:id="2064602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1017321">
          <w:marLeft w:val="0"/>
          <w:marRight w:val="0"/>
          <w:marTop w:val="0"/>
          <w:marBottom w:val="0"/>
          <w:divBdr>
            <w:top w:val="none" w:sz="0" w:space="0" w:color="auto"/>
            <w:left w:val="none" w:sz="0" w:space="0" w:color="auto"/>
            <w:bottom w:val="none" w:sz="0" w:space="0" w:color="auto"/>
            <w:right w:val="none" w:sz="0" w:space="0" w:color="auto"/>
          </w:divBdr>
          <w:divsChild>
            <w:div w:id="1378092474">
              <w:marLeft w:val="0"/>
              <w:marRight w:val="0"/>
              <w:marTop w:val="0"/>
              <w:marBottom w:val="0"/>
              <w:divBdr>
                <w:top w:val="none" w:sz="0" w:space="0" w:color="auto"/>
                <w:left w:val="none" w:sz="0" w:space="0" w:color="auto"/>
                <w:bottom w:val="none" w:sz="0" w:space="0" w:color="auto"/>
                <w:right w:val="none" w:sz="0" w:space="0" w:color="auto"/>
              </w:divBdr>
              <w:divsChild>
                <w:div w:id="167661587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815947959">
          <w:marLeft w:val="0"/>
          <w:marRight w:val="0"/>
          <w:marTop w:val="0"/>
          <w:marBottom w:val="0"/>
          <w:divBdr>
            <w:top w:val="none" w:sz="0" w:space="0" w:color="auto"/>
            <w:left w:val="none" w:sz="0" w:space="0" w:color="auto"/>
            <w:bottom w:val="none" w:sz="0" w:space="0" w:color="auto"/>
            <w:right w:val="none" w:sz="0" w:space="0" w:color="auto"/>
          </w:divBdr>
          <w:divsChild>
            <w:div w:id="16544634">
              <w:marLeft w:val="0"/>
              <w:marRight w:val="0"/>
              <w:marTop w:val="0"/>
              <w:marBottom w:val="0"/>
              <w:divBdr>
                <w:top w:val="none" w:sz="0" w:space="0" w:color="auto"/>
                <w:left w:val="none" w:sz="0" w:space="0" w:color="auto"/>
                <w:bottom w:val="none" w:sz="0" w:space="0" w:color="auto"/>
                <w:right w:val="none" w:sz="0" w:space="0" w:color="auto"/>
              </w:divBdr>
              <w:divsChild>
                <w:div w:id="2099476982">
                  <w:marLeft w:val="0"/>
                  <w:marRight w:val="0"/>
                  <w:marTop w:val="0"/>
                  <w:marBottom w:val="0"/>
                  <w:divBdr>
                    <w:top w:val="none" w:sz="0" w:space="0" w:color="auto"/>
                    <w:left w:val="none" w:sz="0" w:space="0" w:color="auto"/>
                    <w:bottom w:val="none" w:sz="0" w:space="0" w:color="auto"/>
                    <w:right w:val="none" w:sz="0" w:space="0" w:color="auto"/>
                  </w:divBdr>
                  <w:divsChild>
                    <w:div w:id="709956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1613041">
          <w:marLeft w:val="0"/>
          <w:marRight w:val="0"/>
          <w:marTop w:val="0"/>
          <w:marBottom w:val="0"/>
          <w:divBdr>
            <w:top w:val="none" w:sz="0" w:space="0" w:color="auto"/>
            <w:left w:val="none" w:sz="0" w:space="0" w:color="auto"/>
            <w:bottom w:val="none" w:sz="0" w:space="0" w:color="auto"/>
            <w:right w:val="none" w:sz="0" w:space="0" w:color="auto"/>
          </w:divBdr>
          <w:divsChild>
            <w:div w:id="1991246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7643245">
      <w:bodyDiv w:val="1"/>
      <w:marLeft w:val="0"/>
      <w:marRight w:val="0"/>
      <w:marTop w:val="0"/>
      <w:marBottom w:val="0"/>
      <w:divBdr>
        <w:top w:val="none" w:sz="0" w:space="0" w:color="auto"/>
        <w:left w:val="none" w:sz="0" w:space="0" w:color="auto"/>
        <w:bottom w:val="none" w:sz="0" w:space="0" w:color="auto"/>
        <w:right w:val="none" w:sz="0" w:space="0" w:color="auto"/>
      </w:divBdr>
    </w:div>
    <w:div w:id="1821992613">
      <w:bodyDiv w:val="1"/>
      <w:marLeft w:val="0"/>
      <w:marRight w:val="0"/>
      <w:marTop w:val="0"/>
      <w:marBottom w:val="0"/>
      <w:divBdr>
        <w:top w:val="none" w:sz="0" w:space="0" w:color="auto"/>
        <w:left w:val="none" w:sz="0" w:space="0" w:color="auto"/>
        <w:bottom w:val="none" w:sz="0" w:space="0" w:color="auto"/>
        <w:right w:val="none" w:sz="0" w:space="0" w:color="auto"/>
      </w:divBdr>
    </w:div>
    <w:div w:id="1886405160">
      <w:bodyDiv w:val="1"/>
      <w:marLeft w:val="0"/>
      <w:marRight w:val="0"/>
      <w:marTop w:val="0"/>
      <w:marBottom w:val="0"/>
      <w:divBdr>
        <w:top w:val="none" w:sz="0" w:space="0" w:color="auto"/>
        <w:left w:val="none" w:sz="0" w:space="0" w:color="auto"/>
        <w:bottom w:val="none" w:sz="0" w:space="0" w:color="auto"/>
        <w:right w:val="none" w:sz="0" w:space="0" w:color="auto"/>
      </w:divBdr>
    </w:div>
    <w:div w:id="1912812274">
      <w:bodyDiv w:val="1"/>
      <w:marLeft w:val="0"/>
      <w:marRight w:val="0"/>
      <w:marTop w:val="0"/>
      <w:marBottom w:val="0"/>
      <w:divBdr>
        <w:top w:val="none" w:sz="0" w:space="0" w:color="auto"/>
        <w:left w:val="none" w:sz="0" w:space="0" w:color="auto"/>
        <w:bottom w:val="none" w:sz="0" w:space="0" w:color="auto"/>
        <w:right w:val="none" w:sz="0" w:space="0" w:color="auto"/>
      </w:divBdr>
    </w:div>
    <w:div w:id="1984383610">
      <w:bodyDiv w:val="1"/>
      <w:marLeft w:val="0"/>
      <w:marRight w:val="0"/>
      <w:marTop w:val="0"/>
      <w:marBottom w:val="0"/>
      <w:divBdr>
        <w:top w:val="none" w:sz="0" w:space="0" w:color="auto"/>
        <w:left w:val="none" w:sz="0" w:space="0" w:color="auto"/>
        <w:bottom w:val="none" w:sz="0" w:space="0" w:color="auto"/>
        <w:right w:val="none" w:sz="0" w:space="0" w:color="auto"/>
      </w:divBdr>
    </w:div>
    <w:div w:id="2000381944">
      <w:bodyDiv w:val="1"/>
      <w:marLeft w:val="0"/>
      <w:marRight w:val="0"/>
      <w:marTop w:val="0"/>
      <w:marBottom w:val="0"/>
      <w:divBdr>
        <w:top w:val="none" w:sz="0" w:space="0" w:color="auto"/>
        <w:left w:val="none" w:sz="0" w:space="0" w:color="auto"/>
        <w:bottom w:val="none" w:sz="0" w:space="0" w:color="auto"/>
        <w:right w:val="none" w:sz="0" w:space="0" w:color="auto"/>
      </w:divBdr>
    </w:div>
    <w:div w:id="2013097705">
      <w:bodyDiv w:val="1"/>
      <w:marLeft w:val="0"/>
      <w:marRight w:val="0"/>
      <w:marTop w:val="0"/>
      <w:marBottom w:val="0"/>
      <w:divBdr>
        <w:top w:val="none" w:sz="0" w:space="0" w:color="auto"/>
        <w:left w:val="none" w:sz="0" w:space="0" w:color="auto"/>
        <w:bottom w:val="none" w:sz="0" w:space="0" w:color="auto"/>
        <w:right w:val="none" w:sz="0" w:space="0" w:color="auto"/>
      </w:divBdr>
    </w:div>
    <w:div w:id="2091996897">
      <w:bodyDiv w:val="1"/>
      <w:marLeft w:val="0"/>
      <w:marRight w:val="0"/>
      <w:marTop w:val="0"/>
      <w:marBottom w:val="0"/>
      <w:divBdr>
        <w:top w:val="none" w:sz="0" w:space="0" w:color="auto"/>
        <w:left w:val="none" w:sz="0" w:space="0" w:color="auto"/>
        <w:bottom w:val="none" w:sz="0" w:space="0" w:color="auto"/>
        <w:right w:val="none" w:sz="0" w:space="0" w:color="auto"/>
      </w:divBdr>
    </w:div>
    <w:div w:id="2108228313">
      <w:bodyDiv w:val="1"/>
      <w:marLeft w:val="0"/>
      <w:marRight w:val="0"/>
      <w:marTop w:val="0"/>
      <w:marBottom w:val="0"/>
      <w:divBdr>
        <w:top w:val="none" w:sz="0" w:space="0" w:color="auto"/>
        <w:left w:val="none" w:sz="0" w:space="0" w:color="auto"/>
        <w:bottom w:val="none" w:sz="0" w:space="0" w:color="auto"/>
        <w:right w:val="none" w:sz="0" w:space="0" w:color="auto"/>
      </w:divBdr>
    </w:div>
    <w:div w:id="2126532183">
      <w:bodyDiv w:val="1"/>
      <w:marLeft w:val="0"/>
      <w:marRight w:val="0"/>
      <w:marTop w:val="0"/>
      <w:marBottom w:val="0"/>
      <w:divBdr>
        <w:top w:val="none" w:sz="0" w:space="0" w:color="auto"/>
        <w:left w:val="none" w:sz="0" w:space="0" w:color="auto"/>
        <w:bottom w:val="none" w:sz="0" w:space="0" w:color="auto"/>
        <w:right w:val="none" w:sz="0" w:space="0" w:color="auto"/>
      </w:divBdr>
    </w:div>
    <w:div w:id="21423339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qualitygurus.com/garvins-8-dimensions-of-quality/" TargetMode="External"/><Relationship Id="rId21" Type="http://schemas.openxmlformats.org/officeDocument/2006/relationships/hyperlink" Target="https://www.forbes.com/sites/forbesagencycouncil/2017/10/24/why-is-customer-relationship-management-so-important" TargetMode="External"/><Relationship Id="rId42" Type="http://schemas.openxmlformats.org/officeDocument/2006/relationships/hyperlink" Target="https://www.nice.org.uk/guidance/NG246/chapter/terms-used-in-this-guideline" TargetMode="External"/><Relationship Id="rId47" Type="http://schemas.openxmlformats.org/officeDocument/2006/relationships/hyperlink" Target="https://www.medicines.org.uk/emc/product/2313/smpc" TargetMode="External"/><Relationship Id="rId63" Type="http://schemas.openxmlformats.org/officeDocument/2006/relationships/hyperlink" Target="https://doi.org/10.1016/j.jpsychores.2009.10.001" TargetMode="External"/><Relationship Id="rId68" Type="http://schemas.openxmlformats.org/officeDocument/2006/relationships/hyperlink" Target="https://doi.org/10.1136/bmjopen-2015-009389" TargetMode="External"/><Relationship Id="rId84" Type="http://schemas.openxmlformats.org/officeDocument/2006/relationships/hyperlink" Target="https://www.productplan.com/glossary/moscow-prioritization/" TargetMode="External"/><Relationship Id="rId89" Type="http://schemas.openxmlformats.org/officeDocument/2006/relationships/hyperlink" Target="https://doi.org/10.1016/j.cmpb.2019.04.021" TargetMode="External"/><Relationship Id="rId16" Type="http://schemas.openxmlformats.org/officeDocument/2006/relationships/hyperlink" Target="https://www.healthierweight.co.uk/wp-content/uploads/2019/10/Private-vs-NHS-v1.pdf" TargetMode="External"/><Relationship Id="rId11" Type="http://schemas.openxmlformats.org/officeDocument/2006/relationships/hyperlink" Target="https://www.learnleansigma.com/lean_visionaries/joseph-m-juran-quality-management/" TargetMode="External"/><Relationship Id="rId32" Type="http://schemas.openxmlformats.org/officeDocument/2006/relationships/hyperlink" Target="https://foldingburritos.com/blog/kano-model/" TargetMode="External"/><Relationship Id="rId37" Type="http://schemas.openxmlformats.org/officeDocument/2006/relationships/hyperlink" Target="https://www.nice.org.uk/guidance/ta1026" TargetMode="External"/><Relationship Id="rId53" Type="http://schemas.openxmlformats.org/officeDocument/2006/relationships/image" Target="media/image6.png"/><Relationship Id="rId58" Type="http://schemas.openxmlformats.org/officeDocument/2006/relationships/hyperlink" Target="https://doi.org/10.1001/jama.2023.19897" TargetMode="External"/><Relationship Id="rId74" Type="http://schemas.openxmlformats.org/officeDocument/2006/relationships/hyperlink" Target="https://d1wqtxts1xzle7.cloudfront.net/34522497/1.Improving_the_CRM_System_in_Healthcare_Organization-libre.pdf" TargetMode="External"/><Relationship Id="rId79" Type="http://schemas.openxmlformats.org/officeDocument/2006/relationships/hyperlink" Target="https://doi.org/10.1016/j.jretconser.2007.09.001" TargetMode="External"/><Relationship Id="rId5" Type="http://schemas.openxmlformats.org/officeDocument/2006/relationships/webSettings" Target="webSettings.xml"/><Relationship Id="rId90" Type="http://schemas.openxmlformats.org/officeDocument/2006/relationships/hyperlink" Target="https://zorgle.co.uk/what-are-the-5-stages-of-the-customer-life-cycle/" TargetMode="External"/><Relationship Id="rId95" Type="http://schemas.openxmlformats.org/officeDocument/2006/relationships/hyperlink" Target="https://www.who.int/en/news-room/fact-sheets/detail/obesity-and-overweight" TargetMode="External"/><Relationship Id="rId22" Type="http://schemas.openxmlformats.org/officeDocument/2006/relationships/hyperlink" Target="https://doi.org/10.24846/v29i3y202006330" TargetMode="External"/><Relationship Id="rId27" Type="http://schemas.openxmlformats.org/officeDocument/2006/relationships/hyperlink" Target="https://www.qualitygurus.com/jurans-quality-trilogy-a-comprehensive-guide/" TargetMode="External"/><Relationship Id="rId43" Type="http://schemas.openxmlformats.org/officeDocument/2006/relationships/hyperlink" Target="https://www.nice.org.uk/guidance/NG246/chapter/terms-used-in-this-guideline" TargetMode="External"/><Relationship Id="rId48" Type="http://schemas.openxmlformats.org/officeDocument/2006/relationships/hyperlink" Target="https://www.medicines.org.uk/emc/product/2592/smpc" TargetMode="External"/><Relationship Id="rId64" Type="http://schemas.openxmlformats.org/officeDocument/2006/relationships/hyperlink" Target="https://www.leadsquared.com/industries/healthcare/crm-in-healthcare-industry/" TargetMode="External"/><Relationship Id="rId69" Type="http://schemas.openxmlformats.org/officeDocument/2006/relationships/hyperlink" Target="https://www.hotpmo.com/management-models/moscow-kano-prioritize/" TargetMode="External"/><Relationship Id="rId80" Type="http://schemas.openxmlformats.org/officeDocument/2006/relationships/hyperlink" Target="https://pmc.ncbi.nlm.nih.gov/articles/PMC5724704" TargetMode="External"/><Relationship Id="rId85" Type="http://schemas.openxmlformats.org/officeDocument/2006/relationships/hyperlink" Target="https://www.qualitygurus.com/garvins-8-dimensions-of-quality/" TargetMode="External"/><Relationship Id="rId3" Type="http://schemas.openxmlformats.org/officeDocument/2006/relationships/styles" Target="styles.xml"/><Relationship Id="rId12" Type="http://schemas.openxmlformats.org/officeDocument/2006/relationships/hyperlink" Target="https://doi.org/10.1136/bmjqs-2018-008106" TargetMode="External"/><Relationship Id="rId17" Type="http://schemas.openxmlformats.org/officeDocument/2006/relationships/hyperlink" Target="https://doi.org/10.1136/bmjopen-2015-009389" TargetMode="External"/><Relationship Id="rId25" Type="http://schemas.openxmlformats.org/officeDocument/2006/relationships/hyperlink" Target="https://www.productplan.com/glossary/moscow-prioritization/" TargetMode="External"/><Relationship Id="rId33" Type="http://schemas.openxmlformats.org/officeDocument/2006/relationships/hyperlink" Target="https://cpdonline.co.uk/knowledge-base/care/health-and-social-care-exceptional-customer-service" TargetMode="External"/><Relationship Id="rId38" Type="http://schemas.openxmlformats.org/officeDocument/2006/relationships/hyperlink" Target="https://www.nice.org.uk/guidance/ta875/chapter/1-Recommendations" TargetMode="External"/><Relationship Id="rId46" Type="http://schemas.openxmlformats.org/officeDocument/2006/relationships/hyperlink" Target="https://www.medicines.org.uk/emc/product/2592/smpc" TargetMode="External"/><Relationship Id="rId59" Type="http://schemas.openxmlformats.org/officeDocument/2006/relationships/hyperlink" Target="https://doi.org/10.1016/j.resconrec.2019.104589" TargetMode="External"/><Relationship Id="rId67" Type="http://schemas.openxmlformats.org/officeDocument/2006/relationships/hyperlink" Target="https://www.healthierweight.co.uk/wp-content/uploads/2019/10/Private-vs-NHS-v1.pdf" TargetMode="External"/><Relationship Id="rId20" Type="http://schemas.openxmlformats.org/officeDocument/2006/relationships/hyperlink" Target="https://www.proquest.com/docview/2509652877" TargetMode="External"/><Relationship Id="rId41" Type="http://schemas.openxmlformats.org/officeDocument/2006/relationships/hyperlink" Target="https://www.medicines.org.uk/emc/product/2592/smpc" TargetMode="External"/><Relationship Id="rId54" Type="http://schemas.openxmlformats.org/officeDocument/2006/relationships/hyperlink" Target="https://hbr.org/2016/09/the-elements-of-value" TargetMode="External"/><Relationship Id="rId62" Type="http://schemas.openxmlformats.org/officeDocument/2006/relationships/hyperlink" Target="https://www.good-governance.org.uk/publications/insights/patient-engagement" TargetMode="External"/><Relationship Id="rId70" Type="http://schemas.openxmlformats.org/officeDocument/2006/relationships/hyperlink" Target="https://doi.org/10.1186/s12889-018-5837-3" TargetMode="External"/><Relationship Id="rId75" Type="http://schemas.openxmlformats.org/officeDocument/2006/relationships/hyperlink" Target="https://www.forbes.com/sites/forbesagencycouncil/2017/10/24/why-is-customer-relationship-management-so-important" TargetMode="External"/><Relationship Id="rId83" Type="http://schemas.openxmlformats.org/officeDocument/2006/relationships/hyperlink" Target="https://www.phin.org.uk/news/worth-the-weight-an-analysis-of-weight-loss-surgery-in-england-2016-2023" TargetMode="External"/><Relationship Id="rId88" Type="http://schemas.openxmlformats.org/officeDocument/2006/relationships/hyperlink" Target="https://www.researchgate.net/profile/Vishvesh-Soni/publication/376612739_Large_Language_Models_for_Enhancing_Customer_Lifecycle_Management/links/658092472468df72d3b6e2e4/Large-Language-Models-for-Enhancing-Customer-Lifecycle" TargetMode="External"/><Relationship Id="rId91" Type="http://schemas.openxmlformats.org/officeDocument/2006/relationships/hyperlink" Target="https://www.techagilist.com/agile/kano-analysis-model-value-based-prioritization-techniques/" TargetMode="External"/><Relationship Id="rId96" Type="http://schemas.openxmlformats.org/officeDocument/2006/relationships/hyperlink" Target="https://www.zendesk.co.uk/blog/customer-value/"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leadsquared.com/industries/healthcare/crm-in-healthcare-industry/" TargetMode="External"/><Relationship Id="rId23" Type="http://schemas.openxmlformats.org/officeDocument/2006/relationships/hyperlink" Target="https://pmc.ncbi.nlm.nih.gov/articles/PMC5724704" TargetMode="External"/><Relationship Id="rId28" Type="http://schemas.openxmlformats.org/officeDocument/2006/relationships/hyperlink" Target="https://www.researchgate.net/profile/Vishvesh-Soni/publication/376612739_Large_Language_Models_for_Enhancing_Customer_Lifecycle_Management/links/658092472468df72d3b6e2e4/Large-Language-Models-for-Enhancing-Customer-Lifecycle" TargetMode="External"/><Relationship Id="rId36" Type="http://schemas.openxmlformats.org/officeDocument/2006/relationships/hyperlink" Target="https://www.nice.org.uk/guidance/NG246/chapter/terms-used-in-this-guideline" TargetMode="External"/><Relationship Id="rId49" Type="http://schemas.openxmlformats.org/officeDocument/2006/relationships/image" Target="media/image2.png"/><Relationship Id="rId57" Type="http://schemas.openxmlformats.org/officeDocument/2006/relationships/hyperlink" Target="https://www.learnleansigma.com/lean_visionaries/joseph-m-juran-quality-management/" TargetMode="External"/><Relationship Id="rId10" Type="http://schemas.openxmlformats.org/officeDocument/2006/relationships/hyperlink" Target="https://doi.org/10.1016/j.csi.2020.103442" TargetMode="External"/><Relationship Id="rId31" Type="http://schemas.openxmlformats.org/officeDocument/2006/relationships/hyperlink" Target="https://www.themarketechgroup.com/market-segmentation-in-healthcare-marketing" TargetMode="External"/><Relationship Id="rId44" Type="http://schemas.openxmlformats.org/officeDocument/2006/relationships/hyperlink" Target="https://www.nice.org.uk/guidance/NG246/chapter/terms-used-in-this-guideline" TargetMode="External"/><Relationship Id="rId52" Type="http://schemas.openxmlformats.org/officeDocument/2006/relationships/image" Target="media/image5.png"/><Relationship Id="rId60" Type="http://schemas.openxmlformats.org/officeDocument/2006/relationships/hyperlink" Target="https://doi.org/10.1136/bmjqs-2018-008106" TargetMode="External"/><Relationship Id="rId65" Type="http://schemas.openxmlformats.org/officeDocument/2006/relationships/hyperlink" Target="https://www.leadsquared.com/industries/healthcare/crm-in-healthcare-industry/" TargetMode="External"/><Relationship Id="rId73" Type="http://schemas.openxmlformats.org/officeDocument/2006/relationships/hyperlink" Target="https://doi.org/10.1057/s41270-022-00158-7" TargetMode="External"/><Relationship Id="rId78" Type="http://schemas.openxmlformats.org/officeDocument/2006/relationships/hyperlink" Target="https://doi.org/10.24846/v29i3y202006330" TargetMode="External"/><Relationship Id="rId81" Type="http://schemas.openxmlformats.org/officeDocument/2006/relationships/hyperlink" Target="https://www.nuffieldhealth.com/treatments/weight-loss-surgery" TargetMode="External"/><Relationship Id="rId86" Type="http://schemas.openxmlformats.org/officeDocument/2006/relationships/hyperlink" Target="https://www.qualitygurus.com/jurans-quality-trilogy-a-comprehensive-guide/" TargetMode="External"/><Relationship Id="rId94" Type="http://schemas.openxmlformats.org/officeDocument/2006/relationships/hyperlink" Target="https://cpdonline.co.uk/knowledge-base/care/health-and-social-care-exceptional-customer-service" TargetMode="External"/><Relationship Id="rId9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hbr.org/2016/09/the-elements-of-value" TargetMode="External"/><Relationship Id="rId13" Type="http://schemas.openxmlformats.org/officeDocument/2006/relationships/hyperlink" Target="https://hbr.org/1987/11/competing-on-the-eight-dimensions-of-quality" TargetMode="External"/><Relationship Id="rId18" Type="http://schemas.openxmlformats.org/officeDocument/2006/relationships/hyperlink" Target="https://www.hotpmo.com/management-models/moscow-kano-prioritize/" TargetMode="External"/><Relationship Id="rId39" Type="http://schemas.openxmlformats.org/officeDocument/2006/relationships/hyperlink" Target="https://www.nice.org.uk/guidance/ta664/chapter/1-Recommendations" TargetMode="External"/><Relationship Id="rId34" Type="http://schemas.openxmlformats.org/officeDocument/2006/relationships/hyperlink" Target="https://www.who.int/en/news-room/fact-sheets/detail/obesity-and-overweight" TargetMode="External"/><Relationship Id="rId50" Type="http://schemas.openxmlformats.org/officeDocument/2006/relationships/image" Target="media/image3.png"/><Relationship Id="rId55" Type="http://schemas.openxmlformats.org/officeDocument/2006/relationships/hyperlink" Target="https://doi.org/10.1016/j.csi.2020.103442" TargetMode="External"/><Relationship Id="rId76" Type="http://schemas.openxmlformats.org/officeDocument/2006/relationships/hyperlink" Target="https://doi.org/10.1016/j.pcad.2013.09.005" TargetMode="External"/><Relationship Id="rId97" Type="http://schemas.openxmlformats.org/officeDocument/2006/relationships/footer" Target="footer1.xml"/><Relationship Id="rId7" Type="http://schemas.openxmlformats.org/officeDocument/2006/relationships/endnotes" Target="endnotes.xml"/><Relationship Id="rId71" Type="http://schemas.openxmlformats.org/officeDocument/2006/relationships/hyperlink" Target="https://www.proquest.com/docview/2509652877" TargetMode="External"/><Relationship Id="rId92" Type="http://schemas.openxmlformats.org/officeDocument/2006/relationships/hyperlink" Target="https://www.themarketechgroup.com/market-segmentation-in-healthcare-marketing" TargetMode="External"/><Relationship Id="rId2" Type="http://schemas.openxmlformats.org/officeDocument/2006/relationships/numbering" Target="numbering.xml"/><Relationship Id="rId29" Type="http://schemas.openxmlformats.org/officeDocument/2006/relationships/hyperlink" Target="https://zorgle.co.uk/what-are-the-5-stages-of-the-customer-life-cycle/" TargetMode="External"/><Relationship Id="rId24" Type="http://schemas.openxmlformats.org/officeDocument/2006/relationships/hyperlink" Target="https://doi.org/10.17261/Pressacademia.2019.1034" TargetMode="External"/><Relationship Id="rId40" Type="http://schemas.openxmlformats.org/officeDocument/2006/relationships/hyperlink" Target="https://www.nice.org.uk/guidance/NG246/chapter/terms-used-in-this-guideline" TargetMode="External"/><Relationship Id="rId45" Type="http://schemas.openxmlformats.org/officeDocument/2006/relationships/hyperlink" Target="https://www.medicines.org.uk/emc/product/2313/smpc" TargetMode="External"/><Relationship Id="rId66" Type="http://schemas.openxmlformats.org/officeDocument/2006/relationships/hyperlink" Target="https://doi.org/10.1007/s13679-020-00416-8" TargetMode="External"/><Relationship Id="rId87" Type="http://schemas.openxmlformats.org/officeDocument/2006/relationships/hyperlink" Target="https://www.royalberkshire.nhs.uk/media/nbrbjc13/weight-loss-bariatric-surgery-key-facts_aug24.pdf" TargetMode="External"/><Relationship Id="rId61" Type="http://schemas.openxmlformats.org/officeDocument/2006/relationships/hyperlink" Target="https://hbr.org/1987/11/competing-on-the-eight-dimensions-of-quality" TargetMode="External"/><Relationship Id="rId82" Type="http://schemas.openxmlformats.org/officeDocument/2006/relationships/hyperlink" Target="https://doi.org/10.17261/Pressacademia.2019.1034" TargetMode="External"/><Relationship Id="rId19" Type="http://schemas.openxmlformats.org/officeDocument/2006/relationships/hyperlink" Target="https://doi.org/10.1186/s12889-018-5837-3" TargetMode="External"/><Relationship Id="rId14" Type="http://schemas.openxmlformats.org/officeDocument/2006/relationships/hyperlink" Target="https://www.good-governance.org.uk/publications/insights/patient-engagement" TargetMode="External"/><Relationship Id="rId30" Type="http://schemas.openxmlformats.org/officeDocument/2006/relationships/hyperlink" Target="https://www.techagilist.com/agile/kano-analysis-model-value-based-prioritization-techniques/" TargetMode="External"/><Relationship Id="rId35" Type="http://schemas.openxmlformats.org/officeDocument/2006/relationships/hyperlink" Target="https://www.zendesk.co.uk/blog/customer-value/" TargetMode="External"/><Relationship Id="rId56" Type="http://schemas.openxmlformats.org/officeDocument/2006/relationships/hyperlink" Target="https://www.forbes.com/advisor/business/customer-lifecycle-management/" TargetMode="External"/><Relationship Id="rId77" Type="http://schemas.openxmlformats.org/officeDocument/2006/relationships/hyperlink" Target="https://www.bbc.co.uk/news/uk-england-london-67946049" TargetMode="External"/><Relationship Id="rId8" Type="http://schemas.openxmlformats.org/officeDocument/2006/relationships/image" Target="media/image1.jpeg"/><Relationship Id="rId51" Type="http://schemas.openxmlformats.org/officeDocument/2006/relationships/image" Target="media/image4.png"/><Relationship Id="rId72" Type="http://schemas.openxmlformats.org/officeDocument/2006/relationships/hyperlink" Target="https://doi.org/10.1007/s11002-005-5892-2" TargetMode="External"/><Relationship Id="rId93" Type="http://schemas.openxmlformats.org/officeDocument/2006/relationships/hyperlink" Target="https://foldingburritos.com/blog/kano-model/" TargetMode="External"/><Relationship Id="rId98"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FAAF1A-E490-46E6-81E2-E385FF4A43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32</Pages>
  <Words>9450</Words>
  <Characters>53870</Characters>
  <Application>Microsoft Office Word</Application>
  <DocSecurity>0</DocSecurity>
  <Lines>448</Lines>
  <Paragraphs>126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Rudall</dc:creator>
  <cp:keywords/>
  <dc:description/>
  <cp:lastModifiedBy>Jessica Rudall</cp:lastModifiedBy>
  <cp:revision>2</cp:revision>
  <dcterms:created xsi:type="dcterms:W3CDTF">2025-07-02T21:11:00Z</dcterms:created>
  <dcterms:modified xsi:type="dcterms:W3CDTF">2025-07-02T21:11:00Z</dcterms:modified>
</cp:coreProperties>
</file>