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BB2BE2" w14:textId="77777777" w:rsidR="00B538BA" w:rsidRDefault="00B538BA" w:rsidP="00BC444F">
      <w:pPr>
        <w:jc w:val="center"/>
        <w:rPr>
          <w:u w:val="single"/>
          <w:lang w:val="en-GB"/>
        </w:rPr>
      </w:pPr>
    </w:p>
    <w:p w14:paraId="58FFC3D2" w14:textId="77777777" w:rsidR="00B538BA" w:rsidRDefault="00B538BA" w:rsidP="00B538BA">
      <w:pPr>
        <w:pStyle w:val="NormalWeb"/>
        <w:spacing w:before="0" w:beforeAutospacing="0" w:after="0" w:afterAutospacing="0"/>
        <w:ind w:left="-180" w:right="-334"/>
      </w:pPr>
      <w:r>
        <w:rPr>
          <w:noProof/>
          <w:lang w:val="en-US" w:eastAsia="en-US"/>
        </w:rPr>
        <w:drawing>
          <wp:inline distT="0" distB="0" distL="0" distR="0" wp14:anchorId="1727FEFF" wp14:editId="746E2A7D">
            <wp:extent cx="1905000" cy="635000"/>
            <wp:effectExtent l="25400" t="25400" r="25400" b="254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67082382" w14:textId="77777777" w:rsidR="00B538BA" w:rsidRDefault="00B538BA" w:rsidP="00B538BA">
      <w:pPr>
        <w:pStyle w:val="NormalWeb"/>
        <w:spacing w:before="0" w:beforeAutospacing="0" w:after="0" w:afterAutospacing="0"/>
        <w:ind w:left="-180" w:right="-334"/>
      </w:pPr>
    </w:p>
    <w:p w14:paraId="3E47125C" w14:textId="77777777" w:rsidR="00B538BA" w:rsidRDefault="00B538BA" w:rsidP="00B538BA">
      <w:pPr>
        <w:pStyle w:val="NormalWeb"/>
        <w:spacing w:before="0" w:beforeAutospacing="0" w:after="0" w:afterAutospacing="0"/>
        <w:ind w:left="-180" w:right="-334"/>
      </w:pPr>
    </w:p>
    <w:p w14:paraId="47982EFC" w14:textId="77777777" w:rsidR="00B538BA" w:rsidRDefault="00B538BA" w:rsidP="00B538B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44F520A" w14:textId="77777777" w:rsidR="00B538BA" w:rsidRPr="00230F35" w:rsidRDefault="00B538BA" w:rsidP="00B538B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20B10F6" w14:textId="77777777" w:rsidR="00B538BA" w:rsidRPr="00230F35" w:rsidRDefault="00B538BA" w:rsidP="00B538BA">
      <w:pPr>
        <w:rPr>
          <w:rFonts w:ascii="Arial" w:hAnsi="Arial" w:cs="Arial"/>
          <w:sz w:val="28"/>
          <w:szCs w:val="28"/>
          <w:lang w:val="cy-GB"/>
        </w:rPr>
      </w:pPr>
    </w:p>
    <w:p w14:paraId="5D96AA92" w14:textId="77777777" w:rsidR="00B538BA" w:rsidRDefault="00B538BA" w:rsidP="00B538BA">
      <w:pPr>
        <w:pStyle w:val="Heading3"/>
        <w:jc w:val="center"/>
        <w:rPr>
          <w:lang w:val="cy-GB"/>
        </w:rPr>
      </w:pPr>
      <w:r>
        <w:rPr>
          <w:lang w:val="cy-GB"/>
        </w:rPr>
        <w:t>THIS SHEET MUST BE THE FIRST PAGE OF THE ASSIGNMENT YOU ARE SUBMITTING  (DO NOT SEND AS A SEPARATE FILE)</w:t>
      </w:r>
    </w:p>
    <w:p w14:paraId="781A90E1" w14:textId="77777777" w:rsidR="00B538BA" w:rsidRDefault="00B538BA" w:rsidP="00B538B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7"/>
        <w:gridCol w:w="414"/>
        <w:gridCol w:w="1491"/>
        <w:gridCol w:w="276"/>
        <w:gridCol w:w="1778"/>
      </w:tblGrid>
      <w:tr w:rsidR="00B538BA" w:rsidRPr="00230F35" w14:paraId="4522276A" w14:textId="77777777" w:rsidTr="00D55A5C">
        <w:trPr>
          <w:trHeight w:val="614"/>
        </w:trPr>
        <w:tc>
          <w:tcPr>
            <w:tcW w:w="8856" w:type="dxa"/>
            <w:gridSpan w:val="5"/>
          </w:tcPr>
          <w:p w14:paraId="2E3512E2" w14:textId="77777777" w:rsidR="00B538BA" w:rsidRPr="00230F35" w:rsidRDefault="00B538BA" w:rsidP="00D55A5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538BA" w:rsidRPr="00230F35" w14:paraId="7E0A4AD3" w14:textId="77777777" w:rsidTr="00D55A5C">
        <w:trPr>
          <w:trHeight w:val="718"/>
        </w:trPr>
        <w:tc>
          <w:tcPr>
            <w:tcW w:w="8856" w:type="dxa"/>
            <w:gridSpan w:val="5"/>
          </w:tcPr>
          <w:p w14:paraId="4A4EFA01" w14:textId="77777777" w:rsidR="00B538BA" w:rsidRDefault="00B538BA" w:rsidP="00D55A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52D9D2CD" w14:textId="77777777" w:rsidR="00B538BA" w:rsidRPr="00230F35" w:rsidRDefault="00B538BA" w:rsidP="00D55A5C">
            <w:pPr>
              <w:pStyle w:val="NormalWeb"/>
              <w:spacing w:before="0" w:beforeAutospacing="0" w:after="0" w:afterAutospacing="0"/>
              <w:ind w:right="34"/>
              <w:rPr>
                <w:rFonts w:ascii="Arial" w:hAnsi="Arial" w:cs="Arial"/>
                <w:sz w:val="22"/>
                <w:szCs w:val="22"/>
              </w:rPr>
            </w:pPr>
            <w:r>
              <w:rPr>
                <w:rFonts w:ascii="Arial" w:hAnsi="Arial" w:cs="Arial"/>
                <w:sz w:val="22"/>
                <w:szCs w:val="22"/>
              </w:rPr>
              <w:t>Hedy Mowinckel</w:t>
            </w:r>
          </w:p>
          <w:p w14:paraId="0978E588" w14:textId="77777777" w:rsidR="00B538BA" w:rsidRPr="00230F35" w:rsidRDefault="00B538BA" w:rsidP="00D55A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2015812@student.uwtsd.ac.uk</w:t>
            </w:r>
          </w:p>
        </w:tc>
      </w:tr>
      <w:tr w:rsidR="00B538BA" w:rsidRPr="00230F35" w14:paraId="2FF283C1" w14:textId="77777777" w:rsidTr="00D55A5C">
        <w:trPr>
          <w:trHeight w:val="849"/>
        </w:trPr>
        <w:tc>
          <w:tcPr>
            <w:tcW w:w="4788" w:type="dxa"/>
          </w:tcPr>
          <w:p w14:paraId="6BE5783C" w14:textId="77777777" w:rsidR="00B538BA" w:rsidRPr="00230F35" w:rsidRDefault="00B538BA" w:rsidP="00D55A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HPCA7015</w:t>
            </w:r>
          </w:p>
          <w:p w14:paraId="5D42921A" w14:textId="77777777" w:rsidR="00B538BA" w:rsidRPr="00230F35" w:rsidRDefault="00B538BA" w:rsidP="00D55A5C">
            <w:pPr>
              <w:pStyle w:val="NormalWeb"/>
              <w:spacing w:before="0" w:beforeAutospacing="0" w:after="0" w:afterAutospacing="0"/>
              <w:ind w:right="34"/>
              <w:rPr>
                <w:rFonts w:ascii="Arial" w:hAnsi="Arial" w:cs="Arial"/>
                <w:sz w:val="22"/>
                <w:szCs w:val="22"/>
              </w:rPr>
            </w:pPr>
          </w:p>
          <w:p w14:paraId="5DEBD678" w14:textId="77777777" w:rsidR="00B538BA" w:rsidRDefault="00B538BA" w:rsidP="00D55A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w:t>
            </w:r>
          </w:p>
          <w:p w14:paraId="3B8FB06E" w14:textId="77777777" w:rsidR="00B538BA" w:rsidRDefault="00B538BA" w:rsidP="00D55A5C">
            <w:pPr>
              <w:pStyle w:val="NormalWeb"/>
              <w:spacing w:before="0" w:beforeAutospacing="0" w:after="0" w:afterAutospacing="0"/>
              <w:ind w:right="34"/>
              <w:rPr>
                <w:rFonts w:ascii="Arial" w:hAnsi="Arial" w:cs="Arial"/>
                <w:sz w:val="22"/>
                <w:szCs w:val="22"/>
              </w:rPr>
            </w:pPr>
          </w:p>
          <w:p w14:paraId="127048F3" w14:textId="77777777" w:rsidR="00B538BA" w:rsidRPr="00230F35" w:rsidRDefault="00B538BA" w:rsidP="00D55A5C">
            <w:pPr>
              <w:pStyle w:val="NormalWeb"/>
              <w:spacing w:before="0" w:beforeAutospacing="0" w:after="0" w:afterAutospacing="0"/>
              <w:ind w:right="34"/>
              <w:rPr>
                <w:rFonts w:ascii="Arial" w:hAnsi="Arial" w:cs="Arial"/>
                <w:sz w:val="22"/>
                <w:szCs w:val="22"/>
              </w:rPr>
            </w:pPr>
          </w:p>
        </w:tc>
        <w:tc>
          <w:tcPr>
            <w:tcW w:w="2266" w:type="dxa"/>
            <w:gridSpan w:val="3"/>
          </w:tcPr>
          <w:p w14:paraId="78AB55B6" w14:textId="77777777" w:rsidR="00B538BA" w:rsidRDefault="00B538BA" w:rsidP="00D55A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004133D" w14:textId="77777777" w:rsidR="00B538BA" w:rsidRPr="00230F35" w:rsidRDefault="00B538BA" w:rsidP="00D55A5C">
            <w:pPr>
              <w:pStyle w:val="NormalWeb"/>
              <w:spacing w:before="0" w:beforeAutospacing="0" w:after="0" w:afterAutospacing="0"/>
              <w:ind w:right="34"/>
              <w:rPr>
                <w:rFonts w:ascii="Arial" w:hAnsi="Arial" w:cs="Arial"/>
                <w:sz w:val="22"/>
                <w:szCs w:val="22"/>
              </w:rPr>
            </w:pPr>
            <w:r>
              <w:rPr>
                <w:rFonts w:ascii="Arial" w:hAnsi="Arial" w:cs="Arial"/>
                <w:sz w:val="22"/>
                <w:szCs w:val="22"/>
              </w:rPr>
              <w:t>2015812</w:t>
            </w:r>
          </w:p>
        </w:tc>
        <w:tc>
          <w:tcPr>
            <w:tcW w:w="1802" w:type="dxa"/>
          </w:tcPr>
          <w:p w14:paraId="1762E933" w14:textId="77777777" w:rsidR="00B538BA" w:rsidRPr="00230F35" w:rsidRDefault="00B538BA" w:rsidP="00D55A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898FB6E" w14:textId="77777777" w:rsidR="00B538BA" w:rsidRPr="00230F35" w:rsidRDefault="00B538BA" w:rsidP="00D55A5C">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B538BA" w:rsidRPr="00230F35" w14:paraId="3525CA1A" w14:textId="77777777" w:rsidTr="00D55A5C">
        <w:trPr>
          <w:trHeight w:val="1139"/>
        </w:trPr>
        <w:tc>
          <w:tcPr>
            <w:tcW w:w="8856" w:type="dxa"/>
            <w:gridSpan w:val="5"/>
          </w:tcPr>
          <w:p w14:paraId="05B53FF5" w14:textId="41DFB6EB" w:rsidR="00B538BA" w:rsidRPr="00230F35" w:rsidRDefault="00B538BA" w:rsidP="00D55A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Essay 1</w:t>
            </w:r>
            <w:bookmarkStart w:id="0" w:name="_GoBack"/>
            <w:bookmarkEnd w:id="0"/>
          </w:p>
          <w:p w14:paraId="1563605D" w14:textId="77777777" w:rsidR="00B538BA" w:rsidRPr="00230F35" w:rsidRDefault="00B538BA" w:rsidP="00D55A5C">
            <w:pPr>
              <w:pStyle w:val="NormalWeb"/>
              <w:spacing w:before="0" w:beforeAutospacing="0" w:after="0" w:afterAutospacing="0"/>
              <w:ind w:right="34"/>
              <w:rPr>
                <w:rFonts w:ascii="Arial" w:hAnsi="Arial" w:cs="Arial"/>
                <w:sz w:val="22"/>
                <w:szCs w:val="22"/>
              </w:rPr>
            </w:pPr>
          </w:p>
          <w:p w14:paraId="207498C4" w14:textId="77777777" w:rsidR="00B538BA" w:rsidRDefault="00B538BA" w:rsidP="00D55A5C">
            <w:pPr>
              <w:pStyle w:val="NormalWeb"/>
              <w:spacing w:before="0" w:beforeAutospacing="0" w:after="0" w:afterAutospacing="0"/>
              <w:ind w:right="34"/>
              <w:rPr>
                <w:rFonts w:ascii="Arial" w:hAnsi="Arial" w:cs="Arial"/>
                <w:sz w:val="22"/>
                <w:szCs w:val="22"/>
              </w:rPr>
            </w:pPr>
          </w:p>
          <w:p w14:paraId="34156DE5" w14:textId="77777777" w:rsidR="00B538BA" w:rsidRPr="00230F35" w:rsidRDefault="00B538BA" w:rsidP="00D55A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N/A </w:t>
            </w:r>
          </w:p>
        </w:tc>
      </w:tr>
      <w:tr w:rsidR="00B538BA" w:rsidRPr="00230F35" w14:paraId="4074E04D" w14:textId="77777777" w:rsidTr="00D55A5C">
        <w:trPr>
          <w:trHeight w:val="978"/>
        </w:trPr>
        <w:tc>
          <w:tcPr>
            <w:tcW w:w="8856" w:type="dxa"/>
            <w:gridSpan w:val="5"/>
            <w:tcBorders>
              <w:bottom w:val="single" w:sz="4" w:space="0" w:color="000000"/>
            </w:tcBorders>
          </w:tcPr>
          <w:p w14:paraId="05C70E1B" w14:textId="77777777" w:rsidR="00B538BA" w:rsidRPr="00230F35" w:rsidRDefault="00B538BA" w:rsidP="00D55A5C">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1"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module of the degre</w:t>
            </w:r>
            <w:r>
              <w:rPr>
                <w:rFonts w:ascii="Arial" w:hAnsi="Arial" w:cs="Arial"/>
                <w:sz w:val="22"/>
                <w:szCs w:val="22"/>
              </w:rPr>
              <w:t>e</w:t>
            </w:r>
          </w:p>
        </w:tc>
      </w:tr>
      <w:tr w:rsidR="00B538BA" w:rsidRPr="00230F35" w14:paraId="697D70FB" w14:textId="77777777" w:rsidTr="00D55A5C">
        <w:trPr>
          <w:trHeight w:val="978"/>
        </w:trPr>
        <w:tc>
          <w:tcPr>
            <w:tcW w:w="8856" w:type="dxa"/>
            <w:gridSpan w:val="5"/>
            <w:shd w:val="clear" w:color="auto" w:fill="D9D9D9"/>
          </w:tcPr>
          <w:p w14:paraId="5ECDB02E" w14:textId="77777777" w:rsidR="00B538BA" w:rsidRPr="00230F35" w:rsidRDefault="00B538BA" w:rsidP="00D55A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3ECB61F" w14:textId="77777777" w:rsidR="00B538BA" w:rsidRDefault="00B538BA" w:rsidP="00D55A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Hedy Mowinckel</w:t>
            </w:r>
            <w:r w:rsidRPr="00230F35">
              <w:rPr>
                <w:rFonts w:ascii="Arial" w:hAnsi="Arial" w:cs="Arial"/>
                <w:sz w:val="22"/>
                <w:szCs w:val="22"/>
              </w:rPr>
              <w:t>…………………………</w:t>
            </w:r>
          </w:p>
          <w:p w14:paraId="7B137BD4" w14:textId="77777777" w:rsidR="00B538BA" w:rsidRDefault="00B538BA" w:rsidP="00D55A5C">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14:paraId="3582798A" w14:textId="77777777" w:rsidR="00B538BA" w:rsidRPr="00230F35" w:rsidRDefault="00B538BA" w:rsidP="00D55A5C">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B538BA" w:rsidRPr="00230F35" w14:paraId="30128FAC" w14:textId="77777777" w:rsidTr="00D55A5C">
        <w:trPr>
          <w:trHeight w:val="3972"/>
        </w:trPr>
        <w:tc>
          <w:tcPr>
            <w:tcW w:w="8856" w:type="dxa"/>
            <w:gridSpan w:val="5"/>
          </w:tcPr>
          <w:p w14:paraId="0C6442D3" w14:textId="77777777" w:rsidR="00B538BA" w:rsidRDefault="00B538BA" w:rsidP="00D55A5C">
            <w:pPr>
              <w:rPr>
                <w:rFonts w:ascii="Arial" w:hAnsi="Arial"/>
                <w:b/>
              </w:rPr>
            </w:pPr>
          </w:p>
          <w:p w14:paraId="7D6452DE" w14:textId="77777777" w:rsidR="00B538BA" w:rsidRPr="00116CE6" w:rsidRDefault="00B538BA" w:rsidP="00D55A5C">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7"/>
              <w:gridCol w:w="1583"/>
            </w:tblGrid>
            <w:tr w:rsidR="00B538BA" w:rsidRPr="00116CE6" w14:paraId="5B0373D9" w14:textId="77777777" w:rsidTr="00D55A5C">
              <w:tc>
                <w:tcPr>
                  <w:tcW w:w="6970" w:type="dxa"/>
                </w:tcPr>
                <w:p w14:paraId="0CCC1406" w14:textId="77777777" w:rsidR="00B538BA" w:rsidRPr="00116CE6" w:rsidRDefault="00B538BA" w:rsidP="00D55A5C">
                  <w:pPr>
                    <w:rPr>
                      <w:rFonts w:ascii="Arial" w:hAnsi="Arial"/>
                      <w:sz w:val="20"/>
                      <w:szCs w:val="20"/>
                    </w:rPr>
                  </w:pPr>
                </w:p>
                <w:p w14:paraId="0C28E9F2" w14:textId="77777777" w:rsidR="00B538BA" w:rsidRPr="00116CE6" w:rsidRDefault="00B538BA" w:rsidP="00D55A5C">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8A3B27F" w14:textId="77777777" w:rsidR="00B538BA" w:rsidRPr="00116CE6" w:rsidRDefault="00B538BA" w:rsidP="00D55A5C">
                  <w:pPr>
                    <w:rPr>
                      <w:rFonts w:ascii="Arial" w:hAnsi="Arial"/>
                      <w:sz w:val="20"/>
                      <w:szCs w:val="20"/>
                    </w:rPr>
                  </w:pPr>
                </w:p>
              </w:tc>
            </w:tr>
            <w:tr w:rsidR="00B538BA" w:rsidRPr="00116CE6" w14:paraId="717C46FB" w14:textId="77777777" w:rsidTr="00D55A5C">
              <w:tc>
                <w:tcPr>
                  <w:tcW w:w="6970" w:type="dxa"/>
                </w:tcPr>
                <w:p w14:paraId="2E803123" w14:textId="77777777" w:rsidR="00B538BA" w:rsidRPr="00116CE6" w:rsidRDefault="00B538BA" w:rsidP="00D55A5C">
                  <w:pPr>
                    <w:rPr>
                      <w:rFonts w:ascii="Arial" w:hAnsi="Arial"/>
                      <w:sz w:val="20"/>
                      <w:szCs w:val="20"/>
                    </w:rPr>
                  </w:pPr>
                </w:p>
                <w:p w14:paraId="06E9D560" w14:textId="77777777" w:rsidR="00B538BA" w:rsidRPr="00116CE6" w:rsidRDefault="00B538BA" w:rsidP="00D55A5C">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3AB6631" w14:textId="77777777" w:rsidR="00B538BA" w:rsidRPr="00116CE6" w:rsidRDefault="00B538BA" w:rsidP="00D55A5C">
                  <w:pPr>
                    <w:rPr>
                      <w:rFonts w:ascii="Arial" w:hAnsi="Arial"/>
                      <w:sz w:val="20"/>
                      <w:szCs w:val="20"/>
                    </w:rPr>
                  </w:pPr>
                </w:p>
              </w:tc>
            </w:tr>
            <w:tr w:rsidR="00B538BA" w:rsidRPr="00116CE6" w14:paraId="7471B1BF" w14:textId="77777777" w:rsidTr="00D55A5C">
              <w:tc>
                <w:tcPr>
                  <w:tcW w:w="6970" w:type="dxa"/>
                </w:tcPr>
                <w:p w14:paraId="47BBFB93" w14:textId="77777777" w:rsidR="00B538BA" w:rsidRPr="00116CE6" w:rsidRDefault="00B538BA" w:rsidP="00D55A5C">
                  <w:pPr>
                    <w:rPr>
                      <w:rFonts w:ascii="Arial" w:hAnsi="Arial"/>
                      <w:sz w:val="20"/>
                      <w:szCs w:val="20"/>
                    </w:rPr>
                  </w:pPr>
                </w:p>
                <w:p w14:paraId="11AF21ED" w14:textId="77777777" w:rsidR="00B538BA" w:rsidRPr="00116CE6" w:rsidRDefault="00B538BA" w:rsidP="00D55A5C">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6B54DAE" w14:textId="77777777" w:rsidR="00B538BA" w:rsidRPr="00116CE6" w:rsidRDefault="00B538BA" w:rsidP="00D55A5C">
                  <w:pPr>
                    <w:rPr>
                      <w:rFonts w:ascii="Arial" w:hAnsi="Arial"/>
                      <w:sz w:val="20"/>
                      <w:szCs w:val="20"/>
                    </w:rPr>
                  </w:pPr>
                </w:p>
              </w:tc>
            </w:tr>
            <w:tr w:rsidR="00B538BA" w:rsidRPr="00116CE6" w14:paraId="12C30E59" w14:textId="77777777" w:rsidTr="00D55A5C">
              <w:tc>
                <w:tcPr>
                  <w:tcW w:w="6970" w:type="dxa"/>
                </w:tcPr>
                <w:p w14:paraId="48BCECAA" w14:textId="77777777" w:rsidR="00B538BA" w:rsidRDefault="00B538BA" w:rsidP="00D55A5C">
                  <w:pPr>
                    <w:rPr>
                      <w:rFonts w:ascii="Arial" w:hAnsi="Arial"/>
                      <w:sz w:val="20"/>
                      <w:szCs w:val="20"/>
                    </w:rPr>
                  </w:pPr>
                </w:p>
                <w:p w14:paraId="12D00E67" w14:textId="77777777" w:rsidR="00B538BA" w:rsidRPr="00022345" w:rsidRDefault="00B538BA" w:rsidP="00D55A5C">
                  <w:pPr>
                    <w:rPr>
                      <w:rFonts w:ascii="Arial" w:hAnsi="Arial"/>
                      <w:b/>
                      <w:sz w:val="20"/>
                      <w:szCs w:val="20"/>
                    </w:rPr>
                  </w:pPr>
                  <w:r w:rsidRPr="00022345">
                    <w:rPr>
                      <w:rFonts w:ascii="Arial" w:hAnsi="Arial"/>
                      <w:b/>
                      <w:sz w:val="20"/>
                      <w:szCs w:val="20"/>
                    </w:rPr>
                    <w:t>Final Mark</w:t>
                  </w:r>
                </w:p>
                <w:p w14:paraId="52C53452" w14:textId="77777777" w:rsidR="00B538BA" w:rsidRPr="00116CE6" w:rsidRDefault="00B538BA" w:rsidP="00D55A5C">
                  <w:pPr>
                    <w:rPr>
                      <w:rFonts w:ascii="Arial" w:hAnsi="Arial"/>
                      <w:sz w:val="20"/>
                      <w:szCs w:val="20"/>
                    </w:rPr>
                  </w:pPr>
                </w:p>
              </w:tc>
              <w:tc>
                <w:tcPr>
                  <w:tcW w:w="1660" w:type="dxa"/>
                </w:tcPr>
                <w:p w14:paraId="727522C0" w14:textId="77777777" w:rsidR="00B538BA" w:rsidRPr="00116CE6" w:rsidRDefault="00B538BA" w:rsidP="00D55A5C">
                  <w:pPr>
                    <w:rPr>
                      <w:rFonts w:ascii="Arial" w:hAnsi="Arial"/>
                      <w:sz w:val="20"/>
                      <w:szCs w:val="20"/>
                    </w:rPr>
                  </w:pPr>
                </w:p>
              </w:tc>
            </w:tr>
          </w:tbl>
          <w:p w14:paraId="600A23B4" w14:textId="77777777" w:rsidR="00B538BA" w:rsidRDefault="00B538BA" w:rsidP="00D55A5C">
            <w:pPr>
              <w:pStyle w:val="NormalWeb"/>
              <w:spacing w:before="0" w:beforeAutospacing="0" w:after="0" w:afterAutospacing="0"/>
              <w:ind w:left="142" w:right="34"/>
              <w:rPr>
                <w:rFonts w:ascii="Arial" w:hAnsi="Arial" w:cs="Arial"/>
                <w:b/>
                <w:sz w:val="22"/>
                <w:szCs w:val="22"/>
              </w:rPr>
            </w:pPr>
          </w:p>
          <w:p w14:paraId="00089326" w14:textId="77777777" w:rsidR="00B538BA" w:rsidRPr="00230F35" w:rsidRDefault="00B538BA" w:rsidP="00D55A5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401DBB7" w14:textId="77777777" w:rsidR="00B538BA" w:rsidRDefault="00B538BA" w:rsidP="00D55A5C">
            <w:pPr>
              <w:pStyle w:val="NormalWeb"/>
              <w:spacing w:before="0" w:beforeAutospacing="0" w:after="0" w:afterAutospacing="0"/>
              <w:rPr>
                <w:rFonts w:ascii="Arial" w:hAnsi="Arial" w:cs="Arial"/>
                <w:b/>
                <w:sz w:val="22"/>
                <w:szCs w:val="22"/>
              </w:rPr>
            </w:pPr>
          </w:p>
          <w:p w14:paraId="3656DD30" w14:textId="77777777" w:rsidR="00B538BA" w:rsidRDefault="00B538BA" w:rsidP="00D55A5C">
            <w:pPr>
              <w:pStyle w:val="NormalWeb"/>
              <w:spacing w:before="0" w:beforeAutospacing="0" w:after="0" w:afterAutospacing="0"/>
              <w:rPr>
                <w:rFonts w:ascii="Arial" w:hAnsi="Arial" w:cs="Arial"/>
                <w:b/>
                <w:sz w:val="22"/>
                <w:szCs w:val="22"/>
              </w:rPr>
            </w:pPr>
          </w:p>
          <w:p w14:paraId="3D705C85" w14:textId="77777777" w:rsidR="00B538BA" w:rsidRDefault="00B538BA" w:rsidP="00D55A5C">
            <w:pPr>
              <w:pStyle w:val="NormalWeb"/>
              <w:spacing w:before="0" w:beforeAutospacing="0" w:after="0" w:afterAutospacing="0"/>
              <w:rPr>
                <w:rFonts w:ascii="Arial" w:hAnsi="Arial" w:cs="Arial"/>
                <w:b/>
                <w:sz w:val="22"/>
                <w:szCs w:val="22"/>
              </w:rPr>
            </w:pPr>
          </w:p>
          <w:p w14:paraId="1A9A2B3E" w14:textId="77777777" w:rsidR="00B538BA" w:rsidRDefault="00B538BA" w:rsidP="00D55A5C">
            <w:pPr>
              <w:pStyle w:val="NormalWeb"/>
              <w:spacing w:before="0" w:beforeAutospacing="0" w:after="0" w:afterAutospacing="0"/>
              <w:rPr>
                <w:rFonts w:ascii="Arial" w:hAnsi="Arial" w:cs="Arial"/>
                <w:b/>
                <w:sz w:val="22"/>
                <w:szCs w:val="22"/>
              </w:rPr>
            </w:pPr>
          </w:p>
          <w:p w14:paraId="2779A398" w14:textId="77777777" w:rsidR="00B538BA" w:rsidRDefault="00B538BA" w:rsidP="00D55A5C">
            <w:pPr>
              <w:pStyle w:val="NormalWeb"/>
              <w:spacing w:before="0" w:beforeAutospacing="0" w:after="0" w:afterAutospacing="0"/>
              <w:rPr>
                <w:rFonts w:ascii="Arial" w:hAnsi="Arial" w:cs="Arial"/>
                <w:b/>
                <w:sz w:val="22"/>
                <w:szCs w:val="22"/>
              </w:rPr>
            </w:pPr>
          </w:p>
          <w:p w14:paraId="0085CF4C" w14:textId="77777777" w:rsidR="00B538BA" w:rsidRPr="00230F35" w:rsidRDefault="00B538BA" w:rsidP="00D55A5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286E3841" w14:textId="77777777" w:rsidR="00B538BA" w:rsidRDefault="00B538BA" w:rsidP="00D55A5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770DE72" w14:textId="77777777" w:rsidR="00B538BA" w:rsidRPr="00001C3B" w:rsidRDefault="00B538BA" w:rsidP="00D55A5C">
            <w:pPr>
              <w:pStyle w:val="NormalWeb"/>
              <w:rPr>
                <w:rFonts w:ascii="Arial" w:hAnsi="Arial" w:cs="Arial"/>
                <w:sz w:val="22"/>
                <w:szCs w:val="22"/>
              </w:rPr>
            </w:pPr>
          </w:p>
        </w:tc>
      </w:tr>
      <w:tr w:rsidR="00B538BA" w:rsidRPr="00230F35" w14:paraId="260296CE" w14:textId="77777777" w:rsidTr="00D55A5C">
        <w:trPr>
          <w:trHeight w:val="492"/>
        </w:trPr>
        <w:tc>
          <w:tcPr>
            <w:tcW w:w="6768" w:type="dxa"/>
            <w:gridSpan w:val="3"/>
          </w:tcPr>
          <w:p w14:paraId="531E89EB" w14:textId="77777777" w:rsidR="00B538BA" w:rsidRPr="00230F35" w:rsidRDefault="00B538BA" w:rsidP="00D55A5C">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59DE90E" w14:textId="77777777" w:rsidR="00B538BA" w:rsidRPr="00230F35" w:rsidRDefault="00B538BA" w:rsidP="00D55A5C">
            <w:pPr>
              <w:pStyle w:val="NormalWeb"/>
              <w:spacing w:after="0"/>
              <w:ind w:left="142" w:right="34"/>
              <w:rPr>
                <w:rFonts w:ascii="Arial" w:hAnsi="Arial" w:cs="Arial"/>
                <w:sz w:val="22"/>
                <w:szCs w:val="22"/>
              </w:rPr>
            </w:pPr>
            <w:r w:rsidRPr="00230F35">
              <w:rPr>
                <w:rFonts w:ascii="Arial" w:hAnsi="Arial" w:cs="Arial"/>
                <w:sz w:val="22"/>
                <w:szCs w:val="22"/>
              </w:rPr>
              <w:t>Date:</w:t>
            </w:r>
          </w:p>
        </w:tc>
      </w:tr>
      <w:tr w:rsidR="00B538BA" w:rsidRPr="002F467C" w14:paraId="25B4B825" w14:textId="77777777" w:rsidTr="00D55A5C">
        <w:tc>
          <w:tcPr>
            <w:tcW w:w="8856" w:type="dxa"/>
            <w:gridSpan w:val="5"/>
          </w:tcPr>
          <w:p w14:paraId="4C6012B5" w14:textId="77777777" w:rsidR="00B538BA" w:rsidRPr="00230F35" w:rsidRDefault="00B538BA" w:rsidP="00D55A5C">
            <w:pPr>
              <w:pStyle w:val="NormalWeb"/>
              <w:spacing w:before="0" w:beforeAutospacing="0" w:after="0" w:afterAutospacing="0"/>
              <w:ind w:right="-334"/>
              <w:rPr>
                <w:rFonts w:ascii="Arial" w:hAnsi="Arial" w:cs="Arial"/>
                <w:bCs/>
                <w:i/>
                <w:sz w:val="22"/>
                <w:szCs w:val="22"/>
              </w:rPr>
            </w:pPr>
          </w:p>
          <w:p w14:paraId="1CBA9A99" w14:textId="77777777" w:rsidR="00B538BA" w:rsidRPr="00230F35" w:rsidRDefault="00B538BA" w:rsidP="00D55A5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DC9A830" w14:textId="77777777" w:rsidR="00B538BA" w:rsidRPr="00230F35" w:rsidRDefault="00B538BA" w:rsidP="00D55A5C">
            <w:pPr>
              <w:pStyle w:val="NormalWeb"/>
              <w:spacing w:before="0" w:beforeAutospacing="0" w:after="0" w:afterAutospacing="0"/>
              <w:ind w:right="-334"/>
              <w:rPr>
                <w:rFonts w:ascii="Arial" w:hAnsi="Arial" w:cs="Arial"/>
                <w:b/>
                <w:bCs/>
                <w:sz w:val="22"/>
                <w:szCs w:val="22"/>
              </w:rPr>
            </w:pPr>
          </w:p>
          <w:p w14:paraId="7C4613A6"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76CBBD2"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116E2C27"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4AA084DF"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0B163B67"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6EF19078"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44403252"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6DD74ED3"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77F7E916"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7CB5FBAE" w14:textId="77777777" w:rsidR="00B538BA" w:rsidRDefault="00B538BA" w:rsidP="00D55A5C">
            <w:pPr>
              <w:pStyle w:val="NormalWeb"/>
              <w:spacing w:before="0" w:beforeAutospacing="0" w:after="0" w:afterAutospacing="0"/>
              <w:ind w:right="-334"/>
              <w:rPr>
                <w:rFonts w:ascii="Arial" w:hAnsi="Arial" w:cs="Arial"/>
                <w:bCs/>
                <w:sz w:val="22"/>
                <w:szCs w:val="22"/>
              </w:rPr>
            </w:pPr>
          </w:p>
          <w:p w14:paraId="6C854ACE"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50939FC5"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4A6527CD"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tc>
      </w:tr>
      <w:tr w:rsidR="00B538BA" w:rsidRPr="002F467C" w14:paraId="2BF9D02C" w14:textId="77777777" w:rsidTr="00D55A5C">
        <w:trPr>
          <w:trHeight w:val="720"/>
        </w:trPr>
        <w:tc>
          <w:tcPr>
            <w:tcW w:w="5211" w:type="dxa"/>
            <w:gridSpan w:val="2"/>
          </w:tcPr>
          <w:p w14:paraId="210920A9"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636B63A"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538BA" w:rsidRPr="002F467C" w14:paraId="67D1F10F" w14:textId="77777777" w:rsidTr="00D55A5C">
        <w:trPr>
          <w:trHeight w:val="720"/>
        </w:trPr>
        <w:tc>
          <w:tcPr>
            <w:tcW w:w="8856" w:type="dxa"/>
            <w:gridSpan w:val="5"/>
          </w:tcPr>
          <w:p w14:paraId="29B400A0" w14:textId="77777777" w:rsidR="00B538BA" w:rsidRPr="00B34964" w:rsidRDefault="00B538BA" w:rsidP="00D55A5C">
            <w:pPr>
              <w:rPr>
                <w:rFonts w:ascii="Arial" w:hAnsi="Arial" w:cs="Arial"/>
                <w:b/>
                <w:sz w:val="22"/>
                <w:szCs w:val="22"/>
              </w:rPr>
            </w:pPr>
            <w:r w:rsidRPr="00B34964">
              <w:rPr>
                <w:rFonts w:ascii="Arial" w:hAnsi="Arial" w:cs="Arial"/>
                <w:b/>
                <w:sz w:val="22"/>
                <w:szCs w:val="22"/>
              </w:rPr>
              <w:t>External Examiner’s comments (if relevant)</w:t>
            </w:r>
          </w:p>
          <w:p w14:paraId="7988CF64"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1089244B"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7842198C"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1ADB1AEE"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62A4D4BB"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6881F395"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5C6A7950"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7BBCD843"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16C17941" w14:textId="77777777" w:rsidR="00B538BA" w:rsidRDefault="00B538BA" w:rsidP="00D55A5C">
            <w:pPr>
              <w:pStyle w:val="NormalWeb"/>
              <w:spacing w:before="0" w:beforeAutospacing="0" w:after="0" w:afterAutospacing="0"/>
              <w:ind w:right="-334"/>
              <w:rPr>
                <w:rFonts w:ascii="Arial" w:hAnsi="Arial" w:cs="Arial"/>
                <w:bCs/>
                <w:sz w:val="22"/>
                <w:szCs w:val="22"/>
              </w:rPr>
            </w:pPr>
          </w:p>
          <w:p w14:paraId="17557048"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p w14:paraId="43C14070" w14:textId="77777777" w:rsidR="00B538BA" w:rsidRPr="00230F35" w:rsidRDefault="00B538BA" w:rsidP="00D55A5C">
            <w:pPr>
              <w:pStyle w:val="NormalWeb"/>
              <w:spacing w:before="0" w:beforeAutospacing="0" w:after="0" w:afterAutospacing="0"/>
              <w:ind w:right="-334"/>
              <w:rPr>
                <w:rFonts w:ascii="Arial" w:hAnsi="Arial" w:cs="Arial"/>
                <w:bCs/>
                <w:sz w:val="22"/>
                <w:szCs w:val="22"/>
              </w:rPr>
            </w:pPr>
          </w:p>
        </w:tc>
      </w:tr>
      <w:tr w:rsidR="00B538BA" w:rsidRPr="002F467C" w14:paraId="5F59E7A6" w14:textId="77777777" w:rsidTr="00D55A5C">
        <w:trPr>
          <w:trHeight w:val="720"/>
        </w:trPr>
        <w:tc>
          <w:tcPr>
            <w:tcW w:w="5211" w:type="dxa"/>
            <w:gridSpan w:val="2"/>
          </w:tcPr>
          <w:p w14:paraId="7C19CD9F" w14:textId="77777777" w:rsidR="00B538BA" w:rsidRPr="00230F35" w:rsidRDefault="00B538BA" w:rsidP="00D55A5C">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4F252AA" w14:textId="77777777" w:rsidR="00B538BA" w:rsidRPr="00230F35" w:rsidRDefault="00B538BA" w:rsidP="00D55A5C">
            <w:pPr>
              <w:rPr>
                <w:rFonts w:ascii="Arial" w:hAnsi="Arial" w:cs="Arial"/>
                <w:sz w:val="22"/>
                <w:szCs w:val="22"/>
              </w:rPr>
            </w:pPr>
            <w:r w:rsidRPr="00230F35">
              <w:rPr>
                <w:rFonts w:ascii="Arial" w:hAnsi="Arial" w:cs="Arial"/>
                <w:sz w:val="22"/>
                <w:szCs w:val="22"/>
              </w:rPr>
              <w:t>Date:</w:t>
            </w:r>
          </w:p>
        </w:tc>
      </w:tr>
    </w:tbl>
    <w:p w14:paraId="1718A55F" w14:textId="77777777" w:rsidR="00B538BA" w:rsidRDefault="00B538BA" w:rsidP="00B538BA">
      <w:pPr>
        <w:rPr>
          <w:b/>
          <w:u w:val="single"/>
          <w:lang w:val="en-GB"/>
        </w:rPr>
      </w:pPr>
    </w:p>
    <w:p w14:paraId="278CEDBA" w14:textId="77777777" w:rsidR="00B538BA" w:rsidRDefault="00B538BA" w:rsidP="00B538BA">
      <w:pPr>
        <w:rPr>
          <w:b/>
          <w:u w:val="single"/>
          <w:lang w:val="en-GB"/>
        </w:rPr>
      </w:pPr>
    </w:p>
    <w:p w14:paraId="6488C598" w14:textId="77777777" w:rsidR="00B538BA" w:rsidRDefault="00B538BA" w:rsidP="00B538BA">
      <w:pPr>
        <w:rPr>
          <w:b/>
          <w:u w:val="single"/>
          <w:lang w:val="en-GB"/>
        </w:rPr>
      </w:pPr>
    </w:p>
    <w:p w14:paraId="6E114DEE" w14:textId="77777777" w:rsidR="00B538BA" w:rsidRDefault="00B538BA" w:rsidP="00B538BA">
      <w:pPr>
        <w:rPr>
          <w:b/>
          <w:u w:val="single"/>
          <w:lang w:val="en-GB"/>
        </w:rPr>
      </w:pPr>
    </w:p>
    <w:p w14:paraId="28E78B03" w14:textId="77777777" w:rsidR="00B538BA" w:rsidRDefault="00B538BA" w:rsidP="00B538BA">
      <w:pPr>
        <w:rPr>
          <w:b/>
          <w:u w:val="single"/>
          <w:lang w:val="en-GB"/>
        </w:rPr>
      </w:pPr>
    </w:p>
    <w:p w14:paraId="55CCCD20" w14:textId="77777777" w:rsidR="00B538BA" w:rsidRDefault="00B538BA" w:rsidP="00B538BA">
      <w:pPr>
        <w:rPr>
          <w:b/>
          <w:u w:val="single"/>
          <w:lang w:val="en-GB"/>
        </w:rPr>
      </w:pPr>
    </w:p>
    <w:p w14:paraId="2CE63911" w14:textId="77777777" w:rsidR="00B538BA" w:rsidRDefault="00B538BA" w:rsidP="00B538BA">
      <w:pPr>
        <w:rPr>
          <w:b/>
          <w:u w:val="single"/>
          <w:lang w:val="en-GB"/>
        </w:rPr>
      </w:pPr>
    </w:p>
    <w:p w14:paraId="418F63AE" w14:textId="77777777" w:rsidR="00B538BA" w:rsidRDefault="00B538BA" w:rsidP="00BC444F">
      <w:pPr>
        <w:jc w:val="center"/>
        <w:rPr>
          <w:u w:val="single"/>
          <w:lang w:val="en-GB"/>
        </w:rPr>
      </w:pPr>
    </w:p>
    <w:p w14:paraId="34EFD73D" w14:textId="77777777" w:rsidR="00B538BA" w:rsidRDefault="00B538BA" w:rsidP="00BC444F">
      <w:pPr>
        <w:jc w:val="center"/>
        <w:rPr>
          <w:u w:val="single"/>
          <w:lang w:val="en-GB"/>
        </w:rPr>
      </w:pPr>
    </w:p>
    <w:p w14:paraId="70210E82" w14:textId="77777777" w:rsidR="00B538BA" w:rsidRDefault="00B538BA" w:rsidP="00BC444F">
      <w:pPr>
        <w:jc w:val="center"/>
        <w:rPr>
          <w:u w:val="single"/>
          <w:lang w:val="en-GB"/>
        </w:rPr>
      </w:pPr>
    </w:p>
    <w:p w14:paraId="3F3678C7" w14:textId="77777777" w:rsidR="00B538BA" w:rsidRDefault="00B538BA" w:rsidP="00BC444F">
      <w:pPr>
        <w:jc w:val="center"/>
        <w:rPr>
          <w:u w:val="single"/>
          <w:lang w:val="en-GB"/>
        </w:rPr>
      </w:pPr>
    </w:p>
    <w:p w14:paraId="27C44555" w14:textId="77777777" w:rsidR="00B538BA" w:rsidRDefault="00B538BA" w:rsidP="00BC444F">
      <w:pPr>
        <w:jc w:val="center"/>
        <w:rPr>
          <w:u w:val="single"/>
          <w:lang w:val="en-GB"/>
        </w:rPr>
      </w:pPr>
    </w:p>
    <w:p w14:paraId="2FA49BF5" w14:textId="77777777" w:rsidR="00B538BA" w:rsidRDefault="00B538BA" w:rsidP="00BC444F">
      <w:pPr>
        <w:jc w:val="center"/>
        <w:rPr>
          <w:u w:val="single"/>
          <w:lang w:val="en-GB"/>
        </w:rPr>
      </w:pPr>
    </w:p>
    <w:p w14:paraId="4FA66628" w14:textId="55870296" w:rsidR="003754C3" w:rsidRDefault="003555AE" w:rsidP="00BC444F">
      <w:pPr>
        <w:jc w:val="center"/>
        <w:rPr>
          <w:u w:val="single"/>
          <w:lang w:val="en-GB"/>
        </w:rPr>
      </w:pPr>
      <w:r>
        <w:rPr>
          <w:u w:val="single"/>
          <w:lang w:val="en-GB"/>
        </w:rPr>
        <w:t>A Critical comparison of two JSTOR papers</w:t>
      </w:r>
      <w:r w:rsidR="00C95FDC">
        <w:rPr>
          <w:u w:val="single"/>
          <w:lang w:val="en-GB"/>
        </w:rPr>
        <w:t xml:space="preserve"> </w:t>
      </w:r>
    </w:p>
    <w:p w14:paraId="3C4AAB0C" w14:textId="77777777" w:rsidR="0067190C" w:rsidRDefault="0067190C" w:rsidP="00BC444F">
      <w:pPr>
        <w:jc w:val="center"/>
        <w:rPr>
          <w:u w:val="single"/>
          <w:lang w:val="en-GB"/>
        </w:rPr>
      </w:pPr>
    </w:p>
    <w:p w14:paraId="1790B6F7" w14:textId="7FE071B0" w:rsidR="0067190C" w:rsidRDefault="0067190C" w:rsidP="00690F04">
      <w:pPr>
        <w:rPr>
          <w:u w:val="single"/>
          <w:lang w:val="en-GB"/>
        </w:rPr>
      </w:pPr>
      <w:r>
        <w:rPr>
          <w:u w:val="single"/>
          <w:lang w:val="en-GB"/>
        </w:rPr>
        <w:t>Word Count: 2525</w:t>
      </w:r>
    </w:p>
    <w:p w14:paraId="659C7D22" w14:textId="77777777" w:rsidR="003555AE" w:rsidRDefault="003555AE" w:rsidP="00BC444F">
      <w:pPr>
        <w:jc w:val="center"/>
        <w:rPr>
          <w:u w:val="single"/>
          <w:lang w:val="en-GB"/>
        </w:rPr>
      </w:pPr>
    </w:p>
    <w:p w14:paraId="67883484" w14:textId="77777777" w:rsidR="00616EEF" w:rsidRPr="00616EEF" w:rsidRDefault="00616EEF" w:rsidP="00616EEF">
      <w:pPr>
        <w:pStyle w:val="ListParagraph"/>
        <w:rPr>
          <w:lang w:val="en-GB"/>
        </w:rPr>
      </w:pPr>
    </w:p>
    <w:p w14:paraId="58DA8B88" w14:textId="5327D49F" w:rsidR="0042772D" w:rsidRDefault="0042772D" w:rsidP="00F30FFB">
      <w:pPr>
        <w:jc w:val="both"/>
        <w:rPr>
          <w:b/>
          <w:u w:val="single"/>
          <w:lang w:val="en-GB"/>
        </w:rPr>
      </w:pPr>
      <w:r w:rsidRPr="0042772D">
        <w:rPr>
          <w:b/>
          <w:u w:val="single"/>
          <w:lang w:val="en-GB"/>
        </w:rPr>
        <w:t xml:space="preserve">Identify: </w:t>
      </w:r>
    </w:p>
    <w:p w14:paraId="68BD8DDF" w14:textId="77777777" w:rsidR="007F4A73" w:rsidRPr="0042772D" w:rsidRDefault="007F4A73" w:rsidP="00F30FFB">
      <w:pPr>
        <w:jc w:val="both"/>
        <w:rPr>
          <w:b/>
          <w:u w:val="single"/>
          <w:lang w:val="en-GB"/>
        </w:rPr>
      </w:pPr>
    </w:p>
    <w:p w14:paraId="12C6B874" w14:textId="5FAF51B2" w:rsidR="00BA5A5C" w:rsidRDefault="00BA5A5C" w:rsidP="00F30FFB">
      <w:pPr>
        <w:jc w:val="both"/>
        <w:rPr>
          <w:lang w:val="en-GB"/>
        </w:rPr>
      </w:pPr>
      <w:r>
        <w:rPr>
          <w:lang w:val="en-GB"/>
        </w:rPr>
        <w:t>This essay compares and contras</w:t>
      </w:r>
      <w:r w:rsidR="00D13A0B">
        <w:rPr>
          <w:lang w:val="en-GB"/>
        </w:rPr>
        <w:t xml:space="preserve">ts Nancy M Farris’s article on </w:t>
      </w:r>
      <w:r w:rsidR="00D13A0B" w:rsidRPr="00D13A0B">
        <w:rPr>
          <w:lang w:val="en-GB"/>
        </w:rPr>
        <w:t>‘</w:t>
      </w:r>
      <w:r w:rsidRPr="00D13A0B">
        <w:rPr>
          <w:lang w:val="en-GB"/>
        </w:rPr>
        <w:t>Remembering the future, Anticipating the Past: History, Time and Cosmo</w:t>
      </w:r>
      <w:r w:rsidR="002E15BA" w:rsidRPr="00D13A0B">
        <w:rPr>
          <w:lang w:val="en-GB"/>
        </w:rPr>
        <w:t>logy among the Maya of Yucatan</w:t>
      </w:r>
      <w:r w:rsidR="00D13A0B">
        <w:rPr>
          <w:lang w:val="en-GB"/>
        </w:rPr>
        <w:t>’</w:t>
      </w:r>
      <w:r w:rsidR="002E15BA">
        <w:rPr>
          <w:lang w:val="en-GB"/>
        </w:rPr>
        <w:t xml:space="preserve"> published in Comparative Studies in Society and History in 1987 </w:t>
      </w:r>
      <w:r w:rsidR="00D13A0B">
        <w:rPr>
          <w:lang w:val="en-GB"/>
        </w:rPr>
        <w:t>with Denise Martin’s article ‘</w:t>
      </w:r>
      <w:r w:rsidR="002E15BA">
        <w:rPr>
          <w:lang w:val="en-GB"/>
        </w:rPr>
        <w:t>Maat and Order in African Cosmology: A Conceptual Tool for Understanding Indigenous Knowledge</w:t>
      </w:r>
      <w:r w:rsidR="00D13A0B">
        <w:rPr>
          <w:lang w:val="en-GB"/>
        </w:rPr>
        <w:t>’</w:t>
      </w:r>
      <w:r w:rsidR="002E15BA">
        <w:rPr>
          <w:lang w:val="en-GB"/>
        </w:rPr>
        <w:t xml:space="preserve"> published in Journal of Black Studies in 2008. </w:t>
      </w:r>
    </w:p>
    <w:p w14:paraId="3A14A709" w14:textId="77777777" w:rsidR="0042772D" w:rsidRDefault="0042772D" w:rsidP="00F30FFB">
      <w:pPr>
        <w:jc w:val="both"/>
        <w:rPr>
          <w:lang w:val="en-GB"/>
        </w:rPr>
      </w:pPr>
    </w:p>
    <w:p w14:paraId="4558E4DA" w14:textId="7E505E33" w:rsidR="0042772D" w:rsidRPr="00DD2836" w:rsidRDefault="0042772D" w:rsidP="00F30FFB">
      <w:pPr>
        <w:jc w:val="both"/>
        <w:rPr>
          <w:b/>
          <w:u w:val="single"/>
          <w:lang w:val="en-GB"/>
        </w:rPr>
      </w:pPr>
      <w:r w:rsidRPr="00DD2836">
        <w:rPr>
          <w:b/>
          <w:u w:val="single"/>
          <w:lang w:val="en-GB"/>
        </w:rPr>
        <w:t xml:space="preserve">Locate </w:t>
      </w:r>
    </w:p>
    <w:p w14:paraId="0AE89A5A" w14:textId="77777777" w:rsidR="001E31F4" w:rsidRPr="001E31F4" w:rsidRDefault="001E31F4" w:rsidP="00F30FFB">
      <w:pPr>
        <w:jc w:val="both"/>
        <w:rPr>
          <w:u w:val="single"/>
          <w:lang w:val="en-GB"/>
        </w:rPr>
      </w:pPr>
    </w:p>
    <w:p w14:paraId="187635CE" w14:textId="79003658" w:rsidR="00BC444F" w:rsidRDefault="0042772D" w:rsidP="00F30FFB">
      <w:pPr>
        <w:jc w:val="both"/>
        <w:rPr>
          <w:lang w:val="en-GB"/>
        </w:rPr>
      </w:pPr>
      <w:r>
        <w:rPr>
          <w:lang w:val="en-GB"/>
        </w:rPr>
        <w:t xml:space="preserve">Denise Martin’s </w:t>
      </w:r>
      <w:r w:rsidR="0056381F">
        <w:rPr>
          <w:lang w:val="en-GB"/>
        </w:rPr>
        <w:t>article</w:t>
      </w:r>
      <w:r w:rsidR="001371F8">
        <w:rPr>
          <w:lang w:val="en-GB"/>
        </w:rPr>
        <w:t>, published in 2008,</w:t>
      </w:r>
      <w:r>
        <w:rPr>
          <w:lang w:val="en-GB"/>
        </w:rPr>
        <w:t xml:space="preserve"> was written for the </w:t>
      </w:r>
      <w:r w:rsidR="0056381F">
        <w:rPr>
          <w:lang w:val="en-GB"/>
        </w:rPr>
        <w:t>Journal of</w:t>
      </w:r>
      <w:r w:rsidR="001371F8">
        <w:rPr>
          <w:lang w:val="en-GB"/>
        </w:rPr>
        <w:t xml:space="preserve"> Black Studies, which was active from 1970 until 2017. </w:t>
      </w:r>
      <w:r w:rsidR="00CE2A5D">
        <w:rPr>
          <w:lang w:val="en-GB"/>
        </w:rPr>
        <w:t>Noted as “the leading source for dynamic, innovative, and creative research on the Black experience.”</w:t>
      </w:r>
      <w:r w:rsidR="00CE2A5D">
        <w:rPr>
          <w:rStyle w:val="FootnoteReference"/>
          <w:lang w:val="en-GB"/>
        </w:rPr>
        <w:footnoteReference w:id="1"/>
      </w:r>
      <w:r w:rsidR="007878A0">
        <w:rPr>
          <w:lang w:val="en-GB"/>
        </w:rPr>
        <w:t xml:space="preserve"> </w:t>
      </w:r>
      <w:r w:rsidR="007F0A2F">
        <w:rPr>
          <w:lang w:val="en-GB"/>
        </w:rPr>
        <w:t>Martin has written another</w:t>
      </w:r>
      <w:r w:rsidR="0056381F">
        <w:rPr>
          <w:lang w:val="en-GB"/>
        </w:rPr>
        <w:t xml:space="preserve"> article for the Journal of</w:t>
      </w:r>
      <w:r w:rsidR="007F0A2F">
        <w:rPr>
          <w:lang w:val="en-GB"/>
        </w:rPr>
        <w:t xml:space="preserve"> Black Studies on the rela</w:t>
      </w:r>
      <w:r w:rsidR="00902F14">
        <w:rPr>
          <w:lang w:val="en-GB"/>
        </w:rPr>
        <w:t xml:space="preserve">ted topic of Dogon epistemology, using a similar approach of applying ‘frameworks’ to analyse </w:t>
      </w:r>
      <w:r w:rsidR="00936A9D">
        <w:rPr>
          <w:lang w:val="en-GB"/>
        </w:rPr>
        <w:t xml:space="preserve">various branches of </w:t>
      </w:r>
      <w:r w:rsidR="00902F14">
        <w:rPr>
          <w:lang w:val="en-GB"/>
        </w:rPr>
        <w:t>African knowledge.</w:t>
      </w:r>
      <w:r w:rsidR="00902F14">
        <w:rPr>
          <w:rStyle w:val="FootnoteReference"/>
          <w:lang w:val="en-GB"/>
        </w:rPr>
        <w:footnoteReference w:id="2"/>
      </w:r>
      <w:r w:rsidR="00902F14">
        <w:rPr>
          <w:lang w:val="en-GB"/>
        </w:rPr>
        <w:t xml:space="preserve"> The full extent of her work on the topic of African knowledge is unknown. </w:t>
      </w:r>
      <w:r w:rsidR="00DE7681">
        <w:rPr>
          <w:lang w:val="en-GB"/>
        </w:rPr>
        <w:t xml:space="preserve">Nancy Farriss’s article on History, Time and Cosmology among the Maya of Yucatan was published in 1987 in the </w:t>
      </w:r>
      <w:r w:rsidR="00405437">
        <w:rPr>
          <w:lang w:val="en-GB"/>
        </w:rPr>
        <w:t xml:space="preserve">journal of </w:t>
      </w:r>
      <w:r w:rsidR="00DE7681">
        <w:rPr>
          <w:lang w:val="en-GB"/>
        </w:rPr>
        <w:t xml:space="preserve">Comparative </w:t>
      </w:r>
      <w:r w:rsidR="00405437">
        <w:rPr>
          <w:lang w:val="en-GB"/>
        </w:rPr>
        <w:t>studies in society and history, which was active from 1958 until 2015. CSSH as it is also known, is an “international forum for new research and interpretation concerning problems of recurrent patterning and change in human societies.”</w:t>
      </w:r>
      <w:r w:rsidR="00405437">
        <w:rPr>
          <w:rStyle w:val="FootnoteReference"/>
          <w:lang w:val="en-GB"/>
        </w:rPr>
        <w:footnoteReference w:id="3"/>
      </w:r>
      <w:r w:rsidR="00405437">
        <w:rPr>
          <w:lang w:val="en-GB"/>
        </w:rPr>
        <w:t xml:space="preserve"> Farriss’s paper is therefore more explicitly aimed towar</w:t>
      </w:r>
      <w:r w:rsidR="0066417D">
        <w:rPr>
          <w:lang w:val="en-GB"/>
        </w:rPr>
        <w:t>ds peers in her research sector as the journal states it also aims to “set up a working alliance among specialists in all branches of the social sciences and humanities.”</w:t>
      </w:r>
      <w:r w:rsidR="0066417D">
        <w:rPr>
          <w:rStyle w:val="FootnoteReference"/>
          <w:lang w:val="en-GB"/>
        </w:rPr>
        <w:footnoteReference w:id="4"/>
      </w:r>
      <w:r w:rsidR="005C099F">
        <w:rPr>
          <w:lang w:val="en-GB"/>
        </w:rPr>
        <w:t xml:space="preserve"> Information on Farriss’s academic career is more readily available than that of Denise Martin. </w:t>
      </w:r>
      <w:r w:rsidR="00353AF5">
        <w:rPr>
          <w:lang w:val="en-GB"/>
        </w:rPr>
        <w:t>Farriss</w:t>
      </w:r>
      <w:r w:rsidR="005C099F">
        <w:rPr>
          <w:lang w:val="en-GB"/>
        </w:rPr>
        <w:t xml:space="preserve"> is a renowned exper</w:t>
      </w:r>
      <w:r w:rsidR="00353AF5">
        <w:rPr>
          <w:lang w:val="en-GB"/>
        </w:rPr>
        <w:t>t in C</w:t>
      </w:r>
      <w:r w:rsidR="005C099F">
        <w:rPr>
          <w:lang w:val="en-GB"/>
        </w:rPr>
        <w:t xml:space="preserve">olonial history of Mexico, and </w:t>
      </w:r>
      <w:r w:rsidR="00353AF5">
        <w:rPr>
          <w:lang w:val="en-GB"/>
        </w:rPr>
        <w:t>was</w:t>
      </w:r>
      <w:r w:rsidR="005C099F">
        <w:rPr>
          <w:lang w:val="en-GB"/>
        </w:rPr>
        <w:t xml:space="preserve"> awarded a Guggenheim fellowship in 1983 amongst other awards and fellowships </w:t>
      </w:r>
      <w:r w:rsidR="00353AF5">
        <w:rPr>
          <w:lang w:val="en-GB"/>
        </w:rPr>
        <w:t>throughout her career</w:t>
      </w:r>
      <w:r w:rsidR="005C099F">
        <w:rPr>
          <w:lang w:val="en-GB"/>
        </w:rPr>
        <w:t xml:space="preserve">. </w:t>
      </w:r>
      <w:r w:rsidR="005C099F">
        <w:rPr>
          <w:rStyle w:val="FootnoteReference"/>
          <w:lang w:val="en-GB"/>
        </w:rPr>
        <w:footnoteReference w:id="5"/>
      </w:r>
      <w:r w:rsidR="005C099F">
        <w:rPr>
          <w:lang w:val="en-GB"/>
        </w:rPr>
        <w:t xml:space="preserve"> </w:t>
      </w:r>
    </w:p>
    <w:p w14:paraId="1831BBE4" w14:textId="77777777" w:rsidR="00353AF5" w:rsidRDefault="00353AF5" w:rsidP="00F30FFB">
      <w:pPr>
        <w:jc w:val="both"/>
        <w:rPr>
          <w:lang w:val="en-GB"/>
        </w:rPr>
      </w:pPr>
    </w:p>
    <w:p w14:paraId="4701DF49" w14:textId="00069AE1" w:rsidR="00353AF5" w:rsidRPr="002050A4" w:rsidRDefault="00353AF5" w:rsidP="00F30FFB">
      <w:pPr>
        <w:jc w:val="both"/>
        <w:rPr>
          <w:b/>
          <w:u w:val="single"/>
          <w:lang w:val="en-GB"/>
        </w:rPr>
      </w:pPr>
      <w:r w:rsidRPr="002050A4">
        <w:rPr>
          <w:b/>
          <w:u w:val="single"/>
          <w:lang w:val="en-GB"/>
        </w:rPr>
        <w:t xml:space="preserve">Summarise: </w:t>
      </w:r>
    </w:p>
    <w:p w14:paraId="2DDFDBF9" w14:textId="77777777" w:rsidR="00353AF5" w:rsidRDefault="00353AF5" w:rsidP="00F30FFB">
      <w:pPr>
        <w:jc w:val="both"/>
        <w:rPr>
          <w:lang w:val="en-GB"/>
        </w:rPr>
      </w:pPr>
    </w:p>
    <w:p w14:paraId="1E394F8C" w14:textId="3E340A58" w:rsidR="00394B14" w:rsidRDefault="00F8103D" w:rsidP="00B66315">
      <w:pPr>
        <w:jc w:val="both"/>
        <w:rPr>
          <w:lang w:val="en-GB"/>
        </w:rPr>
      </w:pPr>
      <w:r>
        <w:rPr>
          <w:lang w:val="en-GB"/>
        </w:rPr>
        <w:t>Nancy Farriss’s article explores how Mayan concepts of time and the past affect their view of the world and their relation to history, “as we define history”.</w:t>
      </w:r>
      <w:r w:rsidR="00B31A4F">
        <w:rPr>
          <w:rStyle w:val="FootnoteReference"/>
          <w:lang w:val="en-GB"/>
        </w:rPr>
        <w:footnoteReference w:id="6"/>
      </w:r>
      <w:r>
        <w:rPr>
          <w:lang w:val="en-GB"/>
        </w:rPr>
        <w:t xml:space="preserve"> Farriss as a western, post-colonial historian, </w:t>
      </w:r>
      <w:r w:rsidR="009E25DA">
        <w:rPr>
          <w:lang w:val="en-GB"/>
        </w:rPr>
        <w:t>explores</w:t>
      </w:r>
      <w:r>
        <w:rPr>
          <w:lang w:val="en-GB"/>
        </w:rPr>
        <w:t xml:space="preserve"> Mayan concepts of time, </w:t>
      </w:r>
      <w:r w:rsidR="00581345">
        <w:rPr>
          <w:lang w:val="en-GB"/>
        </w:rPr>
        <w:t xml:space="preserve">both cyclical and linear, </w:t>
      </w:r>
      <w:r>
        <w:rPr>
          <w:lang w:val="en-GB"/>
        </w:rPr>
        <w:t>examining</w:t>
      </w:r>
      <w:r w:rsidR="00581345">
        <w:rPr>
          <w:lang w:val="en-GB"/>
        </w:rPr>
        <w:t xml:space="preserve"> how</w:t>
      </w:r>
      <w:r>
        <w:rPr>
          <w:lang w:val="en-GB"/>
        </w:rPr>
        <w:t xml:space="preserve"> </w:t>
      </w:r>
      <w:r w:rsidR="00581345">
        <w:rPr>
          <w:lang w:val="en-GB"/>
        </w:rPr>
        <w:t xml:space="preserve">these pre-colonial concepts </w:t>
      </w:r>
      <w:r w:rsidR="009E25DA">
        <w:rPr>
          <w:lang w:val="en-GB"/>
        </w:rPr>
        <w:t>existed</w:t>
      </w:r>
      <w:r w:rsidR="00581345">
        <w:rPr>
          <w:lang w:val="en-GB"/>
        </w:rPr>
        <w:t xml:space="preserve"> </w:t>
      </w:r>
      <w:r w:rsidR="00066EB8">
        <w:rPr>
          <w:lang w:val="en-GB"/>
        </w:rPr>
        <w:t>prior to Spanish conquest, how they reacted to the conquest and their ongoing evolution in the decades that followed.</w:t>
      </w:r>
      <w:r w:rsidR="00581345">
        <w:rPr>
          <w:lang w:val="en-GB"/>
        </w:rPr>
        <w:t xml:space="preserve"> </w:t>
      </w:r>
      <w:r w:rsidR="00581A51">
        <w:rPr>
          <w:lang w:val="en-GB"/>
        </w:rPr>
        <w:t xml:space="preserve">Her aim is to understand the Mayan process of recording history and time, as well as </w:t>
      </w:r>
      <w:r w:rsidR="009E25DA">
        <w:rPr>
          <w:lang w:val="en-GB"/>
        </w:rPr>
        <w:t>to what extent these</w:t>
      </w:r>
      <w:r w:rsidR="00581A51">
        <w:rPr>
          <w:lang w:val="en-GB"/>
        </w:rPr>
        <w:t xml:space="preserve"> records </w:t>
      </w:r>
      <w:r w:rsidR="009E25DA">
        <w:rPr>
          <w:lang w:val="en-GB"/>
        </w:rPr>
        <w:t>are compatible</w:t>
      </w:r>
      <w:r w:rsidR="00581A51">
        <w:rPr>
          <w:lang w:val="en-GB"/>
        </w:rPr>
        <w:t xml:space="preserve"> with a western perception of </w:t>
      </w:r>
      <w:r w:rsidR="009E25DA">
        <w:rPr>
          <w:lang w:val="en-GB"/>
        </w:rPr>
        <w:t>the shape of time</w:t>
      </w:r>
      <w:r w:rsidR="00581A51">
        <w:rPr>
          <w:lang w:val="en-GB"/>
        </w:rPr>
        <w:t xml:space="preserve">. </w:t>
      </w:r>
      <w:r w:rsidR="00F42B2A">
        <w:rPr>
          <w:lang w:val="en-GB"/>
        </w:rPr>
        <w:t>The core aim of h</w:t>
      </w:r>
      <w:r w:rsidR="009E25DA">
        <w:rPr>
          <w:lang w:val="en-GB"/>
        </w:rPr>
        <w:t xml:space="preserve">er exploration is to reveal how, </w:t>
      </w:r>
      <w:r w:rsidR="00F42B2A">
        <w:rPr>
          <w:lang w:val="en-GB"/>
        </w:rPr>
        <w:t>and why both a cyclical and linear concept</w:t>
      </w:r>
      <w:r w:rsidR="00676515">
        <w:rPr>
          <w:lang w:val="en-GB"/>
        </w:rPr>
        <w:t>ion</w:t>
      </w:r>
      <w:r w:rsidR="00F42B2A">
        <w:rPr>
          <w:lang w:val="en-GB"/>
        </w:rPr>
        <w:t xml:space="preserve"> of time co-existed within</w:t>
      </w:r>
      <w:r w:rsidR="009E25DA">
        <w:rPr>
          <w:lang w:val="en-GB"/>
        </w:rPr>
        <w:t xml:space="preserve"> the</w:t>
      </w:r>
      <w:r w:rsidR="00F42B2A">
        <w:rPr>
          <w:lang w:val="en-GB"/>
        </w:rPr>
        <w:t xml:space="preserve"> Mayan perspective</w:t>
      </w:r>
      <w:r w:rsidR="00DE7070">
        <w:rPr>
          <w:lang w:val="en-GB"/>
        </w:rPr>
        <w:t xml:space="preserve">. </w:t>
      </w:r>
      <w:r w:rsidR="003D6884">
        <w:rPr>
          <w:lang w:val="en-GB"/>
        </w:rPr>
        <w:t xml:space="preserve">She takes a teleological approach to examining the various motives for the Mayan records of history to shape time in both a cyclical and linear fashion, taking into account both divine and secular motives. Farriss is </w:t>
      </w:r>
      <w:r w:rsidR="00164B6A">
        <w:rPr>
          <w:lang w:val="en-GB"/>
        </w:rPr>
        <w:t>clear on her stance that while both linear and cyclical concepts of time can co-exist, “one concept must be subordinated to or incorporated into the other.”</w:t>
      </w:r>
      <w:r w:rsidR="00164B6A">
        <w:rPr>
          <w:rStyle w:val="FootnoteReference"/>
          <w:lang w:val="en-GB"/>
        </w:rPr>
        <w:footnoteReference w:id="7"/>
      </w:r>
      <w:r w:rsidR="00C052DB">
        <w:rPr>
          <w:lang w:val="en-GB"/>
        </w:rPr>
        <w:t xml:space="preserve"> </w:t>
      </w:r>
      <w:r w:rsidR="00016227">
        <w:rPr>
          <w:lang w:val="en-GB"/>
        </w:rPr>
        <w:t xml:space="preserve"> </w:t>
      </w:r>
    </w:p>
    <w:p w14:paraId="3004AB80" w14:textId="77777777" w:rsidR="00016227" w:rsidRDefault="00016227" w:rsidP="00B66315">
      <w:pPr>
        <w:jc w:val="both"/>
        <w:rPr>
          <w:lang w:val="en-GB"/>
        </w:rPr>
      </w:pPr>
    </w:p>
    <w:p w14:paraId="6D7D9853" w14:textId="07351FBE" w:rsidR="00016227" w:rsidRDefault="007A364B" w:rsidP="00B66315">
      <w:pPr>
        <w:jc w:val="both"/>
        <w:rPr>
          <w:lang w:val="en-GB"/>
        </w:rPr>
      </w:pPr>
      <w:r>
        <w:rPr>
          <w:lang w:val="en-GB"/>
        </w:rPr>
        <w:t xml:space="preserve">Denise Martin’s article </w:t>
      </w:r>
      <w:r w:rsidR="00AA1434">
        <w:rPr>
          <w:lang w:val="en-GB"/>
        </w:rPr>
        <w:t xml:space="preserve">uses Maat as a framework to discuss classical African knowledge. Martin attempts the complex task of using this concept of truth, balance and order which sits at the heart of Egyptian and African knowledge, as a framework in itself from which cultural African production is born. </w:t>
      </w:r>
      <w:r w:rsidR="00A64BD0">
        <w:rPr>
          <w:lang w:val="en-GB"/>
        </w:rPr>
        <w:t xml:space="preserve">Martin examines the inextricable link between cultural production and cosmological beliefs. </w:t>
      </w:r>
    </w:p>
    <w:p w14:paraId="3F89DAAB" w14:textId="77777777" w:rsidR="00394B14" w:rsidRDefault="00394B14" w:rsidP="00394B14">
      <w:pPr>
        <w:jc w:val="both"/>
        <w:rPr>
          <w:lang w:val="en-GB"/>
        </w:rPr>
      </w:pPr>
    </w:p>
    <w:p w14:paraId="2696B195" w14:textId="77777777" w:rsidR="00394B14" w:rsidRPr="00394B14" w:rsidRDefault="00394B14" w:rsidP="00394B14">
      <w:pPr>
        <w:jc w:val="both"/>
        <w:rPr>
          <w:b/>
          <w:u w:val="single"/>
          <w:lang w:val="en-GB"/>
        </w:rPr>
      </w:pPr>
      <w:r w:rsidRPr="00394B14">
        <w:rPr>
          <w:b/>
          <w:u w:val="single"/>
          <w:lang w:val="en-GB"/>
        </w:rPr>
        <w:t xml:space="preserve">Analysis. </w:t>
      </w:r>
    </w:p>
    <w:p w14:paraId="7E276456" w14:textId="77777777" w:rsidR="00394B14" w:rsidRDefault="00394B14" w:rsidP="00394B14">
      <w:pPr>
        <w:jc w:val="both"/>
        <w:rPr>
          <w:lang w:val="en-GB"/>
        </w:rPr>
      </w:pPr>
    </w:p>
    <w:p w14:paraId="484134D2" w14:textId="31BF4D3B" w:rsidR="00394B14" w:rsidRDefault="00394B14" w:rsidP="00394B14">
      <w:pPr>
        <w:jc w:val="both"/>
        <w:rPr>
          <w:lang w:val="en-GB"/>
        </w:rPr>
      </w:pPr>
      <w:r>
        <w:rPr>
          <w:lang w:val="en-GB"/>
        </w:rPr>
        <w:t>Early on in her article Farriss argues that a linear conception of time was a western deviation from what was otherwise a universal model of cyclical time that reflected cosmic beliefs. She references Mircea Eliade and Berger as she highlights the birth of western linear thought in the Old Testament, reminding us that a cyclical concept of time is not cohesive with a Judeao-Christian timeline. Unsatisfied with this polarising perspective</w:t>
      </w:r>
      <w:r w:rsidR="00CD077F">
        <w:rPr>
          <w:lang w:val="en-GB"/>
        </w:rPr>
        <w:t xml:space="preserve"> of</w:t>
      </w:r>
      <w:r>
        <w:rPr>
          <w:lang w:val="en-GB"/>
        </w:rPr>
        <w:t xml:space="preserve"> cyclical time as entirely separate and unrelated to non-western belief systems, Farriss uses this clear dichotomy as her fuel to examine how “linear and cyclical conceptions can coincide within the same cognitive system.”</w:t>
      </w:r>
      <w:r>
        <w:rPr>
          <w:rStyle w:val="FootnoteReference"/>
          <w:lang w:val="en-GB"/>
        </w:rPr>
        <w:footnoteReference w:id="8"/>
      </w:r>
      <w:r>
        <w:rPr>
          <w:lang w:val="en-GB"/>
        </w:rPr>
        <w:t xml:space="preserve"> She promotes the theory that cyclical and linear concepts of time do coincide and are interwoven within the Mayan perception of time and their </w:t>
      </w:r>
      <w:r w:rsidR="006F02FB">
        <w:rPr>
          <w:lang w:val="en-GB"/>
        </w:rPr>
        <w:t>historic records</w:t>
      </w:r>
      <w:r>
        <w:rPr>
          <w:lang w:val="en-GB"/>
        </w:rPr>
        <w:t xml:space="preserve">. </w:t>
      </w:r>
      <w:r w:rsidR="005C677C">
        <w:rPr>
          <w:lang w:val="en-GB"/>
        </w:rPr>
        <w:t>Farris’s argument is coherent from the start as she subtly uses the binary aspect of her investigation</w:t>
      </w:r>
      <w:r w:rsidR="006F02FB">
        <w:rPr>
          <w:lang w:val="en-GB"/>
        </w:rPr>
        <w:t xml:space="preserve"> as a structural tool.  She reflects upon </w:t>
      </w:r>
      <w:r w:rsidR="005C677C">
        <w:rPr>
          <w:lang w:val="en-GB"/>
        </w:rPr>
        <w:t>linear or c</w:t>
      </w:r>
      <w:r w:rsidR="006F02FB">
        <w:rPr>
          <w:lang w:val="en-GB"/>
        </w:rPr>
        <w:t>yclical perspectives on time, while</w:t>
      </w:r>
      <w:r w:rsidR="005C677C">
        <w:rPr>
          <w:lang w:val="en-GB"/>
        </w:rPr>
        <w:t xml:space="preserve"> </w:t>
      </w:r>
      <w:r w:rsidR="006F02FB">
        <w:rPr>
          <w:lang w:val="en-GB"/>
        </w:rPr>
        <w:t>considering the link between</w:t>
      </w:r>
      <w:r w:rsidR="005C677C">
        <w:rPr>
          <w:lang w:val="en-GB"/>
        </w:rPr>
        <w:t xml:space="preserve"> literary or non</w:t>
      </w:r>
      <w:r w:rsidR="00C076CB">
        <w:rPr>
          <w:lang w:val="en-GB"/>
        </w:rPr>
        <w:t>-</w:t>
      </w:r>
      <w:r w:rsidR="005C677C">
        <w:rPr>
          <w:lang w:val="en-GB"/>
        </w:rPr>
        <w:t xml:space="preserve">literary </w:t>
      </w:r>
      <w:r w:rsidR="00C076CB">
        <w:rPr>
          <w:lang w:val="en-GB"/>
        </w:rPr>
        <w:t>societies,</w:t>
      </w:r>
      <w:r w:rsidR="006F02FB">
        <w:rPr>
          <w:lang w:val="en-GB"/>
        </w:rPr>
        <w:t xml:space="preserve"> oral or written communication modes, and builds out her argument from this binary lens. </w:t>
      </w:r>
    </w:p>
    <w:p w14:paraId="0B558874" w14:textId="77777777" w:rsidR="00DA7420" w:rsidRDefault="00DA7420" w:rsidP="00DA7420">
      <w:pPr>
        <w:jc w:val="both"/>
        <w:rPr>
          <w:lang w:val="en-GB"/>
        </w:rPr>
      </w:pPr>
    </w:p>
    <w:p w14:paraId="6F4FCD1D" w14:textId="499ACD08" w:rsidR="00DA7420" w:rsidRDefault="00DA7420" w:rsidP="00DA7420">
      <w:pPr>
        <w:jc w:val="both"/>
        <w:rPr>
          <w:lang w:val="en-GB"/>
        </w:rPr>
      </w:pPr>
      <w:r>
        <w:rPr>
          <w:lang w:val="en-GB"/>
        </w:rPr>
        <w:t>From the beginning, Farris situate</w:t>
      </w:r>
      <w:r w:rsidR="00016227">
        <w:rPr>
          <w:lang w:val="en-GB"/>
        </w:rPr>
        <w:t>s</w:t>
      </w:r>
      <w:r>
        <w:rPr>
          <w:lang w:val="en-GB"/>
        </w:rPr>
        <w:t xml:space="preserve"> herself close to the perspective of the Maya people. She writes that one of the central inspirations to her enquiry into differing concepts of time and the past among the Maya, was the “baffling records the Maya have left” however she quickly points out the lack of focus from her contemporaries upon what those records meant “to the people who produced them.”</w:t>
      </w:r>
      <w:r>
        <w:rPr>
          <w:rStyle w:val="FootnoteReference"/>
          <w:lang w:val="en-GB"/>
        </w:rPr>
        <w:footnoteReference w:id="9"/>
      </w:r>
      <w:r>
        <w:rPr>
          <w:lang w:val="en-GB"/>
        </w:rPr>
        <w:t xml:space="preserve"> Farriss establishes this as the guiding principle for her article, to which she is loyal throughout. </w:t>
      </w:r>
      <w:r w:rsidR="001E6299">
        <w:rPr>
          <w:lang w:val="en-GB"/>
        </w:rPr>
        <w:t xml:space="preserve">The fact that Farriss departs primarily from the Maya perspective, </w:t>
      </w:r>
      <w:r w:rsidR="006F02FB">
        <w:rPr>
          <w:lang w:val="en-GB"/>
        </w:rPr>
        <w:t xml:space="preserve">again mirrors the shape of the subject matter, as so much of her investigation focuses on how the Maya were able to incorporate a western invasion into their record-keeping habits and perspectives on time. Just as the Maya found ways to incorporate a linear structure into their primarily cyclical records, Farriss weaves </w:t>
      </w:r>
      <w:r w:rsidR="001E6299">
        <w:rPr>
          <w:lang w:val="en-GB"/>
        </w:rPr>
        <w:t>in various academic western perspectives on the same topic</w:t>
      </w:r>
      <w:r w:rsidR="00153D8C">
        <w:rPr>
          <w:lang w:val="en-GB"/>
        </w:rPr>
        <w:t xml:space="preserve">, if only to dismiss their narrow-minded approach until she chisels out her own more intricate argument. </w:t>
      </w:r>
    </w:p>
    <w:p w14:paraId="41CFC7B9" w14:textId="77777777" w:rsidR="00DA7420" w:rsidRDefault="00DA7420" w:rsidP="00DA7420">
      <w:pPr>
        <w:jc w:val="both"/>
        <w:rPr>
          <w:lang w:val="en-GB"/>
        </w:rPr>
      </w:pPr>
    </w:p>
    <w:p w14:paraId="223CA915" w14:textId="77777777" w:rsidR="00064E03" w:rsidRDefault="00DA7420" w:rsidP="00064E03">
      <w:pPr>
        <w:jc w:val="both"/>
        <w:rPr>
          <w:lang w:val="en-GB"/>
        </w:rPr>
      </w:pPr>
      <w:r>
        <w:rPr>
          <w:lang w:val="en-GB"/>
        </w:rPr>
        <w:t xml:space="preserve">She is ruthless in her adherence to a detective-like approach to her subject matter and in assessing her own sources. For example, Farris </w:t>
      </w:r>
      <w:r w:rsidR="00540836">
        <w:rPr>
          <w:lang w:val="en-GB"/>
        </w:rPr>
        <w:t>dismisses</w:t>
      </w:r>
      <w:r w:rsidR="00B51B60">
        <w:rPr>
          <w:lang w:val="en-GB"/>
        </w:rPr>
        <w:t xml:space="preserve"> the theory put forward by Jack Goody and Ian Watt that a linear view of the passage of time is inextricably linked to literacy levels</w:t>
      </w:r>
      <w:r>
        <w:rPr>
          <w:lang w:val="en-GB"/>
        </w:rPr>
        <w:t>.</w:t>
      </w:r>
      <w:r>
        <w:rPr>
          <w:rStyle w:val="FootnoteReference"/>
          <w:lang w:val="en-GB"/>
        </w:rPr>
        <w:footnoteReference w:id="10"/>
      </w:r>
      <w:r w:rsidR="00540836">
        <w:rPr>
          <w:lang w:val="en-GB"/>
        </w:rPr>
        <w:t xml:space="preserve"> </w:t>
      </w:r>
      <w:r w:rsidR="00B66315">
        <w:rPr>
          <w:lang w:val="en-GB"/>
        </w:rPr>
        <w:t>She argues that this only holds true in the case of Western society.</w:t>
      </w:r>
      <w:r w:rsidR="00B66315">
        <w:rPr>
          <w:rStyle w:val="FootnoteReference"/>
          <w:lang w:val="en-GB"/>
        </w:rPr>
        <w:footnoteReference w:id="11"/>
      </w:r>
      <w:r w:rsidR="00B66315">
        <w:rPr>
          <w:lang w:val="en-GB"/>
        </w:rPr>
        <w:t xml:space="preserve"> </w:t>
      </w:r>
      <w:r w:rsidR="008A3C5D">
        <w:rPr>
          <w:lang w:val="en-GB"/>
        </w:rPr>
        <w:t>This dismissal then opens the reader up to the vast scope of her article. She</w:t>
      </w:r>
      <w:r w:rsidR="00B66315">
        <w:rPr>
          <w:lang w:val="en-GB"/>
        </w:rPr>
        <w:t xml:space="preserve"> </w:t>
      </w:r>
      <w:r w:rsidR="008A3C5D">
        <w:rPr>
          <w:lang w:val="en-GB"/>
        </w:rPr>
        <w:t>explores Mayan records of history</w:t>
      </w:r>
      <w:r w:rsidR="00B66315">
        <w:rPr>
          <w:lang w:val="en-GB"/>
        </w:rPr>
        <w:t xml:space="preserve"> from pre-colonial time to post</w:t>
      </w:r>
      <w:r w:rsidR="00CD077F">
        <w:rPr>
          <w:lang w:val="en-GB"/>
        </w:rPr>
        <w:t xml:space="preserve"> </w:t>
      </w:r>
      <w:r w:rsidR="00B66315">
        <w:rPr>
          <w:lang w:val="en-GB"/>
        </w:rPr>
        <w:t xml:space="preserve">conquest, </w:t>
      </w:r>
      <w:r w:rsidR="00CD077F">
        <w:rPr>
          <w:lang w:val="en-GB"/>
        </w:rPr>
        <w:t>always</w:t>
      </w:r>
      <w:r w:rsidR="00B66315">
        <w:rPr>
          <w:lang w:val="en-GB"/>
        </w:rPr>
        <w:t xml:space="preserve"> focussing on the political implications for the Mayan ability to weave a linear record of events into their cyclical format of the </w:t>
      </w:r>
      <w:r w:rsidR="00B66315" w:rsidRPr="009A603A">
        <w:rPr>
          <w:i/>
          <w:lang w:val="en-GB"/>
        </w:rPr>
        <w:t>Katun round,</w:t>
      </w:r>
      <w:r w:rsidR="00B66315">
        <w:rPr>
          <w:lang w:val="en-GB"/>
        </w:rPr>
        <w:t xml:space="preserve"> a form of Mayan written record that </w:t>
      </w:r>
      <w:r w:rsidR="008A3C5D">
        <w:rPr>
          <w:lang w:val="en-GB"/>
        </w:rPr>
        <w:t xml:space="preserve">quickly becomes </w:t>
      </w:r>
      <w:r w:rsidR="00B66315">
        <w:rPr>
          <w:lang w:val="en-GB"/>
        </w:rPr>
        <w:t xml:space="preserve">one of Farriss’s key anchors throughout the article. </w:t>
      </w:r>
      <w:r w:rsidR="00E3211F">
        <w:rPr>
          <w:lang w:val="en-GB"/>
        </w:rPr>
        <w:t xml:space="preserve">Farriss </w:t>
      </w:r>
      <w:r w:rsidR="00943C8B">
        <w:rPr>
          <w:lang w:val="en-GB"/>
        </w:rPr>
        <w:t xml:space="preserve">takes a teleological approach to </w:t>
      </w:r>
      <w:r w:rsidR="00D911B5">
        <w:rPr>
          <w:lang w:val="en-GB"/>
        </w:rPr>
        <w:t>her subject matter throughout the article,</w:t>
      </w:r>
      <w:r w:rsidR="00E3211F">
        <w:rPr>
          <w:lang w:val="en-GB"/>
        </w:rPr>
        <w:t xml:space="preserve"> examining the political and socio-economic motives </w:t>
      </w:r>
      <w:r w:rsidR="00E22E9E">
        <w:rPr>
          <w:lang w:val="en-GB"/>
        </w:rPr>
        <w:t>that led to the</w:t>
      </w:r>
      <w:r w:rsidR="002F47B1">
        <w:rPr>
          <w:lang w:val="en-GB"/>
        </w:rPr>
        <w:t xml:space="preserve"> shape of</w:t>
      </w:r>
      <w:r w:rsidR="00E3211F">
        <w:rPr>
          <w:lang w:val="en-GB"/>
        </w:rPr>
        <w:t xml:space="preserve"> Mayan </w:t>
      </w:r>
      <w:r w:rsidR="002F47B1">
        <w:rPr>
          <w:lang w:val="en-GB"/>
        </w:rPr>
        <w:t xml:space="preserve">historic records. </w:t>
      </w:r>
      <w:r w:rsidR="00A04A01">
        <w:rPr>
          <w:lang w:val="en-GB"/>
        </w:rPr>
        <w:t>Even her examination of the Mayan perception of cosmic time is teleological, she notes they aligned their transference of power with cosmic cycles associated with different deities.</w:t>
      </w:r>
      <w:r w:rsidR="00A04A01">
        <w:rPr>
          <w:rStyle w:val="FootnoteReference"/>
          <w:lang w:val="en-GB"/>
        </w:rPr>
        <w:footnoteReference w:id="12"/>
      </w:r>
      <w:r w:rsidR="00A04A01">
        <w:rPr>
          <w:lang w:val="en-GB"/>
        </w:rPr>
        <w:t xml:space="preserve"> </w:t>
      </w:r>
      <w:r w:rsidR="00064E03">
        <w:rPr>
          <w:lang w:val="en-GB"/>
        </w:rPr>
        <w:t>When Farriss</w:t>
      </w:r>
      <w:r w:rsidR="00540836">
        <w:rPr>
          <w:lang w:val="en-GB"/>
        </w:rPr>
        <w:t xml:space="preserve"> stays close to the </w:t>
      </w:r>
      <w:r w:rsidR="00064E03">
        <w:rPr>
          <w:lang w:val="en-GB"/>
        </w:rPr>
        <w:t xml:space="preserve">discussion of the </w:t>
      </w:r>
      <w:r w:rsidR="00540836" w:rsidRPr="00487B11">
        <w:rPr>
          <w:i/>
          <w:lang w:val="en-GB"/>
        </w:rPr>
        <w:t>shape</w:t>
      </w:r>
      <w:r w:rsidR="00540836">
        <w:rPr>
          <w:lang w:val="en-GB"/>
        </w:rPr>
        <w:t xml:space="preserve"> of Maya</w:t>
      </w:r>
      <w:r w:rsidR="00064E03">
        <w:rPr>
          <w:lang w:val="en-GB"/>
        </w:rPr>
        <w:t>n</w:t>
      </w:r>
      <w:r w:rsidR="00540836">
        <w:rPr>
          <w:lang w:val="en-GB"/>
        </w:rPr>
        <w:t xml:space="preserve"> records, without delving too deeply into the political motivations</w:t>
      </w:r>
      <w:r w:rsidR="00064E03">
        <w:rPr>
          <w:lang w:val="en-GB"/>
        </w:rPr>
        <w:t xml:space="preserve"> her argument is more coherent</w:t>
      </w:r>
      <w:r w:rsidR="00540836">
        <w:rPr>
          <w:lang w:val="en-GB"/>
        </w:rPr>
        <w:t>.</w:t>
      </w:r>
      <w:r w:rsidR="00487B11">
        <w:rPr>
          <w:lang w:val="en-GB"/>
        </w:rPr>
        <w:t xml:space="preserve"> Despite the fact that she has access to reliable primary sources of Maya records that were translated at the time of conquest, </w:t>
      </w:r>
      <w:r w:rsidR="00064E03">
        <w:rPr>
          <w:lang w:val="en-GB"/>
        </w:rPr>
        <w:t>at times she is inconsistent in the importance she places upon the motivations for these records. This can be seen clearly when she writes about the purpose of Mayan records made decades after the Spanish conquest. She states that “their accuracy is less important than the historical consciousness than informs them.”</w:t>
      </w:r>
      <w:r w:rsidR="00064E03">
        <w:rPr>
          <w:rStyle w:val="FootnoteReference"/>
          <w:lang w:val="en-GB"/>
        </w:rPr>
        <w:footnoteReference w:id="13"/>
      </w:r>
      <w:r w:rsidR="00064E03">
        <w:rPr>
          <w:lang w:val="en-GB"/>
        </w:rPr>
        <w:t xml:space="preserve"> However she fails to locate that historical consciousness. </w:t>
      </w:r>
    </w:p>
    <w:p w14:paraId="6829FED4" w14:textId="77777777" w:rsidR="007E54C9" w:rsidRDefault="007E54C9" w:rsidP="00064E03">
      <w:pPr>
        <w:jc w:val="both"/>
        <w:rPr>
          <w:lang w:val="en-GB"/>
        </w:rPr>
      </w:pPr>
    </w:p>
    <w:p w14:paraId="2E21EB99" w14:textId="591A35ED" w:rsidR="007E54C9" w:rsidRDefault="007E54C9" w:rsidP="00064E03">
      <w:pPr>
        <w:jc w:val="both"/>
        <w:rPr>
          <w:lang w:val="en-GB"/>
        </w:rPr>
      </w:pPr>
      <w:r>
        <w:rPr>
          <w:lang w:val="en-GB"/>
        </w:rPr>
        <w:t>Structurally, Denise Martin takes a ver</w:t>
      </w:r>
      <w:r w:rsidR="00DD0680">
        <w:rPr>
          <w:lang w:val="en-GB"/>
        </w:rPr>
        <w:t>y different approach to Farriss.</w:t>
      </w:r>
      <w:r>
        <w:rPr>
          <w:lang w:val="en-GB"/>
        </w:rPr>
        <w:t xml:space="preserve"> </w:t>
      </w:r>
      <w:r w:rsidR="00DD0680">
        <w:rPr>
          <w:lang w:val="en-GB"/>
        </w:rPr>
        <w:t>The core focus of her paper which is to use Maat as an analytical tool and framework, does not come into view until the reader is well past half way through the paper. The majority of the article is spent introducing the premise of using maat as a framework to discuss African knowledge,</w:t>
      </w:r>
      <w:r w:rsidR="00F20791">
        <w:rPr>
          <w:lang w:val="en-GB"/>
        </w:rPr>
        <w:t xml:space="preserve"> and the problems or potential pitfalls of doing so. Martin is reluctant to address matters directly, and much of the initial portion of the paper seems superfluous, as she spends time attempting to describe Maat, without using concrete examples in cultural production. It is only once Martin begins to directly use visual examples of architecture or symbols found in artistic production that reflect the essence of Maat, that the reader is able to grasp the framework</w:t>
      </w:r>
      <w:r w:rsidR="001D3AAF">
        <w:rPr>
          <w:lang w:val="en-GB"/>
        </w:rPr>
        <w:t xml:space="preserve">. On page 958, Martin writes of </w:t>
      </w:r>
      <w:r w:rsidR="00D879A5">
        <w:rPr>
          <w:lang w:val="en-GB"/>
        </w:rPr>
        <w:t xml:space="preserve">the symbolic element of Maat which is organically contained within the glyphs of the word </w:t>
      </w:r>
      <w:r w:rsidR="00D879A5" w:rsidRPr="00D879A5">
        <w:rPr>
          <w:i/>
          <w:lang w:val="en-GB"/>
        </w:rPr>
        <w:t>maat</w:t>
      </w:r>
      <w:r w:rsidR="00D879A5">
        <w:rPr>
          <w:lang w:val="en-GB"/>
        </w:rPr>
        <w:t xml:space="preserve"> itself. When referring to the specific elements of the glyph which are a woman with a feather on her head, the essence of maat is immediately communicated. Martin writes that the feather “evokes the concept of the lightness of heart experienced that is the consequence of practicing maat.”</w:t>
      </w:r>
      <w:r w:rsidR="00B45D93">
        <w:rPr>
          <w:rStyle w:val="FootnoteReference"/>
          <w:lang w:val="en-GB"/>
        </w:rPr>
        <w:footnoteReference w:id="14"/>
      </w:r>
      <w:r w:rsidR="00B45D93">
        <w:rPr>
          <w:lang w:val="en-GB"/>
        </w:rPr>
        <w:t xml:space="preserve"> </w:t>
      </w:r>
      <w:r w:rsidR="003340E3">
        <w:rPr>
          <w:lang w:val="en-GB"/>
        </w:rPr>
        <w:t xml:space="preserve">It seems Martin almost undervalues the importance of the powerful symbolism contained within the glyphs of the word </w:t>
      </w:r>
      <w:r w:rsidR="003340E3" w:rsidRPr="003340E3">
        <w:rPr>
          <w:i/>
          <w:lang w:val="en-GB"/>
        </w:rPr>
        <w:t>maat</w:t>
      </w:r>
      <w:r w:rsidR="003340E3">
        <w:rPr>
          <w:lang w:val="en-GB"/>
        </w:rPr>
        <w:t>, as further on in her paper she</w:t>
      </w:r>
      <w:r w:rsidR="00B20637">
        <w:rPr>
          <w:lang w:val="en-GB"/>
        </w:rPr>
        <w:t xml:space="preserve"> casually</w:t>
      </w:r>
      <w:r w:rsidR="003340E3">
        <w:rPr>
          <w:lang w:val="en-GB"/>
        </w:rPr>
        <w:t xml:space="preserve"> </w:t>
      </w:r>
      <w:r w:rsidR="00D65ABA">
        <w:rPr>
          <w:lang w:val="en-GB"/>
        </w:rPr>
        <w:t xml:space="preserve">writes </w:t>
      </w:r>
      <w:r w:rsidR="00443C96">
        <w:rPr>
          <w:lang w:val="en-GB"/>
        </w:rPr>
        <w:t>that ‘Maat can also be subject matter”</w:t>
      </w:r>
      <w:r w:rsidR="007674BC">
        <w:rPr>
          <w:lang w:val="en-GB"/>
        </w:rPr>
        <w:t xml:space="preserve"> and refers to another weighing-of-the-heart scene </w:t>
      </w:r>
      <w:r w:rsidR="00491808">
        <w:rPr>
          <w:lang w:val="en-GB"/>
        </w:rPr>
        <w:t xml:space="preserve">found on the papyrus of Ani which depicts again heart and feather, symbolic of the lightness of heart that is a tenet of </w:t>
      </w:r>
      <w:r w:rsidR="00491808" w:rsidRPr="00491808">
        <w:rPr>
          <w:i/>
          <w:lang w:val="en-GB"/>
        </w:rPr>
        <w:t>maat</w:t>
      </w:r>
      <w:r w:rsidR="00491808">
        <w:rPr>
          <w:lang w:val="en-GB"/>
        </w:rPr>
        <w:t xml:space="preserve">. </w:t>
      </w:r>
      <w:r w:rsidR="00B20637">
        <w:rPr>
          <w:lang w:val="en-GB"/>
        </w:rPr>
        <w:t>Only after describing several powerful visual examples of maat does Martin find power in her argument. One example she gives are door handles in Mali, whose locks symbolize a regulation of vital life energy. She writes that “the relationship between the inspiration, intent, form and function of traditional art can be described as an application of maat.”</w:t>
      </w:r>
      <w:r w:rsidR="00B20637">
        <w:rPr>
          <w:rStyle w:val="FootnoteReference"/>
          <w:lang w:val="en-GB"/>
        </w:rPr>
        <w:footnoteReference w:id="15"/>
      </w:r>
      <w:r w:rsidR="00B20637">
        <w:rPr>
          <w:lang w:val="en-GB"/>
        </w:rPr>
        <w:t xml:space="preserve"> The latter half of her paper is strongest when her words are closely linked to the visual expressions of maat. In comparison, the first half of her paper seems exaggerated in the extent to which she carefully lays out the various aspects of </w:t>
      </w:r>
      <w:r w:rsidR="00B20637" w:rsidRPr="00B20637">
        <w:rPr>
          <w:i/>
          <w:lang w:val="en-GB"/>
        </w:rPr>
        <w:t>maat</w:t>
      </w:r>
      <w:r w:rsidR="00B20637">
        <w:rPr>
          <w:lang w:val="en-GB"/>
        </w:rPr>
        <w:t xml:space="preserve">, without giving any tangible examples of the expression. </w:t>
      </w:r>
    </w:p>
    <w:p w14:paraId="5D93B544" w14:textId="77777777" w:rsidR="0019763C" w:rsidRDefault="0019763C" w:rsidP="00064E03">
      <w:pPr>
        <w:jc w:val="both"/>
        <w:rPr>
          <w:lang w:val="en-GB"/>
        </w:rPr>
      </w:pPr>
    </w:p>
    <w:p w14:paraId="069DC853" w14:textId="5A7C5043" w:rsidR="0019763C" w:rsidRDefault="0019763C" w:rsidP="00064E03">
      <w:pPr>
        <w:jc w:val="both"/>
        <w:rPr>
          <w:lang w:val="en-GB"/>
        </w:rPr>
      </w:pPr>
      <w:r>
        <w:rPr>
          <w:lang w:val="en-GB"/>
        </w:rPr>
        <w:t>Martin is meticulous in outlining the limits of her exploration, and in defining African knowledge. She spends time explaining to the reader how maat can be used as a framework, as why it is so suitable. She states that “African knowledge is so complex it requires an analytical tool equality comprehensive and elastic to discuss it.”</w:t>
      </w:r>
      <w:r>
        <w:rPr>
          <w:rStyle w:val="FootnoteReference"/>
          <w:lang w:val="en-GB"/>
        </w:rPr>
        <w:footnoteReference w:id="16"/>
      </w:r>
      <w:r w:rsidR="00570D02">
        <w:rPr>
          <w:lang w:val="en-GB"/>
        </w:rPr>
        <w:t xml:space="preserve"> However she then expresses herself the futility of the first portion of her paper when she writes that “there are no records from Ancient Egypt providing a conspicuous definition of maat, only texts that reflect contextual applications of maat.”</w:t>
      </w:r>
      <w:r w:rsidR="00570D02">
        <w:rPr>
          <w:rStyle w:val="FootnoteReference"/>
          <w:lang w:val="en-GB"/>
        </w:rPr>
        <w:footnoteReference w:id="17"/>
      </w:r>
      <w:r w:rsidR="00570D02">
        <w:rPr>
          <w:lang w:val="en-GB"/>
        </w:rPr>
        <w:t xml:space="preserve"> </w:t>
      </w:r>
      <w:r w:rsidR="007212FC">
        <w:rPr>
          <w:lang w:val="en-GB"/>
        </w:rPr>
        <w:t xml:space="preserve">This statement in itself summarises the only main pitfall of Martin’s paper. Martin’s concern for the philosophical and ontological implications of using maat as an analytical framework become more of a distraction than useful in the first portion of her paper. </w:t>
      </w:r>
      <w:r w:rsidR="00334F18">
        <w:rPr>
          <w:lang w:val="en-GB"/>
        </w:rPr>
        <w:t xml:space="preserve">She cites Gyekye when defending her decision to use a theoretical framework for her exploration and writes of the mutual interaction between culture and knowledge, how one produces the other and vice versa. This is where maat shows itself as the ideal framework for assessing African knowledge, as it is suitably elastic and non-European, which Martin is precise in noting as a strength of her framework. </w:t>
      </w:r>
      <w:r w:rsidR="00BF31D4">
        <w:rPr>
          <w:lang w:val="en-GB"/>
        </w:rPr>
        <w:t xml:space="preserve">Ultimately Martin takes a meticulous approach to laying out the foundation and context of her aims in using </w:t>
      </w:r>
      <w:r w:rsidR="00BF31D4" w:rsidRPr="00BF31D4">
        <w:rPr>
          <w:i/>
          <w:lang w:val="en-GB"/>
        </w:rPr>
        <w:t>maat</w:t>
      </w:r>
      <w:r w:rsidR="00BF31D4">
        <w:rPr>
          <w:lang w:val="en-GB"/>
        </w:rPr>
        <w:t xml:space="preserve"> as a framework, </w:t>
      </w:r>
      <w:r w:rsidR="0062280D">
        <w:rPr>
          <w:lang w:val="en-GB"/>
        </w:rPr>
        <w:t>and it is only once we reach the core of her exploration with visual and artistic examples in cultural expression, that it seems superfluous. More trust in the role of maat as a framework would</w:t>
      </w:r>
      <w:r w:rsidR="006336BE">
        <w:rPr>
          <w:lang w:val="en-GB"/>
        </w:rPr>
        <w:t xml:space="preserve"> reward the reader and allow for a more efficient paper. </w:t>
      </w:r>
    </w:p>
    <w:p w14:paraId="1C731FD2" w14:textId="77777777" w:rsidR="00A9573E" w:rsidRDefault="00A9573E" w:rsidP="00F30FFB">
      <w:pPr>
        <w:jc w:val="both"/>
        <w:rPr>
          <w:lang w:val="en-GB"/>
        </w:rPr>
      </w:pPr>
    </w:p>
    <w:p w14:paraId="2DD3287C" w14:textId="50921FB8" w:rsidR="00FB7E5D" w:rsidRDefault="00A9573E" w:rsidP="00F30FFB">
      <w:pPr>
        <w:jc w:val="both"/>
        <w:rPr>
          <w:lang w:val="en-GB"/>
        </w:rPr>
      </w:pPr>
      <w:r>
        <w:rPr>
          <w:lang w:val="en-GB"/>
        </w:rPr>
        <w:t xml:space="preserve">Both Martin and Farriss excel in their endeavours when using their primary sources as anchors. </w:t>
      </w:r>
      <w:r w:rsidR="005C6EED">
        <w:rPr>
          <w:lang w:val="en-GB"/>
        </w:rPr>
        <w:t>Emphasizing the literacy of the Mayans, as well as their ability to seamlessly carryover their recording of life from hieroglyphic for</w:t>
      </w:r>
      <w:r w:rsidR="000609D0">
        <w:rPr>
          <w:lang w:val="en-GB"/>
        </w:rPr>
        <w:t xml:space="preserve">m into the alphabetic script, Farris uses their written records under Spanish conquest as an example of how linear and cyclical concepts of time coincided. Departing from the Mayan </w:t>
      </w:r>
      <w:r w:rsidR="00426A37">
        <w:rPr>
          <w:lang w:val="en-GB"/>
        </w:rPr>
        <w:t>cyclical ‘Katun Round</w:t>
      </w:r>
      <w:r w:rsidR="000609D0">
        <w:rPr>
          <w:lang w:val="en-GB"/>
        </w:rPr>
        <w:t>’</w:t>
      </w:r>
      <w:r w:rsidR="000609D0">
        <w:rPr>
          <w:rStyle w:val="FootnoteReference"/>
          <w:lang w:val="en-GB"/>
        </w:rPr>
        <w:footnoteReference w:id="18"/>
      </w:r>
      <w:r w:rsidR="00426A37">
        <w:rPr>
          <w:lang w:val="en-GB"/>
        </w:rPr>
        <w:t>, we are shown how events were arranged by theme, in a seemingly non-chronological order. Farriss subsequently displays the political motivation for the Mayan ability to recor</w:t>
      </w:r>
      <w:r w:rsidR="00F01402">
        <w:rPr>
          <w:lang w:val="en-GB"/>
        </w:rPr>
        <w:t xml:space="preserve">d events in a linear structure under Spanish conquest </w:t>
      </w:r>
      <w:r w:rsidR="00365A5B">
        <w:rPr>
          <w:lang w:val="en-GB"/>
        </w:rPr>
        <w:t>in order</w:t>
      </w:r>
      <w:r w:rsidR="00F01402">
        <w:rPr>
          <w:lang w:val="en-GB"/>
        </w:rPr>
        <w:t xml:space="preserve"> to track legitimate claims to rulership and trace genealogy. </w:t>
      </w:r>
    </w:p>
    <w:p w14:paraId="0AA715C2" w14:textId="77777777" w:rsidR="00FB7E5D" w:rsidRDefault="00FB7E5D" w:rsidP="00F30FFB">
      <w:pPr>
        <w:jc w:val="both"/>
        <w:rPr>
          <w:lang w:val="en-GB"/>
        </w:rPr>
      </w:pPr>
    </w:p>
    <w:p w14:paraId="1F67AD1F" w14:textId="58C67562" w:rsidR="00B566F4" w:rsidRDefault="00FB7E5D" w:rsidP="00B566F4">
      <w:pPr>
        <w:jc w:val="both"/>
        <w:rPr>
          <w:lang w:val="en-GB"/>
        </w:rPr>
      </w:pPr>
      <w:r>
        <w:rPr>
          <w:lang w:val="en-GB"/>
        </w:rPr>
        <w:t xml:space="preserve">Once Farriss reaches the topic of cosmic time, </w:t>
      </w:r>
      <w:r w:rsidR="00B566F4">
        <w:rPr>
          <w:lang w:val="en-GB"/>
        </w:rPr>
        <w:t>she suggests</w:t>
      </w:r>
      <w:r>
        <w:rPr>
          <w:lang w:val="en-GB"/>
        </w:rPr>
        <w:t xml:space="preserve"> that the Maya’s complex time-keeping records were a way to keep chaos at bay, and always restore order even in the face of political chaos</w:t>
      </w:r>
      <w:r w:rsidR="00B566F4">
        <w:rPr>
          <w:lang w:val="en-GB"/>
        </w:rPr>
        <w:t xml:space="preserve"> or natural disaster</w:t>
      </w:r>
      <w:r w:rsidR="00B14F43">
        <w:rPr>
          <w:lang w:val="en-GB"/>
        </w:rPr>
        <w:t>. H</w:t>
      </w:r>
      <w:r w:rsidR="00B566F4">
        <w:rPr>
          <w:lang w:val="en-GB"/>
        </w:rPr>
        <w:t>ere</w:t>
      </w:r>
      <w:r>
        <w:rPr>
          <w:lang w:val="en-GB"/>
        </w:rPr>
        <w:t xml:space="preserve"> she finds a natural bridge between the spiritual and </w:t>
      </w:r>
      <w:r w:rsidR="00B566F4">
        <w:rPr>
          <w:lang w:val="en-GB"/>
        </w:rPr>
        <w:t>secular motivations for a blend</w:t>
      </w:r>
      <w:r>
        <w:rPr>
          <w:lang w:val="en-GB"/>
        </w:rPr>
        <w:t xml:space="preserve"> of both</w:t>
      </w:r>
      <w:r w:rsidR="00B566F4">
        <w:rPr>
          <w:lang w:val="en-GB"/>
        </w:rPr>
        <w:t xml:space="preserve"> a</w:t>
      </w:r>
      <w:r>
        <w:rPr>
          <w:lang w:val="en-GB"/>
        </w:rPr>
        <w:t xml:space="preserve"> cyclical and linear understanding of time. </w:t>
      </w:r>
      <w:r w:rsidR="00B566F4">
        <w:rPr>
          <w:lang w:val="en-GB"/>
        </w:rPr>
        <w:t>Her discussion point of cosmic time and order is one of the strongest moments of her paper. She writes that “</w:t>
      </w:r>
      <w:r w:rsidR="00B14F43">
        <w:rPr>
          <w:lang w:val="en-GB"/>
        </w:rPr>
        <w:t>the</w:t>
      </w:r>
      <w:r w:rsidR="00B566F4">
        <w:rPr>
          <w:lang w:val="en-GB"/>
        </w:rPr>
        <w:t xml:space="preserve"> key (…) to the Mesoamericans’ conception of time and to their entire cosmology is their preoccupation with order.”</w:t>
      </w:r>
      <w:r w:rsidR="00B566F4">
        <w:rPr>
          <w:rStyle w:val="FootnoteReference"/>
          <w:lang w:val="en-GB"/>
        </w:rPr>
        <w:footnoteReference w:id="19"/>
      </w:r>
      <w:r w:rsidR="00C62A9D">
        <w:rPr>
          <w:lang w:val="en-GB"/>
        </w:rPr>
        <w:t xml:space="preserve">  </w:t>
      </w:r>
      <w:r w:rsidR="00B14F43">
        <w:rPr>
          <w:lang w:val="en-GB"/>
        </w:rPr>
        <w:t>Crucially here she is able to bridge the political implications of historic timekeeping with the cyclical shape of cosmic time as:</w:t>
      </w:r>
      <w:r w:rsidR="00B566F4">
        <w:rPr>
          <w:lang w:val="en-GB"/>
        </w:rPr>
        <w:t xml:space="preserve"> “cyclical patterns provide the model for a political system based at least in part on the principal of rotation.”</w:t>
      </w:r>
      <w:r w:rsidR="00B14F43">
        <w:rPr>
          <w:lang w:val="en-GB"/>
        </w:rPr>
        <w:t xml:space="preserve"> </w:t>
      </w:r>
    </w:p>
    <w:p w14:paraId="036F22CB" w14:textId="44C358A7" w:rsidR="00FB7E5D" w:rsidRDefault="00FB7E5D" w:rsidP="00FB7E5D">
      <w:pPr>
        <w:jc w:val="both"/>
        <w:rPr>
          <w:lang w:val="en-GB"/>
        </w:rPr>
      </w:pPr>
    </w:p>
    <w:p w14:paraId="225D833D" w14:textId="77777777" w:rsidR="00D864CA" w:rsidRPr="00254B96" w:rsidRDefault="00D864CA" w:rsidP="00F30FFB">
      <w:pPr>
        <w:jc w:val="both"/>
        <w:rPr>
          <w:b/>
          <w:lang w:val="en-GB"/>
        </w:rPr>
      </w:pPr>
    </w:p>
    <w:p w14:paraId="3908BF6D" w14:textId="3244D018" w:rsidR="00254B96" w:rsidRPr="00254B96" w:rsidRDefault="00254B96" w:rsidP="00F30FFB">
      <w:pPr>
        <w:jc w:val="both"/>
        <w:rPr>
          <w:b/>
          <w:lang w:val="en-GB"/>
        </w:rPr>
      </w:pPr>
      <w:r w:rsidRPr="00254B96">
        <w:rPr>
          <w:b/>
          <w:lang w:val="en-GB"/>
        </w:rPr>
        <w:t xml:space="preserve">Strengths of both articles </w:t>
      </w:r>
    </w:p>
    <w:p w14:paraId="2E39E365" w14:textId="77777777" w:rsidR="00D47887" w:rsidRDefault="00024F42" w:rsidP="00F30FFB">
      <w:pPr>
        <w:jc w:val="both"/>
        <w:rPr>
          <w:lang w:val="en-GB"/>
        </w:rPr>
      </w:pPr>
      <w:r>
        <w:rPr>
          <w:lang w:val="en-GB"/>
        </w:rPr>
        <w:t xml:space="preserve">Like Denise Martin, once </w:t>
      </w:r>
      <w:r w:rsidR="00254B96">
        <w:rPr>
          <w:lang w:val="en-GB"/>
        </w:rPr>
        <w:t>Farriss becomes embedded in her most unique</w:t>
      </w:r>
      <w:r w:rsidR="005B323E">
        <w:rPr>
          <w:lang w:val="en-GB"/>
        </w:rPr>
        <w:t xml:space="preserve"> primary</w:t>
      </w:r>
      <w:r w:rsidR="00254B96">
        <w:rPr>
          <w:lang w:val="en-GB"/>
        </w:rPr>
        <w:t xml:space="preserve"> sources, notably that of the Chilam Bilam and the Katun rounds, her argument takes on a natural flow that is effortlessly expressed. The primary sources in Farriss’s article which show how</w:t>
      </w:r>
      <w:r w:rsidR="00701A7E">
        <w:rPr>
          <w:lang w:val="en-GB"/>
        </w:rPr>
        <w:t xml:space="preserve"> the Maya incorporated</w:t>
      </w:r>
      <w:r w:rsidR="00254B96">
        <w:rPr>
          <w:lang w:val="en-GB"/>
        </w:rPr>
        <w:t xml:space="preserve"> linear events in history into a cyclical shape of hi</w:t>
      </w:r>
      <w:r w:rsidR="00701A7E">
        <w:rPr>
          <w:lang w:val="en-GB"/>
        </w:rPr>
        <w:t>storic record that fits within their understanding of</w:t>
      </w:r>
      <w:r w:rsidR="00254B96">
        <w:rPr>
          <w:lang w:val="en-GB"/>
        </w:rPr>
        <w:t xml:space="preserve"> cosmic </w:t>
      </w:r>
      <w:r w:rsidR="00701A7E">
        <w:rPr>
          <w:lang w:val="en-GB"/>
        </w:rPr>
        <w:t>time</w:t>
      </w:r>
      <w:r w:rsidR="00254B96">
        <w:rPr>
          <w:lang w:val="en-GB"/>
        </w:rPr>
        <w:t xml:space="preserve">, speak for themselves and need to further explaining from Farriss. </w:t>
      </w:r>
      <w:r w:rsidR="00F541AA">
        <w:rPr>
          <w:lang w:val="en-GB"/>
        </w:rPr>
        <w:t xml:space="preserve">Likewise, </w:t>
      </w:r>
      <w:r w:rsidR="00FC3A99">
        <w:rPr>
          <w:lang w:val="en-GB"/>
        </w:rPr>
        <w:t xml:space="preserve">Martin’s article gains strength once she refers to tangible cultural expressions of Maat, which </w:t>
      </w:r>
      <w:r w:rsidR="00701A7E">
        <w:rPr>
          <w:lang w:val="en-GB"/>
        </w:rPr>
        <w:t>likewise</w:t>
      </w:r>
      <w:r w:rsidR="00FC3A99">
        <w:rPr>
          <w:lang w:val="en-GB"/>
        </w:rPr>
        <w:t xml:space="preserve"> speak for themselves in bridging the divine source of Maat </w:t>
      </w:r>
      <w:r w:rsidR="00701A7E">
        <w:rPr>
          <w:lang w:val="en-GB"/>
        </w:rPr>
        <w:t>with a</w:t>
      </w:r>
      <w:r w:rsidR="00FC3A99">
        <w:rPr>
          <w:lang w:val="en-GB"/>
        </w:rPr>
        <w:t xml:space="preserve"> material expression. </w:t>
      </w:r>
    </w:p>
    <w:p w14:paraId="7F598A1C" w14:textId="77777777" w:rsidR="00D47887" w:rsidRDefault="00D47887" w:rsidP="00F30FFB">
      <w:pPr>
        <w:jc w:val="both"/>
        <w:rPr>
          <w:lang w:val="en-GB"/>
        </w:rPr>
      </w:pPr>
    </w:p>
    <w:p w14:paraId="31A661DE" w14:textId="53038A5D" w:rsidR="006B615D" w:rsidRDefault="006B615D" w:rsidP="00F30FFB">
      <w:pPr>
        <w:jc w:val="both"/>
        <w:rPr>
          <w:lang w:val="en-GB"/>
        </w:rPr>
      </w:pPr>
      <w:r>
        <w:rPr>
          <w:lang w:val="en-GB"/>
        </w:rPr>
        <w:t>Farriss seems undecided at times about</w:t>
      </w:r>
      <w:r w:rsidR="007B1FAB">
        <w:rPr>
          <w:lang w:val="en-GB"/>
        </w:rPr>
        <w:t xml:space="preserve"> </w:t>
      </w:r>
      <w:r>
        <w:rPr>
          <w:lang w:val="en-GB"/>
        </w:rPr>
        <w:t>Mayan motives. On page 571 she writes of local historical records produced shortly after the Spanish conquest, pondering that “it seems unlikely they were all conco</w:t>
      </w:r>
      <w:r w:rsidR="00FB7E5D">
        <w:rPr>
          <w:lang w:val="en-GB"/>
        </w:rPr>
        <w:t>c</w:t>
      </w:r>
      <w:r>
        <w:rPr>
          <w:lang w:val="en-GB"/>
        </w:rPr>
        <w:t>ted to satisfy the new historical criteria introduced by the Spanish.”</w:t>
      </w:r>
      <w:r>
        <w:rPr>
          <w:rStyle w:val="FootnoteReference"/>
          <w:lang w:val="en-GB"/>
        </w:rPr>
        <w:footnoteReference w:id="20"/>
      </w:r>
      <w:r>
        <w:rPr>
          <w:lang w:val="en-GB"/>
        </w:rPr>
        <w:t xml:space="preserve"> It is at this point that she begins to explore the theme of her title – that of ‘re-constructing the past’ and discussing the examples of a linear record of time </w:t>
      </w:r>
      <w:r w:rsidR="0010038E">
        <w:rPr>
          <w:lang w:val="en-GB"/>
        </w:rPr>
        <w:t xml:space="preserve">that was found post-conquest, but seems to refer to pre-Hispanic times. </w:t>
      </w:r>
      <w:r w:rsidR="007B1FAB">
        <w:rPr>
          <w:lang w:val="en-GB"/>
        </w:rPr>
        <w:t xml:space="preserve">At this point </w:t>
      </w:r>
      <w:r w:rsidR="0010038E">
        <w:rPr>
          <w:lang w:val="en-GB"/>
        </w:rPr>
        <w:t xml:space="preserve">the reader risks being lost in the </w:t>
      </w:r>
      <w:r w:rsidR="007B1FAB">
        <w:rPr>
          <w:lang w:val="en-GB"/>
        </w:rPr>
        <w:t>unsolvable mystery of her quest.  Her</w:t>
      </w:r>
      <w:r w:rsidR="0010038E">
        <w:rPr>
          <w:lang w:val="en-GB"/>
        </w:rPr>
        <w:t xml:space="preserve"> detective-like approach seems to have outlived its use as pushing forward a teleological stance to examinin</w:t>
      </w:r>
      <w:r w:rsidR="007B1FAB">
        <w:rPr>
          <w:lang w:val="en-GB"/>
        </w:rPr>
        <w:t>g Mayan motives for linear time when faced with the enormity of trying to explore how “a dual conception of time worked out in practice.”</w:t>
      </w:r>
      <w:r w:rsidR="007B1FAB">
        <w:rPr>
          <w:rStyle w:val="FootnoteReference"/>
          <w:lang w:val="en-GB"/>
        </w:rPr>
        <w:footnoteReference w:id="21"/>
      </w:r>
      <w:r w:rsidR="0010038E">
        <w:rPr>
          <w:lang w:val="en-GB"/>
        </w:rPr>
        <w:t xml:space="preserve"> Farriss’s article encounters a weakness here as when speaking of written chronicle produced post conquest that contain genealogies and historical narratives of conquest which all take on a strictly linear shape. She tells t</w:t>
      </w:r>
      <w:r w:rsidR="00FB7E5D">
        <w:rPr>
          <w:lang w:val="en-GB"/>
        </w:rPr>
        <w:t>he reader “for the present anal</w:t>
      </w:r>
      <w:r w:rsidR="0010038E">
        <w:rPr>
          <w:lang w:val="en-GB"/>
        </w:rPr>
        <w:t>ysis their accuracy is less important than the historical consciousness that informs them.”</w:t>
      </w:r>
      <w:r w:rsidR="0010038E">
        <w:rPr>
          <w:rStyle w:val="FootnoteReference"/>
          <w:lang w:val="en-GB"/>
        </w:rPr>
        <w:footnoteReference w:id="22"/>
      </w:r>
    </w:p>
    <w:p w14:paraId="2914605D" w14:textId="77777777" w:rsidR="00D47887" w:rsidRDefault="00D47887" w:rsidP="00F30FFB">
      <w:pPr>
        <w:jc w:val="both"/>
        <w:rPr>
          <w:lang w:val="en-GB"/>
        </w:rPr>
      </w:pPr>
    </w:p>
    <w:p w14:paraId="79D59BD0" w14:textId="77777777" w:rsidR="00FB7E5D" w:rsidRDefault="00FB7E5D" w:rsidP="00FB7E5D">
      <w:pPr>
        <w:jc w:val="both"/>
        <w:rPr>
          <w:lang w:val="en-GB"/>
        </w:rPr>
      </w:pPr>
      <w:r>
        <w:rPr>
          <w:lang w:val="en-GB"/>
        </w:rPr>
        <w:t>Farriss’s structure leads to a more coherent argument when she keeps a narrower focus on how the Maya bridged a western linear concept of time with their own multi-layered conception. Notably when she refers to Leopold Howe’s study of Balinese time, and speaks literally of curves and lines, translating the theory of time into a visual language, it is clear for the reader to visualise how the Maya can hold space simultaneously for both a cyclical and linear passage of time.</w:t>
      </w:r>
      <w:r>
        <w:rPr>
          <w:rStyle w:val="FootnoteReference"/>
          <w:lang w:val="en-GB"/>
        </w:rPr>
        <w:footnoteReference w:id="23"/>
      </w:r>
      <w:r>
        <w:rPr>
          <w:lang w:val="en-GB"/>
        </w:rPr>
        <w:t xml:space="preserve"> </w:t>
      </w:r>
    </w:p>
    <w:p w14:paraId="12C77E24" w14:textId="77777777" w:rsidR="00FB7E5D" w:rsidRDefault="00FB7E5D" w:rsidP="00FB7E5D">
      <w:pPr>
        <w:jc w:val="both"/>
        <w:rPr>
          <w:lang w:val="en-GB"/>
        </w:rPr>
      </w:pPr>
    </w:p>
    <w:p w14:paraId="454D7EB6" w14:textId="77777777" w:rsidR="0042772D" w:rsidRDefault="0042772D" w:rsidP="00F30FFB">
      <w:pPr>
        <w:jc w:val="both"/>
        <w:rPr>
          <w:lang w:val="en-GB"/>
        </w:rPr>
      </w:pPr>
    </w:p>
    <w:p w14:paraId="4902F444" w14:textId="77777777" w:rsidR="0042772D" w:rsidRDefault="0042772D" w:rsidP="00F30FFB">
      <w:pPr>
        <w:jc w:val="both"/>
        <w:rPr>
          <w:lang w:val="en-GB"/>
        </w:rPr>
      </w:pPr>
    </w:p>
    <w:p w14:paraId="1161C0FA" w14:textId="77777777" w:rsidR="0042772D" w:rsidRPr="001E31F4" w:rsidRDefault="0042772D" w:rsidP="00F30FFB">
      <w:pPr>
        <w:jc w:val="both"/>
        <w:rPr>
          <w:lang w:val="en-GB"/>
        </w:rPr>
      </w:pPr>
    </w:p>
    <w:p w14:paraId="78B43CC5" w14:textId="77777777" w:rsidR="001E31F4" w:rsidRDefault="001E31F4">
      <w:pPr>
        <w:rPr>
          <w:lang w:val="en-GB"/>
        </w:rPr>
      </w:pPr>
    </w:p>
    <w:p w14:paraId="358C5B96" w14:textId="77777777" w:rsidR="001E31F4" w:rsidRDefault="001E31F4">
      <w:pPr>
        <w:rPr>
          <w:lang w:val="en-GB"/>
        </w:rPr>
      </w:pPr>
    </w:p>
    <w:p w14:paraId="64A25372" w14:textId="54D424EB" w:rsidR="001E31F4" w:rsidRPr="00557B57" w:rsidRDefault="00317295">
      <w:pPr>
        <w:rPr>
          <w:u w:val="single"/>
          <w:lang w:val="en-GB"/>
        </w:rPr>
      </w:pPr>
      <w:r w:rsidRPr="00557B57">
        <w:rPr>
          <w:u w:val="single"/>
          <w:lang w:val="en-GB"/>
        </w:rPr>
        <w:t xml:space="preserve">Bibliography: </w:t>
      </w:r>
    </w:p>
    <w:p w14:paraId="527C773F" w14:textId="77777777" w:rsidR="00557B57" w:rsidRPr="00557B57" w:rsidRDefault="00557B57">
      <w:pPr>
        <w:rPr>
          <w:u w:val="single"/>
          <w:lang w:val="en-GB"/>
        </w:rPr>
      </w:pPr>
    </w:p>
    <w:p w14:paraId="32563C4B" w14:textId="77777777" w:rsidR="00557B57" w:rsidRPr="00557B57" w:rsidRDefault="00557B57" w:rsidP="00557B57">
      <w:pPr>
        <w:rPr>
          <w:lang w:val="en-GB"/>
        </w:rPr>
      </w:pPr>
      <w:r w:rsidRPr="00557B57">
        <w:rPr>
          <w:lang w:val="en-GB"/>
        </w:rPr>
        <w:t xml:space="preserve">Denise Martin ‘Maat and Order in African Cosmology: A Conceptual Tool for Understanding Indigenous Knowledge’ published in </w:t>
      </w:r>
      <w:r w:rsidRPr="00557B57">
        <w:rPr>
          <w:i/>
          <w:lang w:val="en-GB"/>
        </w:rPr>
        <w:t>Journal of Black Studies</w:t>
      </w:r>
      <w:r w:rsidRPr="00557B57">
        <w:rPr>
          <w:lang w:val="en-GB"/>
        </w:rPr>
        <w:t xml:space="preserve">, 2008. </w:t>
      </w:r>
    </w:p>
    <w:p w14:paraId="1787EE78" w14:textId="77777777" w:rsidR="00317295" w:rsidRPr="00557B57" w:rsidRDefault="00317295">
      <w:pPr>
        <w:rPr>
          <w:lang w:val="en-GB"/>
        </w:rPr>
      </w:pPr>
    </w:p>
    <w:p w14:paraId="4D97ED47" w14:textId="75395E58" w:rsidR="006F646A" w:rsidRPr="00557B57" w:rsidRDefault="006F646A">
      <w:pPr>
        <w:rPr>
          <w:lang w:val="en-GB"/>
        </w:rPr>
      </w:pPr>
      <w:r w:rsidRPr="00557B57">
        <w:rPr>
          <w:lang w:val="en-GB"/>
        </w:rPr>
        <w:t xml:space="preserve">Nancy M Farris  ‘Remembering the future, Anticipating the Past: History, Time and Cosmology among the Maya of Yucatan’ published in </w:t>
      </w:r>
      <w:r w:rsidRPr="00557B57">
        <w:rPr>
          <w:i/>
          <w:lang w:val="en-GB"/>
        </w:rPr>
        <w:t>Comparative Studies in Society and History</w:t>
      </w:r>
      <w:r w:rsidRPr="00557B57">
        <w:rPr>
          <w:lang w:val="en-GB"/>
        </w:rPr>
        <w:t xml:space="preserve">, 1987 </w:t>
      </w:r>
    </w:p>
    <w:p w14:paraId="50C79656" w14:textId="77777777" w:rsidR="00125E06" w:rsidRPr="00557B57" w:rsidRDefault="00125E06">
      <w:pPr>
        <w:rPr>
          <w:lang w:val="en-GB"/>
        </w:rPr>
      </w:pPr>
    </w:p>
    <w:p w14:paraId="07FC486C" w14:textId="46E6479B" w:rsidR="00422867" w:rsidRPr="00557B57" w:rsidRDefault="00125E06" w:rsidP="00422867">
      <w:pPr>
        <w:rPr>
          <w:rFonts w:eastAsia="Times New Roman" w:cs="Times New Roman"/>
          <w:color w:val="000000"/>
          <w:spacing w:val="-5"/>
          <w:shd w:val="clear" w:color="auto" w:fill="FFFFFF"/>
          <w:lang w:val="en-GB"/>
        </w:rPr>
      </w:pPr>
      <w:r w:rsidRPr="00557B57">
        <w:rPr>
          <w:lang w:val="en-GB"/>
        </w:rPr>
        <w:t xml:space="preserve">Denise Martin, </w:t>
      </w:r>
      <w:r w:rsidR="00422867" w:rsidRPr="00557B57">
        <w:rPr>
          <w:lang w:val="en-GB"/>
        </w:rPr>
        <w:t>‘</w:t>
      </w:r>
      <w:r w:rsidRPr="00557B57">
        <w:rPr>
          <w:lang w:val="en-GB"/>
        </w:rPr>
        <w:t>An application of Dogon Epistemology.</w:t>
      </w:r>
      <w:r w:rsidR="00422867" w:rsidRPr="00557B57">
        <w:rPr>
          <w:rFonts w:cs="Times New Roman"/>
          <w:lang w:val="en-GB"/>
        </w:rPr>
        <w:t xml:space="preserve">’ </w:t>
      </w:r>
      <w:r w:rsidR="00422867" w:rsidRPr="00557B57">
        <w:rPr>
          <w:rFonts w:eastAsia="Times New Roman" w:cs="Times New Roman"/>
          <w:color w:val="000000"/>
          <w:spacing w:val="-5"/>
          <w:shd w:val="clear" w:color="auto" w:fill="FFFFFF"/>
          <w:lang w:val="en-GB"/>
        </w:rPr>
        <w:t xml:space="preserve">Vol. 40, No. 6 (JULY 2010), pp. 1153-1167 </w:t>
      </w:r>
    </w:p>
    <w:p w14:paraId="3153E4E2" w14:textId="77777777" w:rsidR="00557B57" w:rsidRPr="00557B57" w:rsidRDefault="00557B57" w:rsidP="00422867">
      <w:pPr>
        <w:rPr>
          <w:rFonts w:eastAsia="Times New Roman" w:cs="Times New Roman"/>
          <w:color w:val="000000"/>
          <w:spacing w:val="-5"/>
          <w:shd w:val="clear" w:color="auto" w:fill="FFFFFF"/>
          <w:lang w:val="en-GB"/>
        </w:rPr>
      </w:pPr>
    </w:p>
    <w:p w14:paraId="7A80918F" w14:textId="58835FF8" w:rsidR="00557B57" w:rsidRPr="00557B57" w:rsidRDefault="00557B57" w:rsidP="00422867">
      <w:pPr>
        <w:rPr>
          <w:rFonts w:eastAsia="Times New Roman" w:cs="Times New Roman"/>
          <w:color w:val="000000"/>
          <w:spacing w:val="-5"/>
          <w:u w:val="single"/>
          <w:shd w:val="clear" w:color="auto" w:fill="FFFFFF"/>
          <w:lang w:val="en-GB"/>
        </w:rPr>
      </w:pPr>
      <w:r w:rsidRPr="00557B57">
        <w:rPr>
          <w:rFonts w:eastAsia="Times New Roman" w:cs="Times New Roman"/>
          <w:color w:val="000000"/>
          <w:spacing w:val="-5"/>
          <w:u w:val="single"/>
          <w:shd w:val="clear" w:color="auto" w:fill="FFFFFF"/>
          <w:lang w:val="en-GB"/>
        </w:rPr>
        <w:t xml:space="preserve">Websites: </w:t>
      </w:r>
    </w:p>
    <w:p w14:paraId="315D0486" w14:textId="77777777" w:rsidR="00557B57" w:rsidRPr="00557B57" w:rsidRDefault="00557B57" w:rsidP="00422867">
      <w:pPr>
        <w:rPr>
          <w:rFonts w:eastAsia="Times New Roman" w:cs="Times New Roman"/>
          <w:color w:val="000000"/>
          <w:spacing w:val="-5"/>
          <w:shd w:val="clear" w:color="auto" w:fill="FFFFFF"/>
          <w:lang w:val="en-GB"/>
        </w:rPr>
      </w:pPr>
    </w:p>
    <w:p w14:paraId="43059E63" w14:textId="3532694E" w:rsidR="00557B57" w:rsidRPr="00557B57" w:rsidRDefault="00557B57" w:rsidP="00422867">
      <w:pPr>
        <w:rPr>
          <w:rFonts w:cs="Times New Roman"/>
          <w:lang w:val="en-GB"/>
        </w:rPr>
      </w:pPr>
      <w:r w:rsidRPr="00557B57">
        <w:rPr>
          <w:rFonts w:cs="Times New Roman"/>
          <w:lang w:val="en-GB"/>
        </w:rPr>
        <w:t>https://www.gf.org/fellows/all-fellows/#gf-search-submit-btn</w:t>
      </w:r>
    </w:p>
    <w:p w14:paraId="774C14DE" w14:textId="77777777" w:rsidR="00422867" w:rsidRPr="00422867" w:rsidRDefault="00422867">
      <w:pPr>
        <w:rPr>
          <w:rFonts w:ascii="Times New Roman" w:hAnsi="Times New Roman" w:cs="Times New Roman"/>
          <w:lang w:val="en-GB"/>
        </w:rPr>
      </w:pPr>
    </w:p>
    <w:sectPr w:rsidR="00422867" w:rsidRPr="00422867" w:rsidSect="00B71F37">
      <w:headerReference w:type="even" r:id="rId9"/>
      <w:headerReference w:type="default" r:id="rId10"/>
      <w:footerReference w:type="even" r:id="rId11"/>
      <w:foot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4564E0" w14:textId="77777777" w:rsidR="00CD77A8" w:rsidRDefault="00CD77A8" w:rsidP="00CE2A5D">
      <w:r>
        <w:separator/>
      </w:r>
    </w:p>
  </w:endnote>
  <w:endnote w:type="continuationSeparator" w:id="0">
    <w:p w14:paraId="4480A609" w14:textId="77777777" w:rsidR="00CD77A8" w:rsidRDefault="00CD77A8" w:rsidP="00CE2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SimSun">
    <w:altName w:val="宋体"/>
    <w:charset w:val="86"/>
    <w:family w:val="auto"/>
    <w:pitch w:val="variable"/>
    <w:sig w:usb0="00000003" w:usb1="080E0000" w:usb2="00000010" w:usb3="00000000" w:csb0="00040001"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267FCD" w14:textId="77777777" w:rsidR="00CD77A8" w:rsidRDefault="00CD77A8" w:rsidP="004228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2D9E81" w14:textId="77777777" w:rsidR="00CD77A8" w:rsidRDefault="00CD77A8" w:rsidP="00690F0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4B5A8B" w14:textId="77777777" w:rsidR="00CD77A8" w:rsidRDefault="00CD77A8" w:rsidP="004228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F244A">
      <w:rPr>
        <w:rStyle w:val="PageNumber"/>
        <w:noProof/>
      </w:rPr>
      <w:t>1</w:t>
    </w:r>
    <w:r>
      <w:rPr>
        <w:rStyle w:val="PageNumber"/>
      </w:rPr>
      <w:fldChar w:fldCharType="end"/>
    </w:r>
  </w:p>
  <w:p w14:paraId="3176CAB5" w14:textId="77777777" w:rsidR="00CD77A8" w:rsidRDefault="00CD77A8" w:rsidP="00690F0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A5E6E5" w14:textId="77777777" w:rsidR="00CD77A8" w:rsidRDefault="00CD77A8" w:rsidP="00CE2A5D">
      <w:r>
        <w:separator/>
      </w:r>
    </w:p>
  </w:footnote>
  <w:footnote w:type="continuationSeparator" w:id="0">
    <w:p w14:paraId="23BDEDFA" w14:textId="77777777" w:rsidR="00CD77A8" w:rsidRDefault="00CD77A8" w:rsidP="00CE2A5D">
      <w:r>
        <w:continuationSeparator/>
      </w:r>
    </w:p>
  </w:footnote>
  <w:footnote w:id="1">
    <w:p w14:paraId="3AB8DA37" w14:textId="02A64EB7" w:rsidR="00CD77A8" w:rsidRPr="00CE2A5D" w:rsidRDefault="00CD77A8">
      <w:pPr>
        <w:pStyle w:val="FootnoteText"/>
        <w:rPr>
          <w:lang w:val="en-US"/>
        </w:rPr>
      </w:pPr>
      <w:r>
        <w:rPr>
          <w:rStyle w:val="FootnoteReference"/>
        </w:rPr>
        <w:footnoteRef/>
      </w:r>
      <w:r>
        <w:t xml:space="preserve"> </w:t>
      </w:r>
      <w:r>
        <w:rPr>
          <w:lang w:val="en-US"/>
        </w:rPr>
        <w:t xml:space="preserve">Jstor </w:t>
      </w:r>
      <w:r w:rsidR="009E3221">
        <w:rPr>
          <w:lang w:val="en-US"/>
        </w:rPr>
        <w:t>details about the ‘Journal of Black Studies.’</w:t>
      </w:r>
    </w:p>
  </w:footnote>
  <w:footnote w:id="2">
    <w:p w14:paraId="36E0EB4D" w14:textId="0B4CF175" w:rsidR="00CD77A8" w:rsidRPr="00FD6928" w:rsidRDefault="00CD77A8" w:rsidP="00FD6928">
      <w:pPr>
        <w:rPr>
          <w:rFonts w:eastAsia="Times New Roman" w:cs="Times New Roman"/>
          <w:color w:val="000000"/>
          <w:spacing w:val="-5"/>
          <w:shd w:val="clear" w:color="auto" w:fill="FFFFFF"/>
          <w:lang w:val="en-GB"/>
        </w:rPr>
      </w:pPr>
      <w:r>
        <w:rPr>
          <w:rStyle w:val="FootnoteReference"/>
        </w:rPr>
        <w:footnoteRef/>
      </w:r>
      <w:r>
        <w:t xml:space="preserve"> </w:t>
      </w:r>
      <w:r w:rsidRPr="00557B57">
        <w:rPr>
          <w:lang w:val="en-GB"/>
        </w:rPr>
        <w:t>Denise Martin, ‘An application of Dogon Epistemology.</w:t>
      </w:r>
      <w:r w:rsidRPr="00557B57">
        <w:rPr>
          <w:rFonts w:cs="Times New Roman"/>
          <w:lang w:val="en-GB"/>
        </w:rPr>
        <w:t xml:space="preserve">’ </w:t>
      </w:r>
      <w:r w:rsidRPr="00557B57">
        <w:rPr>
          <w:rFonts w:eastAsia="Times New Roman" w:cs="Times New Roman"/>
          <w:color w:val="000000"/>
          <w:spacing w:val="-5"/>
          <w:shd w:val="clear" w:color="auto" w:fill="FFFFFF"/>
          <w:lang w:val="en-GB"/>
        </w:rPr>
        <w:t>Vol. 40, N</w:t>
      </w:r>
      <w:r w:rsidR="009E3221">
        <w:rPr>
          <w:rFonts w:eastAsia="Times New Roman" w:cs="Times New Roman"/>
          <w:color w:val="000000"/>
          <w:spacing w:val="-5"/>
          <w:shd w:val="clear" w:color="auto" w:fill="FFFFFF"/>
          <w:lang w:val="en-GB"/>
        </w:rPr>
        <w:t>o. 6 (JULY 2010), pp. 1155</w:t>
      </w:r>
    </w:p>
  </w:footnote>
  <w:footnote w:id="3">
    <w:p w14:paraId="42F38C6E" w14:textId="3427DC50" w:rsidR="00CD77A8" w:rsidRPr="00405437" w:rsidRDefault="00CD77A8">
      <w:pPr>
        <w:pStyle w:val="FootnoteText"/>
        <w:rPr>
          <w:lang w:val="en-US"/>
        </w:rPr>
      </w:pPr>
      <w:r>
        <w:rPr>
          <w:rStyle w:val="FootnoteReference"/>
        </w:rPr>
        <w:footnoteRef/>
      </w:r>
      <w:r>
        <w:t xml:space="preserve"> </w:t>
      </w:r>
      <w:r w:rsidR="009E3221">
        <w:rPr>
          <w:lang w:val="en-US"/>
        </w:rPr>
        <w:t>Jstor, about the Compar</w:t>
      </w:r>
      <w:r w:rsidR="00697682">
        <w:rPr>
          <w:lang w:val="en-US"/>
        </w:rPr>
        <w:t>a</w:t>
      </w:r>
      <w:r w:rsidR="009E3221">
        <w:rPr>
          <w:lang w:val="en-US"/>
        </w:rPr>
        <w:t xml:space="preserve">tive Studies in Society and History. </w:t>
      </w:r>
    </w:p>
  </w:footnote>
  <w:footnote w:id="4">
    <w:p w14:paraId="02E66518" w14:textId="783BAE85" w:rsidR="00CD77A8" w:rsidRPr="0066417D" w:rsidRDefault="00CD77A8">
      <w:pPr>
        <w:pStyle w:val="FootnoteText"/>
        <w:rPr>
          <w:lang w:val="en-US"/>
        </w:rPr>
      </w:pPr>
      <w:r>
        <w:rPr>
          <w:rStyle w:val="FootnoteReference"/>
        </w:rPr>
        <w:footnoteRef/>
      </w:r>
      <w:r>
        <w:t xml:space="preserve"> </w:t>
      </w:r>
      <w:r w:rsidR="009E3221">
        <w:rPr>
          <w:lang w:val="en-US"/>
        </w:rPr>
        <w:t xml:space="preserve">Jstor, </w:t>
      </w:r>
      <w:r w:rsidR="009E3221">
        <w:rPr>
          <w:lang w:val="en-US"/>
        </w:rPr>
        <w:t>about the Compar</w:t>
      </w:r>
      <w:r w:rsidR="00697682">
        <w:rPr>
          <w:lang w:val="en-US"/>
        </w:rPr>
        <w:t>a</w:t>
      </w:r>
      <w:r w:rsidR="009E3221">
        <w:rPr>
          <w:lang w:val="en-US"/>
        </w:rPr>
        <w:t>tive Studies in Society and History.</w:t>
      </w:r>
    </w:p>
  </w:footnote>
  <w:footnote w:id="5">
    <w:p w14:paraId="52D225BD" w14:textId="4A2BAC82" w:rsidR="00CD77A8" w:rsidRPr="005C099F" w:rsidRDefault="00CD77A8">
      <w:pPr>
        <w:pStyle w:val="FootnoteText"/>
        <w:rPr>
          <w:lang w:val="en-US"/>
        </w:rPr>
      </w:pPr>
      <w:r>
        <w:rPr>
          <w:rStyle w:val="FootnoteReference"/>
        </w:rPr>
        <w:footnoteRef/>
      </w:r>
      <w:r>
        <w:t xml:space="preserve"> </w:t>
      </w:r>
      <w:r>
        <w:rPr>
          <w:lang w:val="en-US"/>
        </w:rPr>
        <w:t xml:space="preserve">Guggenheim Memorial Foundation, </w:t>
      </w:r>
      <w:r w:rsidRPr="00FD6928">
        <w:rPr>
          <w:lang w:val="en-US"/>
        </w:rPr>
        <w:t>https://www.gf.org/fellows/all-fellows/#gf-search-submit-btn</w:t>
      </w:r>
      <w:r>
        <w:rPr>
          <w:lang w:val="en-US"/>
        </w:rPr>
        <w:t xml:space="preserve"> (Accessed 15</w:t>
      </w:r>
      <w:r w:rsidRPr="00FD6928">
        <w:rPr>
          <w:vertAlign w:val="superscript"/>
          <w:lang w:val="en-US"/>
        </w:rPr>
        <w:t>th</w:t>
      </w:r>
      <w:r>
        <w:rPr>
          <w:lang w:val="en-US"/>
        </w:rPr>
        <w:t xml:space="preserve"> February, 2021) </w:t>
      </w:r>
    </w:p>
  </w:footnote>
  <w:footnote w:id="6">
    <w:p w14:paraId="38821441" w14:textId="62A76A1F" w:rsidR="00CD77A8" w:rsidRPr="00B31A4F" w:rsidRDefault="00CD77A8">
      <w:pPr>
        <w:pStyle w:val="FootnoteText"/>
        <w:rPr>
          <w:lang w:val="en-US"/>
        </w:rPr>
      </w:pPr>
      <w:r>
        <w:rPr>
          <w:rStyle w:val="FootnoteReference"/>
        </w:rPr>
        <w:footnoteRef/>
      </w:r>
      <w:r>
        <w:t xml:space="preserve"> </w:t>
      </w:r>
      <w:r>
        <w:rPr>
          <w:lang w:val="en-US"/>
        </w:rPr>
        <w:t xml:space="preserve">Farriss, ‘Remembering the Future, Anticipating the Past’ p. 566. </w:t>
      </w:r>
    </w:p>
  </w:footnote>
  <w:footnote w:id="7">
    <w:p w14:paraId="4263ED7F" w14:textId="1E915DB4" w:rsidR="00CD77A8" w:rsidRPr="00164B6A" w:rsidRDefault="00CD77A8">
      <w:pPr>
        <w:pStyle w:val="FootnoteText"/>
        <w:rPr>
          <w:lang w:val="en-US"/>
        </w:rPr>
      </w:pPr>
      <w:r>
        <w:rPr>
          <w:rStyle w:val="FootnoteReference"/>
        </w:rPr>
        <w:footnoteRef/>
      </w:r>
      <w:r>
        <w:t xml:space="preserve"> </w:t>
      </w:r>
      <w:r>
        <w:rPr>
          <w:lang w:val="en-US"/>
        </w:rPr>
        <w:t>Farriss</w:t>
      </w:r>
      <w:r w:rsidR="00697682">
        <w:rPr>
          <w:lang w:val="en-US"/>
        </w:rPr>
        <w:t>, Nancy M.</w:t>
      </w:r>
      <w:r>
        <w:rPr>
          <w:lang w:val="en-US"/>
        </w:rPr>
        <w:t xml:space="preserve"> </w:t>
      </w:r>
      <w:r w:rsidR="00697682" w:rsidRPr="00557B57">
        <w:rPr>
          <w:lang w:val="en-GB"/>
        </w:rPr>
        <w:t xml:space="preserve">‘Remembering the future, Anticipating the Past: History, Time and Cosmology among the Maya of Yucatan’ published in </w:t>
      </w:r>
      <w:r w:rsidR="00697682" w:rsidRPr="00557B57">
        <w:rPr>
          <w:i/>
          <w:lang w:val="en-GB"/>
        </w:rPr>
        <w:t>Comparative Studies in Society and History</w:t>
      </w:r>
      <w:r w:rsidR="00697682" w:rsidRPr="00557B57">
        <w:rPr>
          <w:lang w:val="en-GB"/>
        </w:rPr>
        <w:t>, 1987</w:t>
      </w:r>
      <w:r w:rsidR="00697682">
        <w:rPr>
          <w:lang w:val="en-GB"/>
        </w:rPr>
        <w:t>, p.572.</w:t>
      </w:r>
    </w:p>
  </w:footnote>
  <w:footnote w:id="8">
    <w:p w14:paraId="0894469E" w14:textId="230E4FF4" w:rsidR="00CD77A8" w:rsidRPr="00BA2BC6" w:rsidRDefault="00CD77A8" w:rsidP="00394B14">
      <w:pPr>
        <w:pStyle w:val="FootnoteText"/>
        <w:rPr>
          <w:lang w:val="en-US"/>
        </w:rPr>
      </w:pPr>
      <w:r>
        <w:rPr>
          <w:rStyle w:val="FootnoteReference"/>
        </w:rPr>
        <w:footnoteRef/>
      </w:r>
      <w:r>
        <w:t xml:space="preserve"> </w:t>
      </w:r>
      <w:r>
        <w:rPr>
          <w:lang w:val="en-US"/>
        </w:rPr>
        <w:t>Farriss</w:t>
      </w:r>
      <w:r w:rsidR="00697682">
        <w:rPr>
          <w:lang w:val="en-US"/>
        </w:rPr>
        <w:t xml:space="preserve">, </w:t>
      </w:r>
      <w:r w:rsidR="002107D4">
        <w:rPr>
          <w:lang w:val="en-US"/>
        </w:rPr>
        <w:t>‘</w:t>
      </w:r>
      <w:r w:rsidR="00697682">
        <w:rPr>
          <w:lang w:val="en-US"/>
        </w:rPr>
        <w:t>Remembering the future, Anticipating the Past,</w:t>
      </w:r>
      <w:r w:rsidR="002107D4">
        <w:rPr>
          <w:lang w:val="en-US"/>
        </w:rPr>
        <w:t>’</w:t>
      </w:r>
      <w:r w:rsidR="00697682">
        <w:rPr>
          <w:lang w:val="en-US"/>
        </w:rPr>
        <w:t xml:space="preserve"> p.569</w:t>
      </w:r>
    </w:p>
  </w:footnote>
  <w:footnote w:id="9">
    <w:p w14:paraId="0B52D106" w14:textId="0124FEFA" w:rsidR="00CD77A8" w:rsidRPr="009A4562" w:rsidRDefault="00CD77A8" w:rsidP="00DA7420">
      <w:pPr>
        <w:pStyle w:val="FootnoteText"/>
        <w:rPr>
          <w:lang w:val="en-US"/>
        </w:rPr>
      </w:pPr>
      <w:r>
        <w:rPr>
          <w:rStyle w:val="FootnoteReference"/>
        </w:rPr>
        <w:footnoteRef/>
      </w:r>
      <w:r>
        <w:t xml:space="preserve"> </w:t>
      </w:r>
      <w:r w:rsidR="000759B0">
        <w:rPr>
          <w:lang w:val="en-US"/>
        </w:rPr>
        <w:t xml:space="preserve">Farriss, </w:t>
      </w:r>
      <w:r w:rsidR="000759B0">
        <w:rPr>
          <w:lang w:val="en-US"/>
        </w:rPr>
        <w:t xml:space="preserve">‘Remembering the future, Anticipating the Past,’ </w:t>
      </w:r>
      <w:r w:rsidR="00697682">
        <w:rPr>
          <w:lang w:val="en-US"/>
        </w:rPr>
        <w:t>p.</w:t>
      </w:r>
      <w:r>
        <w:rPr>
          <w:lang w:val="en-US"/>
        </w:rPr>
        <w:t xml:space="preserve">566. </w:t>
      </w:r>
    </w:p>
  </w:footnote>
  <w:footnote w:id="10">
    <w:p w14:paraId="03298E3A" w14:textId="316C58A2" w:rsidR="00CD77A8" w:rsidRPr="00616EEF" w:rsidRDefault="00CD77A8" w:rsidP="00DA7420">
      <w:pPr>
        <w:pStyle w:val="FootnoteText"/>
        <w:rPr>
          <w:lang w:val="en-US"/>
        </w:rPr>
      </w:pPr>
      <w:r>
        <w:rPr>
          <w:rStyle w:val="FootnoteReference"/>
        </w:rPr>
        <w:footnoteRef/>
      </w:r>
      <w:r>
        <w:t xml:space="preserve"> </w:t>
      </w:r>
      <w:r>
        <w:rPr>
          <w:lang w:val="en-US"/>
        </w:rPr>
        <w:t xml:space="preserve">Farris, </w:t>
      </w:r>
      <w:r w:rsidR="000759B0">
        <w:rPr>
          <w:lang w:val="en-US"/>
        </w:rPr>
        <w:t xml:space="preserve">‘Remembering the future, Anticipating the Past,’ </w:t>
      </w:r>
      <w:r w:rsidR="000759B0">
        <w:rPr>
          <w:lang w:val="en-US"/>
        </w:rPr>
        <w:t>p.</w:t>
      </w:r>
      <w:r>
        <w:rPr>
          <w:lang w:val="en-US"/>
        </w:rPr>
        <w:t xml:space="preserve">567. </w:t>
      </w:r>
    </w:p>
  </w:footnote>
  <w:footnote w:id="11">
    <w:p w14:paraId="0EE6757B" w14:textId="2490FE18" w:rsidR="00CD77A8" w:rsidRPr="00B66315" w:rsidRDefault="00CD77A8">
      <w:pPr>
        <w:pStyle w:val="FootnoteText"/>
        <w:rPr>
          <w:lang w:val="en-US"/>
        </w:rPr>
      </w:pPr>
      <w:r>
        <w:rPr>
          <w:rStyle w:val="FootnoteReference"/>
        </w:rPr>
        <w:footnoteRef/>
      </w:r>
      <w:r>
        <w:t xml:space="preserve"> </w:t>
      </w:r>
      <w:r w:rsidR="000759B0">
        <w:rPr>
          <w:lang w:val="en-US"/>
        </w:rPr>
        <w:t xml:space="preserve">Farriss. </w:t>
      </w:r>
      <w:r w:rsidR="000759B0">
        <w:rPr>
          <w:lang w:val="en-US"/>
        </w:rPr>
        <w:t xml:space="preserve">‘Remembering the future, Anticipating the Past,’ </w:t>
      </w:r>
      <w:r w:rsidR="000759B0">
        <w:rPr>
          <w:lang w:val="en-US"/>
        </w:rPr>
        <w:t>p.</w:t>
      </w:r>
      <w:r>
        <w:rPr>
          <w:lang w:val="en-US"/>
        </w:rPr>
        <w:t xml:space="preserve">567 </w:t>
      </w:r>
    </w:p>
  </w:footnote>
  <w:footnote w:id="12">
    <w:p w14:paraId="75517BD6" w14:textId="2065C5AA" w:rsidR="00CD77A8" w:rsidRPr="00A04A01" w:rsidRDefault="00CD77A8">
      <w:pPr>
        <w:pStyle w:val="FootnoteText"/>
        <w:rPr>
          <w:lang w:val="en-US"/>
        </w:rPr>
      </w:pPr>
      <w:r>
        <w:rPr>
          <w:rStyle w:val="FootnoteReference"/>
        </w:rPr>
        <w:footnoteRef/>
      </w:r>
      <w:r>
        <w:t xml:space="preserve"> </w:t>
      </w:r>
      <w:r w:rsidR="000759B0">
        <w:rPr>
          <w:lang w:val="en-US"/>
        </w:rPr>
        <w:t xml:space="preserve">Farriss </w:t>
      </w:r>
      <w:r w:rsidR="000759B0">
        <w:rPr>
          <w:lang w:val="en-US"/>
        </w:rPr>
        <w:t xml:space="preserve">‘Remembering the future, Anticipating the Past,’ </w:t>
      </w:r>
      <w:r w:rsidR="000759B0">
        <w:rPr>
          <w:lang w:val="en-US"/>
        </w:rPr>
        <w:t>p.</w:t>
      </w:r>
      <w:r>
        <w:rPr>
          <w:lang w:val="en-US"/>
        </w:rPr>
        <w:t>588</w:t>
      </w:r>
      <w:r w:rsidR="000759B0">
        <w:rPr>
          <w:lang w:val="en-US"/>
        </w:rPr>
        <w:t>.</w:t>
      </w:r>
    </w:p>
  </w:footnote>
  <w:footnote w:id="13">
    <w:p w14:paraId="3AAD37A6" w14:textId="19510516" w:rsidR="00CD77A8" w:rsidRPr="00995DF9" w:rsidRDefault="00CD77A8" w:rsidP="00064E03">
      <w:pPr>
        <w:pStyle w:val="FootnoteText"/>
        <w:rPr>
          <w:lang w:val="en-US"/>
        </w:rPr>
      </w:pPr>
      <w:r>
        <w:rPr>
          <w:rStyle w:val="FootnoteReference"/>
        </w:rPr>
        <w:footnoteRef/>
      </w:r>
      <w:r>
        <w:t xml:space="preserve"> </w:t>
      </w:r>
      <w:r>
        <w:rPr>
          <w:lang w:val="en-US"/>
        </w:rPr>
        <w:t>Farris</w:t>
      </w:r>
      <w:r w:rsidR="000759B0">
        <w:rPr>
          <w:lang w:val="en-US"/>
        </w:rPr>
        <w:t>s</w:t>
      </w:r>
      <w:r>
        <w:rPr>
          <w:lang w:val="en-US"/>
        </w:rPr>
        <w:t xml:space="preserve">, </w:t>
      </w:r>
      <w:r w:rsidR="000759B0">
        <w:rPr>
          <w:lang w:val="en-US"/>
        </w:rPr>
        <w:t xml:space="preserve">‘Remembering the future, Anticipating the Past,’ </w:t>
      </w:r>
      <w:r w:rsidR="000759B0">
        <w:rPr>
          <w:lang w:val="en-US"/>
        </w:rPr>
        <w:t>p.</w:t>
      </w:r>
      <w:r>
        <w:rPr>
          <w:lang w:val="en-US"/>
        </w:rPr>
        <w:t>571</w:t>
      </w:r>
      <w:r w:rsidR="000759B0">
        <w:rPr>
          <w:lang w:val="en-US"/>
        </w:rPr>
        <w:t>.</w:t>
      </w:r>
    </w:p>
  </w:footnote>
  <w:footnote w:id="14">
    <w:p w14:paraId="5D334439" w14:textId="1B8E560D" w:rsidR="00CD77A8" w:rsidRPr="00B45D93" w:rsidRDefault="00CD77A8">
      <w:pPr>
        <w:pStyle w:val="FootnoteText"/>
        <w:rPr>
          <w:lang w:val="en-US"/>
        </w:rPr>
      </w:pPr>
      <w:r>
        <w:rPr>
          <w:rStyle w:val="FootnoteReference"/>
        </w:rPr>
        <w:footnoteRef/>
      </w:r>
      <w:r>
        <w:rPr>
          <w:lang w:val="en-US"/>
        </w:rPr>
        <w:t xml:space="preserve"> Martin</w:t>
      </w:r>
      <w:r w:rsidR="0093280F">
        <w:rPr>
          <w:lang w:val="en-US"/>
        </w:rPr>
        <w:t xml:space="preserve">, </w:t>
      </w:r>
      <w:r w:rsidR="0093280F" w:rsidRPr="00557B57">
        <w:rPr>
          <w:lang w:val="en-GB"/>
        </w:rPr>
        <w:t>‘Maat and Order in African Cosmology</w:t>
      </w:r>
      <w:r w:rsidR="0093280F">
        <w:rPr>
          <w:lang w:val="en-GB"/>
        </w:rPr>
        <w:t>’ p.958.</w:t>
      </w:r>
    </w:p>
  </w:footnote>
  <w:footnote w:id="15">
    <w:p w14:paraId="32F781A9" w14:textId="6BC8C9D2" w:rsidR="00CD77A8" w:rsidRPr="00B20637" w:rsidRDefault="00CD77A8">
      <w:pPr>
        <w:pStyle w:val="FootnoteText"/>
        <w:rPr>
          <w:lang w:val="en-US"/>
        </w:rPr>
      </w:pPr>
      <w:r>
        <w:rPr>
          <w:rStyle w:val="FootnoteReference"/>
        </w:rPr>
        <w:footnoteRef/>
      </w:r>
      <w:r>
        <w:t xml:space="preserve"> </w:t>
      </w:r>
      <w:r w:rsidR="0093280F">
        <w:rPr>
          <w:lang w:val="en-US"/>
        </w:rPr>
        <w:t xml:space="preserve">Martin, </w:t>
      </w:r>
      <w:r>
        <w:rPr>
          <w:lang w:val="en-US"/>
        </w:rPr>
        <w:t xml:space="preserve"> </w:t>
      </w:r>
      <w:r w:rsidR="0093280F" w:rsidRPr="00557B57">
        <w:rPr>
          <w:lang w:val="en-GB"/>
        </w:rPr>
        <w:t>‘Maat and Order in African Cosmology</w:t>
      </w:r>
      <w:r w:rsidR="0093280F">
        <w:rPr>
          <w:lang w:val="en-GB"/>
        </w:rPr>
        <w:t>’ p.960.</w:t>
      </w:r>
    </w:p>
  </w:footnote>
  <w:footnote w:id="16">
    <w:p w14:paraId="3457DACE" w14:textId="7C24821D" w:rsidR="00CD77A8" w:rsidRPr="0019763C" w:rsidRDefault="00CD77A8">
      <w:pPr>
        <w:pStyle w:val="FootnoteText"/>
        <w:rPr>
          <w:lang w:val="en-US"/>
        </w:rPr>
      </w:pPr>
      <w:r>
        <w:rPr>
          <w:rStyle w:val="FootnoteReference"/>
        </w:rPr>
        <w:footnoteRef/>
      </w:r>
      <w:r>
        <w:t xml:space="preserve"> </w:t>
      </w:r>
      <w:r>
        <w:rPr>
          <w:lang w:val="en-US"/>
        </w:rPr>
        <w:t>Martin</w:t>
      </w:r>
      <w:r w:rsidR="0093280F">
        <w:rPr>
          <w:lang w:val="en-US"/>
        </w:rPr>
        <w:t>, ‘</w:t>
      </w:r>
      <w:r w:rsidR="0093280F" w:rsidRPr="00557B57">
        <w:rPr>
          <w:lang w:val="en-GB"/>
        </w:rPr>
        <w:t>Maat and Order in African Cosmology</w:t>
      </w:r>
      <w:r w:rsidR="0093280F">
        <w:rPr>
          <w:lang w:val="en-GB"/>
        </w:rPr>
        <w:t>’, p.953.</w:t>
      </w:r>
    </w:p>
  </w:footnote>
  <w:footnote w:id="17">
    <w:p w14:paraId="2478BE0B" w14:textId="659E0584" w:rsidR="00CD77A8" w:rsidRPr="00570D02" w:rsidRDefault="00CD77A8">
      <w:pPr>
        <w:pStyle w:val="FootnoteText"/>
        <w:rPr>
          <w:lang w:val="en-US"/>
        </w:rPr>
      </w:pPr>
      <w:r>
        <w:rPr>
          <w:rStyle w:val="FootnoteReference"/>
        </w:rPr>
        <w:footnoteRef/>
      </w:r>
      <w:r>
        <w:t xml:space="preserve"> </w:t>
      </w:r>
      <w:r>
        <w:rPr>
          <w:lang w:val="en-US"/>
        </w:rPr>
        <w:t>Martin</w:t>
      </w:r>
      <w:r w:rsidR="0093280F">
        <w:rPr>
          <w:lang w:val="en-US"/>
        </w:rPr>
        <w:t xml:space="preserve">, </w:t>
      </w:r>
      <w:r w:rsidR="0093280F" w:rsidRPr="00557B57">
        <w:rPr>
          <w:lang w:val="en-GB"/>
        </w:rPr>
        <w:t>‘Maat and Order in African Cosmology</w:t>
      </w:r>
      <w:r w:rsidR="0093280F">
        <w:rPr>
          <w:lang w:val="en-GB"/>
        </w:rPr>
        <w:t xml:space="preserve">’, p.953. </w:t>
      </w:r>
    </w:p>
  </w:footnote>
  <w:footnote w:id="18">
    <w:p w14:paraId="70CD1927" w14:textId="5337F58F" w:rsidR="00CD77A8" w:rsidRPr="000609D0" w:rsidRDefault="00CD77A8">
      <w:pPr>
        <w:pStyle w:val="FootnoteText"/>
        <w:rPr>
          <w:lang w:val="en-US"/>
        </w:rPr>
      </w:pPr>
      <w:r>
        <w:rPr>
          <w:rStyle w:val="FootnoteReference"/>
        </w:rPr>
        <w:footnoteRef/>
      </w:r>
      <w:r>
        <w:t xml:space="preserve"> </w:t>
      </w:r>
      <w:r>
        <w:rPr>
          <w:lang w:val="en-US"/>
        </w:rPr>
        <w:t xml:space="preserve"> Farriss, ‘Remembering the Future, Anticipating the Past.’ p.568.</w:t>
      </w:r>
    </w:p>
  </w:footnote>
  <w:footnote w:id="19">
    <w:p w14:paraId="48186B9F" w14:textId="63271E96" w:rsidR="00CD77A8" w:rsidRPr="00B566F4" w:rsidRDefault="00CD77A8">
      <w:pPr>
        <w:pStyle w:val="FootnoteText"/>
        <w:rPr>
          <w:lang w:val="en-US"/>
        </w:rPr>
      </w:pPr>
      <w:r>
        <w:rPr>
          <w:rStyle w:val="FootnoteReference"/>
        </w:rPr>
        <w:footnoteRef/>
      </w:r>
      <w:r>
        <w:t xml:space="preserve"> </w:t>
      </w:r>
      <w:r>
        <w:rPr>
          <w:lang w:val="en-US"/>
        </w:rPr>
        <w:t xml:space="preserve">Farriss, ‘Remembering the Future, Anticipating the Past.’ p.574. </w:t>
      </w:r>
    </w:p>
  </w:footnote>
  <w:footnote w:id="20">
    <w:p w14:paraId="16F0357F" w14:textId="6B0154EF" w:rsidR="00CD77A8" w:rsidRPr="00B566F4" w:rsidRDefault="00CD77A8" w:rsidP="00FD6928">
      <w:pPr>
        <w:pStyle w:val="FootnoteText"/>
        <w:rPr>
          <w:lang w:val="en-US"/>
        </w:rPr>
      </w:pPr>
      <w:r>
        <w:rPr>
          <w:rStyle w:val="FootnoteReference"/>
        </w:rPr>
        <w:footnoteRef/>
      </w:r>
      <w:r>
        <w:t xml:space="preserve"> </w:t>
      </w:r>
      <w:r>
        <w:rPr>
          <w:lang w:val="en-US"/>
        </w:rPr>
        <w:t xml:space="preserve">Farriss. ‘Remembering the Future, Anticipating the Past.’ p.574. </w:t>
      </w:r>
    </w:p>
    <w:p w14:paraId="1A32CF4A" w14:textId="3B9ECF79" w:rsidR="00CD77A8" w:rsidRPr="006B615D" w:rsidRDefault="00CD77A8">
      <w:pPr>
        <w:pStyle w:val="FootnoteText"/>
        <w:rPr>
          <w:lang w:val="en-US"/>
        </w:rPr>
      </w:pPr>
    </w:p>
  </w:footnote>
  <w:footnote w:id="21">
    <w:p w14:paraId="49E0016E" w14:textId="2DAE0772" w:rsidR="00CD77A8" w:rsidRPr="007B1FAB" w:rsidRDefault="00CD77A8">
      <w:pPr>
        <w:pStyle w:val="FootnoteText"/>
        <w:rPr>
          <w:lang w:val="en-US"/>
        </w:rPr>
      </w:pPr>
      <w:r>
        <w:rPr>
          <w:rStyle w:val="FootnoteReference"/>
        </w:rPr>
        <w:footnoteRef/>
      </w:r>
      <w:r>
        <w:t xml:space="preserve"> </w:t>
      </w:r>
      <w:r>
        <w:rPr>
          <w:lang w:val="en-US"/>
        </w:rPr>
        <w:t xml:space="preserve">Farriss. </w:t>
      </w:r>
      <w:r w:rsidR="00D6732E">
        <w:rPr>
          <w:lang w:val="en-US"/>
        </w:rPr>
        <w:t>‘Remembering the Future, Anticipating the Past.’</w:t>
      </w:r>
      <w:r w:rsidR="00D6732E">
        <w:rPr>
          <w:lang w:val="en-US"/>
        </w:rPr>
        <w:t xml:space="preserve"> P.575.</w:t>
      </w:r>
    </w:p>
  </w:footnote>
  <w:footnote w:id="22">
    <w:p w14:paraId="0F46A362" w14:textId="6E60E0AB" w:rsidR="00CD77A8" w:rsidRPr="0010038E" w:rsidRDefault="00CD77A8">
      <w:pPr>
        <w:pStyle w:val="FootnoteText"/>
        <w:rPr>
          <w:lang w:val="en-US"/>
        </w:rPr>
      </w:pPr>
      <w:r>
        <w:rPr>
          <w:rStyle w:val="FootnoteReference"/>
        </w:rPr>
        <w:footnoteRef/>
      </w:r>
      <w:r>
        <w:t xml:space="preserve"> </w:t>
      </w:r>
      <w:r>
        <w:rPr>
          <w:lang w:val="en-US"/>
        </w:rPr>
        <w:t xml:space="preserve">Farriss. </w:t>
      </w:r>
      <w:r w:rsidR="00D6732E">
        <w:rPr>
          <w:lang w:val="en-US"/>
        </w:rPr>
        <w:t>‘Remembering the Future, Anticipating the Past.’</w:t>
      </w:r>
      <w:r w:rsidR="00D6732E">
        <w:rPr>
          <w:lang w:val="en-US"/>
        </w:rPr>
        <w:t xml:space="preserve"> P.571. </w:t>
      </w:r>
    </w:p>
  </w:footnote>
  <w:footnote w:id="23">
    <w:p w14:paraId="28B341D9" w14:textId="685C52E2" w:rsidR="00CD77A8" w:rsidRPr="00064E03" w:rsidRDefault="00CD77A8" w:rsidP="00FB7E5D">
      <w:pPr>
        <w:pStyle w:val="FootnoteText"/>
        <w:rPr>
          <w:lang w:val="en-US"/>
        </w:rPr>
      </w:pPr>
      <w:r>
        <w:rPr>
          <w:rStyle w:val="FootnoteReference"/>
        </w:rPr>
        <w:footnoteRef/>
      </w:r>
      <w:r>
        <w:t xml:space="preserve"> </w:t>
      </w:r>
      <w:r>
        <w:rPr>
          <w:lang w:val="en-US"/>
        </w:rPr>
        <w:t xml:space="preserve">Farriss. </w:t>
      </w:r>
      <w:r w:rsidR="00D6732E">
        <w:rPr>
          <w:lang w:val="en-US"/>
        </w:rPr>
        <w:t>‘Remembering the Future, Anticipating the Past.’</w:t>
      </w:r>
      <w:r w:rsidR="00D6732E">
        <w:rPr>
          <w:lang w:val="en-US"/>
        </w:rPr>
        <w:t xml:space="preserve"> P.572.</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158921" w14:textId="77777777" w:rsidR="00CD77A8" w:rsidRDefault="00CD77A8" w:rsidP="004228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7DEDB7" w14:textId="77777777" w:rsidR="00CD77A8" w:rsidRDefault="00CD77A8" w:rsidP="00690F04">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3A9660" w14:textId="77777777" w:rsidR="00CD77A8" w:rsidRDefault="00CD77A8" w:rsidP="0042286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F244A">
      <w:rPr>
        <w:rStyle w:val="PageNumber"/>
        <w:noProof/>
      </w:rPr>
      <w:t>1</w:t>
    </w:r>
    <w:r>
      <w:rPr>
        <w:rStyle w:val="PageNumber"/>
      </w:rPr>
      <w:fldChar w:fldCharType="end"/>
    </w:r>
  </w:p>
  <w:p w14:paraId="0299F1CF" w14:textId="42FB3889" w:rsidR="00CD77A8" w:rsidRDefault="00CD77A8" w:rsidP="00690F04">
    <w:pPr>
      <w:pStyle w:val="Header"/>
      <w:ind w:right="360"/>
    </w:pPr>
    <w:r>
      <w:t>Hedy Mowinckel 2015812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FD0475"/>
    <w:multiLevelType w:val="hybridMultilevel"/>
    <w:tmpl w:val="7152CAB8"/>
    <w:lvl w:ilvl="0" w:tplc="AAA06FA4">
      <w:start w:val="1987"/>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5F59242C"/>
    <w:multiLevelType w:val="hybridMultilevel"/>
    <w:tmpl w:val="AC1C3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44F"/>
    <w:rsid w:val="00016227"/>
    <w:rsid w:val="00024F42"/>
    <w:rsid w:val="000609D0"/>
    <w:rsid w:val="00064E03"/>
    <w:rsid w:val="00066EB8"/>
    <w:rsid w:val="0006735A"/>
    <w:rsid w:val="000746ED"/>
    <w:rsid w:val="000759B0"/>
    <w:rsid w:val="00076148"/>
    <w:rsid w:val="000B0417"/>
    <w:rsid w:val="000B36B3"/>
    <w:rsid w:val="000F7613"/>
    <w:rsid w:val="0010038E"/>
    <w:rsid w:val="00125E06"/>
    <w:rsid w:val="001346C9"/>
    <w:rsid w:val="001371F8"/>
    <w:rsid w:val="00153D8C"/>
    <w:rsid w:val="00164B6A"/>
    <w:rsid w:val="0019763C"/>
    <w:rsid w:val="001A1BF5"/>
    <w:rsid w:val="001B247A"/>
    <w:rsid w:val="001B324E"/>
    <w:rsid w:val="001B7740"/>
    <w:rsid w:val="001C2723"/>
    <w:rsid w:val="001C720D"/>
    <w:rsid w:val="001D3AAF"/>
    <w:rsid w:val="001E31F4"/>
    <w:rsid w:val="001E6299"/>
    <w:rsid w:val="001F4922"/>
    <w:rsid w:val="00204FC8"/>
    <w:rsid w:val="002050A4"/>
    <w:rsid w:val="002107D4"/>
    <w:rsid w:val="0023195A"/>
    <w:rsid w:val="00234A5E"/>
    <w:rsid w:val="00254B96"/>
    <w:rsid w:val="00276AF2"/>
    <w:rsid w:val="002E15BA"/>
    <w:rsid w:val="002E59EE"/>
    <w:rsid w:val="002F47B1"/>
    <w:rsid w:val="00317295"/>
    <w:rsid w:val="003340E3"/>
    <w:rsid w:val="00334F18"/>
    <w:rsid w:val="00353AF5"/>
    <w:rsid w:val="003555AE"/>
    <w:rsid w:val="00365A5B"/>
    <w:rsid w:val="003754C3"/>
    <w:rsid w:val="0038084A"/>
    <w:rsid w:val="003856C4"/>
    <w:rsid w:val="00394B14"/>
    <w:rsid w:val="003D6884"/>
    <w:rsid w:val="00405437"/>
    <w:rsid w:val="00415A92"/>
    <w:rsid w:val="00422867"/>
    <w:rsid w:val="00426A37"/>
    <w:rsid w:val="0042772D"/>
    <w:rsid w:val="004300D4"/>
    <w:rsid w:val="00443C96"/>
    <w:rsid w:val="00450F17"/>
    <w:rsid w:val="004841AF"/>
    <w:rsid w:val="00487B11"/>
    <w:rsid w:val="004908B6"/>
    <w:rsid w:val="00491808"/>
    <w:rsid w:val="004A4219"/>
    <w:rsid w:val="004E0079"/>
    <w:rsid w:val="005275E5"/>
    <w:rsid w:val="005373DA"/>
    <w:rsid w:val="00540836"/>
    <w:rsid w:val="00541932"/>
    <w:rsid w:val="00542C8C"/>
    <w:rsid w:val="00557B57"/>
    <w:rsid w:val="0056185A"/>
    <w:rsid w:val="0056381F"/>
    <w:rsid w:val="00570D02"/>
    <w:rsid w:val="005746FE"/>
    <w:rsid w:val="00581345"/>
    <w:rsid w:val="00581A51"/>
    <w:rsid w:val="005B323E"/>
    <w:rsid w:val="005B7DBE"/>
    <w:rsid w:val="005C099F"/>
    <w:rsid w:val="005C677C"/>
    <w:rsid w:val="005C6EED"/>
    <w:rsid w:val="00605DAC"/>
    <w:rsid w:val="00616EEF"/>
    <w:rsid w:val="0062280D"/>
    <w:rsid w:val="006336BE"/>
    <w:rsid w:val="00653A76"/>
    <w:rsid w:val="0066417D"/>
    <w:rsid w:val="0067190C"/>
    <w:rsid w:val="00676515"/>
    <w:rsid w:val="00690F04"/>
    <w:rsid w:val="00697682"/>
    <w:rsid w:val="006A00A5"/>
    <w:rsid w:val="006B615D"/>
    <w:rsid w:val="006E27C7"/>
    <w:rsid w:val="006F02FB"/>
    <w:rsid w:val="006F646A"/>
    <w:rsid w:val="00701A7E"/>
    <w:rsid w:val="0072033B"/>
    <w:rsid w:val="007212FC"/>
    <w:rsid w:val="007240D2"/>
    <w:rsid w:val="00725C23"/>
    <w:rsid w:val="007674BC"/>
    <w:rsid w:val="00782417"/>
    <w:rsid w:val="007878A0"/>
    <w:rsid w:val="007A364B"/>
    <w:rsid w:val="007B1FAB"/>
    <w:rsid w:val="007C1C2F"/>
    <w:rsid w:val="007E54C9"/>
    <w:rsid w:val="007F0A2F"/>
    <w:rsid w:val="007F4A73"/>
    <w:rsid w:val="00803438"/>
    <w:rsid w:val="00834B1D"/>
    <w:rsid w:val="00846583"/>
    <w:rsid w:val="00852D64"/>
    <w:rsid w:val="00864494"/>
    <w:rsid w:val="008A3C5D"/>
    <w:rsid w:val="00902F14"/>
    <w:rsid w:val="00911239"/>
    <w:rsid w:val="009162E9"/>
    <w:rsid w:val="0093280F"/>
    <w:rsid w:val="00936A9D"/>
    <w:rsid w:val="00943C8B"/>
    <w:rsid w:val="009524DE"/>
    <w:rsid w:val="0098762C"/>
    <w:rsid w:val="0099102F"/>
    <w:rsid w:val="00994D4C"/>
    <w:rsid w:val="00995CD7"/>
    <w:rsid w:val="00995DF9"/>
    <w:rsid w:val="009A299D"/>
    <w:rsid w:val="009A4562"/>
    <w:rsid w:val="009A603A"/>
    <w:rsid w:val="009B25F2"/>
    <w:rsid w:val="009B2A7A"/>
    <w:rsid w:val="009B5421"/>
    <w:rsid w:val="009E25DA"/>
    <w:rsid w:val="009E3221"/>
    <w:rsid w:val="00A04A01"/>
    <w:rsid w:val="00A1381C"/>
    <w:rsid w:val="00A5141A"/>
    <w:rsid w:val="00A64BD0"/>
    <w:rsid w:val="00A9573E"/>
    <w:rsid w:val="00AA1434"/>
    <w:rsid w:val="00AD5475"/>
    <w:rsid w:val="00AD7F31"/>
    <w:rsid w:val="00B10BE8"/>
    <w:rsid w:val="00B139D2"/>
    <w:rsid w:val="00B14F43"/>
    <w:rsid w:val="00B20637"/>
    <w:rsid w:val="00B232BE"/>
    <w:rsid w:val="00B252EE"/>
    <w:rsid w:val="00B31A4F"/>
    <w:rsid w:val="00B33B9E"/>
    <w:rsid w:val="00B45D93"/>
    <w:rsid w:val="00B51B60"/>
    <w:rsid w:val="00B538BA"/>
    <w:rsid w:val="00B566F4"/>
    <w:rsid w:val="00B66315"/>
    <w:rsid w:val="00B71F37"/>
    <w:rsid w:val="00BA2BC6"/>
    <w:rsid w:val="00BA5A5C"/>
    <w:rsid w:val="00BB01F1"/>
    <w:rsid w:val="00BB62FA"/>
    <w:rsid w:val="00BC444F"/>
    <w:rsid w:val="00BD5A00"/>
    <w:rsid w:val="00BF244A"/>
    <w:rsid w:val="00BF31D4"/>
    <w:rsid w:val="00C052DB"/>
    <w:rsid w:val="00C076CB"/>
    <w:rsid w:val="00C37452"/>
    <w:rsid w:val="00C62A9D"/>
    <w:rsid w:val="00C800CC"/>
    <w:rsid w:val="00C95FDC"/>
    <w:rsid w:val="00CD077F"/>
    <w:rsid w:val="00CD77A8"/>
    <w:rsid w:val="00CE2A5D"/>
    <w:rsid w:val="00CF7DBC"/>
    <w:rsid w:val="00D132E5"/>
    <w:rsid w:val="00D13A0B"/>
    <w:rsid w:val="00D440C2"/>
    <w:rsid w:val="00D47887"/>
    <w:rsid w:val="00D64D24"/>
    <w:rsid w:val="00D65ABA"/>
    <w:rsid w:val="00D6732E"/>
    <w:rsid w:val="00D77702"/>
    <w:rsid w:val="00D864CA"/>
    <w:rsid w:val="00D879A5"/>
    <w:rsid w:val="00D911B5"/>
    <w:rsid w:val="00DA165F"/>
    <w:rsid w:val="00DA7420"/>
    <w:rsid w:val="00DA78C8"/>
    <w:rsid w:val="00DC4E4B"/>
    <w:rsid w:val="00DD0680"/>
    <w:rsid w:val="00DD2836"/>
    <w:rsid w:val="00DE7070"/>
    <w:rsid w:val="00DE7681"/>
    <w:rsid w:val="00DF5767"/>
    <w:rsid w:val="00E023AC"/>
    <w:rsid w:val="00E22E9E"/>
    <w:rsid w:val="00E3211F"/>
    <w:rsid w:val="00EA7E94"/>
    <w:rsid w:val="00EB141B"/>
    <w:rsid w:val="00F01402"/>
    <w:rsid w:val="00F20791"/>
    <w:rsid w:val="00F30FFB"/>
    <w:rsid w:val="00F42B2A"/>
    <w:rsid w:val="00F541AA"/>
    <w:rsid w:val="00F60D20"/>
    <w:rsid w:val="00F8103D"/>
    <w:rsid w:val="00FB7E5D"/>
    <w:rsid w:val="00FC3A99"/>
    <w:rsid w:val="00FD69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C59A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it-IT"/>
    </w:rPr>
  </w:style>
  <w:style w:type="paragraph" w:styleId="Heading3">
    <w:name w:val="heading 3"/>
    <w:basedOn w:val="Normal"/>
    <w:link w:val="Heading3Char"/>
    <w:qFormat/>
    <w:rsid w:val="00B538BA"/>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E2A5D"/>
  </w:style>
  <w:style w:type="character" w:customStyle="1" w:styleId="FootnoteTextChar">
    <w:name w:val="Footnote Text Char"/>
    <w:basedOn w:val="DefaultParagraphFont"/>
    <w:link w:val="FootnoteText"/>
    <w:uiPriority w:val="99"/>
    <w:rsid w:val="00CE2A5D"/>
    <w:rPr>
      <w:lang w:val="it-IT"/>
    </w:rPr>
  </w:style>
  <w:style w:type="character" w:styleId="FootnoteReference">
    <w:name w:val="footnote reference"/>
    <w:basedOn w:val="DefaultParagraphFont"/>
    <w:uiPriority w:val="99"/>
    <w:unhideWhenUsed/>
    <w:rsid w:val="00CE2A5D"/>
    <w:rPr>
      <w:vertAlign w:val="superscript"/>
    </w:rPr>
  </w:style>
  <w:style w:type="paragraph" w:styleId="ListParagraph">
    <w:name w:val="List Paragraph"/>
    <w:basedOn w:val="Normal"/>
    <w:uiPriority w:val="34"/>
    <w:qFormat/>
    <w:rsid w:val="003555AE"/>
    <w:pPr>
      <w:ind w:left="720"/>
      <w:contextualSpacing/>
    </w:pPr>
  </w:style>
  <w:style w:type="paragraph" w:styleId="Header">
    <w:name w:val="header"/>
    <w:basedOn w:val="Normal"/>
    <w:link w:val="HeaderChar"/>
    <w:uiPriority w:val="99"/>
    <w:unhideWhenUsed/>
    <w:rsid w:val="00690F04"/>
    <w:pPr>
      <w:tabs>
        <w:tab w:val="center" w:pos="4320"/>
        <w:tab w:val="right" w:pos="8640"/>
      </w:tabs>
    </w:pPr>
  </w:style>
  <w:style w:type="character" w:customStyle="1" w:styleId="HeaderChar">
    <w:name w:val="Header Char"/>
    <w:basedOn w:val="DefaultParagraphFont"/>
    <w:link w:val="Header"/>
    <w:uiPriority w:val="99"/>
    <w:rsid w:val="00690F04"/>
    <w:rPr>
      <w:lang w:val="it-IT"/>
    </w:rPr>
  </w:style>
  <w:style w:type="paragraph" w:styleId="Footer">
    <w:name w:val="footer"/>
    <w:basedOn w:val="Normal"/>
    <w:link w:val="FooterChar"/>
    <w:uiPriority w:val="99"/>
    <w:unhideWhenUsed/>
    <w:rsid w:val="00690F04"/>
    <w:pPr>
      <w:tabs>
        <w:tab w:val="center" w:pos="4320"/>
        <w:tab w:val="right" w:pos="8640"/>
      </w:tabs>
    </w:pPr>
  </w:style>
  <w:style w:type="character" w:customStyle="1" w:styleId="FooterChar">
    <w:name w:val="Footer Char"/>
    <w:basedOn w:val="DefaultParagraphFont"/>
    <w:link w:val="Footer"/>
    <w:uiPriority w:val="99"/>
    <w:rsid w:val="00690F04"/>
    <w:rPr>
      <w:lang w:val="it-IT"/>
    </w:rPr>
  </w:style>
  <w:style w:type="character" w:styleId="PageNumber">
    <w:name w:val="page number"/>
    <w:basedOn w:val="DefaultParagraphFont"/>
    <w:uiPriority w:val="99"/>
    <w:semiHidden/>
    <w:unhideWhenUsed/>
    <w:rsid w:val="00690F04"/>
  </w:style>
  <w:style w:type="character" w:customStyle="1" w:styleId="Heading3Char">
    <w:name w:val="Heading 3 Char"/>
    <w:basedOn w:val="DefaultParagraphFont"/>
    <w:link w:val="Heading3"/>
    <w:rsid w:val="00B538BA"/>
    <w:rPr>
      <w:rFonts w:ascii="Tahoma" w:eastAsia="SimSun" w:hAnsi="Tahoma" w:cs="Tahoma"/>
      <w:b/>
      <w:bCs/>
      <w:sz w:val="20"/>
      <w:szCs w:val="20"/>
      <w:lang w:val="en-GB" w:eastAsia="zh-CN"/>
    </w:rPr>
  </w:style>
  <w:style w:type="paragraph" w:styleId="NormalWeb">
    <w:name w:val="Normal (Web)"/>
    <w:basedOn w:val="Normal"/>
    <w:rsid w:val="00B538BA"/>
    <w:pPr>
      <w:spacing w:before="100" w:beforeAutospacing="1" w:after="100" w:afterAutospacing="1"/>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B538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38BA"/>
    <w:rPr>
      <w:rFonts w:ascii="Lucida Grande" w:hAnsi="Lucida Grande" w:cs="Lucida Grande"/>
      <w:sz w:val="18"/>
      <w:szCs w:val="18"/>
      <w:lang w:val="it-I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it-IT"/>
    </w:rPr>
  </w:style>
  <w:style w:type="paragraph" w:styleId="Heading3">
    <w:name w:val="heading 3"/>
    <w:basedOn w:val="Normal"/>
    <w:link w:val="Heading3Char"/>
    <w:qFormat/>
    <w:rsid w:val="00B538BA"/>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E2A5D"/>
  </w:style>
  <w:style w:type="character" w:customStyle="1" w:styleId="FootnoteTextChar">
    <w:name w:val="Footnote Text Char"/>
    <w:basedOn w:val="DefaultParagraphFont"/>
    <w:link w:val="FootnoteText"/>
    <w:uiPriority w:val="99"/>
    <w:rsid w:val="00CE2A5D"/>
    <w:rPr>
      <w:lang w:val="it-IT"/>
    </w:rPr>
  </w:style>
  <w:style w:type="character" w:styleId="FootnoteReference">
    <w:name w:val="footnote reference"/>
    <w:basedOn w:val="DefaultParagraphFont"/>
    <w:uiPriority w:val="99"/>
    <w:unhideWhenUsed/>
    <w:rsid w:val="00CE2A5D"/>
    <w:rPr>
      <w:vertAlign w:val="superscript"/>
    </w:rPr>
  </w:style>
  <w:style w:type="paragraph" w:styleId="ListParagraph">
    <w:name w:val="List Paragraph"/>
    <w:basedOn w:val="Normal"/>
    <w:uiPriority w:val="34"/>
    <w:qFormat/>
    <w:rsid w:val="003555AE"/>
    <w:pPr>
      <w:ind w:left="720"/>
      <w:contextualSpacing/>
    </w:pPr>
  </w:style>
  <w:style w:type="paragraph" w:styleId="Header">
    <w:name w:val="header"/>
    <w:basedOn w:val="Normal"/>
    <w:link w:val="HeaderChar"/>
    <w:uiPriority w:val="99"/>
    <w:unhideWhenUsed/>
    <w:rsid w:val="00690F04"/>
    <w:pPr>
      <w:tabs>
        <w:tab w:val="center" w:pos="4320"/>
        <w:tab w:val="right" w:pos="8640"/>
      </w:tabs>
    </w:pPr>
  </w:style>
  <w:style w:type="character" w:customStyle="1" w:styleId="HeaderChar">
    <w:name w:val="Header Char"/>
    <w:basedOn w:val="DefaultParagraphFont"/>
    <w:link w:val="Header"/>
    <w:uiPriority w:val="99"/>
    <w:rsid w:val="00690F04"/>
    <w:rPr>
      <w:lang w:val="it-IT"/>
    </w:rPr>
  </w:style>
  <w:style w:type="paragraph" w:styleId="Footer">
    <w:name w:val="footer"/>
    <w:basedOn w:val="Normal"/>
    <w:link w:val="FooterChar"/>
    <w:uiPriority w:val="99"/>
    <w:unhideWhenUsed/>
    <w:rsid w:val="00690F04"/>
    <w:pPr>
      <w:tabs>
        <w:tab w:val="center" w:pos="4320"/>
        <w:tab w:val="right" w:pos="8640"/>
      </w:tabs>
    </w:pPr>
  </w:style>
  <w:style w:type="character" w:customStyle="1" w:styleId="FooterChar">
    <w:name w:val="Footer Char"/>
    <w:basedOn w:val="DefaultParagraphFont"/>
    <w:link w:val="Footer"/>
    <w:uiPriority w:val="99"/>
    <w:rsid w:val="00690F04"/>
    <w:rPr>
      <w:lang w:val="it-IT"/>
    </w:rPr>
  </w:style>
  <w:style w:type="character" w:styleId="PageNumber">
    <w:name w:val="page number"/>
    <w:basedOn w:val="DefaultParagraphFont"/>
    <w:uiPriority w:val="99"/>
    <w:semiHidden/>
    <w:unhideWhenUsed/>
    <w:rsid w:val="00690F04"/>
  </w:style>
  <w:style w:type="character" w:customStyle="1" w:styleId="Heading3Char">
    <w:name w:val="Heading 3 Char"/>
    <w:basedOn w:val="DefaultParagraphFont"/>
    <w:link w:val="Heading3"/>
    <w:rsid w:val="00B538BA"/>
    <w:rPr>
      <w:rFonts w:ascii="Tahoma" w:eastAsia="SimSun" w:hAnsi="Tahoma" w:cs="Tahoma"/>
      <w:b/>
      <w:bCs/>
      <w:sz w:val="20"/>
      <w:szCs w:val="20"/>
      <w:lang w:val="en-GB" w:eastAsia="zh-CN"/>
    </w:rPr>
  </w:style>
  <w:style w:type="paragraph" w:styleId="NormalWeb">
    <w:name w:val="Normal (Web)"/>
    <w:basedOn w:val="Normal"/>
    <w:rsid w:val="00B538BA"/>
    <w:pPr>
      <w:spacing w:before="100" w:beforeAutospacing="1" w:after="100" w:afterAutospacing="1"/>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B538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38BA"/>
    <w:rPr>
      <w:rFonts w:ascii="Lucida Grande" w:hAnsi="Lucida Grande" w:cs="Lucida Grande"/>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4022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2771</Words>
  <Characters>14497</Characters>
  <Application>Microsoft Macintosh Word</Application>
  <DocSecurity>0</DocSecurity>
  <Lines>273</Lines>
  <Paragraphs>35</Paragraphs>
  <ScaleCrop>false</ScaleCrop>
  <Company>investindustrial</Company>
  <LinksUpToDate>false</LinksUpToDate>
  <CharactersWithSpaces>17233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Hedy Mowinckel</dc:creator>
  <cp:keywords/>
  <dc:description/>
  <cp:lastModifiedBy>Hedy Mowinckel</cp:lastModifiedBy>
  <cp:revision>2</cp:revision>
  <cp:lastPrinted>2021-02-25T21:16:00Z</cp:lastPrinted>
  <dcterms:created xsi:type="dcterms:W3CDTF">2021-06-11T22:59:00Z</dcterms:created>
  <dcterms:modified xsi:type="dcterms:W3CDTF">2021-06-11T22:59:00Z</dcterms:modified>
</cp:coreProperties>
</file>