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05F7BD" w14:textId="10FA4F6D" w:rsidR="00406159" w:rsidRDefault="00406159" w:rsidP="00406159">
      <w:pPr>
        <w:rPr>
          <w:sz w:val="36"/>
          <w:szCs w:val="36"/>
          <w:u w:val="single"/>
        </w:rPr>
      </w:pPr>
      <w:r w:rsidRPr="00D108BE">
        <w:rPr>
          <w:sz w:val="36"/>
          <w:szCs w:val="36"/>
          <w:u w:val="single"/>
        </w:rPr>
        <w:t xml:space="preserve">Polycystic Ovary Syndrome: A review </w:t>
      </w:r>
    </w:p>
    <w:p w14:paraId="1865DA72" w14:textId="77777777" w:rsidR="00406159" w:rsidRDefault="00406159" w:rsidP="00406159">
      <w:pPr>
        <w:rPr>
          <w:sz w:val="36"/>
          <w:szCs w:val="36"/>
          <w:u w:val="single"/>
        </w:rPr>
      </w:pPr>
    </w:p>
    <w:p w14:paraId="61A630D7" w14:textId="212EA36B" w:rsidR="00406159" w:rsidRPr="00406159" w:rsidRDefault="00406159" w:rsidP="00406159"/>
    <w:p w14:paraId="2F2DD43A" w14:textId="6DC5B973" w:rsidR="00406159" w:rsidRDefault="00406159">
      <w:pPr>
        <w:rPr>
          <w:sz w:val="36"/>
          <w:szCs w:val="36"/>
          <w:u w:val="single"/>
        </w:rPr>
      </w:pPr>
      <w:r w:rsidRPr="00337BEC">
        <w:rPr>
          <w:noProof/>
          <w:sz w:val="24"/>
          <w:szCs w:val="24"/>
        </w:rPr>
        <w:drawing>
          <wp:anchor distT="0" distB="0" distL="114300" distR="114300" simplePos="0" relativeHeight="251676672" behindDoc="0" locked="0" layoutInCell="1" allowOverlap="1" wp14:anchorId="14FA3CC9" wp14:editId="55685B1A">
            <wp:simplePos x="0" y="0"/>
            <wp:positionH relativeFrom="margin">
              <wp:align>left</wp:align>
            </wp:positionH>
            <wp:positionV relativeFrom="paragraph">
              <wp:posOffset>229870</wp:posOffset>
            </wp:positionV>
            <wp:extent cx="5152390" cy="3435350"/>
            <wp:effectExtent l="0" t="0" r="0" b="0"/>
            <wp:wrapSquare wrapText="bothSides"/>
            <wp:docPr id="1" name="Picture 1" descr="Pcos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os Images - Free Download on Freepi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2390" cy="3435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3B5DA4" w14:textId="630F85E3" w:rsidR="00406159" w:rsidRPr="00406159" w:rsidRDefault="00406159" w:rsidP="00406159">
      <w:pPr>
        <w:rPr>
          <w:sz w:val="24"/>
          <w:szCs w:val="24"/>
        </w:rPr>
      </w:pPr>
    </w:p>
    <w:p w14:paraId="40031A39" w14:textId="77777777" w:rsidR="00406159" w:rsidRPr="00406159" w:rsidRDefault="00406159" w:rsidP="00406159">
      <w:pPr>
        <w:rPr>
          <w:sz w:val="24"/>
          <w:szCs w:val="24"/>
        </w:rPr>
      </w:pPr>
    </w:p>
    <w:p w14:paraId="1396D10F" w14:textId="77777777" w:rsidR="00406159" w:rsidRPr="00406159" w:rsidRDefault="00406159" w:rsidP="00406159">
      <w:pPr>
        <w:rPr>
          <w:sz w:val="24"/>
          <w:szCs w:val="24"/>
        </w:rPr>
      </w:pPr>
    </w:p>
    <w:p w14:paraId="4F418447" w14:textId="77777777" w:rsidR="00406159" w:rsidRPr="00406159" w:rsidRDefault="00406159" w:rsidP="00406159">
      <w:pPr>
        <w:rPr>
          <w:sz w:val="24"/>
          <w:szCs w:val="24"/>
        </w:rPr>
      </w:pPr>
    </w:p>
    <w:p w14:paraId="0747E130" w14:textId="77777777" w:rsidR="00406159" w:rsidRPr="00406159" w:rsidRDefault="00406159" w:rsidP="00406159">
      <w:pPr>
        <w:rPr>
          <w:sz w:val="24"/>
          <w:szCs w:val="24"/>
        </w:rPr>
      </w:pPr>
    </w:p>
    <w:p w14:paraId="0BAC0CBF" w14:textId="77777777" w:rsidR="00406159" w:rsidRPr="00406159" w:rsidRDefault="00406159" w:rsidP="00406159">
      <w:pPr>
        <w:rPr>
          <w:sz w:val="24"/>
          <w:szCs w:val="24"/>
        </w:rPr>
      </w:pPr>
    </w:p>
    <w:p w14:paraId="3D627090" w14:textId="77777777" w:rsidR="00406159" w:rsidRPr="00406159" w:rsidRDefault="00406159" w:rsidP="00406159">
      <w:pPr>
        <w:rPr>
          <w:sz w:val="24"/>
          <w:szCs w:val="24"/>
        </w:rPr>
      </w:pPr>
    </w:p>
    <w:p w14:paraId="00B79D4B" w14:textId="77777777" w:rsidR="00406159" w:rsidRPr="00406159" w:rsidRDefault="00406159" w:rsidP="00406159">
      <w:pPr>
        <w:rPr>
          <w:sz w:val="24"/>
          <w:szCs w:val="24"/>
        </w:rPr>
      </w:pPr>
    </w:p>
    <w:p w14:paraId="4379B547" w14:textId="77777777" w:rsidR="00406159" w:rsidRPr="00406159" w:rsidRDefault="00406159" w:rsidP="00406159">
      <w:pPr>
        <w:rPr>
          <w:sz w:val="24"/>
          <w:szCs w:val="24"/>
        </w:rPr>
      </w:pPr>
    </w:p>
    <w:p w14:paraId="4C6D9107" w14:textId="77777777" w:rsidR="00406159" w:rsidRPr="00406159" w:rsidRDefault="00406159" w:rsidP="00406159">
      <w:pPr>
        <w:rPr>
          <w:sz w:val="24"/>
          <w:szCs w:val="24"/>
        </w:rPr>
      </w:pPr>
    </w:p>
    <w:p w14:paraId="12B0BBAD" w14:textId="77777777" w:rsidR="00406159" w:rsidRPr="00406159" w:rsidRDefault="00406159" w:rsidP="00406159">
      <w:pPr>
        <w:rPr>
          <w:sz w:val="24"/>
          <w:szCs w:val="24"/>
        </w:rPr>
      </w:pPr>
    </w:p>
    <w:p w14:paraId="6048AE19" w14:textId="77777777" w:rsidR="00406159" w:rsidRPr="00406159" w:rsidRDefault="00406159" w:rsidP="00406159">
      <w:pPr>
        <w:rPr>
          <w:sz w:val="24"/>
          <w:szCs w:val="24"/>
        </w:rPr>
      </w:pPr>
    </w:p>
    <w:p w14:paraId="7C9E2AC3" w14:textId="77777777" w:rsidR="00406159" w:rsidRDefault="00406159" w:rsidP="00406159">
      <w:pPr>
        <w:rPr>
          <w:sz w:val="36"/>
          <w:szCs w:val="36"/>
          <w:u w:val="single"/>
        </w:rPr>
      </w:pPr>
    </w:p>
    <w:p w14:paraId="303D300E" w14:textId="77777777" w:rsidR="00406159" w:rsidRPr="00406159" w:rsidRDefault="00406159" w:rsidP="00406159">
      <w:pPr>
        <w:rPr>
          <w:sz w:val="24"/>
          <w:szCs w:val="24"/>
        </w:rPr>
      </w:pPr>
    </w:p>
    <w:p w14:paraId="0378161C" w14:textId="77777777" w:rsidR="00406159" w:rsidRPr="00406159" w:rsidRDefault="00406159" w:rsidP="00406159">
      <w:pPr>
        <w:rPr>
          <w:sz w:val="24"/>
          <w:szCs w:val="24"/>
        </w:rPr>
      </w:pPr>
    </w:p>
    <w:p w14:paraId="3F40F84B" w14:textId="77777777" w:rsidR="00406159" w:rsidRPr="00406159" w:rsidRDefault="00406159" w:rsidP="00406159">
      <w:pPr>
        <w:rPr>
          <w:sz w:val="24"/>
          <w:szCs w:val="24"/>
        </w:rPr>
      </w:pPr>
    </w:p>
    <w:p w14:paraId="66DB9FA3" w14:textId="3D030C67" w:rsidR="00406159" w:rsidRPr="00337BEC" w:rsidRDefault="00406159" w:rsidP="00406159">
      <w:pPr>
        <w:rPr>
          <w:sz w:val="24"/>
          <w:szCs w:val="24"/>
        </w:rPr>
      </w:pPr>
      <w:r w:rsidRPr="00337BEC">
        <w:rPr>
          <w:sz w:val="24"/>
          <w:szCs w:val="24"/>
        </w:rPr>
        <w:t xml:space="preserve">Name: Claire Gunter </w:t>
      </w:r>
    </w:p>
    <w:p w14:paraId="12882EB2" w14:textId="77777777" w:rsidR="00406159" w:rsidRPr="00D108BE" w:rsidRDefault="00406159" w:rsidP="00406159">
      <w:pPr>
        <w:rPr>
          <w:rFonts w:ascii="Tahoma" w:eastAsia="Tahoma" w:hAnsi="Tahoma" w:cs="Tahoma"/>
          <w:color w:val="242424"/>
          <w:sz w:val="24"/>
          <w:szCs w:val="24"/>
        </w:rPr>
      </w:pPr>
      <w:r w:rsidRPr="00337BEC">
        <w:rPr>
          <w:sz w:val="24"/>
          <w:szCs w:val="24"/>
        </w:rPr>
        <w:t xml:space="preserve">Student Number: </w:t>
      </w:r>
      <w:hyperlink r:id="rId12">
        <w:r w:rsidRPr="00337BEC">
          <w:rPr>
            <w:rStyle w:val="Hyperlink"/>
            <w:rFonts w:ascii="Tahoma" w:eastAsia="Tahoma" w:hAnsi="Tahoma" w:cs="Tahoma"/>
            <w:color w:val="auto"/>
            <w:sz w:val="24"/>
            <w:szCs w:val="24"/>
            <w:u w:val="none"/>
          </w:rPr>
          <w:t>2316148</w:t>
        </w:r>
        <w:r w:rsidRPr="00337BEC">
          <w:rPr>
            <w:sz w:val="24"/>
            <w:szCs w:val="24"/>
          </w:rPr>
          <w:br/>
        </w:r>
      </w:hyperlink>
    </w:p>
    <w:p w14:paraId="639C549D" w14:textId="0D742D85" w:rsidR="00406159" w:rsidRDefault="00406159" w:rsidP="00406159">
      <w:pPr>
        <w:tabs>
          <w:tab w:val="left" w:pos="1600"/>
        </w:tabs>
        <w:rPr>
          <w:sz w:val="36"/>
          <w:szCs w:val="36"/>
          <w:u w:val="single"/>
        </w:rPr>
      </w:pPr>
    </w:p>
    <w:p w14:paraId="284539EC" w14:textId="6684E228" w:rsidR="00406159" w:rsidRPr="00406159" w:rsidRDefault="00406159" w:rsidP="00406159">
      <w:pPr>
        <w:tabs>
          <w:tab w:val="left" w:pos="1600"/>
        </w:tabs>
        <w:rPr>
          <w:sz w:val="24"/>
          <w:szCs w:val="24"/>
        </w:rPr>
        <w:sectPr w:rsidR="00406159" w:rsidRPr="00406159">
          <w:footerReference w:type="default" r:id="rId13"/>
          <w:pgSz w:w="11906" w:h="16838"/>
          <w:pgMar w:top="1440" w:right="1440" w:bottom="1440" w:left="1440" w:header="720" w:footer="720" w:gutter="0"/>
          <w:cols w:space="720"/>
          <w:docGrid w:linePitch="360"/>
        </w:sectPr>
      </w:pPr>
    </w:p>
    <w:p w14:paraId="01821ABC" w14:textId="77777777" w:rsidR="00337BEC" w:rsidRDefault="00337BEC"/>
    <w:p w14:paraId="7E7615C2" w14:textId="1BD25DED" w:rsidR="001B5B67" w:rsidRPr="00337BEC" w:rsidRDefault="001B5B67" w:rsidP="00337BEC">
      <w:pPr>
        <w:jc w:val="center"/>
        <w:rPr>
          <w:b/>
          <w:bCs/>
          <w:sz w:val="32"/>
          <w:szCs w:val="32"/>
          <w:u w:val="single"/>
        </w:rPr>
      </w:pPr>
      <w:r w:rsidRPr="00337BEC">
        <w:rPr>
          <w:b/>
          <w:bCs/>
          <w:sz w:val="32"/>
          <w:szCs w:val="32"/>
          <w:u w:val="single"/>
        </w:rPr>
        <w:t>Contents</w:t>
      </w:r>
    </w:p>
    <w:p w14:paraId="3C328661" w14:textId="77777777" w:rsidR="00337BEC" w:rsidRDefault="00337BEC" w:rsidP="00902BF0">
      <w:pPr>
        <w:spacing w:line="360" w:lineRule="auto"/>
      </w:pPr>
    </w:p>
    <w:p w14:paraId="25A50209" w14:textId="23482BC5" w:rsidR="001B5B67" w:rsidRPr="00337BEC" w:rsidRDefault="00F661B2" w:rsidP="00F661B2">
      <w:pPr>
        <w:spacing w:line="360" w:lineRule="auto"/>
        <w:rPr>
          <w:sz w:val="24"/>
          <w:szCs w:val="24"/>
        </w:rPr>
      </w:pPr>
      <w:r>
        <w:rPr>
          <w:sz w:val="24"/>
          <w:szCs w:val="24"/>
        </w:rPr>
        <w:t xml:space="preserve"> Introduction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Pr>
          <w:sz w:val="24"/>
          <w:szCs w:val="24"/>
        </w:rPr>
        <w:tab/>
        <w:t xml:space="preserve">       </w:t>
      </w:r>
      <w:r w:rsidR="00902BF0">
        <w:rPr>
          <w:sz w:val="24"/>
          <w:szCs w:val="24"/>
        </w:rPr>
        <w:t xml:space="preserve">Page </w:t>
      </w:r>
      <w:r w:rsidR="00337BEC">
        <w:rPr>
          <w:sz w:val="24"/>
          <w:szCs w:val="24"/>
        </w:rPr>
        <w:t>3</w:t>
      </w:r>
    </w:p>
    <w:p w14:paraId="39F2E545" w14:textId="297E1F05" w:rsidR="001B5B67" w:rsidRPr="00337BEC" w:rsidRDefault="001B5B67" w:rsidP="00902BF0">
      <w:pPr>
        <w:spacing w:line="360" w:lineRule="auto"/>
        <w:rPr>
          <w:sz w:val="24"/>
          <w:szCs w:val="24"/>
        </w:rPr>
      </w:pPr>
      <w:r w:rsidRPr="00337BEC">
        <w:rPr>
          <w:sz w:val="24"/>
          <w:szCs w:val="24"/>
        </w:rPr>
        <w:t xml:space="preserve">Case study </w:t>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902BF0">
        <w:rPr>
          <w:sz w:val="24"/>
          <w:szCs w:val="24"/>
        </w:rPr>
        <w:t xml:space="preserve">        Page 4</w:t>
      </w:r>
    </w:p>
    <w:p w14:paraId="195CDE34" w14:textId="3B851DCD" w:rsidR="001B5B67" w:rsidRPr="00337BEC" w:rsidRDefault="00F661B2" w:rsidP="00902BF0">
      <w:pPr>
        <w:spacing w:line="360" w:lineRule="auto"/>
        <w:rPr>
          <w:sz w:val="24"/>
          <w:szCs w:val="24"/>
        </w:rPr>
      </w:pPr>
      <w:r>
        <w:rPr>
          <w:sz w:val="24"/>
          <w:szCs w:val="24"/>
        </w:rPr>
        <w:t>Overview of condition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Page 6</w:t>
      </w:r>
      <w:r w:rsidR="001B5B67" w:rsidRPr="00337BEC">
        <w:rPr>
          <w:sz w:val="24"/>
          <w:szCs w:val="24"/>
        </w:rPr>
        <w:t xml:space="preserve"> </w:t>
      </w:r>
    </w:p>
    <w:p w14:paraId="3BF5B837" w14:textId="6C6DEA5C" w:rsidR="001B5B67" w:rsidRPr="00337BEC" w:rsidRDefault="001B5B67" w:rsidP="00902BF0">
      <w:pPr>
        <w:spacing w:line="360" w:lineRule="auto"/>
        <w:rPr>
          <w:sz w:val="24"/>
          <w:szCs w:val="24"/>
        </w:rPr>
      </w:pPr>
      <w:r w:rsidRPr="00337BEC">
        <w:rPr>
          <w:sz w:val="24"/>
          <w:szCs w:val="24"/>
        </w:rPr>
        <w:t xml:space="preserve">Previous approaches to the condition </w:t>
      </w:r>
      <w:r w:rsidR="00F661B2">
        <w:rPr>
          <w:sz w:val="24"/>
          <w:szCs w:val="24"/>
        </w:rPr>
        <w:t xml:space="preserve">       </w:t>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t xml:space="preserve">        Page 8</w:t>
      </w:r>
    </w:p>
    <w:p w14:paraId="1007DDAC" w14:textId="056486CD" w:rsidR="001B5B67" w:rsidRPr="00337BEC" w:rsidRDefault="001B5B67" w:rsidP="00902BF0">
      <w:pPr>
        <w:spacing w:line="360" w:lineRule="auto"/>
        <w:rPr>
          <w:sz w:val="24"/>
          <w:szCs w:val="24"/>
        </w:rPr>
      </w:pPr>
      <w:r w:rsidRPr="00337BEC">
        <w:rPr>
          <w:sz w:val="24"/>
          <w:szCs w:val="24"/>
        </w:rPr>
        <w:t xml:space="preserve">Current approaches to the condition </w:t>
      </w:r>
      <w:r w:rsidR="00F661B2">
        <w:rPr>
          <w:sz w:val="24"/>
          <w:szCs w:val="24"/>
        </w:rPr>
        <w:t xml:space="preserve">              </w:t>
      </w:r>
      <w:r w:rsidR="00F661B2">
        <w:rPr>
          <w:sz w:val="24"/>
          <w:szCs w:val="24"/>
        </w:rPr>
        <w:tab/>
      </w:r>
      <w:r w:rsidR="00F661B2">
        <w:rPr>
          <w:sz w:val="24"/>
          <w:szCs w:val="24"/>
        </w:rPr>
        <w:tab/>
      </w:r>
      <w:r w:rsidR="00F661B2">
        <w:rPr>
          <w:sz w:val="24"/>
          <w:szCs w:val="24"/>
        </w:rPr>
        <w:tab/>
      </w:r>
      <w:r w:rsidR="00F661B2">
        <w:rPr>
          <w:sz w:val="24"/>
          <w:szCs w:val="24"/>
        </w:rPr>
        <w:tab/>
        <w:t xml:space="preserve">        Page 9</w:t>
      </w:r>
    </w:p>
    <w:p w14:paraId="429D6E77" w14:textId="0D2C6893" w:rsidR="001B5B67" w:rsidRPr="00337BEC" w:rsidRDefault="001B5B67" w:rsidP="00902BF0">
      <w:pPr>
        <w:spacing w:line="360" w:lineRule="auto"/>
        <w:rPr>
          <w:sz w:val="24"/>
          <w:szCs w:val="24"/>
        </w:rPr>
      </w:pPr>
      <w:r w:rsidRPr="00337BEC">
        <w:rPr>
          <w:sz w:val="24"/>
          <w:szCs w:val="24"/>
        </w:rPr>
        <w:t xml:space="preserve">Co production </w:t>
      </w:r>
      <w:r w:rsidR="00F661B2">
        <w:rPr>
          <w:sz w:val="24"/>
          <w:szCs w:val="24"/>
        </w:rPr>
        <w:t xml:space="preserve">              </w:t>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t xml:space="preserve">        Page 10 </w:t>
      </w:r>
    </w:p>
    <w:p w14:paraId="3828F666" w14:textId="502663BC" w:rsidR="001B5B67" w:rsidRPr="00337BEC" w:rsidRDefault="001B5B67" w:rsidP="00902BF0">
      <w:pPr>
        <w:spacing w:line="360" w:lineRule="auto"/>
        <w:rPr>
          <w:sz w:val="24"/>
          <w:szCs w:val="24"/>
        </w:rPr>
      </w:pPr>
      <w:r w:rsidRPr="00337BEC">
        <w:rPr>
          <w:sz w:val="24"/>
          <w:szCs w:val="24"/>
        </w:rPr>
        <w:t xml:space="preserve">Clinical governance and supervision framework </w:t>
      </w:r>
      <w:r w:rsidR="00F661B2">
        <w:rPr>
          <w:sz w:val="24"/>
          <w:szCs w:val="24"/>
        </w:rPr>
        <w:tab/>
      </w:r>
      <w:r w:rsidR="00F661B2">
        <w:rPr>
          <w:sz w:val="24"/>
          <w:szCs w:val="24"/>
        </w:rPr>
        <w:tab/>
      </w:r>
      <w:r w:rsidR="00F661B2">
        <w:rPr>
          <w:sz w:val="24"/>
          <w:szCs w:val="24"/>
        </w:rPr>
        <w:tab/>
      </w:r>
      <w:r w:rsidR="00F661B2">
        <w:rPr>
          <w:sz w:val="24"/>
          <w:szCs w:val="24"/>
        </w:rPr>
        <w:tab/>
        <w:t xml:space="preserve">        Page 12</w:t>
      </w:r>
    </w:p>
    <w:p w14:paraId="7462FD49" w14:textId="11389BC1" w:rsidR="001B5B67" w:rsidRPr="00337BEC" w:rsidRDefault="001B5B67" w:rsidP="00902BF0">
      <w:pPr>
        <w:spacing w:line="360" w:lineRule="auto"/>
        <w:rPr>
          <w:sz w:val="24"/>
          <w:szCs w:val="24"/>
        </w:rPr>
      </w:pPr>
      <w:r w:rsidRPr="00337BEC">
        <w:rPr>
          <w:sz w:val="24"/>
          <w:szCs w:val="24"/>
        </w:rPr>
        <w:t>Conclusion and recommendations</w:t>
      </w:r>
      <w:r w:rsidR="00F661B2">
        <w:rPr>
          <w:sz w:val="24"/>
          <w:szCs w:val="24"/>
        </w:rPr>
        <w:t xml:space="preserve">        </w:t>
      </w:r>
      <w:r w:rsidR="00F661B2">
        <w:rPr>
          <w:sz w:val="24"/>
          <w:szCs w:val="24"/>
        </w:rPr>
        <w:tab/>
      </w:r>
      <w:r w:rsidR="00F661B2">
        <w:rPr>
          <w:sz w:val="24"/>
          <w:szCs w:val="24"/>
        </w:rPr>
        <w:tab/>
      </w:r>
      <w:r w:rsidR="00F661B2">
        <w:rPr>
          <w:sz w:val="24"/>
          <w:szCs w:val="24"/>
        </w:rPr>
        <w:tab/>
      </w:r>
      <w:r w:rsidR="00F661B2">
        <w:rPr>
          <w:sz w:val="24"/>
          <w:szCs w:val="24"/>
        </w:rPr>
        <w:tab/>
      </w:r>
      <w:r w:rsidR="00F661B2">
        <w:rPr>
          <w:sz w:val="24"/>
          <w:szCs w:val="24"/>
        </w:rPr>
        <w:tab/>
        <w:t xml:space="preserve">        Page 14</w:t>
      </w:r>
    </w:p>
    <w:p w14:paraId="6FBE72FB" w14:textId="0B9E71C7" w:rsidR="001B5B67" w:rsidRPr="00337BEC" w:rsidRDefault="001B5B67" w:rsidP="00902BF0">
      <w:pPr>
        <w:spacing w:line="360" w:lineRule="auto"/>
        <w:rPr>
          <w:sz w:val="24"/>
          <w:szCs w:val="24"/>
        </w:rPr>
      </w:pPr>
      <w:r w:rsidRPr="00337BEC">
        <w:rPr>
          <w:sz w:val="24"/>
          <w:szCs w:val="24"/>
        </w:rPr>
        <w:t xml:space="preserve">Reference list </w:t>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t xml:space="preserve">        Page 13</w:t>
      </w:r>
    </w:p>
    <w:p w14:paraId="5F77E7C5" w14:textId="0CC6735A" w:rsidR="001B5B67" w:rsidRPr="00337BEC" w:rsidRDefault="00337BEC" w:rsidP="00902BF0">
      <w:pPr>
        <w:spacing w:line="360" w:lineRule="auto"/>
        <w:rPr>
          <w:sz w:val="24"/>
          <w:szCs w:val="24"/>
        </w:rPr>
      </w:pPr>
      <w:r w:rsidRPr="00337BEC">
        <w:rPr>
          <w:sz w:val="24"/>
          <w:szCs w:val="24"/>
        </w:rPr>
        <w:t>Appendices</w:t>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r>
      <w:r w:rsidR="00EB256E">
        <w:rPr>
          <w:sz w:val="24"/>
          <w:szCs w:val="24"/>
        </w:rPr>
        <w:tab/>
        <w:t xml:space="preserve">        Page 18 </w:t>
      </w:r>
    </w:p>
    <w:p w14:paraId="1B00A908" w14:textId="77777777" w:rsidR="001B5B67" w:rsidRDefault="001B5B67"/>
    <w:p w14:paraId="4E087498" w14:textId="77777777" w:rsidR="00406159" w:rsidRDefault="00406159"/>
    <w:p w14:paraId="51866717" w14:textId="77777777" w:rsidR="00406159" w:rsidRDefault="00406159"/>
    <w:p w14:paraId="73F04745" w14:textId="77777777" w:rsidR="00406159" w:rsidRDefault="00406159"/>
    <w:p w14:paraId="4B610756" w14:textId="77777777" w:rsidR="00406159" w:rsidRDefault="00406159"/>
    <w:p w14:paraId="520D2590" w14:textId="77777777" w:rsidR="00406159" w:rsidRDefault="00406159"/>
    <w:p w14:paraId="520F645C" w14:textId="77777777" w:rsidR="00406159" w:rsidRDefault="00406159"/>
    <w:p w14:paraId="50F91ED4" w14:textId="77777777" w:rsidR="00406159" w:rsidRDefault="00406159"/>
    <w:p w14:paraId="7A02FDD3" w14:textId="77777777" w:rsidR="00406159" w:rsidRDefault="00406159"/>
    <w:p w14:paraId="5AE7FFEC" w14:textId="77777777" w:rsidR="00406159" w:rsidRDefault="00406159"/>
    <w:p w14:paraId="0D51DE88" w14:textId="77777777" w:rsidR="00406159" w:rsidRDefault="00406159"/>
    <w:p w14:paraId="3209335F" w14:textId="77777777" w:rsidR="00406159" w:rsidRDefault="00406159"/>
    <w:p w14:paraId="1B20AB58" w14:textId="77777777" w:rsidR="00406159" w:rsidRDefault="00406159"/>
    <w:p w14:paraId="2ECEAB48" w14:textId="77777777" w:rsidR="00BF243C" w:rsidRDefault="00BF243C"/>
    <w:p w14:paraId="5BFD7F26" w14:textId="4F5A025E" w:rsidR="00BF243C" w:rsidRPr="00406159" w:rsidRDefault="00D108BE" w:rsidP="00406159">
      <w:pPr>
        <w:jc w:val="center"/>
        <w:rPr>
          <w:b/>
          <w:bCs/>
          <w:sz w:val="28"/>
          <w:szCs w:val="28"/>
          <w:u w:val="single"/>
        </w:rPr>
      </w:pPr>
      <w:r w:rsidRPr="00406159">
        <w:rPr>
          <w:b/>
          <w:bCs/>
          <w:sz w:val="28"/>
          <w:szCs w:val="28"/>
          <w:u w:val="single"/>
        </w:rPr>
        <w:lastRenderedPageBreak/>
        <w:t>Introduction</w:t>
      </w:r>
    </w:p>
    <w:p w14:paraId="18743C76" w14:textId="5704B920" w:rsidR="00EB124C" w:rsidRPr="00902BF0" w:rsidRDefault="00D108BE" w:rsidP="00902BF0">
      <w:pPr>
        <w:pStyle w:val="NoSpacing"/>
        <w:spacing w:line="360" w:lineRule="auto"/>
        <w:rPr>
          <w:sz w:val="24"/>
          <w:szCs w:val="24"/>
        </w:rPr>
      </w:pPr>
      <w:r w:rsidRPr="00902BF0">
        <w:rPr>
          <w:sz w:val="24"/>
          <w:szCs w:val="24"/>
        </w:rPr>
        <w:t>This report will be looking at the history, presentation</w:t>
      </w:r>
      <w:r w:rsidR="00EB124C" w:rsidRPr="00902BF0">
        <w:rPr>
          <w:sz w:val="24"/>
          <w:szCs w:val="24"/>
        </w:rPr>
        <w:t xml:space="preserve">, diagnosis and treatment </w:t>
      </w:r>
      <w:r w:rsidRPr="00902BF0">
        <w:rPr>
          <w:sz w:val="24"/>
          <w:szCs w:val="24"/>
        </w:rPr>
        <w:t xml:space="preserve">of Poly Cystic Ovary Syndrome (PCOS). </w:t>
      </w:r>
      <w:r w:rsidR="00EB124C" w:rsidRPr="00902BF0">
        <w:rPr>
          <w:sz w:val="24"/>
          <w:szCs w:val="24"/>
        </w:rPr>
        <w:t xml:space="preserve">PCOS is a multifaceted condition affecting women of reproductive age. The cause of PCOS is not understood and there is no cure, treatment is focused on management of symptoms. </w:t>
      </w:r>
    </w:p>
    <w:p w14:paraId="7179AC71" w14:textId="6EB2B908" w:rsidR="00D108BE" w:rsidRPr="00902BF0" w:rsidRDefault="00D108BE" w:rsidP="00902BF0">
      <w:pPr>
        <w:pStyle w:val="NoSpacing"/>
        <w:spacing w:line="360" w:lineRule="auto"/>
        <w:rPr>
          <w:sz w:val="24"/>
          <w:szCs w:val="24"/>
        </w:rPr>
      </w:pPr>
      <w:r w:rsidRPr="00902BF0">
        <w:rPr>
          <w:sz w:val="24"/>
          <w:szCs w:val="24"/>
        </w:rPr>
        <w:t>The report will look at women’s experience</w:t>
      </w:r>
      <w:r w:rsidR="00EB124C" w:rsidRPr="00902BF0">
        <w:rPr>
          <w:sz w:val="24"/>
          <w:szCs w:val="24"/>
        </w:rPr>
        <w:t xml:space="preserve"> of PCOS</w:t>
      </w:r>
      <w:r w:rsidRPr="00902BF0">
        <w:rPr>
          <w:sz w:val="24"/>
          <w:szCs w:val="24"/>
        </w:rPr>
        <w:t xml:space="preserve"> and how it affects their lives. PCOS is closely associated with obesity and this report will discuss how women are supported by </w:t>
      </w:r>
      <w:r w:rsidR="00EB124C" w:rsidRPr="00902BF0">
        <w:rPr>
          <w:sz w:val="24"/>
          <w:szCs w:val="24"/>
        </w:rPr>
        <w:t>t</w:t>
      </w:r>
      <w:r w:rsidRPr="00902BF0">
        <w:rPr>
          <w:sz w:val="24"/>
          <w:szCs w:val="24"/>
        </w:rPr>
        <w:t xml:space="preserve">herapy assistant practitioners (TAP) in a weight management service, the treatment and </w:t>
      </w:r>
      <w:r w:rsidR="00EB124C" w:rsidRPr="00902BF0">
        <w:rPr>
          <w:sz w:val="24"/>
          <w:szCs w:val="24"/>
        </w:rPr>
        <w:t>lifestyle</w:t>
      </w:r>
      <w:r w:rsidRPr="00902BF0">
        <w:rPr>
          <w:sz w:val="24"/>
          <w:szCs w:val="24"/>
        </w:rPr>
        <w:t xml:space="preserve"> modifications available to them</w:t>
      </w:r>
      <w:r w:rsidR="00EB124C" w:rsidRPr="00902BF0">
        <w:rPr>
          <w:sz w:val="24"/>
          <w:szCs w:val="24"/>
        </w:rPr>
        <w:t xml:space="preserve"> and the network of services that may be involved in their care. </w:t>
      </w:r>
      <w:r w:rsidRPr="00902BF0">
        <w:rPr>
          <w:sz w:val="24"/>
          <w:szCs w:val="24"/>
        </w:rPr>
        <w:t xml:space="preserve"> </w:t>
      </w:r>
    </w:p>
    <w:p w14:paraId="52FC655D" w14:textId="77777777" w:rsidR="00BF243C" w:rsidRPr="00902BF0" w:rsidRDefault="00BF243C" w:rsidP="00902BF0">
      <w:pPr>
        <w:pStyle w:val="NoSpacing"/>
        <w:spacing w:line="360" w:lineRule="auto"/>
        <w:rPr>
          <w:sz w:val="24"/>
          <w:szCs w:val="24"/>
        </w:rPr>
      </w:pPr>
    </w:p>
    <w:p w14:paraId="204ABEFD" w14:textId="77777777" w:rsidR="00BF243C" w:rsidRDefault="00BF243C"/>
    <w:p w14:paraId="4B54780A" w14:textId="77777777" w:rsidR="00BF243C" w:rsidRDefault="00BF243C"/>
    <w:p w14:paraId="0343DBB4" w14:textId="77777777" w:rsidR="00406159" w:rsidRDefault="00406159" w:rsidP="00406159">
      <w:pPr>
        <w:tabs>
          <w:tab w:val="left" w:pos="3760"/>
          <w:tab w:val="center" w:pos="4513"/>
        </w:tabs>
        <w:rPr>
          <w:sz w:val="28"/>
          <w:szCs w:val="28"/>
        </w:rPr>
      </w:pPr>
      <w:r>
        <w:rPr>
          <w:sz w:val="28"/>
          <w:szCs w:val="28"/>
        </w:rPr>
        <w:tab/>
      </w:r>
    </w:p>
    <w:p w14:paraId="695D8D99" w14:textId="77777777" w:rsidR="00406159" w:rsidRDefault="00406159" w:rsidP="00406159">
      <w:pPr>
        <w:tabs>
          <w:tab w:val="left" w:pos="3760"/>
          <w:tab w:val="center" w:pos="4513"/>
        </w:tabs>
        <w:rPr>
          <w:sz w:val="28"/>
          <w:szCs w:val="28"/>
        </w:rPr>
      </w:pPr>
    </w:p>
    <w:p w14:paraId="47DC4241" w14:textId="77777777" w:rsidR="00406159" w:rsidRDefault="00406159" w:rsidP="00406159">
      <w:pPr>
        <w:tabs>
          <w:tab w:val="left" w:pos="3760"/>
          <w:tab w:val="center" w:pos="4513"/>
        </w:tabs>
        <w:rPr>
          <w:sz w:val="28"/>
          <w:szCs w:val="28"/>
        </w:rPr>
      </w:pPr>
    </w:p>
    <w:p w14:paraId="1671DDC5" w14:textId="77777777" w:rsidR="00406159" w:rsidRDefault="00406159" w:rsidP="00406159">
      <w:pPr>
        <w:tabs>
          <w:tab w:val="left" w:pos="3760"/>
          <w:tab w:val="center" w:pos="4513"/>
        </w:tabs>
        <w:rPr>
          <w:sz w:val="28"/>
          <w:szCs w:val="28"/>
        </w:rPr>
      </w:pPr>
    </w:p>
    <w:p w14:paraId="4FB599D1" w14:textId="77777777" w:rsidR="00406159" w:rsidRDefault="00406159" w:rsidP="00406159">
      <w:pPr>
        <w:tabs>
          <w:tab w:val="left" w:pos="3760"/>
          <w:tab w:val="center" w:pos="4513"/>
        </w:tabs>
        <w:rPr>
          <w:sz w:val="28"/>
          <w:szCs w:val="28"/>
        </w:rPr>
      </w:pPr>
    </w:p>
    <w:p w14:paraId="55BAA10A" w14:textId="77777777" w:rsidR="00406159" w:rsidRDefault="00406159" w:rsidP="00406159">
      <w:pPr>
        <w:tabs>
          <w:tab w:val="left" w:pos="3760"/>
          <w:tab w:val="center" w:pos="4513"/>
        </w:tabs>
        <w:rPr>
          <w:sz w:val="28"/>
          <w:szCs w:val="28"/>
        </w:rPr>
      </w:pPr>
    </w:p>
    <w:p w14:paraId="4A54F615" w14:textId="77777777" w:rsidR="00406159" w:rsidRDefault="00406159" w:rsidP="00406159">
      <w:pPr>
        <w:tabs>
          <w:tab w:val="left" w:pos="3760"/>
          <w:tab w:val="center" w:pos="4513"/>
        </w:tabs>
        <w:rPr>
          <w:sz w:val="28"/>
          <w:szCs w:val="28"/>
        </w:rPr>
      </w:pPr>
    </w:p>
    <w:p w14:paraId="70BC8F05" w14:textId="77777777" w:rsidR="00406159" w:rsidRDefault="00406159" w:rsidP="00406159">
      <w:pPr>
        <w:tabs>
          <w:tab w:val="left" w:pos="3760"/>
          <w:tab w:val="center" w:pos="4513"/>
        </w:tabs>
        <w:rPr>
          <w:sz w:val="28"/>
          <w:szCs w:val="28"/>
        </w:rPr>
      </w:pPr>
    </w:p>
    <w:p w14:paraId="64035A5F" w14:textId="77777777" w:rsidR="00406159" w:rsidRDefault="00406159" w:rsidP="00406159">
      <w:pPr>
        <w:tabs>
          <w:tab w:val="left" w:pos="3760"/>
          <w:tab w:val="center" w:pos="4513"/>
        </w:tabs>
        <w:rPr>
          <w:sz w:val="28"/>
          <w:szCs w:val="28"/>
        </w:rPr>
      </w:pPr>
    </w:p>
    <w:p w14:paraId="2328A9C0" w14:textId="77777777" w:rsidR="00406159" w:rsidRDefault="00406159" w:rsidP="00406159">
      <w:pPr>
        <w:tabs>
          <w:tab w:val="left" w:pos="3760"/>
          <w:tab w:val="center" w:pos="4513"/>
        </w:tabs>
        <w:rPr>
          <w:sz w:val="28"/>
          <w:szCs w:val="28"/>
        </w:rPr>
      </w:pPr>
    </w:p>
    <w:p w14:paraId="4C0DA7AE" w14:textId="77777777" w:rsidR="00406159" w:rsidRDefault="00406159" w:rsidP="00406159">
      <w:pPr>
        <w:tabs>
          <w:tab w:val="left" w:pos="3760"/>
          <w:tab w:val="center" w:pos="4513"/>
        </w:tabs>
        <w:rPr>
          <w:sz w:val="28"/>
          <w:szCs w:val="28"/>
        </w:rPr>
      </w:pPr>
    </w:p>
    <w:p w14:paraId="522B514B" w14:textId="77777777" w:rsidR="0012313F" w:rsidRDefault="0012313F" w:rsidP="00406159">
      <w:pPr>
        <w:tabs>
          <w:tab w:val="left" w:pos="3760"/>
          <w:tab w:val="center" w:pos="4513"/>
        </w:tabs>
        <w:rPr>
          <w:sz w:val="28"/>
          <w:szCs w:val="28"/>
        </w:rPr>
      </w:pPr>
    </w:p>
    <w:p w14:paraId="74187104" w14:textId="77777777" w:rsidR="0012313F" w:rsidRDefault="0012313F" w:rsidP="00406159">
      <w:pPr>
        <w:tabs>
          <w:tab w:val="left" w:pos="3760"/>
          <w:tab w:val="center" w:pos="4513"/>
        </w:tabs>
        <w:rPr>
          <w:sz w:val="28"/>
          <w:szCs w:val="28"/>
        </w:rPr>
      </w:pPr>
    </w:p>
    <w:p w14:paraId="72429131" w14:textId="77777777" w:rsidR="0012313F" w:rsidRDefault="0012313F" w:rsidP="00406159">
      <w:pPr>
        <w:tabs>
          <w:tab w:val="left" w:pos="3760"/>
          <w:tab w:val="center" w:pos="4513"/>
        </w:tabs>
        <w:rPr>
          <w:sz w:val="28"/>
          <w:szCs w:val="28"/>
        </w:rPr>
      </w:pPr>
    </w:p>
    <w:p w14:paraId="7E2887D5" w14:textId="77777777" w:rsidR="0012313F" w:rsidRDefault="0012313F" w:rsidP="00406159">
      <w:pPr>
        <w:tabs>
          <w:tab w:val="left" w:pos="3760"/>
          <w:tab w:val="center" w:pos="4513"/>
        </w:tabs>
        <w:rPr>
          <w:sz w:val="28"/>
          <w:szCs w:val="28"/>
        </w:rPr>
      </w:pPr>
    </w:p>
    <w:p w14:paraId="2355C476" w14:textId="77777777" w:rsidR="00EB256E" w:rsidRDefault="00406159" w:rsidP="00406159">
      <w:pPr>
        <w:tabs>
          <w:tab w:val="left" w:pos="3760"/>
          <w:tab w:val="center" w:pos="4513"/>
        </w:tabs>
        <w:rPr>
          <w:sz w:val="28"/>
          <w:szCs w:val="28"/>
        </w:rPr>
      </w:pPr>
      <w:r>
        <w:rPr>
          <w:sz w:val="28"/>
          <w:szCs w:val="28"/>
        </w:rPr>
        <w:tab/>
      </w:r>
    </w:p>
    <w:p w14:paraId="389731BB" w14:textId="71CEBDD7" w:rsidR="00BF243C" w:rsidRPr="000C116F" w:rsidRDefault="00BF243C" w:rsidP="00EB256E">
      <w:pPr>
        <w:tabs>
          <w:tab w:val="left" w:pos="3760"/>
          <w:tab w:val="center" w:pos="4513"/>
        </w:tabs>
        <w:jc w:val="center"/>
        <w:rPr>
          <w:b/>
          <w:bCs/>
          <w:sz w:val="28"/>
          <w:szCs w:val="28"/>
          <w:u w:val="single"/>
        </w:rPr>
      </w:pPr>
      <w:r w:rsidRPr="000C116F">
        <w:rPr>
          <w:b/>
          <w:bCs/>
          <w:sz w:val="28"/>
          <w:szCs w:val="28"/>
          <w:u w:val="single"/>
        </w:rPr>
        <w:t>Case study</w:t>
      </w:r>
    </w:p>
    <w:p w14:paraId="69ED9798" w14:textId="77777777" w:rsidR="00BF243C" w:rsidRDefault="00BF243C" w:rsidP="00BF243C"/>
    <w:p w14:paraId="570CC6FA" w14:textId="2D259944" w:rsidR="00BF243C" w:rsidRPr="00902BF0" w:rsidRDefault="00BF243C" w:rsidP="00902BF0">
      <w:pPr>
        <w:pStyle w:val="NoSpacing"/>
        <w:spacing w:line="360" w:lineRule="auto"/>
        <w:rPr>
          <w:sz w:val="24"/>
          <w:szCs w:val="24"/>
        </w:rPr>
      </w:pPr>
      <w:r w:rsidRPr="00902BF0">
        <w:rPr>
          <w:sz w:val="24"/>
          <w:szCs w:val="24"/>
        </w:rPr>
        <w:t xml:space="preserve">This case study will be looking at the role of a Therapy Assistant Practitioner working in an outpatient weight management service. The weight management service provides support through clinic appointments and virtual sessions, the service champions patient centred care and aims to tailor nutritional advice and support lifestyle changes. Service users are assessed by a registered Dietitian and supported by therapy practitioners throughout their treatment.  </w:t>
      </w:r>
    </w:p>
    <w:p w14:paraId="7DFBEF31" w14:textId="06DDC10B" w:rsidR="00BF243C" w:rsidRPr="00902BF0" w:rsidRDefault="00BF243C" w:rsidP="00902BF0">
      <w:pPr>
        <w:pStyle w:val="NoSpacing"/>
        <w:spacing w:line="360" w:lineRule="auto"/>
        <w:rPr>
          <w:sz w:val="24"/>
          <w:szCs w:val="24"/>
        </w:rPr>
      </w:pPr>
      <w:r w:rsidRPr="00902BF0">
        <w:rPr>
          <w:sz w:val="24"/>
          <w:szCs w:val="24"/>
        </w:rPr>
        <w:t>The case example will be focusing on a lady with PCOS who</w:t>
      </w:r>
      <w:r w:rsidR="00EB124C" w:rsidRPr="00902BF0">
        <w:rPr>
          <w:sz w:val="24"/>
          <w:szCs w:val="24"/>
        </w:rPr>
        <w:t xml:space="preserve"> wants</w:t>
      </w:r>
      <w:r w:rsidRPr="00902BF0">
        <w:rPr>
          <w:sz w:val="24"/>
          <w:szCs w:val="24"/>
        </w:rPr>
        <w:t xml:space="preserve"> to lose weight to be able to conceive. The case example will be given the pseudo name (Alison) to maintain confidentiality. Alison is a 34-year-old woman who has struggled with her weight since she was a teenager. Alison is married and works full time in an office environment Monday to Friday. Alison and her husband have an active social life which involves eating out at restaurants and alcohol. Alison and her husband have been trying for a baby for over 3 years, this is not uncommon as Dennett and Simon (2015) recognise that PCOS is the most common cause of Anovulatory Infertility.</w:t>
      </w:r>
      <w:r w:rsidRPr="00902BF0">
        <w:rPr>
          <w:rFonts w:ascii="Cambria" w:hAnsi="Cambria"/>
          <w:color w:val="212121"/>
          <w:sz w:val="24"/>
          <w:szCs w:val="24"/>
          <w:shd w:val="clear" w:color="auto" w:fill="FFFFFF"/>
        </w:rPr>
        <w:t xml:space="preserve"> </w:t>
      </w:r>
      <w:r w:rsidRPr="00902BF0">
        <w:rPr>
          <w:sz w:val="24"/>
          <w:szCs w:val="24"/>
        </w:rPr>
        <w:t xml:space="preserve">Alison recognises she can eat in response to her emotions and currently relies heavily on takeaways and convenience foods. Alison’s current weight is 135kg, height 1.65m, BMI 49.5, </w:t>
      </w:r>
      <w:r w:rsidR="005E584F">
        <w:rPr>
          <w:sz w:val="24"/>
          <w:szCs w:val="24"/>
        </w:rPr>
        <w:t>s</w:t>
      </w:r>
      <w:r w:rsidRPr="00902BF0">
        <w:rPr>
          <w:sz w:val="24"/>
          <w:szCs w:val="24"/>
        </w:rPr>
        <w:t>he needs to get her BMI to 30 to access fertility treatment.</w:t>
      </w:r>
    </w:p>
    <w:p w14:paraId="33C96FBB" w14:textId="58446999" w:rsidR="00BF243C" w:rsidRPr="00902BF0" w:rsidRDefault="00BF243C" w:rsidP="00902BF0">
      <w:pPr>
        <w:pStyle w:val="NoSpacing"/>
        <w:spacing w:line="360" w:lineRule="auto"/>
        <w:rPr>
          <w:sz w:val="24"/>
          <w:szCs w:val="24"/>
        </w:rPr>
      </w:pPr>
      <w:r w:rsidRPr="00902BF0">
        <w:rPr>
          <w:sz w:val="24"/>
          <w:szCs w:val="24"/>
        </w:rPr>
        <w:t xml:space="preserve"> Alison was diagnosed with PCOS 18 months ago, she had been experiencing symptoms for several years before her diagnosis including irregular periods, excessive hair growth, mood changes and weight gain. Alison arranged an appointment with her GP to discuss fertility treatment</w:t>
      </w:r>
      <w:r w:rsidR="00F2073E" w:rsidRPr="00902BF0">
        <w:rPr>
          <w:sz w:val="24"/>
          <w:szCs w:val="24"/>
        </w:rPr>
        <w:t>.</w:t>
      </w:r>
      <w:r w:rsidR="00926AA9" w:rsidRPr="00902BF0">
        <w:rPr>
          <w:sz w:val="24"/>
          <w:szCs w:val="24"/>
        </w:rPr>
        <w:t xml:space="preserve"> </w:t>
      </w:r>
      <w:r w:rsidRPr="00902BF0">
        <w:rPr>
          <w:sz w:val="24"/>
          <w:szCs w:val="24"/>
        </w:rPr>
        <w:t xml:space="preserve">Alison’s GP conducted a range of tests and advised that based on her irregular periods and hormone levels she likely had PCOS. Alison was started on Metformin, her GP also advised that as her BMI is greater than 30 she would not be eligible for fertility treatment on the NHS and suggested she complete a referral to weight management services. Alison is concerned about developing Gestational Diabetes Mellitus (GDM) if she does become pregnant. Mills et al (2020) notes that women with PCOS are twice as likely to develop GDM as women without PCOS. However, </w:t>
      </w:r>
      <w:proofErr w:type="spellStart"/>
      <w:r w:rsidRPr="00902BF0">
        <w:rPr>
          <w:sz w:val="24"/>
          <w:szCs w:val="24"/>
        </w:rPr>
        <w:t>Xiaocui</w:t>
      </w:r>
      <w:proofErr w:type="spellEnd"/>
      <w:r w:rsidRPr="00902BF0">
        <w:rPr>
          <w:sz w:val="24"/>
          <w:szCs w:val="24"/>
        </w:rPr>
        <w:t xml:space="preserve"> et al (2021) suggests that PCOS may not be an independent factor and age, BMI and hormone levels are more important predicators.  </w:t>
      </w:r>
      <w:r w:rsidR="00F2073E" w:rsidRPr="00902BF0">
        <w:rPr>
          <w:sz w:val="24"/>
          <w:szCs w:val="24"/>
        </w:rPr>
        <w:t>A</w:t>
      </w:r>
      <w:r w:rsidRPr="00902BF0">
        <w:rPr>
          <w:sz w:val="24"/>
          <w:szCs w:val="24"/>
        </w:rPr>
        <w:t xml:space="preserve">s Alison is 34 years old her risk of developing </w:t>
      </w:r>
      <w:r w:rsidR="00F2073E" w:rsidRPr="00902BF0">
        <w:rPr>
          <w:sz w:val="24"/>
          <w:szCs w:val="24"/>
        </w:rPr>
        <w:t xml:space="preserve">other </w:t>
      </w:r>
      <w:r w:rsidRPr="00902BF0">
        <w:rPr>
          <w:sz w:val="24"/>
          <w:szCs w:val="24"/>
        </w:rPr>
        <w:t xml:space="preserve">health conditions such as Hypertension, Dyslipidaemia and birthing complications such as Preeclampsia are higher. Roberts et al </w:t>
      </w:r>
      <w:r w:rsidR="00D7764D" w:rsidRPr="00902BF0">
        <w:rPr>
          <w:sz w:val="24"/>
          <w:szCs w:val="24"/>
        </w:rPr>
        <w:t>(</w:t>
      </w:r>
      <w:r w:rsidRPr="00902BF0">
        <w:rPr>
          <w:sz w:val="24"/>
          <w:szCs w:val="24"/>
        </w:rPr>
        <w:t>2011</w:t>
      </w:r>
      <w:r w:rsidR="00D7764D" w:rsidRPr="00902BF0">
        <w:rPr>
          <w:sz w:val="24"/>
          <w:szCs w:val="24"/>
        </w:rPr>
        <w:t>)</w:t>
      </w:r>
      <w:r w:rsidRPr="00902BF0">
        <w:rPr>
          <w:sz w:val="24"/>
          <w:szCs w:val="24"/>
        </w:rPr>
        <w:t xml:space="preserve"> </w:t>
      </w:r>
    </w:p>
    <w:p w14:paraId="51D026DC" w14:textId="0A464617" w:rsidR="00BF243C" w:rsidRDefault="00BF243C" w:rsidP="00902BF0">
      <w:pPr>
        <w:pStyle w:val="NoSpacing"/>
        <w:spacing w:line="360" w:lineRule="auto"/>
        <w:rPr>
          <w:sz w:val="24"/>
          <w:szCs w:val="24"/>
        </w:rPr>
      </w:pPr>
      <w:r w:rsidRPr="00902BF0">
        <w:rPr>
          <w:sz w:val="24"/>
          <w:szCs w:val="24"/>
        </w:rPr>
        <w:lastRenderedPageBreak/>
        <w:t>Alison has tried many commercial weight loss programmes</w:t>
      </w:r>
      <w:r w:rsidR="00926AA9" w:rsidRPr="00902BF0">
        <w:rPr>
          <w:sz w:val="24"/>
          <w:szCs w:val="24"/>
        </w:rPr>
        <w:t>,</w:t>
      </w:r>
      <w:r w:rsidRPr="00902BF0">
        <w:rPr>
          <w:sz w:val="24"/>
          <w:szCs w:val="24"/>
        </w:rPr>
        <w:t xml:space="preserve"> </w:t>
      </w:r>
      <w:r w:rsidR="00926AA9" w:rsidRPr="00902BF0">
        <w:rPr>
          <w:sz w:val="24"/>
          <w:szCs w:val="24"/>
        </w:rPr>
        <w:t>s</w:t>
      </w:r>
      <w:r w:rsidRPr="00902BF0">
        <w:rPr>
          <w:sz w:val="24"/>
          <w:szCs w:val="24"/>
        </w:rPr>
        <w:t>he is aware that she craves high carbohydrate and sugary foods, she has very black and white thinking when it comes to dieting and recognise</w:t>
      </w:r>
      <w:r w:rsidR="00926AA9" w:rsidRPr="00902BF0">
        <w:rPr>
          <w:sz w:val="24"/>
          <w:szCs w:val="24"/>
        </w:rPr>
        <w:t>s</w:t>
      </w:r>
      <w:r w:rsidRPr="00902BF0">
        <w:rPr>
          <w:sz w:val="24"/>
          <w:szCs w:val="24"/>
        </w:rPr>
        <w:t xml:space="preserve"> that she binges occasionally in response to her emotions. Alison states her mood is very often low as all her friend have children and she feels left out. Alison has discussed with a Dietitian following a Low Glycaemic Index (GI) diet plan as she has read about its beneficial </w:t>
      </w:r>
      <w:r w:rsidR="00F2073E" w:rsidRPr="00902BF0">
        <w:rPr>
          <w:sz w:val="24"/>
          <w:szCs w:val="24"/>
        </w:rPr>
        <w:t>effects</w:t>
      </w:r>
      <w:r w:rsidRPr="00902BF0">
        <w:rPr>
          <w:sz w:val="24"/>
          <w:szCs w:val="24"/>
        </w:rPr>
        <w:t xml:space="preserve"> on blood sugar levels and insulin resistance. The purpose of her appointments with a TAP are to support Alison in continuing to make changes to her intake and lifestyle and move towards a Low GI diet. </w:t>
      </w:r>
    </w:p>
    <w:p w14:paraId="56BF904A" w14:textId="77777777" w:rsidR="0012313F" w:rsidRDefault="0012313F" w:rsidP="00902BF0">
      <w:pPr>
        <w:pStyle w:val="NoSpacing"/>
        <w:spacing w:line="360" w:lineRule="auto"/>
        <w:rPr>
          <w:sz w:val="24"/>
          <w:szCs w:val="24"/>
        </w:rPr>
      </w:pPr>
    </w:p>
    <w:p w14:paraId="7CFBAACD" w14:textId="77777777" w:rsidR="0012313F" w:rsidRDefault="0012313F" w:rsidP="00902BF0">
      <w:pPr>
        <w:pStyle w:val="NoSpacing"/>
        <w:spacing w:line="360" w:lineRule="auto"/>
        <w:rPr>
          <w:sz w:val="24"/>
          <w:szCs w:val="24"/>
        </w:rPr>
      </w:pPr>
    </w:p>
    <w:p w14:paraId="3D72B993" w14:textId="77777777" w:rsidR="0012313F" w:rsidRDefault="0012313F" w:rsidP="00902BF0">
      <w:pPr>
        <w:pStyle w:val="NoSpacing"/>
        <w:spacing w:line="360" w:lineRule="auto"/>
        <w:rPr>
          <w:sz w:val="24"/>
          <w:szCs w:val="24"/>
        </w:rPr>
      </w:pPr>
    </w:p>
    <w:p w14:paraId="1D17F6F7" w14:textId="77777777" w:rsidR="0012313F" w:rsidRDefault="0012313F" w:rsidP="00902BF0">
      <w:pPr>
        <w:pStyle w:val="NoSpacing"/>
        <w:spacing w:line="360" w:lineRule="auto"/>
        <w:rPr>
          <w:sz w:val="24"/>
          <w:szCs w:val="24"/>
        </w:rPr>
      </w:pPr>
    </w:p>
    <w:p w14:paraId="717CCFC0" w14:textId="77777777" w:rsidR="0012313F" w:rsidRDefault="0012313F" w:rsidP="00902BF0">
      <w:pPr>
        <w:pStyle w:val="NoSpacing"/>
        <w:spacing w:line="360" w:lineRule="auto"/>
        <w:rPr>
          <w:sz w:val="24"/>
          <w:szCs w:val="24"/>
        </w:rPr>
      </w:pPr>
    </w:p>
    <w:p w14:paraId="5900ED57" w14:textId="77777777" w:rsidR="0012313F" w:rsidRDefault="0012313F" w:rsidP="00902BF0">
      <w:pPr>
        <w:pStyle w:val="NoSpacing"/>
        <w:spacing w:line="360" w:lineRule="auto"/>
        <w:rPr>
          <w:sz w:val="24"/>
          <w:szCs w:val="24"/>
        </w:rPr>
      </w:pPr>
    </w:p>
    <w:p w14:paraId="31C1B25E" w14:textId="77777777" w:rsidR="0012313F" w:rsidRDefault="0012313F" w:rsidP="00902BF0">
      <w:pPr>
        <w:pStyle w:val="NoSpacing"/>
        <w:spacing w:line="360" w:lineRule="auto"/>
        <w:rPr>
          <w:sz w:val="24"/>
          <w:szCs w:val="24"/>
        </w:rPr>
      </w:pPr>
    </w:p>
    <w:p w14:paraId="51DD7D20" w14:textId="77777777" w:rsidR="0012313F" w:rsidRDefault="0012313F" w:rsidP="00902BF0">
      <w:pPr>
        <w:pStyle w:val="NoSpacing"/>
        <w:spacing w:line="360" w:lineRule="auto"/>
        <w:rPr>
          <w:sz w:val="24"/>
          <w:szCs w:val="24"/>
        </w:rPr>
      </w:pPr>
    </w:p>
    <w:p w14:paraId="209161BF" w14:textId="77777777" w:rsidR="0012313F" w:rsidRDefault="0012313F" w:rsidP="00902BF0">
      <w:pPr>
        <w:pStyle w:val="NoSpacing"/>
        <w:spacing w:line="360" w:lineRule="auto"/>
        <w:rPr>
          <w:sz w:val="24"/>
          <w:szCs w:val="24"/>
        </w:rPr>
      </w:pPr>
    </w:p>
    <w:p w14:paraId="63974681" w14:textId="77777777" w:rsidR="0012313F" w:rsidRDefault="0012313F" w:rsidP="00902BF0">
      <w:pPr>
        <w:pStyle w:val="NoSpacing"/>
        <w:spacing w:line="360" w:lineRule="auto"/>
        <w:rPr>
          <w:sz w:val="24"/>
          <w:szCs w:val="24"/>
        </w:rPr>
      </w:pPr>
    </w:p>
    <w:p w14:paraId="592B9F86" w14:textId="77777777" w:rsidR="0012313F" w:rsidRDefault="0012313F" w:rsidP="00902BF0">
      <w:pPr>
        <w:pStyle w:val="NoSpacing"/>
        <w:spacing w:line="360" w:lineRule="auto"/>
        <w:rPr>
          <w:sz w:val="24"/>
          <w:szCs w:val="24"/>
        </w:rPr>
      </w:pPr>
    </w:p>
    <w:p w14:paraId="3491F005" w14:textId="77777777" w:rsidR="0012313F" w:rsidRDefault="0012313F" w:rsidP="00902BF0">
      <w:pPr>
        <w:pStyle w:val="NoSpacing"/>
        <w:spacing w:line="360" w:lineRule="auto"/>
        <w:rPr>
          <w:sz w:val="24"/>
          <w:szCs w:val="24"/>
        </w:rPr>
      </w:pPr>
    </w:p>
    <w:p w14:paraId="082A885D" w14:textId="77777777" w:rsidR="0012313F" w:rsidRDefault="0012313F" w:rsidP="00902BF0">
      <w:pPr>
        <w:pStyle w:val="NoSpacing"/>
        <w:spacing w:line="360" w:lineRule="auto"/>
        <w:rPr>
          <w:sz w:val="24"/>
          <w:szCs w:val="24"/>
        </w:rPr>
      </w:pPr>
    </w:p>
    <w:p w14:paraId="2EEE2495" w14:textId="77777777" w:rsidR="0012313F" w:rsidRDefault="0012313F" w:rsidP="00902BF0">
      <w:pPr>
        <w:pStyle w:val="NoSpacing"/>
        <w:spacing w:line="360" w:lineRule="auto"/>
        <w:rPr>
          <w:sz w:val="24"/>
          <w:szCs w:val="24"/>
        </w:rPr>
      </w:pPr>
    </w:p>
    <w:p w14:paraId="34D99CE8" w14:textId="77777777" w:rsidR="0012313F" w:rsidRDefault="0012313F" w:rsidP="00902BF0">
      <w:pPr>
        <w:pStyle w:val="NoSpacing"/>
        <w:spacing w:line="360" w:lineRule="auto"/>
        <w:rPr>
          <w:sz w:val="24"/>
          <w:szCs w:val="24"/>
        </w:rPr>
      </w:pPr>
    </w:p>
    <w:p w14:paraId="148C4A76" w14:textId="77777777" w:rsidR="0012313F" w:rsidRDefault="0012313F" w:rsidP="00902BF0">
      <w:pPr>
        <w:pStyle w:val="NoSpacing"/>
        <w:spacing w:line="360" w:lineRule="auto"/>
        <w:rPr>
          <w:sz w:val="24"/>
          <w:szCs w:val="24"/>
        </w:rPr>
      </w:pPr>
    </w:p>
    <w:p w14:paraId="623148CF" w14:textId="77777777" w:rsidR="0012313F" w:rsidRDefault="0012313F" w:rsidP="00902BF0">
      <w:pPr>
        <w:pStyle w:val="NoSpacing"/>
        <w:spacing w:line="360" w:lineRule="auto"/>
        <w:rPr>
          <w:sz w:val="24"/>
          <w:szCs w:val="24"/>
        </w:rPr>
      </w:pPr>
    </w:p>
    <w:p w14:paraId="30A1346B" w14:textId="77777777" w:rsidR="0012313F" w:rsidRDefault="0012313F" w:rsidP="00902BF0">
      <w:pPr>
        <w:pStyle w:val="NoSpacing"/>
        <w:spacing w:line="360" w:lineRule="auto"/>
        <w:rPr>
          <w:sz w:val="24"/>
          <w:szCs w:val="24"/>
        </w:rPr>
      </w:pPr>
    </w:p>
    <w:p w14:paraId="38E94B2A" w14:textId="77777777" w:rsidR="0012313F" w:rsidRDefault="0012313F" w:rsidP="00902BF0">
      <w:pPr>
        <w:pStyle w:val="NoSpacing"/>
        <w:spacing w:line="360" w:lineRule="auto"/>
        <w:rPr>
          <w:sz w:val="24"/>
          <w:szCs w:val="24"/>
        </w:rPr>
      </w:pPr>
    </w:p>
    <w:p w14:paraId="293EC28F" w14:textId="77777777" w:rsidR="0012313F" w:rsidRDefault="0012313F" w:rsidP="00902BF0">
      <w:pPr>
        <w:pStyle w:val="NoSpacing"/>
        <w:spacing w:line="360" w:lineRule="auto"/>
        <w:rPr>
          <w:sz w:val="24"/>
          <w:szCs w:val="24"/>
        </w:rPr>
      </w:pPr>
    </w:p>
    <w:p w14:paraId="69D07A97" w14:textId="77777777" w:rsidR="00EB256E" w:rsidRPr="00902BF0" w:rsidRDefault="00EB256E" w:rsidP="00902BF0">
      <w:pPr>
        <w:pStyle w:val="NoSpacing"/>
        <w:spacing w:line="360" w:lineRule="auto"/>
        <w:rPr>
          <w:sz w:val="24"/>
          <w:szCs w:val="24"/>
        </w:rPr>
      </w:pPr>
    </w:p>
    <w:p w14:paraId="1D669EBF" w14:textId="77777777" w:rsidR="00BF243C" w:rsidRPr="00406159" w:rsidRDefault="00BF243C">
      <w:pPr>
        <w:rPr>
          <w:sz w:val="24"/>
          <w:szCs w:val="24"/>
        </w:rPr>
      </w:pPr>
    </w:p>
    <w:p w14:paraId="0B826D4E" w14:textId="39FE05BF" w:rsidR="00406159" w:rsidRPr="00F2073E" w:rsidRDefault="00406159" w:rsidP="00F2073E">
      <w:pPr>
        <w:tabs>
          <w:tab w:val="left" w:pos="3060"/>
        </w:tabs>
      </w:pPr>
      <w:r>
        <w:lastRenderedPageBreak/>
        <w:tab/>
      </w:r>
      <w:r w:rsidR="00F661B2">
        <w:rPr>
          <w:b/>
          <w:bCs/>
          <w:sz w:val="28"/>
          <w:szCs w:val="28"/>
          <w:u w:val="single"/>
        </w:rPr>
        <w:t xml:space="preserve">Overview of condition </w:t>
      </w:r>
    </w:p>
    <w:p w14:paraId="2389A7DB" w14:textId="46CCB793" w:rsidR="002E0669" w:rsidRPr="00902BF0" w:rsidRDefault="00406159" w:rsidP="00902BF0">
      <w:pPr>
        <w:pStyle w:val="NoSpacing"/>
        <w:spacing w:line="360" w:lineRule="auto"/>
        <w:rPr>
          <w:rFonts w:eastAsia="Times New Roman" w:cstheme="minorHAnsi"/>
          <w:sz w:val="24"/>
          <w:szCs w:val="24"/>
          <w:lang w:eastAsia="en-GB"/>
        </w:rPr>
      </w:pPr>
      <w:r w:rsidRPr="00902BF0">
        <w:rPr>
          <w:rFonts w:cstheme="minorHAnsi"/>
          <w:b/>
          <w:bCs/>
          <w:noProof/>
          <w:sz w:val="24"/>
          <w:szCs w:val="24"/>
          <w:u w:val="single"/>
        </w:rPr>
        <w:drawing>
          <wp:anchor distT="0" distB="0" distL="114300" distR="114300" simplePos="0" relativeHeight="251660288" behindDoc="0" locked="0" layoutInCell="1" allowOverlap="1" wp14:anchorId="7730E981" wp14:editId="78901925">
            <wp:simplePos x="0" y="0"/>
            <wp:positionH relativeFrom="column">
              <wp:posOffset>4121150</wp:posOffset>
            </wp:positionH>
            <wp:positionV relativeFrom="paragraph">
              <wp:posOffset>1105535</wp:posOffset>
            </wp:positionV>
            <wp:extent cx="2317750" cy="2317750"/>
            <wp:effectExtent l="0" t="0" r="6350" b="6350"/>
            <wp:wrapSquare wrapText="bothSides"/>
            <wp:docPr id="2" name="Picture 1" descr="Rotterdam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tterdam Criter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17750" cy="2317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E0669" w:rsidRPr="00902BF0">
        <w:rPr>
          <w:rFonts w:cstheme="minorHAnsi"/>
          <w:sz w:val="24"/>
          <w:szCs w:val="24"/>
        </w:rPr>
        <w:t xml:space="preserve">PCOS is a very common endocrine disorder affecting reproductive age women, many research papers suggests prevalence is between 6% - 10% </w:t>
      </w:r>
      <w:r w:rsidR="00EB1537" w:rsidRPr="00902BF0">
        <w:rPr>
          <w:rFonts w:cstheme="minorHAnsi"/>
          <w:sz w:val="24"/>
          <w:szCs w:val="24"/>
        </w:rPr>
        <w:t>(</w:t>
      </w:r>
      <w:r w:rsidR="002E0669" w:rsidRPr="00902BF0">
        <w:rPr>
          <w:rFonts w:eastAsia="Times New Roman" w:cstheme="minorHAnsi"/>
          <w:sz w:val="24"/>
          <w:szCs w:val="24"/>
          <w:lang w:eastAsia="en-GB"/>
        </w:rPr>
        <w:t xml:space="preserve">Xenou and </w:t>
      </w:r>
      <w:proofErr w:type="spellStart"/>
      <w:r w:rsidR="002E0669" w:rsidRPr="00902BF0">
        <w:rPr>
          <w:rFonts w:eastAsia="Times New Roman" w:cstheme="minorHAnsi"/>
          <w:sz w:val="24"/>
          <w:szCs w:val="24"/>
          <w:lang w:eastAsia="en-GB"/>
        </w:rPr>
        <w:t>Gourounti</w:t>
      </w:r>
      <w:proofErr w:type="spellEnd"/>
      <w:r w:rsidR="002E0669" w:rsidRPr="00902BF0">
        <w:rPr>
          <w:rFonts w:eastAsia="Times New Roman" w:cstheme="minorHAnsi"/>
          <w:sz w:val="24"/>
          <w:szCs w:val="24"/>
          <w:lang w:eastAsia="en-GB"/>
        </w:rPr>
        <w:t>, 2021</w:t>
      </w:r>
      <w:r w:rsidR="00EB1537" w:rsidRPr="00902BF0">
        <w:rPr>
          <w:rFonts w:eastAsia="Times New Roman" w:cstheme="minorHAnsi"/>
          <w:sz w:val="24"/>
          <w:szCs w:val="24"/>
          <w:lang w:eastAsia="en-GB"/>
        </w:rPr>
        <w:t>)</w:t>
      </w:r>
      <w:r w:rsidR="002E0669" w:rsidRPr="00902BF0">
        <w:rPr>
          <w:rFonts w:eastAsia="Times New Roman" w:cstheme="minorHAnsi"/>
          <w:sz w:val="24"/>
          <w:szCs w:val="24"/>
          <w:lang w:eastAsia="en-GB"/>
        </w:rPr>
        <w:t xml:space="preserve"> and </w:t>
      </w:r>
      <w:r w:rsidR="00EB1537" w:rsidRPr="00902BF0">
        <w:rPr>
          <w:rFonts w:eastAsia="Times New Roman" w:cstheme="minorHAnsi"/>
          <w:sz w:val="24"/>
          <w:szCs w:val="24"/>
          <w:lang w:eastAsia="en-GB"/>
        </w:rPr>
        <w:t>(</w:t>
      </w:r>
      <w:r w:rsidR="002E0669" w:rsidRPr="00902BF0">
        <w:rPr>
          <w:rFonts w:eastAsia="Times New Roman" w:cstheme="minorHAnsi"/>
          <w:sz w:val="24"/>
          <w:szCs w:val="24"/>
          <w:lang w:eastAsia="en-GB"/>
        </w:rPr>
        <w:t>Bar</w:t>
      </w:r>
      <w:r w:rsidR="00EB1537" w:rsidRPr="00902BF0">
        <w:rPr>
          <w:rFonts w:eastAsia="Times New Roman" w:cstheme="minorHAnsi"/>
          <w:sz w:val="24"/>
          <w:szCs w:val="24"/>
          <w:lang w:eastAsia="en-GB"/>
        </w:rPr>
        <w:t>b</w:t>
      </w:r>
      <w:r w:rsidR="002E0669" w:rsidRPr="00902BF0">
        <w:rPr>
          <w:rFonts w:eastAsia="Times New Roman" w:cstheme="minorHAnsi"/>
          <w:sz w:val="24"/>
          <w:szCs w:val="24"/>
          <w:lang w:eastAsia="en-GB"/>
        </w:rPr>
        <w:t>er et al 2019)</w:t>
      </w:r>
      <w:r w:rsidR="007575AF">
        <w:rPr>
          <w:rFonts w:eastAsia="Times New Roman" w:cstheme="minorHAnsi"/>
          <w:sz w:val="24"/>
          <w:szCs w:val="24"/>
          <w:lang w:eastAsia="en-GB"/>
        </w:rPr>
        <w:t>, h</w:t>
      </w:r>
      <w:r w:rsidR="002E0669" w:rsidRPr="00902BF0">
        <w:rPr>
          <w:rFonts w:eastAsia="Times New Roman" w:cstheme="minorHAnsi"/>
          <w:sz w:val="24"/>
          <w:szCs w:val="24"/>
          <w:lang w:eastAsia="en-GB"/>
        </w:rPr>
        <w:t>owever, Nevan et al (2018) suggests it may be as high as 8% - 13% and 21% in high-risk groups</w:t>
      </w:r>
      <w:r w:rsidR="007575AF">
        <w:rPr>
          <w:rFonts w:eastAsia="Times New Roman" w:cstheme="minorHAnsi"/>
          <w:sz w:val="24"/>
          <w:szCs w:val="24"/>
          <w:lang w:eastAsia="en-GB"/>
        </w:rPr>
        <w:t>, i</w:t>
      </w:r>
      <w:r w:rsidR="002E0669" w:rsidRPr="00902BF0">
        <w:rPr>
          <w:rFonts w:eastAsia="Times New Roman" w:cstheme="minorHAnsi"/>
          <w:sz w:val="24"/>
          <w:szCs w:val="24"/>
          <w:lang w:eastAsia="en-GB"/>
        </w:rPr>
        <w:t xml:space="preserve">n the UK </w:t>
      </w:r>
      <w:r w:rsidR="005E584F">
        <w:rPr>
          <w:rFonts w:eastAsia="Times New Roman" w:cstheme="minorHAnsi"/>
          <w:sz w:val="24"/>
          <w:szCs w:val="24"/>
          <w:lang w:eastAsia="en-GB"/>
        </w:rPr>
        <w:t>PCOS is</w:t>
      </w:r>
      <w:r w:rsidR="002E0669" w:rsidRPr="00902BF0">
        <w:rPr>
          <w:rFonts w:eastAsia="Times New Roman" w:cstheme="minorHAnsi"/>
          <w:sz w:val="24"/>
          <w:szCs w:val="24"/>
          <w:lang w:eastAsia="en-GB"/>
        </w:rPr>
        <w:t xml:space="preserve"> estimated to </w:t>
      </w:r>
      <w:r w:rsidR="005E584F">
        <w:rPr>
          <w:rFonts w:eastAsia="Times New Roman" w:cstheme="minorHAnsi"/>
          <w:sz w:val="24"/>
          <w:szCs w:val="24"/>
          <w:lang w:eastAsia="en-GB"/>
        </w:rPr>
        <w:t>affect</w:t>
      </w:r>
      <w:r w:rsidR="002E0669" w:rsidRPr="00902BF0">
        <w:rPr>
          <w:rFonts w:eastAsia="Times New Roman" w:cstheme="minorHAnsi"/>
          <w:sz w:val="24"/>
          <w:szCs w:val="24"/>
          <w:lang w:eastAsia="en-GB"/>
        </w:rPr>
        <w:t xml:space="preserve"> around 1 in 10 women</w:t>
      </w:r>
      <w:r w:rsidR="00F54769" w:rsidRPr="00902BF0">
        <w:rPr>
          <w:rFonts w:eastAsia="Times New Roman" w:cstheme="minorHAnsi"/>
          <w:sz w:val="24"/>
          <w:szCs w:val="24"/>
          <w:lang w:eastAsia="en-GB"/>
        </w:rPr>
        <w:t>,</w:t>
      </w:r>
      <w:r w:rsidR="002E0669" w:rsidRPr="00902BF0">
        <w:rPr>
          <w:rFonts w:eastAsia="Times New Roman" w:cstheme="minorHAnsi"/>
          <w:sz w:val="24"/>
          <w:szCs w:val="24"/>
          <w:lang w:eastAsia="en-GB"/>
        </w:rPr>
        <w:t xml:space="preserve"> the discrepancy in these numbers could be due to several factors including differences is diagnostic criteria.</w:t>
      </w:r>
      <w:r w:rsidR="00F54769" w:rsidRPr="00902BF0">
        <w:rPr>
          <w:rFonts w:eastAsia="Times New Roman" w:cstheme="minorHAnsi"/>
          <w:sz w:val="24"/>
          <w:szCs w:val="24"/>
          <w:lang w:eastAsia="en-GB"/>
        </w:rPr>
        <w:t xml:space="preserve"> (NHS, 2022)</w:t>
      </w:r>
    </w:p>
    <w:p w14:paraId="039BB295" w14:textId="5752CBB6" w:rsidR="00E062CA" w:rsidRPr="00902BF0" w:rsidRDefault="000C116F" w:rsidP="00902BF0">
      <w:pPr>
        <w:pStyle w:val="NoSpacing"/>
        <w:spacing w:line="360" w:lineRule="auto"/>
        <w:rPr>
          <w:rFonts w:eastAsia="Times New Roman" w:cstheme="minorHAnsi"/>
          <w:color w:val="FF0000"/>
          <w:sz w:val="24"/>
          <w:szCs w:val="24"/>
          <w:lang w:eastAsia="en-GB"/>
        </w:rPr>
      </w:pPr>
      <w:r w:rsidRPr="00902BF0">
        <w:rPr>
          <w:rFonts w:cstheme="minorHAnsi"/>
          <w:noProof/>
          <w:sz w:val="24"/>
          <w:szCs w:val="24"/>
        </w:rPr>
        <mc:AlternateContent>
          <mc:Choice Requires="wps">
            <w:drawing>
              <wp:anchor distT="0" distB="0" distL="114300" distR="114300" simplePos="0" relativeHeight="251662336" behindDoc="0" locked="0" layoutInCell="1" allowOverlap="1" wp14:anchorId="66B725BA" wp14:editId="25629FFD">
                <wp:simplePos x="0" y="0"/>
                <wp:positionH relativeFrom="margin">
                  <wp:posOffset>4768850</wp:posOffset>
                </wp:positionH>
                <wp:positionV relativeFrom="paragraph">
                  <wp:posOffset>1774190</wp:posOffset>
                </wp:positionV>
                <wp:extent cx="1765300" cy="469900"/>
                <wp:effectExtent l="0" t="0" r="25400" b="25400"/>
                <wp:wrapSquare wrapText="bothSides"/>
                <wp:docPr id="6929010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300" cy="469900"/>
                        </a:xfrm>
                        <a:prstGeom prst="rect">
                          <a:avLst/>
                        </a:prstGeom>
                        <a:solidFill>
                          <a:srgbClr val="FFFFFF"/>
                        </a:solidFill>
                        <a:ln w="9525">
                          <a:solidFill>
                            <a:srgbClr val="000000"/>
                          </a:solidFill>
                          <a:miter lim="800000"/>
                          <a:headEnd/>
                          <a:tailEnd/>
                        </a:ln>
                      </wps:spPr>
                      <wps:txbx>
                        <w:txbxContent>
                          <w:p w14:paraId="7DCEC8BB" w14:textId="7E90A22B" w:rsidR="004D2261" w:rsidRPr="004D2261" w:rsidRDefault="00E062CA" w:rsidP="004D2261">
                            <w:pPr>
                              <w:rPr>
                                <w:sz w:val="16"/>
                                <w:szCs w:val="16"/>
                              </w:rPr>
                            </w:pPr>
                            <w:r w:rsidRPr="004D2261">
                              <w:rPr>
                                <w:rFonts w:ascii="Helvetica" w:eastAsia="Helvetica" w:hAnsi="Helvetica" w:cs="Helvetica"/>
                                <w:b/>
                                <w:bCs/>
                                <w:color w:val="282828"/>
                                <w:sz w:val="16"/>
                                <w:szCs w:val="16"/>
                              </w:rPr>
                              <w:t xml:space="preserve">Figure </w:t>
                            </w:r>
                            <w:r w:rsidR="008C3934">
                              <w:rPr>
                                <w:rFonts w:ascii="Helvetica" w:eastAsia="Helvetica" w:hAnsi="Helvetica" w:cs="Helvetica"/>
                                <w:b/>
                                <w:bCs/>
                                <w:color w:val="282828"/>
                                <w:sz w:val="16"/>
                                <w:szCs w:val="16"/>
                              </w:rPr>
                              <w:t>1</w:t>
                            </w:r>
                            <w:r w:rsidRPr="004D2261">
                              <w:rPr>
                                <w:rFonts w:ascii="Helvetica" w:eastAsia="Helvetica" w:hAnsi="Helvetica" w:cs="Helvetica"/>
                                <w:color w:val="282828"/>
                                <w:sz w:val="16"/>
                                <w:szCs w:val="16"/>
                              </w:rPr>
                              <w:t xml:space="preserve"> Typical appearance of an ovary with polycystic morphology</w:t>
                            </w:r>
                            <w:r w:rsidR="004D2261" w:rsidRPr="004D2261">
                              <w:rPr>
                                <w:rFonts w:ascii="Helvetica" w:eastAsia="Helvetica" w:hAnsi="Helvetica" w:cs="Helvetica"/>
                                <w:color w:val="282828"/>
                                <w:sz w:val="16"/>
                                <w:szCs w:val="16"/>
                              </w:rPr>
                              <w:t xml:space="preserve"> </w:t>
                            </w:r>
                            <w:r w:rsidR="004D2261" w:rsidRPr="004D2261">
                              <w:rPr>
                                <w:sz w:val="16"/>
                                <w:szCs w:val="16"/>
                              </w:rPr>
                              <w:t>(CORE 2024)</w:t>
                            </w:r>
                          </w:p>
                          <w:p w14:paraId="0F0C001A" w14:textId="00F7B961" w:rsidR="00E062CA" w:rsidRDefault="00E062CA" w:rsidP="00E062CA">
                            <w:pPr>
                              <w:rPr>
                                <w:rFonts w:ascii="Helvetica" w:eastAsia="Helvetica" w:hAnsi="Helvetica" w:cs="Helvetica"/>
                                <w:color w:val="282828"/>
                                <w:sz w:val="24"/>
                                <w:szCs w:val="24"/>
                              </w:rPr>
                            </w:pPr>
                          </w:p>
                          <w:p w14:paraId="522B709B" w14:textId="77777777" w:rsidR="004D2261" w:rsidRDefault="004D2261" w:rsidP="00E062CA">
                            <w:pPr>
                              <w:rPr>
                                <w:rFonts w:ascii="Helvetica" w:eastAsia="Helvetica" w:hAnsi="Helvetica" w:cs="Helvetica"/>
                                <w:color w:val="282828"/>
                                <w:sz w:val="24"/>
                                <w:szCs w:val="24"/>
                              </w:rPr>
                            </w:pPr>
                          </w:p>
                          <w:p w14:paraId="78219546" w14:textId="77777777" w:rsidR="004D2261" w:rsidRDefault="004D2261" w:rsidP="00E062CA">
                            <w:pPr>
                              <w:rPr>
                                <w:rFonts w:ascii="Helvetica" w:eastAsia="Helvetica" w:hAnsi="Helvetica" w:cs="Helvetica"/>
                                <w:color w:val="282828"/>
                                <w:sz w:val="24"/>
                                <w:szCs w:val="24"/>
                              </w:rPr>
                            </w:pPr>
                          </w:p>
                          <w:p w14:paraId="388913F1" w14:textId="77777777" w:rsidR="004D2261" w:rsidRDefault="004D2261" w:rsidP="00E062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B725BA" id="_x0000_t202" coordsize="21600,21600" o:spt="202" path="m,l,21600r21600,l21600,xe">
                <v:stroke joinstyle="miter"/>
                <v:path gradientshapeok="t" o:connecttype="rect"/>
              </v:shapetype>
              <v:shape id="Text Box 2" o:spid="_x0000_s1026" type="#_x0000_t202" style="position:absolute;margin-left:375.5pt;margin-top:139.7pt;width:139pt;height:3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EhuDQIAAB8EAAAOAAAAZHJzL2Uyb0RvYy54bWysU9tu2zAMfR+wfxD0vtjJkrQx4hRdugwD&#10;ugvQ7QNkWY6FSaImKbGzry8lu2l2exnmB4E0qUPy8Gh902tFjsJ5Caak00lOiTAcamn2Jf36Zffq&#10;mhIfmKmZAiNKehKe3mxevlh3thAzaEHVwhEEMb7obEnbEGyRZZ63QjM/ASsMBhtwmgV03T6rHesQ&#10;XatslufLrANXWwdceI9/74Yg3ST8phE8fGoaLwJRJcXeQjpdOqt4Zps1K/aO2VbysQ32D11oJg0W&#10;PUPdscDIwcnfoLTkDjw0YcJBZ9A0kos0A04zzX+Z5qFlVqRZkBxvzzT5/wfLPx4f7GdHQv8Gelxg&#10;GsLbe+DfPDGwbZnZi1vnoGsFq7HwNFKWddYX49VItS98BKm6D1DjktkhQALqG6cjKzgnQXRcwOlM&#10;uugD4bHk1XLxOscQx9h8uVqhHUuw4um2dT68E6BJNErqcKkJnR3vfRhSn1JiMQ9K1jupVHLcvtoq&#10;R44MBbBL34j+U5oypCvpajFbDAT8FSJP358gtAyoZCV1Sa/PSayItL01ddJZYFINNk6nzMhjpG4g&#10;MfRVj4mRzwrqEzLqYFAsvjA0WnA/KOlQrSX13w/MCUrUe4NbWU3n8yjv5MwXVzN03GWkuowwwxGq&#10;pIGSwdyG9CQiYQZucXuNTMQ+dzL2iipMqxlfTJT5pZ+ynt/15hEAAP//AwBQSwMEFAAGAAgAAAAh&#10;ADYgC+fjAAAADAEAAA8AAABkcnMvZG93bnJldi54bWxMj8FOwzAQRO9I/IO1SFxQ6zRJmyZkUyEk&#10;EL1Bi+DqxtskIraD7abh73FPcJyd0eybcjOpno1kXWc0wmIeASNdG9npBuF9/zRbA3NeaCl6ownh&#10;hxxsquurUhTSnPUbjTvfsFCiXSEQWu+HgnNXt6SEm5uBdPCOxirhg7QNl1acQ7nqeRxFK65Ep8OH&#10;Vgz02FL9tTsphHX6Mn66bfL6Ua+Ofe7vsvH52yLe3kwP98A8Tf4vDBf8gA5VYDqYk5aO9QjZchG2&#10;eIQ4y1Ngl0QU5+F0QEiWSQq8Kvn/EdUvAAAA//8DAFBLAQItABQABgAIAAAAIQC2gziS/gAAAOEB&#10;AAATAAAAAAAAAAAAAAAAAAAAAABbQ29udGVudF9UeXBlc10ueG1sUEsBAi0AFAAGAAgAAAAhADj9&#10;If/WAAAAlAEAAAsAAAAAAAAAAAAAAAAALwEAAF9yZWxzLy5yZWxzUEsBAi0AFAAGAAgAAAAhAGcE&#10;SG4NAgAAHwQAAA4AAAAAAAAAAAAAAAAALgIAAGRycy9lMm9Eb2MueG1sUEsBAi0AFAAGAAgAAAAh&#10;ADYgC+fjAAAADAEAAA8AAAAAAAAAAAAAAAAAZwQAAGRycy9kb3ducmV2LnhtbFBLBQYAAAAABAAE&#10;APMAAAB3BQAAAAA=&#10;">
                <v:textbox>
                  <w:txbxContent>
                    <w:p w14:paraId="7DCEC8BB" w14:textId="7E90A22B" w:rsidR="004D2261" w:rsidRPr="004D2261" w:rsidRDefault="00E062CA" w:rsidP="004D2261">
                      <w:pPr>
                        <w:rPr>
                          <w:sz w:val="16"/>
                          <w:szCs w:val="16"/>
                        </w:rPr>
                      </w:pPr>
                      <w:r w:rsidRPr="004D2261">
                        <w:rPr>
                          <w:rFonts w:ascii="Helvetica" w:eastAsia="Helvetica" w:hAnsi="Helvetica" w:cs="Helvetica"/>
                          <w:b/>
                          <w:bCs/>
                          <w:color w:val="282828"/>
                          <w:sz w:val="16"/>
                          <w:szCs w:val="16"/>
                        </w:rPr>
                        <w:t xml:space="preserve">Figure </w:t>
                      </w:r>
                      <w:r w:rsidR="008C3934">
                        <w:rPr>
                          <w:rFonts w:ascii="Helvetica" w:eastAsia="Helvetica" w:hAnsi="Helvetica" w:cs="Helvetica"/>
                          <w:b/>
                          <w:bCs/>
                          <w:color w:val="282828"/>
                          <w:sz w:val="16"/>
                          <w:szCs w:val="16"/>
                        </w:rPr>
                        <w:t>1</w:t>
                      </w:r>
                      <w:r w:rsidRPr="004D2261">
                        <w:rPr>
                          <w:rFonts w:ascii="Helvetica" w:eastAsia="Helvetica" w:hAnsi="Helvetica" w:cs="Helvetica"/>
                          <w:color w:val="282828"/>
                          <w:sz w:val="16"/>
                          <w:szCs w:val="16"/>
                        </w:rPr>
                        <w:t xml:space="preserve"> Typical appearance of an ovary with polycystic morphology</w:t>
                      </w:r>
                      <w:r w:rsidR="004D2261" w:rsidRPr="004D2261">
                        <w:rPr>
                          <w:rFonts w:ascii="Helvetica" w:eastAsia="Helvetica" w:hAnsi="Helvetica" w:cs="Helvetica"/>
                          <w:color w:val="282828"/>
                          <w:sz w:val="16"/>
                          <w:szCs w:val="16"/>
                        </w:rPr>
                        <w:t xml:space="preserve"> </w:t>
                      </w:r>
                      <w:r w:rsidR="004D2261" w:rsidRPr="004D2261">
                        <w:rPr>
                          <w:sz w:val="16"/>
                          <w:szCs w:val="16"/>
                        </w:rPr>
                        <w:t>(CORE 2024)</w:t>
                      </w:r>
                    </w:p>
                    <w:p w14:paraId="0F0C001A" w14:textId="00F7B961" w:rsidR="00E062CA" w:rsidRDefault="00E062CA" w:rsidP="00E062CA">
                      <w:pPr>
                        <w:rPr>
                          <w:rFonts w:ascii="Helvetica" w:eastAsia="Helvetica" w:hAnsi="Helvetica" w:cs="Helvetica"/>
                          <w:color w:val="282828"/>
                          <w:sz w:val="24"/>
                          <w:szCs w:val="24"/>
                        </w:rPr>
                      </w:pPr>
                    </w:p>
                    <w:p w14:paraId="522B709B" w14:textId="77777777" w:rsidR="004D2261" w:rsidRDefault="004D2261" w:rsidP="00E062CA">
                      <w:pPr>
                        <w:rPr>
                          <w:rFonts w:ascii="Helvetica" w:eastAsia="Helvetica" w:hAnsi="Helvetica" w:cs="Helvetica"/>
                          <w:color w:val="282828"/>
                          <w:sz w:val="24"/>
                          <w:szCs w:val="24"/>
                        </w:rPr>
                      </w:pPr>
                    </w:p>
                    <w:p w14:paraId="78219546" w14:textId="77777777" w:rsidR="004D2261" w:rsidRDefault="004D2261" w:rsidP="00E062CA">
                      <w:pPr>
                        <w:rPr>
                          <w:rFonts w:ascii="Helvetica" w:eastAsia="Helvetica" w:hAnsi="Helvetica" w:cs="Helvetica"/>
                          <w:color w:val="282828"/>
                          <w:sz w:val="24"/>
                          <w:szCs w:val="24"/>
                        </w:rPr>
                      </w:pPr>
                    </w:p>
                    <w:p w14:paraId="388913F1" w14:textId="77777777" w:rsidR="004D2261" w:rsidRDefault="004D2261" w:rsidP="00E062CA"/>
                  </w:txbxContent>
                </v:textbox>
                <w10:wrap type="square" anchorx="margin"/>
              </v:shape>
            </w:pict>
          </mc:Fallback>
        </mc:AlternateContent>
      </w:r>
      <w:r w:rsidR="007575AF">
        <w:rPr>
          <w:rFonts w:eastAsia="Times New Roman" w:cstheme="minorHAnsi"/>
          <w:sz w:val="24"/>
          <w:szCs w:val="24"/>
          <w:lang w:eastAsia="en-GB"/>
        </w:rPr>
        <w:t xml:space="preserve">PCOS is characterised by a higher level of male Androgen hormones and insulin resistance, women may or may not have ovarian follicles which is believed to be caused by these hormonal imbalances which prevent </w:t>
      </w:r>
      <w:r w:rsidR="00F5447B">
        <w:rPr>
          <w:rFonts w:eastAsia="Times New Roman" w:cstheme="minorHAnsi"/>
          <w:sz w:val="24"/>
          <w:szCs w:val="24"/>
          <w:lang w:eastAsia="en-GB"/>
        </w:rPr>
        <w:t>the ovum maturing leading to follicle or cyst growth in the ovaries.</w:t>
      </w:r>
      <w:r w:rsidR="007575AF">
        <w:rPr>
          <w:rFonts w:eastAsia="Times New Roman" w:cstheme="minorHAnsi"/>
          <w:sz w:val="24"/>
          <w:szCs w:val="24"/>
          <w:lang w:eastAsia="en-GB"/>
        </w:rPr>
        <w:t xml:space="preserve"> </w:t>
      </w:r>
      <w:r w:rsidR="002E0669" w:rsidRPr="00902BF0">
        <w:rPr>
          <w:rFonts w:eastAsia="Times New Roman" w:cstheme="minorHAnsi"/>
          <w:sz w:val="24"/>
          <w:szCs w:val="24"/>
          <w:lang w:eastAsia="en-GB"/>
        </w:rPr>
        <w:t>It is widely accepted that anovulation and Hyperandrogenism can be used to diagnose PCOS, ultrasound scans</w:t>
      </w:r>
      <w:r w:rsidR="00973CA7" w:rsidRPr="00902BF0">
        <w:rPr>
          <w:rFonts w:eastAsia="Times New Roman" w:cstheme="minorHAnsi"/>
          <w:sz w:val="24"/>
          <w:szCs w:val="24"/>
          <w:lang w:eastAsia="en-GB"/>
        </w:rPr>
        <w:t xml:space="preserve"> (USS)</w:t>
      </w:r>
      <w:r w:rsidR="002E0669" w:rsidRPr="00902BF0">
        <w:rPr>
          <w:rFonts w:eastAsia="Times New Roman" w:cstheme="minorHAnsi"/>
          <w:sz w:val="24"/>
          <w:szCs w:val="24"/>
          <w:lang w:eastAsia="en-GB"/>
        </w:rPr>
        <w:t xml:space="preserve"> to detect ovarian follicles can also be used. Both Islam et al (2021) and Nevan et al (2018) suggest the clinical features of PCOS include oligo-anovulation, hyperandrogenism and polycystic ovaries, this is in line with The Rotterdam diagnostic criteria </w:t>
      </w:r>
      <w:r w:rsidR="008C3934" w:rsidRPr="00902BF0">
        <w:rPr>
          <w:rFonts w:eastAsia="Times New Roman" w:cstheme="minorHAnsi"/>
          <w:sz w:val="24"/>
          <w:szCs w:val="24"/>
          <w:lang w:eastAsia="en-GB"/>
        </w:rPr>
        <w:t xml:space="preserve">(Figure 1) </w:t>
      </w:r>
      <w:r w:rsidR="002E0669" w:rsidRPr="00902BF0">
        <w:rPr>
          <w:rFonts w:eastAsia="Times New Roman" w:cstheme="minorHAnsi"/>
          <w:sz w:val="24"/>
          <w:szCs w:val="24"/>
          <w:lang w:eastAsia="en-GB"/>
        </w:rPr>
        <w:t>which has been internationally endorsed since 2003 and current National Institute for Clinical Excellence</w:t>
      </w:r>
      <w:r w:rsidR="00361543" w:rsidRPr="00902BF0">
        <w:rPr>
          <w:rFonts w:eastAsia="Times New Roman" w:cstheme="minorHAnsi"/>
          <w:sz w:val="24"/>
          <w:szCs w:val="24"/>
          <w:lang w:eastAsia="en-GB"/>
        </w:rPr>
        <w:t xml:space="preserve"> guidelines </w:t>
      </w:r>
      <w:r w:rsidR="002E0669" w:rsidRPr="00902BF0">
        <w:rPr>
          <w:rFonts w:eastAsia="Times New Roman" w:cstheme="minorHAnsi"/>
          <w:sz w:val="24"/>
          <w:szCs w:val="24"/>
          <w:lang w:eastAsia="en-GB"/>
        </w:rPr>
        <w:t>(NICE</w:t>
      </w:r>
      <w:r w:rsidR="00361543" w:rsidRPr="00902BF0">
        <w:rPr>
          <w:rFonts w:eastAsia="Times New Roman" w:cstheme="minorHAnsi"/>
          <w:sz w:val="24"/>
          <w:szCs w:val="24"/>
          <w:lang w:eastAsia="en-GB"/>
        </w:rPr>
        <w:t xml:space="preserve"> 2024</w:t>
      </w:r>
      <w:r w:rsidR="002E0669" w:rsidRPr="00902BF0">
        <w:rPr>
          <w:rFonts w:eastAsia="Times New Roman" w:cstheme="minorHAnsi"/>
          <w:sz w:val="24"/>
          <w:szCs w:val="24"/>
          <w:lang w:eastAsia="en-GB"/>
        </w:rPr>
        <w:t>)</w:t>
      </w:r>
      <w:r w:rsidR="00F5447B">
        <w:rPr>
          <w:rFonts w:eastAsia="Times New Roman" w:cstheme="minorHAnsi"/>
          <w:sz w:val="24"/>
          <w:szCs w:val="24"/>
          <w:lang w:eastAsia="en-GB"/>
        </w:rPr>
        <w:t>.</w:t>
      </w:r>
    </w:p>
    <w:p w14:paraId="0A04B6BF" w14:textId="51BDE73E" w:rsidR="00505288" w:rsidRPr="00F5447B" w:rsidRDefault="00973CA7" w:rsidP="00902BF0">
      <w:pPr>
        <w:pStyle w:val="NoSpacing"/>
        <w:spacing w:line="360" w:lineRule="auto"/>
        <w:rPr>
          <w:rFonts w:eastAsia="Times New Roman" w:cstheme="minorHAnsi"/>
          <w:sz w:val="24"/>
          <w:szCs w:val="24"/>
          <w:lang w:eastAsia="en-GB"/>
        </w:rPr>
      </w:pPr>
      <w:r w:rsidRPr="00902BF0">
        <w:rPr>
          <w:rFonts w:eastAsia="Times New Roman" w:cstheme="minorHAnsi"/>
          <w:sz w:val="24"/>
          <w:szCs w:val="24"/>
          <w:lang w:eastAsia="en-GB"/>
        </w:rPr>
        <w:t>Rao and Bhide (2020) point out that there is controversy over hormone testing and defining irregular periods particularly in adolescents. Luteinizing Hormone (LH) and Follicle-stimulating Hormone (FSH) are the most common blood tests as well as Progesterone, Testosterone and Prolactin. In a 2021 study by</w:t>
      </w:r>
      <w:r w:rsidR="004F6975" w:rsidRPr="00902BF0">
        <w:rPr>
          <w:rFonts w:eastAsia="Times New Roman" w:cstheme="minorHAnsi"/>
          <w:sz w:val="24"/>
          <w:szCs w:val="24"/>
          <w:lang w:eastAsia="en-GB"/>
        </w:rPr>
        <w:t xml:space="preserve"> Karia et al</w:t>
      </w:r>
      <w:r w:rsidR="00F02E46" w:rsidRPr="00902BF0">
        <w:rPr>
          <w:rFonts w:eastAsia="Times New Roman" w:cstheme="minorHAnsi"/>
          <w:sz w:val="24"/>
          <w:szCs w:val="24"/>
          <w:lang w:eastAsia="en-GB"/>
        </w:rPr>
        <w:t xml:space="preserve"> (2021)</w:t>
      </w:r>
      <w:r w:rsidRPr="00902BF0">
        <w:rPr>
          <w:rFonts w:eastAsia="Times New Roman" w:cstheme="minorHAnsi"/>
          <w:sz w:val="24"/>
          <w:szCs w:val="24"/>
          <w:lang w:eastAsia="en-GB"/>
        </w:rPr>
        <w:t>, FSH and LH were the most common tests performed before patients were referred for U</w:t>
      </w:r>
      <w:r w:rsidR="002C73CB" w:rsidRPr="00902BF0">
        <w:rPr>
          <w:rFonts w:eastAsia="Times New Roman" w:cstheme="minorHAnsi"/>
          <w:sz w:val="24"/>
          <w:szCs w:val="24"/>
          <w:lang w:eastAsia="en-GB"/>
        </w:rPr>
        <w:t>S</w:t>
      </w:r>
      <w:r w:rsidRPr="00902BF0">
        <w:rPr>
          <w:rFonts w:eastAsia="Times New Roman" w:cstheme="minorHAnsi"/>
          <w:sz w:val="24"/>
          <w:szCs w:val="24"/>
          <w:lang w:eastAsia="en-GB"/>
        </w:rPr>
        <w:t>S</w:t>
      </w:r>
      <w:r w:rsidR="007575AF">
        <w:rPr>
          <w:rFonts w:eastAsia="Times New Roman" w:cstheme="minorHAnsi"/>
          <w:sz w:val="24"/>
          <w:szCs w:val="24"/>
          <w:lang w:eastAsia="en-GB"/>
        </w:rPr>
        <w:t xml:space="preserve">, </w:t>
      </w:r>
      <w:r w:rsidR="00505288" w:rsidRPr="00902BF0">
        <w:rPr>
          <w:rFonts w:eastAsia="Times New Roman" w:cstheme="minorHAnsi"/>
          <w:sz w:val="24"/>
          <w:szCs w:val="24"/>
          <w:lang w:eastAsia="en-GB"/>
        </w:rPr>
        <w:t>however</w:t>
      </w:r>
      <w:r w:rsidR="007575AF">
        <w:rPr>
          <w:rFonts w:eastAsia="Times New Roman" w:cstheme="minorHAnsi"/>
          <w:sz w:val="24"/>
          <w:szCs w:val="24"/>
          <w:lang w:eastAsia="en-GB"/>
        </w:rPr>
        <w:t xml:space="preserve"> </w:t>
      </w:r>
      <w:r w:rsidRPr="00902BF0">
        <w:rPr>
          <w:rFonts w:eastAsia="Times New Roman" w:cstheme="minorHAnsi"/>
          <w:sz w:val="24"/>
          <w:szCs w:val="24"/>
          <w:lang w:eastAsia="en-GB"/>
        </w:rPr>
        <w:t xml:space="preserve">they note </w:t>
      </w:r>
      <w:r w:rsidR="00F02E46" w:rsidRPr="00902BF0">
        <w:rPr>
          <w:rFonts w:eastAsia="Times New Roman" w:cstheme="minorHAnsi"/>
          <w:sz w:val="24"/>
          <w:szCs w:val="24"/>
          <w:lang w:eastAsia="en-GB"/>
        </w:rPr>
        <w:t>large variation</w:t>
      </w:r>
      <w:r w:rsidR="007575AF">
        <w:rPr>
          <w:rFonts w:eastAsia="Times New Roman" w:cstheme="minorHAnsi"/>
          <w:sz w:val="24"/>
          <w:szCs w:val="24"/>
          <w:lang w:eastAsia="en-GB"/>
        </w:rPr>
        <w:t>s</w:t>
      </w:r>
      <w:r w:rsidRPr="00902BF0">
        <w:rPr>
          <w:rFonts w:eastAsia="Times New Roman" w:cstheme="minorHAnsi"/>
          <w:sz w:val="24"/>
          <w:szCs w:val="24"/>
          <w:lang w:eastAsia="en-GB"/>
        </w:rPr>
        <w:t xml:space="preserve"> in the panel of tests performed. The Rotterdam criteria for USS suggest 12 or more </w:t>
      </w:r>
      <w:r w:rsidR="00505288" w:rsidRPr="00902BF0">
        <w:rPr>
          <w:rFonts w:eastAsia="Times New Roman" w:cstheme="minorHAnsi"/>
          <w:sz w:val="24"/>
          <w:szCs w:val="24"/>
          <w:lang w:eastAsia="en-GB"/>
        </w:rPr>
        <w:t>follicles</w:t>
      </w:r>
      <w:r w:rsidRPr="00902BF0">
        <w:rPr>
          <w:rFonts w:eastAsia="Times New Roman" w:cstheme="minorHAnsi"/>
          <w:sz w:val="24"/>
          <w:szCs w:val="24"/>
          <w:lang w:eastAsia="en-GB"/>
        </w:rPr>
        <w:t xml:space="preserve"> measuring 2-9mm in diameter in at least one ovary </w:t>
      </w:r>
      <w:r w:rsidR="00505288" w:rsidRPr="00902BF0">
        <w:rPr>
          <w:rFonts w:eastAsia="Times New Roman" w:cstheme="minorHAnsi"/>
          <w:sz w:val="24"/>
          <w:szCs w:val="24"/>
          <w:lang w:eastAsia="en-GB"/>
        </w:rPr>
        <w:t>(</w:t>
      </w:r>
      <w:r w:rsidR="00505288" w:rsidRPr="00902BF0">
        <w:rPr>
          <w:rFonts w:cstheme="minorHAnsi"/>
          <w:sz w:val="24"/>
          <w:szCs w:val="24"/>
        </w:rPr>
        <w:t xml:space="preserve">Smet </w:t>
      </w:r>
      <w:r w:rsidR="000C116F">
        <w:rPr>
          <w:rFonts w:cstheme="minorHAnsi"/>
          <w:sz w:val="24"/>
          <w:szCs w:val="24"/>
        </w:rPr>
        <w:t>a</w:t>
      </w:r>
      <w:r w:rsidR="00505288" w:rsidRPr="00902BF0">
        <w:rPr>
          <w:rFonts w:cstheme="minorHAnsi"/>
          <w:sz w:val="24"/>
          <w:szCs w:val="24"/>
        </w:rPr>
        <w:t>nd McClennan 2018)</w:t>
      </w:r>
      <w:r w:rsidR="002C73CB" w:rsidRPr="00902BF0">
        <w:rPr>
          <w:rFonts w:cstheme="minorHAnsi"/>
          <w:sz w:val="24"/>
          <w:szCs w:val="24"/>
        </w:rPr>
        <w:t>, h</w:t>
      </w:r>
      <w:r w:rsidRPr="00902BF0">
        <w:rPr>
          <w:rFonts w:cstheme="minorHAnsi"/>
          <w:sz w:val="24"/>
          <w:szCs w:val="24"/>
        </w:rPr>
        <w:t xml:space="preserve">owever this is challenged by Peralta et al </w:t>
      </w:r>
      <w:r w:rsidR="00505288" w:rsidRPr="00902BF0">
        <w:rPr>
          <w:rFonts w:cstheme="minorHAnsi"/>
          <w:sz w:val="24"/>
          <w:szCs w:val="24"/>
        </w:rPr>
        <w:t xml:space="preserve">(2022) </w:t>
      </w:r>
      <w:r w:rsidRPr="00902BF0">
        <w:rPr>
          <w:rFonts w:cstheme="minorHAnsi"/>
          <w:sz w:val="24"/>
          <w:szCs w:val="24"/>
        </w:rPr>
        <w:t xml:space="preserve">who propose </w:t>
      </w:r>
      <w:r w:rsidR="00505288" w:rsidRPr="00902BF0">
        <w:rPr>
          <w:rFonts w:cstheme="minorHAnsi"/>
          <w:sz w:val="24"/>
          <w:szCs w:val="24"/>
        </w:rPr>
        <w:t>“</w:t>
      </w:r>
      <w:r w:rsidRPr="00902BF0">
        <w:rPr>
          <w:rFonts w:cstheme="minorHAnsi"/>
          <w:sz w:val="24"/>
          <w:szCs w:val="24"/>
        </w:rPr>
        <w:t>23 or more follicles of any size in at least one ovary</w:t>
      </w:r>
      <w:r w:rsidR="00505288" w:rsidRPr="00902BF0">
        <w:rPr>
          <w:rFonts w:cstheme="minorHAnsi"/>
          <w:sz w:val="24"/>
          <w:szCs w:val="24"/>
        </w:rPr>
        <w:t>”</w:t>
      </w:r>
      <w:r w:rsidR="00F02E46" w:rsidRPr="00902BF0">
        <w:rPr>
          <w:rFonts w:cstheme="minorHAnsi"/>
          <w:sz w:val="24"/>
          <w:szCs w:val="24"/>
        </w:rPr>
        <w:t>.</w:t>
      </w:r>
    </w:p>
    <w:p w14:paraId="2D03673A" w14:textId="377ABE4D" w:rsidR="00973CA7" w:rsidRPr="00902BF0" w:rsidRDefault="00505288" w:rsidP="00902BF0">
      <w:pPr>
        <w:pStyle w:val="NoSpacing"/>
        <w:spacing w:line="360" w:lineRule="auto"/>
        <w:rPr>
          <w:rFonts w:cstheme="minorHAnsi"/>
          <w:sz w:val="24"/>
          <w:szCs w:val="24"/>
        </w:rPr>
      </w:pPr>
      <w:r w:rsidRPr="00902BF0">
        <w:rPr>
          <w:rFonts w:cstheme="minorHAnsi"/>
          <w:color w:val="000000"/>
          <w:sz w:val="24"/>
          <w:szCs w:val="24"/>
        </w:rPr>
        <w:t>Every woman’s’ experience of PCOS is different, the main symptoms are irregular periods, excessive facial hair (Hirsutism), oily skin or acne, male pattern baldness, mood changes, difficulty conceiving and weight gain</w:t>
      </w:r>
      <w:r w:rsidRPr="00902BF0">
        <w:rPr>
          <w:rFonts w:cstheme="minorHAnsi"/>
          <w:sz w:val="24"/>
          <w:szCs w:val="24"/>
        </w:rPr>
        <w:t>. Rosenberg (2019) notes that overweight and obesity can be as high as 80% in people with PCOS, but this relationship is not well understood.</w:t>
      </w:r>
    </w:p>
    <w:p w14:paraId="1F0F1C5A" w14:textId="6057BEC2" w:rsidR="00B14F6F" w:rsidRPr="00902BF0" w:rsidRDefault="00B14F6F" w:rsidP="00902BF0">
      <w:pPr>
        <w:pStyle w:val="NoSpacing"/>
        <w:spacing w:line="360" w:lineRule="auto"/>
        <w:rPr>
          <w:rFonts w:cstheme="minorHAnsi"/>
          <w:color w:val="000000"/>
          <w:sz w:val="24"/>
          <w:szCs w:val="24"/>
        </w:rPr>
      </w:pPr>
      <w:r w:rsidRPr="00902BF0">
        <w:rPr>
          <w:rFonts w:cstheme="minorHAnsi"/>
          <w:color w:val="000000"/>
          <w:sz w:val="24"/>
          <w:szCs w:val="24"/>
        </w:rPr>
        <w:lastRenderedPageBreak/>
        <w:t xml:space="preserve">Many women with PCOS live undiagnosed for several years, indeed </w:t>
      </w:r>
      <w:proofErr w:type="spellStart"/>
      <w:r w:rsidRPr="00902BF0">
        <w:rPr>
          <w:rFonts w:cstheme="minorHAnsi"/>
          <w:sz w:val="24"/>
          <w:szCs w:val="24"/>
        </w:rPr>
        <w:t>Teede</w:t>
      </w:r>
      <w:proofErr w:type="spellEnd"/>
      <w:r w:rsidRPr="00902BF0">
        <w:rPr>
          <w:rFonts w:cstheme="minorHAnsi"/>
          <w:sz w:val="24"/>
          <w:szCs w:val="24"/>
        </w:rPr>
        <w:t xml:space="preserve"> et al (2014) </w:t>
      </w:r>
      <w:r w:rsidRPr="00902BF0">
        <w:rPr>
          <w:rFonts w:cstheme="minorHAnsi"/>
          <w:color w:val="000000"/>
          <w:sz w:val="24"/>
          <w:szCs w:val="24"/>
        </w:rPr>
        <w:t xml:space="preserve">suggests that large numbers of women are only diagnosed with PCOS when having issues conceiving. Living with the symptoms of PCOS can greatly affect a person’s mood, body image and self-esteem. The World Health Organisation </w:t>
      </w:r>
      <w:r w:rsidRPr="00902BF0">
        <w:rPr>
          <w:rFonts w:cstheme="minorHAnsi"/>
          <w:sz w:val="24"/>
          <w:szCs w:val="24"/>
        </w:rPr>
        <w:t>(WHO</w:t>
      </w:r>
      <w:r w:rsidR="00F02E46" w:rsidRPr="00902BF0">
        <w:rPr>
          <w:rFonts w:cstheme="minorHAnsi"/>
          <w:sz w:val="24"/>
          <w:szCs w:val="24"/>
        </w:rPr>
        <w:t>, 2023</w:t>
      </w:r>
      <w:r w:rsidRPr="00902BF0">
        <w:rPr>
          <w:rFonts w:cstheme="minorHAnsi"/>
          <w:sz w:val="24"/>
          <w:szCs w:val="24"/>
        </w:rPr>
        <w:t>) reports that social stigma can be an issue for people with PCOS, this can impact their relationships</w:t>
      </w:r>
      <w:r w:rsidRPr="00902BF0">
        <w:rPr>
          <w:rFonts w:cstheme="minorHAnsi"/>
          <w:color w:val="000000"/>
          <w:sz w:val="24"/>
          <w:szCs w:val="24"/>
        </w:rPr>
        <w:t xml:space="preserve">, social or working life. PCOS is a </w:t>
      </w:r>
      <w:r w:rsidR="00F02E46" w:rsidRPr="00902BF0">
        <w:rPr>
          <w:rFonts w:cstheme="minorHAnsi"/>
          <w:color w:val="000000"/>
          <w:sz w:val="24"/>
          <w:szCs w:val="24"/>
        </w:rPr>
        <w:t xml:space="preserve">major </w:t>
      </w:r>
      <w:r w:rsidRPr="00902BF0">
        <w:rPr>
          <w:rFonts w:cstheme="minorHAnsi"/>
          <w:color w:val="000000"/>
          <w:sz w:val="24"/>
          <w:szCs w:val="24"/>
        </w:rPr>
        <w:t xml:space="preserve">factor for infertility in women and this can further </w:t>
      </w:r>
      <w:r w:rsidR="00F02E46" w:rsidRPr="00902BF0">
        <w:rPr>
          <w:rFonts w:cstheme="minorHAnsi"/>
          <w:color w:val="000000"/>
          <w:sz w:val="24"/>
          <w:szCs w:val="24"/>
        </w:rPr>
        <w:t xml:space="preserve">exacerbate </w:t>
      </w:r>
      <w:r w:rsidRPr="00902BF0">
        <w:rPr>
          <w:rFonts w:cstheme="minorHAnsi"/>
          <w:color w:val="000000"/>
          <w:sz w:val="24"/>
          <w:szCs w:val="24"/>
        </w:rPr>
        <w:t xml:space="preserve">anxiety and for many women mean they are not able to conceive </w:t>
      </w:r>
      <w:r w:rsidR="009B322C" w:rsidRPr="00902BF0">
        <w:rPr>
          <w:rFonts w:cstheme="minorHAnsi"/>
          <w:color w:val="000000"/>
          <w:sz w:val="24"/>
          <w:szCs w:val="24"/>
        </w:rPr>
        <w:t>without</w:t>
      </w:r>
      <w:r w:rsidRPr="00902BF0">
        <w:rPr>
          <w:rFonts w:cstheme="minorHAnsi"/>
          <w:color w:val="000000"/>
          <w:sz w:val="24"/>
          <w:szCs w:val="24"/>
        </w:rPr>
        <w:t xml:space="preserve"> medical intervention. </w:t>
      </w:r>
      <w:r w:rsidRPr="00902BF0">
        <w:rPr>
          <w:rFonts w:cstheme="minorHAnsi"/>
          <w:sz w:val="24"/>
          <w:szCs w:val="24"/>
        </w:rPr>
        <w:t xml:space="preserve">Copp et al </w:t>
      </w:r>
      <w:r w:rsidR="009B322C" w:rsidRPr="00902BF0">
        <w:rPr>
          <w:rFonts w:cstheme="minorHAnsi"/>
          <w:sz w:val="24"/>
          <w:szCs w:val="24"/>
        </w:rPr>
        <w:t xml:space="preserve">(2022) </w:t>
      </w:r>
      <w:r w:rsidRPr="00902BF0">
        <w:rPr>
          <w:rFonts w:cstheme="minorHAnsi"/>
          <w:color w:val="000000"/>
          <w:sz w:val="24"/>
          <w:szCs w:val="24"/>
        </w:rPr>
        <w:t xml:space="preserve">reports women </w:t>
      </w:r>
      <w:r w:rsidR="00F5447B">
        <w:rPr>
          <w:rFonts w:cstheme="minorHAnsi"/>
          <w:color w:val="000000"/>
          <w:sz w:val="24"/>
          <w:szCs w:val="24"/>
        </w:rPr>
        <w:t xml:space="preserve">are </w:t>
      </w:r>
      <w:r w:rsidRPr="00902BF0">
        <w:rPr>
          <w:rFonts w:cstheme="minorHAnsi"/>
          <w:color w:val="000000"/>
          <w:sz w:val="24"/>
          <w:szCs w:val="24"/>
        </w:rPr>
        <w:t xml:space="preserve">dissatisfied with diagnosis, treatment and information provided and goes on to reference reports that suggest this causes psychological distress. A meta-analysis </w:t>
      </w:r>
      <w:r w:rsidRPr="00902BF0">
        <w:rPr>
          <w:rFonts w:cstheme="minorHAnsi"/>
          <w:sz w:val="24"/>
          <w:szCs w:val="24"/>
        </w:rPr>
        <w:t>by W</w:t>
      </w:r>
      <w:r w:rsidR="00096EB6" w:rsidRPr="00902BF0">
        <w:rPr>
          <w:rFonts w:cstheme="minorHAnsi"/>
          <w:sz w:val="24"/>
          <w:szCs w:val="24"/>
        </w:rPr>
        <w:t>a</w:t>
      </w:r>
      <w:r w:rsidRPr="00902BF0">
        <w:rPr>
          <w:rFonts w:cstheme="minorHAnsi"/>
          <w:sz w:val="24"/>
          <w:szCs w:val="24"/>
        </w:rPr>
        <w:t>ng</w:t>
      </w:r>
      <w:r w:rsidR="00096EB6" w:rsidRPr="00902BF0">
        <w:rPr>
          <w:rFonts w:cstheme="minorHAnsi"/>
          <w:sz w:val="24"/>
          <w:szCs w:val="24"/>
        </w:rPr>
        <w:t xml:space="preserve"> et al</w:t>
      </w:r>
      <w:r w:rsidRPr="00902BF0">
        <w:rPr>
          <w:rFonts w:cstheme="minorHAnsi"/>
          <w:sz w:val="24"/>
          <w:szCs w:val="24"/>
        </w:rPr>
        <w:t xml:space="preserve"> (2021) </w:t>
      </w:r>
      <w:r w:rsidRPr="00902BF0">
        <w:rPr>
          <w:rFonts w:cstheme="minorHAnsi"/>
          <w:color w:val="000000"/>
          <w:sz w:val="24"/>
          <w:szCs w:val="24"/>
        </w:rPr>
        <w:t xml:space="preserve">concluded that there is a higher rate of anxiety and depression in women with PCOS. </w:t>
      </w:r>
    </w:p>
    <w:p w14:paraId="64835E8C" w14:textId="0950C401" w:rsidR="00096EB6" w:rsidRPr="00902BF0" w:rsidRDefault="00096EB6" w:rsidP="00902BF0">
      <w:pPr>
        <w:pStyle w:val="NoSpacing"/>
        <w:spacing w:line="360" w:lineRule="auto"/>
        <w:rPr>
          <w:rFonts w:cstheme="minorHAnsi"/>
          <w:color w:val="1F1F1F"/>
          <w:sz w:val="24"/>
          <w:szCs w:val="24"/>
        </w:rPr>
      </w:pPr>
      <w:r w:rsidRPr="00902BF0">
        <w:rPr>
          <w:rFonts w:cstheme="minorHAnsi"/>
          <w:color w:val="1F1F1F"/>
          <w:sz w:val="24"/>
          <w:szCs w:val="24"/>
        </w:rPr>
        <w:t xml:space="preserve">Diagnosis and treatment for PCOS can be difficult, a recent study </w:t>
      </w:r>
      <w:r w:rsidRPr="00902BF0">
        <w:rPr>
          <w:rFonts w:cstheme="minorHAnsi"/>
          <w:sz w:val="24"/>
          <w:szCs w:val="24"/>
        </w:rPr>
        <w:t xml:space="preserve">by Hillman et al (2020) notes that women can experience a wait of between 6 – 12 </w:t>
      </w:r>
      <w:r w:rsidR="00F54769" w:rsidRPr="00902BF0">
        <w:rPr>
          <w:rFonts w:cstheme="minorHAnsi"/>
          <w:sz w:val="24"/>
          <w:szCs w:val="24"/>
        </w:rPr>
        <w:t>months</w:t>
      </w:r>
      <w:r w:rsidRPr="00902BF0">
        <w:rPr>
          <w:rFonts w:cstheme="minorHAnsi"/>
          <w:sz w:val="24"/>
          <w:szCs w:val="24"/>
        </w:rPr>
        <w:t xml:space="preserve"> for a diagnosis and </w:t>
      </w:r>
      <w:r w:rsidRPr="00902BF0">
        <w:rPr>
          <w:rFonts w:cstheme="minorHAnsi"/>
          <w:color w:val="1F1F1F"/>
          <w:sz w:val="24"/>
          <w:szCs w:val="24"/>
        </w:rPr>
        <w:t xml:space="preserve">often do not have full discussions about their symptoms and the risk factors of PCOS. </w:t>
      </w:r>
    </w:p>
    <w:p w14:paraId="4B5E295E" w14:textId="40F0969E" w:rsidR="000C116F" w:rsidRDefault="00096EB6" w:rsidP="000C116F">
      <w:pPr>
        <w:pStyle w:val="NoSpacing"/>
        <w:spacing w:line="360" w:lineRule="auto"/>
        <w:rPr>
          <w:rFonts w:cstheme="minorHAnsi"/>
          <w:sz w:val="24"/>
          <w:szCs w:val="24"/>
        </w:rPr>
      </w:pPr>
      <w:r w:rsidRPr="00902BF0">
        <w:rPr>
          <w:rFonts w:cstheme="minorHAnsi"/>
          <w:color w:val="1F1F1F"/>
          <w:sz w:val="24"/>
          <w:szCs w:val="24"/>
        </w:rPr>
        <w:t xml:space="preserve">Copp et al </w:t>
      </w:r>
      <w:r w:rsidR="00F54769" w:rsidRPr="00902BF0">
        <w:rPr>
          <w:rFonts w:cstheme="minorHAnsi"/>
          <w:color w:val="1F1F1F"/>
          <w:sz w:val="24"/>
          <w:szCs w:val="24"/>
        </w:rPr>
        <w:t xml:space="preserve">(2020) </w:t>
      </w:r>
      <w:r w:rsidRPr="00902BF0">
        <w:rPr>
          <w:rFonts w:cstheme="minorHAnsi"/>
          <w:color w:val="1F1F1F"/>
          <w:sz w:val="24"/>
          <w:szCs w:val="24"/>
        </w:rPr>
        <w:t xml:space="preserve">suggest that clinicians experience challenges diagnosing PCOS in part due to the overlap of symptoms with other medical conditions. While some NHS trusts have created guidance and pathways such as the </w:t>
      </w:r>
      <w:r w:rsidRPr="00902BF0">
        <w:rPr>
          <w:rFonts w:cstheme="minorHAnsi"/>
          <w:sz w:val="24"/>
          <w:szCs w:val="24"/>
        </w:rPr>
        <w:t xml:space="preserve">NHS Camden Clinical Commissioning </w:t>
      </w:r>
      <w:r w:rsidR="00EB256E" w:rsidRPr="00902BF0">
        <w:rPr>
          <w:rFonts w:cstheme="minorHAnsi"/>
          <w:sz w:val="24"/>
          <w:szCs w:val="24"/>
        </w:rPr>
        <w:t>Group, (</w:t>
      </w:r>
      <w:r w:rsidRPr="00902BF0">
        <w:rPr>
          <w:rFonts w:cstheme="minorHAnsi"/>
          <w:sz w:val="24"/>
          <w:szCs w:val="24"/>
        </w:rPr>
        <w:t xml:space="preserve">figure 2) many clinicians report lack of standardisation for tests. </w:t>
      </w:r>
      <w:r w:rsidR="000046DC" w:rsidRPr="00902BF0">
        <w:rPr>
          <w:rFonts w:cstheme="minorHAnsi"/>
          <w:sz w:val="24"/>
          <w:szCs w:val="24"/>
        </w:rPr>
        <w:t>(</w:t>
      </w:r>
      <w:r w:rsidRPr="00902BF0">
        <w:rPr>
          <w:rFonts w:cstheme="minorHAnsi"/>
          <w:sz w:val="24"/>
          <w:szCs w:val="24"/>
        </w:rPr>
        <w:t xml:space="preserve">Copp et al </w:t>
      </w:r>
      <w:r w:rsidR="000046DC" w:rsidRPr="00902BF0">
        <w:rPr>
          <w:rFonts w:cstheme="minorHAnsi"/>
          <w:sz w:val="24"/>
          <w:szCs w:val="24"/>
        </w:rPr>
        <w:t>2020)</w:t>
      </w:r>
    </w:p>
    <w:p w14:paraId="6E8B1563" w14:textId="09CBD85F" w:rsidR="00F5447B" w:rsidRDefault="00EB256E" w:rsidP="000C116F">
      <w:pPr>
        <w:pStyle w:val="NoSpacing"/>
        <w:spacing w:line="360" w:lineRule="auto"/>
        <w:rPr>
          <w:rFonts w:cstheme="minorHAnsi"/>
          <w:sz w:val="24"/>
          <w:szCs w:val="24"/>
        </w:rPr>
      </w:pPr>
      <w:r w:rsidRPr="00902BF0">
        <w:rPr>
          <w:rFonts w:cstheme="minorHAnsi"/>
          <w:noProof/>
          <w:sz w:val="24"/>
          <w:szCs w:val="24"/>
        </w:rPr>
        <w:drawing>
          <wp:anchor distT="0" distB="0" distL="114300" distR="114300" simplePos="0" relativeHeight="251684864" behindDoc="0" locked="0" layoutInCell="1" allowOverlap="0" wp14:anchorId="162560BB" wp14:editId="380D504F">
            <wp:simplePos x="0" y="0"/>
            <wp:positionH relativeFrom="margin">
              <wp:posOffset>-400050</wp:posOffset>
            </wp:positionH>
            <wp:positionV relativeFrom="margin">
              <wp:posOffset>5213350</wp:posOffset>
            </wp:positionV>
            <wp:extent cx="6337300" cy="3289300"/>
            <wp:effectExtent l="0" t="0" r="6350" b="6350"/>
            <wp:wrapSquare wrapText="bothSides"/>
            <wp:docPr id="540454545" name="Picture 540454545" descr="A screenshot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1982" name="Picture 1982" descr="A screenshot of a computer screen&#10;&#10;Description automatically generated"/>
                    <pic:cNvPicPr/>
                  </pic:nvPicPr>
                  <pic:blipFill>
                    <a:blip r:embed="rId15"/>
                    <a:stretch>
                      <a:fillRect/>
                    </a:stretch>
                  </pic:blipFill>
                  <pic:spPr>
                    <a:xfrm>
                      <a:off x="0" y="0"/>
                      <a:ext cx="6337300" cy="3289300"/>
                    </a:xfrm>
                    <a:prstGeom prst="rect">
                      <a:avLst/>
                    </a:prstGeom>
                  </pic:spPr>
                </pic:pic>
              </a:graphicData>
            </a:graphic>
            <wp14:sizeRelH relativeFrom="margin">
              <wp14:pctWidth>0</wp14:pctWidth>
            </wp14:sizeRelH>
            <wp14:sizeRelV relativeFrom="margin">
              <wp14:pctHeight>0</wp14:pctHeight>
            </wp14:sizeRelV>
          </wp:anchor>
        </w:drawing>
      </w:r>
    </w:p>
    <w:p w14:paraId="3A6C2129" w14:textId="21C6553E" w:rsidR="00F5447B" w:rsidRDefault="00EB256E" w:rsidP="000C116F">
      <w:pPr>
        <w:pStyle w:val="NoSpacing"/>
        <w:spacing w:line="360" w:lineRule="auto"/>
        <w:rPr>
          <w:rFonts w:cstheme="minorHAnsi"/>
          <w:sz w:val="24"/>
          <w:szCs w:val="24"/>
        </w:rPr>
      </w:pPr>
      <w:r>
        <w:rPr>
          <w:noProof/>
        </w:rPr>
        <mc:AlternateContent>
          <mc:Choice Requires="wps">
            <w:drawing>
              <wp:anchor distT="45720" distB="45720" distL="114300" distR="114300" simplePos="0" relativeHeight="251686912" behindDoc="0" locked="0" layoutInCell="1" allowOverlap="1" wp14:anchorId="3D5F1A1B" wp14:editId="38466355">
                <wp:simplePos x="0" y="0"/>
                <wp:positionH relativeFrom="margin">
                  <wp:posOffset>3651250</wp:posOffset>
                </wp:positionH>
                <wp:positionV relativeFrom="paragraph">
                  <wp:posOffset>2867660</wp:posOffset>
                </wp:positionV>
                <wp:extent cx="1130300" cy="2794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0300" cy="279400"/>
                        </a:xfrm>
                        <a:prstGeom prst="rect">
                          <a:avLst/>
                        </a:prstGeom>
                        <a:solidFill>
                          <a:srgbClr val="FFFFFF"/>
                        </a:solidFill>
                        <a:ln w="9525">
                          <a:solidFill>
                            <a:srgbClr val="000000"/>
                          </a:solidFill>
                          <a:miter lim="800000"/>
                          <a:headEnd/>
                          <a:tailEnd/>
                        </a:ln>
                      </wps:spPr>
                      <wps:txbx>
                        <w:txbxContent>
                          <w:p w14:paraId="24F36BAC" w14:textId="77777777" w:rsidR="00EB256E" w:rsidRPr="00EB256E" w:rsidRDefault="00EB256E" w:rsidP="00EB256E">
                            <w:pPr>
                              <w:rPr>
                                <w:sz w:val="20"/>
                                <w:szCs w:val="20"/>
                              </w:rPr>
                            </w:pPr>
                            <w:r w:rsidRPr="00EB256E">
                              <w:rPr>
                                <w:sz w:val="20"/>
                                <w:szCs w:val="20"/>
                              </w:rPr>
                              <w:t>Figure 2: NHS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5F1A1B" id="_x0000_s1027" type="#_x0000_t202" style="position:absolute;margin-left:287.5pt;margin-top:225.8pt;width:89pt;height:22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gN2EAIAACYEAAAOAAAAZHJzL2Uyb0RvYy54bWysU9tu2zAMfR+wfxD0vthJk7Ux4hRdugwD&#10;ugvQ7QMUWY6FyaJGKbG7ry8lu2l2exnmB4E0qUPy8Gh13beGHRV6Dbbk00nOmbISKm33Jf/6Zfvq&#10;ijMfhK2EAatK/qA8v16/fLHqXKFm0ICpFDICsb7oXMmbEFyRZV42qhV+Ak5ZCtaArQjk4j6rUHSE&#10;3ppsluevsw6wcghSeU9/b4cgXyf8ulYyfKprrwIzJafeQjoxnbt4ZuuVKPYoXKPl2Ib4hy5aoS0V&#10;PUHdiiDYAfVvUK2WCB7qMJHQZlDXWqo0A00zzX+Z5r4RTqVZiBzvTjT5/wcrPx7v3WdkoX8DPS0w&#10;DeHdHchvnlnYNMLu1Q0idI0SFRWeRsqyzvlivBqp9oWPILvuA1S0ZHEIkID6GtvICs3JCJ0W8HAi&#10;XfWByVhyepFf5BSSFJtdLudkxxKieLrt0Id3CloWjZIjLTWhi+OdD0PqU0os5sHoaquNSQ7udxuD&#10;7ChIANv0jeg/pRnLupIvF7PFQMBfIfL0/Qmi1YGUbHRb8qtTkigibW9tlXQWhDaDTdMZO/IYqRtI&#10;DP2uZ7oaSY607qB6IGIRBuHSQyOjAfzBWUeiLbn/fhCoODPvLS1nOZ3Po8qTM19czsjB88juPCKs&#10;JKiSB84GcxPSy4i8WbihJdY68fvcydgyiTFtaHw4Ue3nfsp6ft7rRwAAAP//AwBQSwMEFAAGAAgA&#10;AAAhAIjhFeXhAAAACwEAAA8AAABkcnMvZG93bnJldi54bWxMj8FOwzAQRO9I/IO1SFwQdUrrpA1x&#10;KoQEojcoCK5u7CYR9jrYbhr+nuUEx50dzbypNpOzbDQh9h4lzGcZMION1z22Et5eH65XwGJSqJX1&#10;aCR8mwib+vysUqX2J3wx4y61jEIwlkpCl9JQch6bzjgVZ34wSL+DD04lOkPLdVAnCneW32RZzp3q&#10;kRo6NZj7zjSfu6OTsFo+jR9xu3h+b/KDXaerYnz8ClJeXkx3t8CSmdKfGX7xCR1qYtr7I+rIrARR&#10;CNqSJCzFPAdGjkIsSNmTshY58Lri/zfUPwAAAP//AwBQSwECLQAUAAYACAAAACEAtoM4kv4AAADh&#10;AQAAEwAAAAAAAAAAAAAAAAAAAAAAW0NvbnRlbnRfVHlwZXNdLnhtbFBLAQItABQABgAIAAAAIQA4&#10;/SH/1gAAAJQBAAALAAAAAAAAAAAAAAAAAC8BAABfcmVscy8ucmVsc1BLAQItABQABgAIAAAAIQBR&#10;4gN2EAIAACYEAAAOAAAAAAAAAAAAAAAAAC4CAABkcnMvZTJvRG9jLnhtbFBLAQItABQABgAIAAAA&#10;IQCI4RXl4QAAAAsBAAAPAAAAAAAAAAAAAAAAAGoEAABkcnMvZG93bnJldi54bWxQSwUGAAAAAAQA&#10;BADzAAAAeAUAAAAA&#10;">
                <v:textbox>
                  <w:txbxContent>
                    <w:p w14:paraId="24F36BAC" w14:textId="77777777" w:rsidR="00EB256E" w:rsidRPr="00EB256E" w:rsidRDefault="00EB256E" w:rsidP="00EB256E">
                      <w:pPr>
                        <w:rPr>
                          <w:sz w:val="20"/>
                          <w:szCs w:val="20"/>
                        </w:rPr>
                      </w:pPr>
                      <w:r w:rsidRPr="00EB256E">
                        <w:rPr>
                          <w:sz w:val="20"/>
                          <w:szCs w:val="20"/>
                        </w:rPr>
                        <w:t>Figure 2: NHS 2016</w:t>
                      </w:r>
                    </w:p>
                  </w:txbxContent>
                </v:textbox>
                <w10:wrap type="square" anchorx="margin"/>
              </v:shape>
            </w:pict>
          </mc:Fallback>
        </mc:AlternateContent>
      </w:r>
    </w:p>
    <w:p w14:paraId="12C466F7" w14:textId="1F0F728E" w:rsidR="00F5447B" w:rsidRDefault="00F5447B" w:rsidP="000C116F">
      <w:pPr>
        <w:pStyle w:val="NoSpacing"/>
        <w:spacing w:line="360" w:lineRule="auto"/>
        <w:rPr>
          <w:rFonts w:cstheme="minorHAnsi"/>
          <w:sz w:val="24"/>
          <w:szCs w:val="24"/>
        </w:rPr>
      </w:pPr>
    </w:p>
    <w:p w14:paraId="23525AE3" w14:textId="2EE85309" w:rsidR="00902BF0" w:rsidRPr="000C116F" w:rsidRDefault="00902BF0" w:rsidP="000C116F">
      <w:pPr>
        <w:pStyle w:val="NoSpacing"/>
        <w:spacing w:line="360" w:lineRule="auto"/>
        <w:rPr>
          <w:rFonts w:cstheme="minorHAnsi"/>
          <w:sz w:val="24"/>
          <w:szCs w:val="24"/>
        </w:rPr>
      </w:pPr>
    </w:p>
    <w:p w14:paraId="0C0FC405" w14:textId="1AFB38B8" w:rsidR="00F54769" w:rsidRPr="00902BF0" w:rsidRDefault="00406159" w:rsidP="00902BF0">
      <w:pPr>
        <w:pStyle w:val="NoSpacing"/>
        <w:spacing w:line="360" w:lineRule="auto"/>
        <w:jc w:val="center"/>
        <w:rPr>
          <w:b/>
          <w:bCs/>
          <w:sz w:val="28"/>
          <w:szCs w:val="28"/>
          <w:u w:val="single"/>
        </w:rPr>
      </w:pPr>
      <w:r w:rsidRPr="00902BF0">
        <w:rPr>
          <w:b/>
          <w:bCs/>
          <w:sz w:val="28"/>
          <w:szCs w:val="28"/>
          <w:u w:val="single"/>
        </w:rPr>
        <w:t>Previous approaches</w:t>
      </w:r>
    </w:p>
    <w:p w14:paraId="52A6168C" w14:textId="55A64DBC" w:rsidR="009E4CBC" w:rsidRPr="00902BF0" w:rsidRDefault="009E4CBC" w:rsidP="00902BF0">
      <w:pPr>
        <w:pStyle w:val="NoSpacing"/>
        <w:spacing w:line="360" w:lineRule="auto"/>
        <w:rPr>
          <w:rFonts w:cstheme="minorHAnsi"/>
          <w:color w:val="1F1F1F"/>
          <w:sz w:val="24"/>
          <w:szCs w:val="24"/>
        </w:rPr>
      </w:pPr>
      <w:r w:rsidRPr="00902BF0">
        <w:rPr>
          <w:rFonts w:cstheme="minorHAnsi"/>
          <w:color w:val="1F1F1F"/>
          <w:sz w:val="24"/>
          <w:szCs w:val="24"/>
        </w:rPr>
        <w:t xml:space="preserve">Polycystic ovaries are noted as far back as the 1800s. Drs Stein and Leventhal are credited with much of the diagnostic criteria and early treatment of PCOS when at the 1935 Central Association of </w:t>
      </w:r>
      <w:r w:rsidRPr="00902BF0">
        <w:rPr>
          <w:rFonts w:cstheme="minorHAnsi"/>
          <w:color w:val="212121"/>
          <w:sz w:val="24"/>
          <w:szCs w:val="24"/>
          <w:shd w:val="clear" w:color="auto" w:fill="FFFFFF"/>
        </w:rPr>
        <w:t xml:space="preserve">Obstetricians and </w:t>
      </w:r>
      <w:r w:rsidR="004628BA" w:rsidRPr="00902BF0">
        <w:rPr>
          <w:rFonts w:cstheme="minorHAnsi"/>
          <w:color w:val="212121"/>
          <w:sz w:val="24"/>
          <w:szCs w:val="24"/>
          <w:shd w:val="clear" w:color="auto" w:fill="FFFFFF"/>
        </w:rPr>
        <w:t>Gynaecologists</w:t>
      </w:r>
      <w:r w:rsidR="004628BA" w:rsidRPr="00902BF0">
        <w:rPr>
          <w:rFonts w:cstheme="minorHAnsi"/>
          <w:color w:val="1F1F1F"/>
          <w:sz w:val="24"/>
          <w:szCs w:val="24"/>
        </w:rPr>
        <w:t>,</w:t>
      </w:r>
      <w:r w:rsidRPr="00902BF0">
        <w:rPr>
          <w:rFonts w:cstheme="minorHAnsi"/>
          <w:color w:val="1F1F1F"/>
          <w:sz w:val="24"/>
          <w:szCs w:val="24"/>
        </w:rPr>
        <w:t xml:space="preserve"> they discussed the correlation between ovarian pathology and other PCOS </w:t>
      </w:r>
      <w:r w:rsidRPr="00902BF0">
        <w:rPr>
          <w:rFonts w:cstheme="minorHAnsi"/>
          <w:sz w:val="24"/>
          <w:szCs w:val="24"/>
        </w:rPr>
        <w:t xml:space="preserve">symptoms. </w:t>
      </w:r>
      <w:r w:rsidR="008C3934" w:rsidRPr="00902BF0">
        <w:rPr>
          <w:rFonts w:cstheme="minorHAnsi"/>
          <w:sz w:val="24"/>
          <w:szCs w:val="24"/>
        </w:rPr>
        <w:t>(</w:t>
      </w:r>
      <w:proofErr w:type="spellStart"/>
      <w:r w:rsidRPr="00902BF0">
        <w:rPr>
          <w:rFonts w:cstheme="minorHAnsi"/>
          <w:sz w:val="24"/>
          <w:szCs w:val="24"/>
        </w:rPr>
        <w:t>Adashi</w:t>
      </w:r>
      <w:proofErr w:type="spellEnd"/>
      <w:r w:rsidRPr="00902BF0">
        <w:rPr>
          <w:rFonts w:cstheme="minorHAnsi"/>
          <w:sz w:val="24"/>
          <w:szCs w:val="24"/>
        </w:rPr>
        <w:t xml:space="preserve"> et al 2023) </w:t>
      </w:r>
    </w:p>
    <w:p w14:paraId="295CA8BA" w14:textId="6F6BB9C1" w:rsidR="009E4CBC" w:rsidRPr="00902BF0" w:rsidRDefault="009E4CBC" w:rsidP="00902BF0">
      <w:pPr>
        <w:pStyle w:val="NoSpacing"/>
        <w:spacing w:line="360" w:lineRule="auto"/>
        <w:rPr>
          <w:rFonts w:cstheme="minorHAnsi"/>
          <w:color w:val="1F1F1F"/>
          <w:sz w:val="24"/>
          <w:szCs w:val="24"/>
        </w:rPr>
      </w:pPr>
      <w:r w:rsidRPr="00902BF0">
        <w:rPr>
          <w:rFonts w:cstheme="minorHAnsi"/>
          <w:color w:val="1F1F1F"/>
          <w:sz w:val="24"/>
          <w:szCs w:val="24"/>
        </w:rPr>
        <w:t>The surgical ovarian wedge was the first documented treatment of PCOS along with the puncturing and ablations of cysts</w:t>
      </w:r>
      <w:r w:rsidR="00E172EA">
        <w:rPr>
          <w:rFonts w:cstheme="minorHAnsi"/>
          <w:color w:val="1F1F1F"/>
          <w:sz w:val="24"/>
          <w:szCs w:val="24"/>
        </w:rPr>
        <w:t>, r</w:t>
      </w:r>
      <w:r w:rsidRPr="00902BF0">
        <w:rPr>
          <w:rFonts w:cstheme="minorHAnsi"/>
          <w:color w:val="1F1F1F"/>
          <w:sz w:val="24"/>
          <w:szCs w:val="24"/>
        </w:rPr>
        <w:t xml:space="preserve">esults of this were mixed and the risk of surgery high and as such researchers looked for other methods. The modern-day </w:t>
      </w:r>
      <w:r w:rsidR="00E172EA">
        <w:rPr>
          <w:rFonts w:cstheme="minorHAnsi"/>
          <w:color w:val="1F1F1F"/>
          <w:sz w:val="24"/>
          <w:szCs w:val="24"/>
        </w:rPr>
        <w:t>surgical interventions</w:t>
      </w:r>
      <w:r w:rsidRPr="00902BF0">
        <w:rPr>
          <w:rFonts w:cstheme="minorHAnsi"/>
          <w:color w:val="1F1F1F"/>
          <w:sz w:val="24"/>
          <w:szCs w:val="24"/>
        </w:rPr>
        <w:t>, known as Laparoscopic ovarian drilling is available of the NHS if other treatments are ineffective</w:t>
      </w:r>
      <w:r w:rsidR="00E172EA">
        <w:rPr>
          <w:rFonts w:cstheme="minorHAnsi"/>
          <w:color w:val="1F1F1F"/>
          <w:sz w:val="24"/>
          <w:szCs w:val="24"/>
        </w:rPr>
        <w:t>, t</w:t>
      </w:r>
      <w:r w:rsidRPr="00902BF0">
        <w:rPr>
          <w:rFonts w:cstheme="minorHAnsi"/>
          <w:color w:val="1F1F1F"/>
          <w:sz w:val="24"/>
          <w:szCs w:val="24"/>
        </w:rPr>
        <w:t>he aim of the procedure being to destroy the tissues responsible for producing androgens resulting in a reduction in testosterone and Luteinising Hormone (LH)</w:t>
      </w:r>
    </w:p>
    <w:p w14:paraId="4BE216F0" w14:textId="0320CFCE" w:rsidR="00406159" w:rsidRPr="00902BF0" w:rsidRDefault="009E4CBC" w:rsidP="00902BF0">
      <w:pPr>
        <w:pStyle w:val="NoSpacing"/>
        <w:spacing w:line="360" w:lineRule="auto"/>
        <w:rPr>
          <w:rFonts w:cstheme="minorHAnsi"/>
          <w:color w:val="1F1F1F"/>
          <w:sz w:val="24"/>
          <w:szCs w:val="24"/>
        </w:rPr>
      </w:pPr>
      <w:r w:rsidRPr="00902BF0">
        <w:rPr>
          <w:rFonts w:cstheme="minorHAnsi"/>
          <w:color w:val="1F1F1F"/>
          <w:sz w:val="24"/>
          <w:szCs w:val="24"/>
        </w:rPr>
        <w:t xml:space="preserve">During the 1950s there was a shift to hormone treatment and the use of Follicle Stimulating Hormones (FSH) called Gonadotropins, their aim to work directly on the ovaries and stimulate follicle development. A 1981 paper by </w:t>
      </w:r>
      <w:r w:rsidRPr="00902BF0">
        <w:rPr>
          <w:rFonts w:cstheme="minorHAnsi"/>
          <w:sz w:val="24"/>
          <w:szCs w:val="24"/>
        </w:rPr>
        <w:t xml:space="preserve">Wallach et al notes </w:t>
      </w:r>
      <w:r w:rsidRPr="00902BF0">
        <w:rPr>
          <w:rFonts w:cstheme="minorHAnsi"/>
          <w:color w:val="1F1F1F"/>
          <w:sz w:val="24"/>
          <w:szCs w:val="24"/>
        </w:rPr>
        <w:t>“impressive progress” in the use of gonadotropins for anovulation, the article goes on to discuss how treatment is expensive and there are significant complications such as ovarian hyperstimulation.</w:t>
      </w:r>
    </w:p>
    <w:p w14:paraId="4D76FB1A" w14:textId="32FB672B" w:rsidR="000F1627" w:rsidRPr="00902BF0" w:rsidRDefault="00E637EA" w:rsidP="00902BF0">
      <w:pPr>
        <w:pStyle w:val="NoSpacing"/>
        <w:spacing w:line="360" w:lineRule="auto"/>
        <w:rPr>
          <w:sz w:val="24"/>
          <w:szCs w:val="24"/>
        </w:rPr>
      </w:pPr>
      <w:r w:rsidRPr="00902BF0">
        <w:rPr>
          <w:sz w:val="24"/>
          <w:szCs w:val="24"/>
        </w:rPr>
        <w:t>In the late 1960s Clomiphene Citrate was being used</w:t>
      </w:r>
      <w:r w:rsidR="000F1627" w:rsidRPr="00902BF0">
        <w:rPr>
          <w:sz w:val="24"/>
          <w:szCs w:val="24"/>
        </w:rPr>
        <w:t xml:space="preserve">, a </w:t>
      </w:r>
      <w:r w:rsidRPr="00902BF0">
        <w:rPr>
          <w:sz w:val="24"/>
          <w:szCs w:val="24"/>
        </w:rPr>
        <w:t>medication designed to work similarly to oestrogen and promote ovulation. Homberg (2005) observed that as C</w:t>
      </w:r>
      <w:r w:rsidR="000F1627" w:rsidRPr="00902BF0">
        <w:rPr>
          <w:sz w:val="24"/>
          <w:szCs w:val="24"/>
        </w:rPr>
        <w:t xml:space="preserve">lomiphene </w:t>
      </w:r>
      <w:r w:rsidRPr="00902BF0">
        <w:rPr>
          <w:sz w:val="24"/>
          <w:szCs w:val="24"/>
        </w:rPr>
        <w:t>was inexpensive and could be taken orally it ha</w:t>
      </w:r>
      <w:r w:rsidR="000F1627" w:rsidRPr="00902BF0">
        <w:rPr>
          <w:sz w:val="24"/>
          <w:szCs w:val="24"/>
        </w:rPr>
        <w:t>d</w:t>
      </w:r>
      <w:r w:rsidRPr="00902BF0">
        <w:rPr>
          <w:sz w:val="24"/>
          <w:szCs w:val="24"/>
        </w:rPr>
        <w:t xml:space="preserve"> enormous advantages </w:t>
      </w:r>
      <w:r w:rsidR="000F1627" w:rsidRPr="00902BF0">
        <w:rPr>
          <w:sz w:val="24"/>
          <w:szCs w:val="24"/>
        </w:rPr>
        <w:t>over</w:t>
      </w:r>
      <w:r w:rsidRPr="00902BF0">
        <w:rPr>
          <w:sz w:val="24"/>
          <w:szCs w:val="24"/>
        </w:rPr>
        <w:t xml:space="preserve"> other treatments</w:t>
      </w:r>
      <w:r w:rsidR="000F1627" w:rsidRPr="00902BF0">
        <w:rPr>
          <w:sz w:val="24"/>
          <w:szCs w:val="24"/>
        </w:rPr>
        <w:t>, b</w:t>
      </w:r>
      <w:r w:rsidRPr="00902BF0">
        <w:rPr>
          <w:sz w:val="24"/>
          <w:szCs w:val="24"/>
        </w:rPr>
        <w:t>ut it did question its use</w:t>
      </w:r>
      <w:r w:rsidR="000F1627" w:rsidRPr="00902BF0">
        <w:rPr>
          <w:sz w:val="24"/>
          <w:szCs w:val="24"/>
        </w:rPr>
        <w:t xml:space="preserve"> and</w:t>
      </w:r>
      <w:r w:rsidRPr="00902BF0">
        <w:rPr>
          <w:sz w:val="24"/>
          <w:szCs w:val="24"/>
        </w:rPr>
        <w:t xml:space="preserve"> consid</w:t>
      </w:r>
      <w:r w:rsidR="000F1627" w:rsidRPr="00902BF0">
        <w:rPr>
          <w:sz w:val="24"/>
          <w:szCs w:val="24"/>
        </w:rPr>
        <w:t>ered</w:t>
      </w:r>
      <w:r w:rsidRPr="00902BF0">
        <w:rPr>
          <w:sz w:val="24"/>
          <w:szCs w:val="24"/>
        </w:rPr>
        <w:t xml:space="preserve"> other medications such as </w:t>
      </w:r>
      <w:r w:rsidR="000C116F" w:rsidRPr="00902BF0">
        <w:rPr>
          <w:sz w:val="24"/>
          <w:szCs w:val="24"/>
        </w:rPr>
        <w:t xml:space="preserve">Metformin, </w:t>
      </w:r>
      <w:r w:rsidR="00E172EA">
        <w:rPr>
          <w:sz w:val="24"/>
          <w:szCs w:val="24"/>
        </w:rPr>
        <w:t xml:space="preserve">a medication used to improve insulin resistance, </w:t>
      </w:r>
      <w:r w:rsidR="000C116F" w:rsidRPr="00902BF0">
        <w:rPr>
          <w:sz w:val="24"/>
          <w:szCs w:val="24"/>
        </w:rPr>
        <w:t>Johnson</w:t>
      </w:r>
      <w:r w:rsidRPr="00902BF0">
        <w:rPr>
          <w:sz w:val="24"/>
          <w:szCs w:val="24"/>
        </w:rPr>
        <w:t xml:space="preserve"> (2014) however challenges this view and notes that an international consensus group suggests that Metformin should not be first line treatment and should only be used for those with insulin resistan</w:t>
      </w:r>
      <w:r w:rsidR="009A0FB7" w:rsidRPr="00902BF0">
        <w:rPr>
          <w:sz w:val="24"/>
          <w:szCs w:val="24"/>
        </w:rPr>
        <w:t xml:space="preserve">ce. </w:t>
      </w:r>
    </w:p>
    <w:p w14:paraId="3BC09953" w14:textId="22997ACD" w:rsidR="00F87602" w:rsidRPr="00EB256E" w:rsidRDefault="00C021A6" w:rsidP="00EB256E">
      <w:pPr>
        <w:pStyle w:val="NoSpacing"/>
        <w:spacing w:line="360" w:lineRule="auto"/>
        <w:rPr>
          <w:sz w:val="24"/>
          <w:szCs w:val="24"/>
        </w:rPr>
      </w:pPr>
      <w:r>
        <w:rPr>
          <w:sz w:val="24"/>
          <w:szCs w:val="24"/>
        </w:rPr>
        <w:t>W</w:t>
      </w:r>
      <w:r w:rsidR="00CA012F" w:rsidRPr="00902BF0">
        <w:rPr>
          <w:sz w:val="24"/>
          <w:szCs w:val="24"/>
        </w:rPr>
        <w:t xml:space="preserve">omen with PCOS seeking advice for weight loss would have previously sought support from their GP or practice nurse. A </w:t>
      </w:r>
      <w:r w:rsidR="00CA012F" w:rsidRPr="000C116F">
        <w:rPr>
          <w:sz w:val="24"/>
          <w:szCs w:val="24"/>
        </w:rPr>
        <w:t xml:space="preserve">study by Jeanes et al (2009) notes </w:t>
      </w:r>
      <w:r w:rsidR="00CA012F" w:rsidRPr="00902BF0">
        <w:rPr>
          <w:sz w:val="24"/>
          <w:szCs w:val="24"/>
        </w:rPr>
        <w:t>as recently as 2009 that there “are no official dietary guidelines” for women with PCOS</w:t>
      </w:r>
      <w:r w:rsidR="00E172EA">
        <w:rPr>
          <w:sz w:val="24"/>
          <w:szCs w:val="24"/>
        </w:rPr>
        <w:t>, r</w:t>
      </w:r>
      <w:r w:rsidR="00CA012F" w:rsidRPr="00902BF0">
        <w:rPr>
          <w:sz w:val="24"/>
          <w:szCs w:val="24"/>
        </w:rPr>
        <w:t>eferral to a dietetic service would not be the standard process unless weight gain was a symptom</w:t>
      </w:r>
      <w:r>
        <w:rPr>
          <w:sz w:val="24"/>
          <w:szCs w:val="24"/>
        </w:rPr>
        <w:t xml:space="preserve">, this means many women would be offered no lifestyle information or support at all. </w:t>
      </w:r>
      <w:r w:rsidR="00CA012F" w:rsidRPr="00902BF0">
        <w:rPr>
          <w:sz w:val="24"/>
          <w:szCs w:val="24"/>
        </w:rPr>
        <w:t xml:space="preserve">In recent years online support from the NHS, weight management services and social support </w:t>
      </w:r>
      <w:r w:rsidR="00E172EA">
        <w:rPr>
          <w:sz w:val="24"/>
          <w:szCs w:val="24"/>
        </w:rPr>
        <w:t xml:space="preserve">for PVOS </w:t>
      </w:r>
      <w:r w:rsidR="00CA012F" w:rsidRPr="00902BF0">
        <w:rPr>
          <w:sz w:val="24"/>
          <w:szCs w:val="24"/>
        </w:rPr>
        <w:t>are more readily available.</w:t>
      </w:r>
    </w:p>
    <w:p w14:paraId="7D381637" w14:textId="73216EE6" w:rsidR="00406159" w:rsidRDefault="00406159" w:rsidP="00EB256E">
      <w:pPr>
        <w:tabs>
          <w:tab w:val="left" w:pos="2540"/>
        </w:tabs>
        <w:jc w:val="center"/>
        <w:rPr>
          <w:b/>
          <w:bCs/>
          <w:sz w:val="28"/>
          <w:szCs w:val="28"/>
          <w:u w:val="single"/>
        </w:rPr>
      </w:pPr>
      <w:r w:rsidRPr="00406159">
        <w:rPr>
          <w:b/>
          <w:bCs/>
          <w:sz w:val="28"/>
          <w:szCs w:val="28"/>
          <w:u w:val="single"/>
        </w:rPr>
        <w:t>Current approaches</w:t>
      </w:r>
    </w:p>
    <w:p w14:paraId="2934A381" w14:textId="77777777" w:rsidR="00EB256E" w:rsidRPr="00EB256E" w:rsidRDefault="00EB256E" w:rsidP="00EB256E">
      <w:pPr>
        <w:tabs>
          <w:tab w:val="left" w:pos="2540"/>
        </w:tabs>
        <w:jc w:val="center"/>
        <w:rPr>
          <w:b/>
          <w:bCs/>
          <w:sz w:val="28"/>
          <w:szCs w:val="28"/>
          <w:u w:val="single"/>
        </w:rPr>
      </w:pPr>
    </w:p>
    <w:p w14:paraId="3EA7FB84" w14:textId="1CAA9A1D" w:rsidR="00F87602" w:rsidRPr="00902BF0" w:rsidRDefault="00C74C3A" w:rsidP="00902BF0">
      <w:pPr>
        <w:pStyle w:val="NoSpacing"/>
        <w:spacing w:line="360" w:lineRule="auto"/>
        <w:rPr>
          <w:sz w:val="24"/>
          <w:szCs w:val="24"/>
        </w:rPr>
      </w:pPr>
      <w:bookmarkStart w:id="0" w:name="_Hlk165541505"/>
      <w:r w:rsidRPr="00902BF0">
        <w:rPr>
          <w:sz w:val="24"/>
          <w:szCs w:val="24"/>
        </w:rPr>
        <w:t xml:space="preserve">Current treatment for PCOS is focused on </w:t>
      </w:r>
      <w:r w:rsidR="00F87602" w:rsidRPr="00902BF0">
        <w:rPr>
          <w:sz w:val="24"/>
          <w:szCs w:val="24"/>
        </w:rPr>
        <w:t xml:space="preserve">the </w:t>
      </w:r>
      <w:r w:rsidRPr="00902BF0">
        <w:rPr>
          <w:sz w:val="24"/>
          <w:szCs w:val="24"/>
        </w:rPr>
        <w:t xml:space="preserve">management </w:t>
      </w:r>
      <w:r w:rsidR="00F87602" w:rsidRPr="00902BF0">
        <w:rPr>
          <w:sz w:val="24"/>
          <w:szCs w:val="24"/>
        </w:rPr>
        <w:t>of</w:t>
      </w:r>
      <w:r w:rsidRPr="00902BF0">
        <w:rPr>
          <w:sz w:val="24"/>
          <w:szCs w:val="24"/>
        </w:rPr>
        <w:t xml:space="preserve"> symptoms. Both Barber and Franks (2021) and Norman et</w:t>
      </w:r>
      <w:r w:rsidR="00F87602" w:rsidRPr="00902BF0">
        <w:rPr>
          <w:sz w:val="24"/>
          <w:szCs w:val="24"/>
        </w:rPr>
        <w:t xml:space="preserve"> al (2002) concur </w:t>
      </w:r>
      <w:r w:rsidRPr="00902BF0">
        <w:rPr>
          <w:sz w:val="24"/>
          <w:szCs w:val="24"/>
        </w:rPr>
        <w:t>with many other research paper</w:t>
      </w:r>
      <w:r w:rsidR="00F87602" w:rsidRPr="00902BF0">
        <w:rPr>
          <w:sz w:val="24"/>
          <w:szCs w:val="24"/>
        </w:rPr>
        <w:t>s</w:t>
      </w:r>
      <w:r w:rsidRPr="00902BF0">
        <w:rPr>
          <w:sz w:val="24"/>
          <w:szCs w:val="24"/>
        </w:rPr>
        <w:t xml:space="preserve"> that obesity and insulin resistance are strongly linked with PCOS, they further propose that reduction of these risk factors should be a focus in the treatment on PCOS</w:t>
      </w:r>
      <w:r w:rsidR="004628BA" w:rsidRPr="00902BF0">
        <w:rPr>
          <w:sz w:val="24"/>
          <w:szCs w:val="24"/>
        </w:rPr>
        <w:t>.</w:t>
      </w:r>
    </w:p>
    <w:bookmarkEnd w:id="0"/>
    <w:p w14:paraId="4565DB70" w14:textId="3D65548E" w:rsidR="000B32E9" w:rsidRPr="00902BF0" w:rsidRDefault="00F87602" w:rsidP="00902BF0">
      <w:pPr>
        <w:pStyle w:val="NoSpacing"/>
        <w:spacing w:line="360" w:lineRule="auto"/>
        <w:rPr>
          <w:sz w:val="24"/>
          <w:szCs w:val="24"/>
        </w:rPr>
      </w:pPr>
      <w:r w:rsidRPr="00902BF0">
        <w:rPr>
          <w:sz w:val="24"/>
          <w:szCs w:val="24"/>
        </w:rPr>
        <w:t>Women with fertility issues related to PCOS can be prescribed Clomifene which is used to encourage the release of eggs.</w:t>
      </w:r>
      <w:r w:rsidR="0016709F" w:rsidRPr="0016709F">
        <w:rPr>
          <w:sz w:val="24"/>
          <w:szCs w:val="24"/>
        </w:rPr>
        <w:t xml:space="preserve"> </w:t>
      </w:r>
      <w:proofErr w:type="spellStart"/>
      <w:r w:rsidR="0016709F" w:rsidRPr="00902BF0">
        <w:rPr>
          <w:sz w:val="24"/>
          <w:szCs w:val="24"/>
        </w:rPr>
        <w:t>Lashen</w:t>
      </w:r>
      <w:proofErr w:type="spellEnd"/>
      <w:r w:rsidR="0016709F" w:rsidRPr="00902BF0">
        <w:rPr>
          <w:sz w:val="24"/>
          <w:szCs w:val="24"/>
        </w:rPr>
        <w:t xml:space="preserve"> (2010) reports that Metformin may restore ovulation, reduce weight and improve hormone levels</w:t>
      </w:r>
      <w:r w:rsidR="0016709F">
        <w:rPr>
          <w:sz w:val="24"/>
          <w:szCs w:val="24"/>
        </w:rPr>
        <w:t xml:space="preserve"> as well as reducing circulating insulin levels, </w:t>
      </w:r>
      <w:r w:rsidR="00902BF0">
        <w:rPr>
          <w:sz w:val="24"/>
          <w:szCs w:val="24"/>
        </w:rPr>
        <w:t>t</w:t>
      </w:r>
      <w:r w:rsidRPr="00902BF0">
        <w:rPr>
          <w:sz w:val="24"/>
          <w:szCs w:val="24"/>
        </w:rPr>
        <w:t xml:space="preserve">his is a hotly debated topic </w:t>
      </w:r>
      <w:r w:rsidR="00E172EA">
        <w:rPr>
          <w:sz w:val="24"/>
          <w:szCs w:val="24"/>
        </w:rPr>
        <w:t xml:space="preserve">and many clinicians still </w:t>
      </w:r>
      <w:r w:rsidRPr="00902BF0">
        <w:rPr>
          <w:sz w:val="24"/>
          <w:szCs w:val="24"/>
        </w:rPr>
        <w:t>suggest it should only be used in women with PCOS who have insulin resistance.</w:t>
      </w:r>
      <w:r w:rsidR="004628BA" w:rsidRPr="00902BF0">
        <w:rPr>
          <w:sz w:val="24"/>
          <w:szCs w:val="24"/>
        </w:rPr>
        <w:t xml:space="preserve"> </w:t>
      </w:r>
      <w:r w:rsidR="000B32E9" w:rsidRPr="00902BF0">
        <w:rPr>
          <w:sz w:val="24"/>
          <w:szCs w:val="24"/>
        </w:rPr>
        <w:t>Johnson</w:t>
      </w:r>
      <w:r w:rsidR="00902BF0">
        <w:rPr>
          <w:sz w:val="24"/>
          <w:szCs w:val="24"/>
        </w:rPr>
        <w:t xml:space="preserve"> (2014)</w:t>
      </w:r>
      <w:r w:rsidR="000B32E9" w:rsidRPr="00902BF0">
        <w:rPr>
          <w:sz w:val="24"/>
          <w:szCs w:val="24"/>
        </w:rPr>
        <w:t xml:space="preserve"> references a review</w:t>
      </w:r>
      <w:r w:rsidR="0016709F">
        <w:rPr>
          <w:sz w:val="24"/>
          <w:szCs w:val="24"/>
        </w:rPr>
        <w:t xml:space="preserve"> of</w:t>
      </w:r>
      <w:r w:rsidR="000B32E9" w:rsidRPr="00902BF0">
        <w:rPr>
          <w:sz w:val="24"/>
          <w:szCs w:val="24"/>
        </w:rPr>
        <w:t xml:space="preserve"> seven </w:t>
      </w:r>
      <w:r w:rsidR="0016709F">
        <w:rPr>
          <w:sz w:val="24"/>
          <w:szCs w:val="24"/>
        </w:rPr>
        <w:t>randomised control trials (</w:t>
      </w:r>
      <w:r w:rsidR="000B32E9" w:rsidRPr="00902BF0">
        <w:rPr>
          <w:sz w:val="24"/>
          <w:szCs w:val="24"/>
        </w:rPr>
        <w:t>RCT</w:t>
      </w:r>
      <w:r w:rsidR="0016709F">
        <w:rPr>
          <w:sz w:val="24"/>
          <w:szCs w:val="24"/>
        </w:rPr>
        <w:t>)</w:t>
      </w:r>
      <w:r w:rsidR="000B32E9" w:rsidRPr="00902BF0">
        <w:rPr>
          <w:sz w:val="24"/>
          <w:szCs w:val="24"/>
        </w:rPr>
        <w:t xml:space="preserve"> that noted increased pregnancy rates for Metformin vs placebo</w:t>
      </w:r>
      <w:r w:rsidR="0016709F">
        <w:rPr>
          <w:sz w:val="24"/>
          <w:szCs w:val="24"/>
        </w:rPr>
        <w:t>, h</w:t>
      </w:r>
      <w:r w:rsidR="000B32E9" w:rsidRPr="00902BF0">
        <w:rPr>
          <w:sz w:val="24"/>
          <w:szCs w:val="24"/>
        </w:rPr>
        <w:t xml:space="preserve">owever, it also </w:t>
      </w:r>
      <w:r w:rsidR="000B32E9" w:rsidRPr="00902BF0">
        <w:rPr>
          <w:rFonts w:cstheme="minorHAnsi"/>
          <w:sz w:val="24"/>
          <w:szCs w:val="24"/>
        </w:rPr>
        <w:t>noted that Clomifene was better</w:t>
      </w:r>
      <w:r w:rsidR="000B32E9" w:rsidRPr="00902BF0">
        <w:rPr>
          <w:sz w:val="24"/>
          <w:szCs w:val="24"/>
        </w:rPr>
        <w:t xml:space="preserve"> at ovulation induction and </w:t>
      </w:r>
      <w:proofErr w:type="spellStart"/>
      <w:r w:rsidR="00A61C72" w:rsidRPr="00902BF0">
        <w:rPr>
          <w:rFonts w:eastAsia="Times New Roman" w:cs="Calibri"/>
          <w:color w:val="000000"/>
          <w:sz w:val="24"/>
          <w:szCs w:val="24"/>
          <w:lang w:eastAsia="en-GB"/>
        </w:rPr>
        <w:t>Genazzani</w:t>
      </w:r>
      <w:proofErr w:type="spellEnd"/>
      <w:r w:rsidR="00A61C72" w:rsidRPr="00902BF0">
        <w:rPr>
          <w:sz w:val="24"/>
          <w:szCs w:val="24"/>
        </w:rPr>
        <w:t xml:space="preserve"> </w:t>
      </w:r>
      <w:r w:rsidR="000B32E9" w:rsidRPr="00902BF0">
        <w:rPr>
          <w:sz w:val="24"/>
          <w:szCs w:val="24"/>
        </w:rPr>
        <w:t>et al</w:t>
      </w:r>
      <w:r w:rsidR="00A61C72" w:rsidRPr="00902BF0">
        <w:rPr>
          <w:sz w:val="24"/>
          <w:szCs w:val="24"/>
        </w:rPr>
        <w:t xml:space="preserve"> (2010)</w:t>
      </w:r>
      <w:r w:rsidR="000B32E9" w:rsidRPr="00902BF0">
        <w:rPr>
          <w:sz w:val="24"/>
          <w:szCs w:val="24"/>
        </w:rPr>
        <w:t xml:space="preserve"> </w:t>
      </w:r>
      <w:r w:rsidR="0016709F">
        <w:rPr>
          <w:sz w:val="24"/>
          <w:szCs w:val="24"/>
        </w:rPr>
        <w:t>states</w:t>
      </w:r>
      <w:r w:rsidR="000B32E9" w:rsidRPr="00902BF0">
        <w:rPr>
          <w:sz w:val="24"/>
          <w:szCs w:val="24"/>
        </w:rPr>
        <w:t xml:space="preserve"> that further research is needed to assess the benefits of </w:t>
      </w:r>
      <w:r w:rsidR="0017000C" w:rsidRPr="00902BF0">
        <w:rPr>
          <w:sz w:val="24"/>
          <w:szCs w:val="24"/>
        </w:rPr>
        <w:t>long-term</w:t>
      </w:r>
      <w:r w:rsidR="000B32E9" w:rsidRPr="00902BF0">
        <w:rPr>
          <w:sz w:val="24"/>
          <w:szCs w:val="24"/>
        </w:rPr>
        <w:t xml:space="preserve"> use</w:t>
      </w:r>
      <w:r w:rsidR="0016709F">
        <w:rPr>
          <w:sz w:val="24"/>
          <w:szCs w:val="24"/>
        </w:rPr>
        <w:t xml:space="preserve"> of Metformin</w:t>
      </w:r>
      <w:r w:rsidR="000B32E9" w:rsidRPr="00902BF0">
        <w:rPr>
          <w:sz w:val="24"/>
          <w:szCs w:val="24"/>
        </w:rPr>
        <w:t xml:space="preserve">. Currently Metformin is not licensed in the UK for the treatment of PCOS but is prescribed to treat the insulin resistance associated with it. </w:t>
      </w:r>
    </w:p>
    <w:p w14:paraId="108E8D2E" w14:textId="0A40A39C" w:rsidR="0017000C" w:rsidRPr="00902BF0" w:rsidRDefault="0017000C" w:rsidP="00902BF0">
      <w:pPr>
        <w:pStyle w:val="NoSpacing"/>
        <w:spacing w:line="360" w:lineRule="auto"/>
        <w:rPr>
          <w:sz w:val="24"/>
          <w:szCs w:val="24"/>
        </w:rPr>
      </w:pPr>
      <w:r w:rsidRPr="00902BF0">
        <w:rPr>
          <w:sz w:val="24"/>
          <w:szCs w:val="24"/>
        </w:rPr>
        <w:t>NHS dietitians and TAPs in general practice and weight management are today able to offer tailored support for women with PCOS</w:t>
      </w:r>
      <w:r w:rsidR="00E172EA">
        <w:rPr>
          <w:sz w:val="24"/>
          <w:szCs w:val="24"/>
        </w:rPr>
        <w:t>, d</w:t>
      </w:r>
      <w:r w:rsidRPr="00902BF0">
        <w:rPr>
          <w:sz w:val="24"/>
          <w:szCs w:val="24"/>
        </w:rPr>
        <w:t>ietary and lifestyle support is focused on achieving a healthy balanced diet and weight loss. The British Dietetic Association (BDA) notes that a Low GI eating plan can help to improve insulin sensitivity</w:t>
      </w:r>
      <w:r w:rsidR="001E3A71">
        <w:rPr>
          <w:sz w:val="24"/>
          <w:szCs w:val="24"/>
        </w:rPr>
        <w:t>, it</w:t>
      </w:r>
      <w:r w:rsidRPr="00902BF0">
        <w:rPr>
          <w:sz w:val="24"/>
          <w:szCs w:val="24"/>
        </w:rPr>
        <w:t xml:space="preserve"> also discusses the use of supplementation which is helpful for Dietitian</w:t>
      </w:r>
      <w:r w:rsidR="001E3A71">
        <w:rPr>
          <w:sz w:val="24"/>
          <w:szCs w:val="24"/>
        </w:rPr>
        <w:t>s</w:t>
      </w:r>
      <w:r w:rsidRPr="00902BF0">
        <w:rPr>
          <w:sz w:val="24"/>
          <w:szCs w:val="24"/>
        </w:rPr>
        <w:t xml:space="preserve"> and TAPs when supporting patients. (BDA, 2019)</w:t>
      </w:r>
      <w:r w:rsidR="002B1CC1" w:rsidRPr="00902BF0">
        <w:rPr>
          <w:sz w:val="24"/>
          <w:szCs w:val="24"/>
        </w:rPr>
        <w:t xml:space="preserve">. Under the supervision of a registered clinician TAP’s are able to provide advice and support with Low carbohydrate or Low GI diet plans, they can provide information on </w:t>
      </w:r>
      <w:r w:rsidR="001E3A71">
        <w:rPr>
          <w:sz w:val="24"/>
          <w:szCs w:val="24"/>
        </w:rPr>
        <w:t>total carbohydrate intake,</w:t>
      </w:r>
      <w:r w:rsidR="001E3A71" w:rsidRPr="00902BF0">
        <w:rPr>
          <w:sz w:val="24"/>
          <w:szCs w:val="24"/>
        </w:rPr>
        <w:t xml:space="preserve"> meal</w:t>
      </w:r>
      <w:r w:rsidR="002B1CC1" w:rsidRPr="00902BF0">
        <w:rPr>
          <w:sz w:val="24"/>
          <w:szCs w:val="24"/>
        </w:rPr>
        <w:t xml:space="preserve"> plans, and </w:t>
      </w:r>
      <w:r w:rsidR="001E3A71">
        <w:rPr>
          <w:sz w:val="24"/>
          <w:szCs w:val="24"/>
        </w:rPr>
        <w:t>low GI alternatives</w:t>
      </w:r>
      <w:r w:rsidR="002B1CC1" w:rsidRPr="00902BF0">
        <w:rPr>
          <w:sz w:val="24"/>
          <w:szCs w:val="24"/>
        </w:rPr>
        <w:t xml:space="preserve">. As women with PCOS are at higher risk of developing type 2 Diabetes the TAP needs to regularly assess and report to </w:t>
      </w:r>
      <w:r w:rsidR="001E3A71">
        <w:rPr>
          <w:sz w:val="24"/>
          <w:szCs w:val="24"/>
        </w:rPr>
        <w:t xml:space="preserve">the </w:t>
      </w:r>
      <w:r w:rsidR="002B1CC1" w:rsidRPr="00902BF0">
        <w:rPr>
          <w:sz w:val="24"/>
          <w:szCs w:val="24"/>
        </w:rPr>
        <w:t xml:space="preserve">supervisor any changes in their </w:t>
      </w:r>
      <w:r w:rsidR="001E3A71" w:rsidRPr="00902BF0">
        <w:rPr>
          <w:sz w:val="24"/>
          <w:szCs w:val="24"/>
        </w:rPr>
        <w:t>patient’s</w:t>
      </w:r>
      <w:r w:rsidR="002B1CC1" w:rsidRPr="00902BF0">
        <w:rPr>
          <w:sz w:val="24"/>
          <w:szCs w:val="24"/>
        </w:rPr>
        <w:t xml:space="preserve"> condition.</w:t>
      </w:r>
      <w:r w:rsidRPr="00902BF0">
        <w:rPr>
          <w:sz w:val="24"/>
          <w:szCs w:val="24"/>
        </w:rPr>
        <w:t xml:space="preserve"> </w:t>
      </w:r>
      <w:r w:rsidR="009A0FB7" w:rsidRPr="00902BF0">
        <w:rPr>
          <w:sz w:val="24"/>
          <w:szCs w:val="24"/>
        </w:rPr>
        <w:t xml:space="preserve">TAPs working in weight management services are able to support women using GLP1 medication for weight loss and those working towards bariatric surgery. </w:t>
      </w:r>
    </w:p>
    <w:p w14:paraId="34B72ED6" w14:textId="77777777" w:rsidR="00F87602" w:rsidRDefault="00F87602" w:rsidP="00C74C3A">
      <w:pPr>
        <w:rPr>
          <w:rFonts w:ascii="Calibri" w:eastAsia="Calibri" w:hAnsi="Calibri"/>
          <w:sz w:val="24"/>
          <w:szCs w:val="24"/>
        </w:rPr>
      </w:pPr>
    </w:p>
    <w:p w14:paraId="366A6963" w14:textId="77777777" w:rsidR="00C021A6" w:rsidRDefault="00C021A6" w:rsidP="00C74C3A">
      <w:pPr>
        <w:rPr>
          <w:rFonts w:ascii="Calibri" w:eastAsia="Calibri" w:hAnsi="Calibri"/>
          <w:sz w:val="24"/>
          <w:szCs w:val="24"/>
        </w:rPr>
      </w:pPr>
    </w:p>
    <w:p w14:paraId="78B6D4C7" w14:textId="77777777" w:rsidR="00406159" w:rsidRDefault="00406159" w:rsidP="00096EB6">
      <w:pPr>
        <w:tabs>
          <w:tab w:val="left" w:pos="2540"/>
        </w:tabs>
      </w:pPr>
    </w:p>
    <w:p w14:paraId="2A6385F7" w14:textId="23377E8C" w:rsidR="008A4DC5" w:rsidRDefault="00406159" w:rsidP="008A4DC5">
      <w:pPr>
        <w:tabs>
          <w:tab w:val="left" w:pos="2540"/>
        </w:tabs>
        <w:jc w:val="center"/>
        <w:rPr>
          <w:b/>
          <w:bCs/>
          <w:sz w:val="28"/>
          <w:szCs w:val="28"/>
          <w:u w:val="single"/>
        </w:rPr>
      </w:pPr>
      <w:r w:rsidRPr="00406159">
        <w:rPr>
          <w:b/>
          <w:bCs/>
          <w:sz w:val="28"/>
          <w:szCs w:val="28"/>
          <w:u w:val="single"/>
        </w:rPr>
        <w:t>Co Production</w:t>
      </w:r>
    </w:p>
    <w:p w14:paraId="62325512" w14:textId="71855C7E" w:rsidR="008A4DC5" w:rsidRPr="00902BF0" w:rsidRDefault="008A4DC5" w:rsidP="00902BF0">
      <w:pPr>
        <w:pStyle w:val="NoSpacing"/>
        <w:spacing w:line="360" w:lineRule="auto"/>
        <w:rPr>
          <w:sz w:val="24"/>
          <w:szCs w:val="24"/>
        </w:rPr>
      </w:pPr>
      <w:r w:rsidRPr="00902BF0">
        <w:rPr>
          <w:sz w:val="24"/>
          <w:szCs w:val="24"/>
        </w:rPr>
        <w:t xml:space="preserve">Patients in tier 3 weight management services are offered a range of interventions. They may work with a Dietitian or Psychologist and also see a bariatric physician to discuss surgery or weight loss medication. </w:t>
      </w:r>
      <w:r w:rsidR="003C1877" w:rsidRPr="00902BF0">
        <w:rPr>
          <w:sz w:val="24"/>
          <w:szCs w:val="24"/>
        </w:rPr>
        <w:t xml:space="preserve">Obesity is a complex issue and may people experience increased stress and anxiety, emotional eating and binge eating. TAP’s working in </w:t>
      </w:r>
      <w:r w:rsidR="003F7F28" w:rsidRPr="00902BF0">
        <w:rPr>
          <w:sz w:val="24"/>
          <w:szCs w:val="24"/>
        </w:rPr>
        <w:t>tier</w:t>
      </w:r>
      <w:r w:rsidR="003C1877" w:rsidRPr="00902BF0">
        <w:rPr>
          <w:sz w:val="24"/>
          <w:szCs w:val="24"/>
        </w:rPr>
        <w:t xml:space="preserve"> 3 services are given training and support to provide basic counselling techniques such as </w:t>
      </w:r>
      <w:r w:rsidR="003C1877" w:rsidRPr="001E3A71">
        <w:rPr>
          <w:sz w:val="24"/>
          <w:szCs w:val="24"/>
        </w:rPr>
        <w:t>Mindfulness which can help to improve patients the physical and psychological health. (Rogers et al 2016)</w:t>
      </w:r>
      <w:r w:rsidR="009D119E" w:rsidRPr="001E3A71">
        <w:rPr>
          <w:sz w:val="24"/>
          <w:szCs w:val="24"/>
        </w:rPr>
        <w:t xml:space="preserve"> </w:t>
      </w:r>
      <w:r w:rsidRPr="001E3A71">
        <w:rPr>
          <w:sz w:val="24"/>
          <w:szCs w:val="24"/>
        </w:rPr>
        <w:t xml:space="preserve">The </w:t>
      </w:r>
      <w:r w:rsidRPr="00902BF0">
        <w:rPr>
          <w:sz w:val="24"/>
          <w:szCs w:val="24"/>
        </w:rPr>
        <w:t xml:space="preserve">case study Alison has had several appointments with </w:t>
      </w:r>
      <w:r w:rsidR="003C1877" w:rsidRPr="00902BF0">
        <w:rPr>
          <w:sz w:val="24"/>
          <w:szCs w:val="24"/>
        </w:rPr>
        <w:t>a Dietitian</w:t>
      </w:r>
      <w:r w:rsidRPr="00902BF0">
        <w:rPr>
          <w:sz w:val="24"/>
          <w:szCs w:val="24"/>
        </w:rPr>
        <w:t xml:space="preserve"> and agreed a plan of a Low GI diet, she will continue to be supported by the TAP while waiting to see </w:t>
      </w:r>
      <w:r w:rsidR="001E3A71">
        <w:rPr>
          <w:sz w:val="24"/>
          <w:szCs w:val="24"/>
        </w:rPr>
        <w:t>a</w:t>
      </w:r>
      <w:r w:rsidRPr="00902BF0">
        <w:rPr>
          <w:sz w:val="24"/>
          <w:szCs w:val="24"/>
        </w:rPr>
        <w:t xml:space="preserve"> Psychologist. Alison may also be able to access a GLP1 medication which means she will be monitored by a physician and nurse. </w:t>
      </w:r>
    </w:p>
    <w:p w14:paraId="32B740DF" w14:textId="7F1A6EE8" w:rsidR="00756F0F" w:rsidRPr="00EB256E" w:rsidRDefault="003F7F28" w:rsidP="00EB256E">
      <w:pPr>
        <w:pStyle w:val="NoSpacing"/>
        <w:spacing w:line="360" w:lineRule="auto"/>
        <w:rPr>
          <w:sz w:val="24"/>
          <w:szCs w:val="24"/>
        </w:rPr>
      </w:pPr>
      <w:r w:rsidRPr="00902BF0">
        <w:rPr>
          <w:sz w:val="24"/>
          <w:szCs w:val="24"/>
        </w:rPr>
        <w:t xml:space="preserve">As insulin resistance is common in women with PCOS, many go on to develop type 2 diabetes. </w:t>
      </w:r>
      <w:r w:rsidR="00C021A6">
        <w:rPr>
          <w:sz w:val="24"/>
          <w:szCs w:val="24"/>
        </w:rPr>
        <w:t xml:space="preserve">Many </w:t>
      </w:r>
      <w:r w:rsidRPr="00902BF0">
        <w:rPr>
          <w:sz w:val="24"/>
          <w:szCs w:val="24"/>
        </w:rPr>
        <w:t>Health board have a robust diabetes team</w:t>
      </w:r>
      <w:r w:rsidR="001E3A71">
        <w:rPr>
          <w:sz w:val="24"/>
          <w:szCs w:val="24"/>
        </w:rPr>
        <w:t>s</w:t>
      </w:r>
      <w:r w:rsidRPr="00902BF0">
        <w:rPr>
          <w:sz w:val="24"/>
          <w:szCs w:val="24"/>
        </w:rPr>
        <w:t xml:space="preserve"> and offer group support for newly diagnosed patient</w:t>
      </w:r>
      <w:r w:rsidR="001E3A71">
        <w:rPr>
          <w:sz w:val="24"/>
          <w:szCs w:val="24"/>
        </w:rPr>
        <w:t xml:space="preserve">s </w:t>
      </w:r>
      <w:r w:rsidRPr="00902BF0">
        <w:rPr>
          <w:sz w:val="24"/>
          <w:szCs w:val="24"/>
        </w:rPr>
        <w:t xml:space="preserve">and ongoing support with blood sugar management and carbohydrate counting, they also link closely with patients GP surgeries and diabetic nurse specialists. As a TAP working with women at risk or who may have type 2 diabetes regular structured supervision and collaboration with diabetes teams is important. </w:t>
      </w:r>
      <w:r w:rsidR="00350672" w:rsidRPr="00902BF0">
        <w:rPr>
          <w:sz w:val="24"/>
          <w:szCs w:val="24"/>
        </w:rPr>
        <w:t xml:space="preserve">The TAP or supervising dietitian may also need to liaise with the patients Genral Practitioner (GP) regarding continued monitoring of bloods and medication. </w:t>
      </w:r>
      <w:r w:rsidR="001E3A71">
        <w:rPr>
          <w:sz w:val="24"/>
          <w:szCs w:val="24"/>
        </w:rPr>
        <w:t xml:space="preserve">The Tap will also have ongoing discussions with patients about their expectations of the service and their weight loss goals. </w:t>
      </w:r>
      <w:r w:rsidR="00016534">
        <w:rPr>
          <w:sz w:val="24"/>
          <w:szCs w:val="24"/>
        </w:rPr>
        <w:t xml:space="preserve">With the increase of bariatric surgery and pharmacotherapy for weight loss, expectations of treatment needs to be carefully considered as GLP1 medication is contraindicated with </w:t>
      </w:r>
      <w:r w:rsidR="00016534" w:rsidRPr="00B26299">
        <w:rPr>
          <w:sz w:val="24"/>
          <w:szCs w:val="24"/>
        </w:rPr>
        <w:t xml:space="preserve">fertility treatment and pregnancy is not advised for 12 – 18 months after surgery (Sim et al 2014), Sim et al </w:t>
      </w:r>
      <w:r w:rsidR="000C116F" w:rsidRPr="00B26299">
        <w:rPr>
          <w:sz w:val="24"/>
          <w:szCs w:val="24"/>
        </w:rPr>
        <w:t xml:space="preserve">(2014) </w:t>
      </w:r>
      <w:r w:rsidR="00016534" w:rsidRPr="00B26299">
        <w:rPr>
          <w:sz w:val="24"/>
          <w:szCs w:val="24"/>
        </w:rPr>
        <w:t xml:space="preserve">highlights that weight loss achieved through dietary interventions resulted in an increase in pregnancies and live births, however it recognises that </w:t>
      </w:r>
      <w:r w:rsidR="00AE7757" w:rsidRPr="00B26299">
        <w:rPr>
          <w:sz w:val="24"/>
          <w:szCs w:val="24"/>
        </w:rPr>
        <w:t>the quality of current studies i</w:t>
      </w:r>
      <w:r w:rsidR="000C116F" w:rsidRPr="00B26299">
        <w:rPr>
          <w:sz w:val="24"/>
          <w:szCs w:val="24"/>
        </w:rPr>
        <w:t>s</w:t>
      </w:r>
      <w:r w:rsidR="00AE7757" w:rsidRPr="00B26299">
        <w:rPr>
          <w:sz w:val="24"/>
          <w:szCs w:val="24"/>
        </w:rPr>
        <w:t xml:space="preserve"> weak. </w:t>
      </w:r>
      <w:r w:rsidR="00016534" w:rsidRPr="00B26299">
        <w:rPr>
          <w:sz w:val="24"/>
          <w:szCs w:val="24"/>
        </w:rPr>
        <w:t xml:space="preserve"> </w:t>
      </w:r>
      <w:r w:rsidR="000C116F" w:rsidRPr="00B26299">
        <w:rPr>
          <w:sz w:val="24"/>
          <w:szCs w:val="24"/>
        </w:rPr>
        <w:t xml:space="preserve">A later systematic review by Hunter et al (2021) agrees with this finding but notes that in 2021 there is still further research needed </w:t>
      </w:r>
      <w:r w:rsidR="00B26299" w:rsidRPr="00B26299">
        <w:rPr>
          <w:sz w:val="24"/>
          <w:szCs w:val="24"/>
        </w:rPr>
        <w:t xml:space="preserve">and suggests larger scale studies. </w:t>
      </w:r>
      <w:r w:rsidR="00350672" w:rsidRPr="00B26299">
        <w:rPr>
          <w:sz w:val="24"/>
          <w:szCs w:val="24"/>
        </w:rPr>
        <w:t xml:space="preserve">Good links with fertility services </w:t>
      </w:r>
      <w:r w:rsidR="00B26299">
        <w:rPr>
          <w:sz w:val="24"/>
          <w:szCs w:val="24"/>
        </w:rPr>
        <w:t xml:space="preserve">are </w:t>
      </w:r>
      <w:r w:rsidR="00350672" w:rsidRPr="00B26299">
        <w:rPr>
          <w:sz w:val="24"/>
          <w:szCs w:val="24"/>
        </w:rPr>
        <w:t>also needed as accessing fertility treatment on the NHS in Wales is conditional on a BMI range of 19 – 30 (NHS 2024)</w:t>
      </w:r>
      <w:r w:rsidR="00B26299">
        <w:rPr>
          <w:sz w:val="24"/>
          <w:szCs w:val="24"/>
        </w:rPr>
        <w:t>.</w:t>
      </w:r>
      <w:r w:rsidR="000F6A22" w:rsidRPr="00B26299">
        <w:rPr>
          <w:sz w:val="24"/>
          <w:szCs w:val="24"/>
        </w:rPr>
        <w:t xml:space="preserve"> It is also</w:t>
      </w:r>
      <w:r w:rsidR="000F6A22" w:rsidRPr="00902BF0">
        <w:rPr>
          <w:sz w:val="24"/>
          <w:szCs w:val="24"/>
        </w:rPr>
        <w:t xml:space="preserve"> helpful for TAP’s to be aware of local and national support services, charities such as Verity which </w:t>
      </w:r>
      <w:r w:rsidR="000F6A22" w:rsidRPr="00902BF0">
        <w:rPr>
          <w:sz w:val="24"/>
          <w:szCs w:val="24"/>
        </w:rPr>
        <w:lastRenderedPageBreak/>
        <w:t xml:space="preserve">supports women with PCOS and Fertility Network UK or The Fertility Foundation which supports couples with fertility issues. </w:t>
      </w:r>
    </w:p>
    <w:p w14:paraId="7E1DC64E" w14:textId="3B406C46" w:rsidR="00406159" w:rsidRDefault="00406159" w:rsidP="00756F0F">
      <w:pPr>
        <w:tabs>
          <w:tab w:val="left" w:pos="2540"/>
        </w:tabs>
        <w:jc w:val="center"/>
        <w:rPr>
          <w:b/>
          <w:bCs/>
          <w:sz w:val="28"/>
          <w:szCs w:val="28"/>
          <w:u w:val="single"/>
        </w:rPr>
      </w:pPr>
      <w:r w:rsidRPr="00406159">
        <w:rPr>
          <w:b/>
          <w:bCs/>
          <w:sz w:val="28"/>
          <w:szCs w:val="28"/>
          <w:u w:val="single"/>
        </w:rPr>
        <w:t>Clinical Governance</w:t>
      </w:r>
    </w:p>
    <w:p w14:paraId="64066DA2" w14:textId="77777777" w:rsidR="00952E44" w:rsidRDefault="00952E44" w:rsidP="00406159">
      <w:pPr>
        <w:tabs>
          <w:tab w:val="left" w:pos="2540"/>
        </w:tabs>
        <w:jc w:val="center"/>
        <w:rPr>
          <w:b/>
          <w:bCs/>
          <w:sz w:val="28"/>
          <w:szCs w:val="28"/>
          <w:u w:val="single"/>
        </w:rPr>
      </w:pPr>
    </w:p>
    <w:p w14:paraId="4954D035" w14:textId="76B6E930" w:rsidR="00952E44" w:rsidRPr="00756F0F" w:rsidRDefault="00952E44" w:rsidP="00756F0F">
      <w:pPr>
        <w:pStyle w:val="NoSpacing"/>
        <w:spacing w:line="360" w:lineRule="auto"/>
        <w:rPr>
          <w:sz w:val="24"/>
          <w:szCs w:val="24"/>
        </w:rPr>
      </w:pPr>
      <w:r w:rsidRPr="00756F0F">
        <w:rPr>
          <w:sz w:val="24"/>
          <w:szCs w:val="24"/>
        </w:rPr>
        <w:t xml:space="preserve">Clinical governance is a systems-based approach used throughout the NHS. Its aim is to maintain high standards of care and continually improve services though evidence-based treatments, education and patient involvement. </w:t>
      </w:r>
    </w:p>
    <w:p w14:paraId="7505E6FD" w14:textId="5F37307C" w:rsidR="00FF7E8C" w:rsidRPr="00756F0F" w:rsidRDefault="00952E44" w:rsidP="00756F0F">
      <w:pPr>
        <w:pStyle w:val="NoSpacing"/>
        <w:spacing w:line="360" w:lineRule="auto"/>
        <w:rPr>
          <w:sz w:val="24"/>
          <w:szCs w:val="24"/>
        </w:rPr>
      </w:pPr>
      <w:r w:rsidRPr="00756F0F">
        <w:rPr>
          <w:sz w:val="24"/>
          <w:szCs w:val="24"/>
        </w:rPr>
        <w:t xml:space="preserve">When providing advice to patients with PCOS it can be challenging to know </w:t>
      </w:r>
      <w:r w:rsidR="009F0D5B" w:rsidRPr="00756F0F">
        <w:rPr>
          <w:sz w:val="24"/>
          <w:szCs w:val="24"/>
        </w:rPr>
        <w:t xml:space="preserve">if </w:t>
      </w:r>
      <w:r w:rsidRPr="00756F0F">
        <w:rPr>
          <w:sz w:val="24"/>
          <w:szCs w:val="24"/>
        </w:rPr>
        <w:t xml:space="preserve">adopting a Low Carbohydrate or Low GI diet plan is the right choice. Ensuring </w:t>
      </w:r>
      <w:r w:rsidR="003A6D12" w:rsidRPr="00756F0F">
        <w:rPr>
          <w:sz w:val="24"/>
          <w:szCs w:val="24"/>
        </w:rPr>
        <w:t xml:space="preserve">current evidenced based information is being given </w:t>
      </w:r>
      <w:r w:rsidRPr="00756F0F">
        <w:rPr>
          <w:sz w:val="24"/>
          <w:szCs w:val="24"/>
        </w:rPr>
        <w:t xml:space="preserve">can mean changing your practice over time and ensuring that the information you are giving is </w:t>
      </w:r>
      <w:r w:rsidR="003A6D12" w:rsidRPr="00756F0F">
        <w:rPr>
          <w:sz w:val="24"/>
          <w:szCs w:val="24"/>
        </w:rPr>
        <w:t xml:space="preserve">in line </w:t>
      </w:r>
      <w:r w:rsidRPr="00756F0F">
        <w:rPr>
          <w:sz w:val="24"/>
          <w:szCs w:val="24"/>
        </w:rPr>
        <w:t xml:space="preserve">with professional guidance such as National Institute for clinical Excellence (NICE), Practice-Based Evidence in Nutrition (PEN) and the BDA. </w:t>
      </w:r>
      <w:r w:rsidR="00FF7E8C" w:rsidRPr="00756F0F">
        <w:rPr>
          <w:sz w:val="24"/>
          <w:szCs w:val="24"/>
        </w:rPr>
        <w:t> </w:t>
      </w:r>
    </w:p>
    <w:p w14:paraId="79373D37" w14:textId="6C03D012" w:rsidR="00630145" w:rsidRPr="00756F0F" w:rsidRDefault="00FF7E8C" w:rsidP="00756F0F">
      <w:pPr>
        <w:pStyle w:val="NoSpacing"/>
        <w:spacing w:line="360" w:lineRule="auto"/>
        <w:rPr>
          <w:sz w:val="24"/>
          <w:szCs w:val="24"/>
        </w:rPr>
      </w:pPr>
      <w:r w:rsidRPr="00756F0F">
        <w:rPr>
          <w:sz w:val="24"/>
          <w:szCs w:val="24"/>
        </w:rPr>
        <w:t>A meta-analysis by Zhang et al (2019) concludes that a lo</w:t>
      </w:r>
      <w:r w:rsidR="00A87FCC" w:rsidRPr="00756F0F">
        <w:rPr>
          <w:sz w:val="24"/>
          <w:szCs w:val="24"/>
        </w:rPr>
        <w:t xml:space="preserve">w </w:t>
      </w:r>
      <w:r w:rsidRPr="00756F0F">
        <w:rPr>
          <w:sz w:val="24"/>
          <w:szCs w:val="24"/>
        </w:rPr>
        <w:t xml:space="preserve">carbohydrate diet particularly when adhered to long term not only improves weight but also improves other PCOS symptoms such as insulin resistance.  </w:t>
      </w:r>
      <w:r w:rsidR="003A6D12" w:rsidRPr="00756F0F">
        <w:rPr>
          <w:sz w:val="24"/>
          <w:szCs w:val="24"/>
        </w:rPr>
        <w:t>In contrast</w:t>
      </w:r>
      <w:r w:rsidRPr="00756F0F">
        <w:rPr>
          <w:sz w:val="24"/>
          <w:szCs w:val="24"/>
        </w:rPr>
        <w:t xml:space="preserve"> to this a systemic review by Moran et al (2013) suggests dietary composition is not the main factor and overall weight loss through any adequate nutritional plan improved the symptoms of PCOS, however this article is now over 10 years old. </w:t>
      </w:r>
    </w:p>
    <w:p w14:paraId="001C53DD" w14:textId="59E57AC2" w:rsidR="00B3305C" w:rsidRPr="00756F0F" w:rsidRDefault="00B3305C" w:rsidP="00756F0F">
      <w:pPr>
        <w:pStyle w:val="NoSpacing"/>
        <w:spacing w:line="360" w:lineRule="auto"/>
        <w:rPr>
          <w:sz w:val="24"/>
          <w:szCs w:val="24"/>
        </w:rPr>
      </w:pPr>
      <w:r w:rsidRPr="00756F0F">
        <w:rPr>
          <w:sz w:val="24"/>
          <w:szCs w:val="24"/>
        </w:rPr>
        <w:t>A Health Foundation Report from 2017 recognises that Health care assistant roles in the NHS increased between 2014 and 2017(The Health Foundation 2017)</w:t>
      </w:r>
      <w:r w:rsidR="001A24AF" w:rsidRPr="00756F0F">
        <w:rPr>
          <w:sz w:val="24"/>
          <w:szCs w:val="24"/>
        </w:rPr>
        <w:t xml:space="preserve">. </w:t>
      </w:r>
      <w:r w:rsidRPr="00756F0F">
        <w:rPr>
          <w:sz w:val="24"/>
          <w:szCs w:val="24"/>
        </w:rPr>
        <w:t xml:space="preserve">With more duties being given to support staff such as TAPs it is vital that training and education provided meets the needs of the practitioner and ensures competency </w:t>
      </w:r>
      <w:r w:rsidR="00180C05" w:rsidRPr="00756F0F">
        <w:rPr>
          <w:sz w:val="24"/>
          <w:szCs w:val="24"/>
        </w:rPr>
        <w:t>in their role.</w:t>
      </w:r>
    </w:p>
    <w:p w14:paraId="6C0C2F9C" w14:textId="76BB6ACC" w:rsidR="00435883" w:rsidRPr="00756F0F" w:rsidRDefault="00435883" w:rsidP="00756F0F">
      <w:pPr>
        <w:pStyle w:val="NoSpacing"/>
        <w:spacing w:line="360" w:lineRule="auto"/>
        <w:rPr>
          <w:sz w:val="24"/>
          <w:szCs w:val="24"/>
        </w:rPr>
      </w:pPr>
      <w:r w:rsidRPr="00756F0F">
        <w:rPr>
          <w:sz w:val="24"/>
          <w:szCs w:val="24"/>
        </w:rPr>
        <w:t xml:space="preserve">The BDA sets out a framework for TAP’s working in dietetics, it states the aim is to </w:t>
      </w:r>
      <w:r w:rsidR="00B3305C" w:rsidRPr="00756F0F">
        <w:rPr>
          <w:sz w:val="24"/>
          <w:szCs w:val="24"/>
        </w:rPr>
        <w:t>“promote</w:t>
      </w:r>
      <w:r w:rsidRPr="00756F0F">
        <w:rPr>
          <w:sz w:val="24"/>
          <w:szCs w:val="24"/>
        </w:rPr>
        <w:t xml:space="preserve"> a standardised approach across the NHS”</w:t>
      </w:r>
      <w:r w:rsidR="00F72718" w:rsidRPr="00756F0F">
        <w:rPr>
          <w:sz w:val="24"/>
          <w:szCs w:val="24"/>
        </w:rPr>
        <w:t xml:space="preserve"> (BDA, 2014)</w:t>
      </w:r>
      <w:r w:rsidRPr="00756F0F">
        <w:rPr>
          <w:sz w:val="24"/>
          <w:szCs w:val="24"/>
        </w:rPr>
        <w:t xml:space="preserve"> and notes that continuing professional development is needed to ensure</w:t>
      </w:r>
      <w:r w:rsidR="002E3C64" w:rsidRPr="00756F0F">
        <w:rPr>
          <w:sz w:val="24"/>
          <w:szCs w:val="24"/>
        </w:rPr>
        <w:t xml:space="preserve"> safe practice. </w:t>
      </w:r>
      <w:r w:rsidR="00180C05" w:rsidRPr="00756F0F">
        <w:rPr>
          <w:sz w:val="24"/>
          <w:szCs w:val="24"/>
        </w:rPr>
        <w:t xml:space="preserve">TAPs working in weight management need to have dietetic knowledge but also basic counselling skills and awareness of medical conditions and lifestyle management of them. </w:t>
      </w:r>
    </w:p>
    <w:p w14:paraId="1D57944F" w14:textId="69D0CD37" w:rsidR="002E3C64" w:rsidRPr="00756F0F" w:rsidRDefault="002E3C64" w:rsidP="00756F0F">
      <w:pPr>
        <w:pStyle w:val="NoSpacing"/>
        <w:spacing w:line="360" w:lineRule="auto"/>
        <w:rPr>
          <w:sz w:val="24"/>
          <w:szCs w:val="24"/>
        </w:rPr>
      </w:pPr>
      <w:r w:rsidRPr="00756F0F">
        <w:rPr>
          <w:sz w:val="24"/>
          <w:szCs w:val="24"/>
        </w:rPr>
        <w:t>While it is clear that an</w:t>
      </w:r>
      <w:r w:rsidR="00180C05" w:rsidRPr="00756F0F">
        <w:rPr>
          <w:sz w:val="24"/>
          <w:szCs w:val="24"/>
        </w:rPr>
        <w:t xml:space="preserve"> </w:t>
      </w:r>
      <w:r w:rsidRPr="00756F0F">
        <w:rPr>
          <w:sz w:val="24"/>
          <w:szCs w:val="24"/>
        </w:rPr>
        <w:t xml:space="preserve">increase in </w:t>
      </w:r>
      <w:r w:rsidR="00180C05" w:rsidRPr="00756F0F">
        <w:rPr>
          <w:sz w:val="24"/>
          <w:szCs w:val="24"/>
        </w:rPr>
        <w:t>support worker</w:t>
      </w:r>
      <w:r w:rsidRPr="00756F0F">
        <w:rPr>
          <w:sz w:val="24"/>
          <w:szCs w:val="24"/>
        </w:rPr>
        <w:t xml:space="preserve"> and TAP roles is cost </w:t>
      </w:r>
      <w:r w:rsidR="00180C05" w:rsidRPr="00756F0F">
        <w:rPr>
          <w:sz w:val="24"/>
          <w:szCs w:val="24"/>
        </w:rPr>
        <w:t>effective, retention</w:t>
      </w:r>
      <w:r w:rsidRPr="00756F0F">
        <w:rPr>
          <w:sz w:val="24"/>
          <w:szCs w:val="24"/>
        </w:rPr>
        <w:t xml:space="preserve"> and training for these roles must be a </w:t>
      </w:r>
      <w:r w:rsidR="00180C05" w:rsidRPr="00756F0F">
        <w:rPr>
          <w:sz w:val="24"/>
          <w:szCs w:val="24"/>
        </w:rPr>
        <w:t>priority</w:t>
      </w:r>
      <w:r w:rsidRPr="00756F0F">
        <w:rPr>
          <w:sz w:val="24"/>
          <w:szCs w:val="24"/>
        </w:rPr>
        <w:t xml:space="preserve">. </w:t>
      </w:r>
      <w:r w:rsidR="005E2F7E" w:rsidRPr="00756F0F">
        <w:rPr>
          <w:sz w:val="24"/>
          <w:szCs w:val="24"/>
        </w:rPr>
        <w:t>The Health Foundation report (2017) n</w:t>
      </w:r>
      <w:r w:rsidRPr="00756F0F">
        <w:rPr>
          <w:sz w:val="24"/>
          <w:szCs w:val="24"/>
        </w:rPr>
        <w:t xml:space="preserve">otes that </w:t>
      </w:r>
      <w:r w:rsidR="00180C05" w:rsidRPr="00756F0F">
        <w:rPr>
          <w:sz w:val="24"/>
          <w:szCs w:val="24"/>
        </w:rPr>
        <w:t>there</w:t>
      </w:r>
      <w:r w:rsidRPr="00756F0F">
        <w:rPr>
          <w:sz w:val="24"/>
          <w:szCs w:val="24"/>
        </w:rPr>
        <w:t xml:space="preserve"> seems to be</w:t>
      </w:r>
      <w:r w:rsidR="00180C05" w:rsidRPr="00756F0F">
        <w:rPr>
          <w:sz w:val="24"/>
          <w:szCs w:val="24"/>
        </w:rPr>
        <w:t xml:space="preserve"> an</w:t>
      </w:r>
      <w:r w:rsidRPr="00756F0F">
        <w:rPr>
          <w:sz w:val="24"/>
          <w:szCs w:val="24"/>
        </w:rPr>
        <w:t xml:space="preserve"> </w:t>
      </w:r>
      <w:r w:rsidR="00180C05" w:rsidRPr="00756F0F">
        <w:rPr>
          <w:sz w:val="24"/>
          <w:szCs w:val="24"/>
        </w:rPr>
        <w:t>absence</w:t>
      </w:r>
      <w:r w:rsidRPr="00756F0F">
        <w:rPr>
          <w:sz w:val="24"/>
          <w:szCs w:val="24"/>
        </w:rPr>
        <w:t xml:space="preserve"> of </w:t>
      </w:r>
      <w:r w:rsidR="00180C05" w:rsidRPr="00756F0F">
        <w:rPr>
          <w:sz w:val="24"/>
          <w:szCs w:val="24"/>
        </w:rPr>
        <w:t>robust</w:t>
      </w:r>
      <w:r w:rsidRPr="00756F0F">
        <w:rPr>
          <w:sz w:val="24"/>
          <w:szCs w:val="24"/>
        </w:rPr>
        <w:t xml:space="preserve"> polices and there is a significant disparity between tr</w:t>
      </w:r>
      <w:r w:rsidR="00180C05" w:rsidRPr="00756F0F">
        <w:rPr>
          <w:sz w:val="24"/>
          <w:szCs w:val="24"/>
        </w:rPr>
        <w:t>aining and</w:t>
      </w:r>
      <w:r w:rsidRPr="00756F0F">
        <w:rPr>
          <w:sz w:val="24"/>
          <w:szCs w:val="24"/>
        </w:rPr>
        <w:t xml:space="preserve"> education needed and the practicalities of delivery.</w:t>
      </w:r>
    </w:p>
    <w:p w14:paraId="6A313C32" w14:textId="66976B52" w:rsidR="00756F0F" w:rsidRPr="00EB256E" w:rsidRDefault="0067520C" w:rsidP="00EB256E">
      <w:pPr>
        <w:pStyle w:val="NoSpacing"/>
        <w:spacing w:line="360" w:lineRule="auto"/>
      </w:pPr>
      <w:r w:rsidRPr="00756F0F">
        <w:rPr>
          <w:sz w:val="24"/>
          <w:szCs w:val="24"/>
        </w:rPr>
        <w:lastRenderedPageBreak/>
        <w:t xml:space="preserve"> </w:t>
      </w:r>
      <w:proofErr w:type="spellStart"/>
      <w:r w:rsidR="005E2F7E" w:rsidRPr="00756F0F">
        <w:rPr>
          <w:sz w:val="24"/>
          <w:szCs w:val="24"/>
        </w:rPr>
        <w:t>Sarre</w:t>
      </w:r>
      <w:proofErr w:type="spellEnd"/>
      <w:r w:rsidR="005E2F7E" w:rsidRPr="00756F0F">
        <w:rPr>
          <w:sz w:val="24"/>
          <w:szCs w:val="24"/>
        </w:rPr>
        <w:t xml:space="preserve"> et al (2018) agrees</w:t>
      </w:r>
      <w:r w:rsidRPr="00756F0F">
        <w:rPr>
          <w:sz w:val="24"/>
          <w:szCs w:val="24"/>
        </w:rPr>
        <w:t xml:space="preserve"> that </w:t>
      </w:r>
      <w:r w:rsidR="005E2F7E" w:rsidRPr="00756F0F">
        <w:rPr>
          <w:sz w:val="24"/>
          <w:szCs w:val="24"/>
        </w:rPr>
        <w:t>training</w:t>
      </w:r>
      <w:r w:rsidRPr="00756F0F">
        <w:rPr>
          <w:sz w:val="24"/>
          <w:szCs w:val="24"/>
        </w:rPr>
        <w:t xml:space="preserve"> is </w:t>
      </w:r>
      <w:r w:rsidR="005E2F7E" w:rsidRPr="00756F0F">
        <w:rPr>
          <w:sz w:val="24"/>
          <w:szCs w:val="24"/>
        </w:rPr>
        <w:t>essential</w:t>
      </w:r>
      <w:r w:rsidRPr="00756F0F">
        <w:rPr>
          <w:sz w:val="24"/>
          <w:szCs w:val="24"/>
        </w:rPr>
        <w:t xml:space="preserve"> in providing high quality care but </w:t>
      </w:r>
      <w:r w:rsidR="005E2F7E" w:rsidRPr="00756F0F">
        <w:rPr>
          <w:sz w:val="24"/>
          <w:szCs w:val="24"/>
        </w:rPr>
        <w:t xml:space="preserve">they </w:t>
      </w:r>
      <w:r w:rsidRPr="00756F0F">
        <w:rPr>
          <w:sz w:val="24"/>
          <w:szCs w:val="24"/>
        </w:rPr>
        <w:t>point to barriers accessing this including staff shortages</w:t>
      </w:r>
      <w:r w:rsidR="005E2F7E" w:rsidRPr="00756F0F">
        <w:rPr>
          <w:sz w:val="24"/>
          <w:szCs w:val="24"/>
        </w:rPr>
        <w:t>,</w:t>
      </w:r>
      <w:r w:rsidRPr="00756F0F">
        <w:rPr>
          <w:sz w:val="24"/>
          <w:szCs w:val="24"/>
        </w:rPr>
        <w:t xml:space="preserve"> managerial support and access to training.</w:t>
      </w:r>
    </w:p>
    <w:p w14:paraId="71B303F0" w14:textId="7D8A88E9" w:rsidR="009F0D5B" w:rsidRPr="00F661B2" w:rsidRDefault="00BB4EFE" w:rsidP="00F661B2">
      <w:pPr>
        <w:spacing w:after="239" w:line="264" w:lineRule="auto"/>
        <w:ind w:right="20"/>
        <w:contextualSpacing/>
        <w:jc w:val="center"/>
        <w:rPr>
          <w:b/>
          <w:bCs/>
          <w:sz w:val="28"/>
          <w:szCs w:val="28"/>
          <w:u w:val="single"/>
        </w:rPr>
      </w:pPr>
      <w:r w:rsidRPr="00F661B2">
        <w:rPr>
          <w:b/>
          <w:bCs/>
          <w:sz w:val="28"/>
          <w:szCs w:val="28"/>
          <w:u w:val="single"/>
        </w:rPr>
        <w:t>Conclusion</w:t>
      </w:r>
    </w:p>
    <w:p w14:paraId="693D731A" w14:textId="77777777" w:rsidR="009F0D5B" w:rsidRDefault="009F0D5B" w:rsidP="009F0D5B">
      <w:pPr>
        <w:tabs>
          <w:tab w:val="left" w:pos="2540"/>
          <w:tab w:val="center" w:pos="4513"/>
          <w:tab w:val="left" w:pos="5490"/>
        </w:tabs>
        <w:rPr>
          <w:b/>
          <w:bCs/>
          <w:sz w:val="28"/>
          <w:szCs w:val="28"/>
          <w:u w:val="single"/>
        </w:rPr>
      </w:pPr>
    </w:p>
    <w:p w14:paraId="0DFA3B7D" w14:textId="03BA46EC" w:rsidR="00A87FCC" w:rsidRPr="00756F0F" w:rsidRDefault="009F0D5B" w:rsidP="00756F0F">
      <w:pPr>
        <w:pStyle w:val="NoSpacing"/>
        <w:spacing w:line="360" w:lineRule="auto"/>
        <w:rPr>
          <w:sz w:val="24"/>
          <w:szCs w:val="24"/>
        </w:rPr>
      </w:pPr>
      <w:r w:rsidRPr="00756F0F">
        <w:rPr>
          <w:sz w:val="24"/>
          <w:szCs w:val="24"/>
        </w:rPr>
        <w:t xml:space="preserve">PCOS is a condition affecting many women in the UK, there is no definitive </w:t>
      </w:r>
      <w:r w:rsidR="00A87FCC" w:rsidRPr="00756F0F">
        <w:rPr>
          <w:sz w:val="24"/>
          <w:szCs w:val="24"/>
        </w:rPr>
        <w:t>cause and</w:t>
      </w:r>
      <w:r w:rsidRPr="00756F0F">
        <w:rPr>
          <w:sz w:val="24"/>
          <w:szCs w:val="24"/>
        </w:rPr>
        <w:t xml:space="preserve"> treatment is mainly focused on the management of symptoms. As PCOS symptoms vary greatly </w:t>
      </w:r>
      <w:r w:rsidR="003D3F5D" w:rsidRPr="00756F0F">
        <w:rPr>
          <w:sz w:val="24"/>
          <w:szCs w:val="24"/>
        </w:rPr>
        <w:t>diagnosis</w:t>
      </w:r>
      <w:r w:rsidRPr="00756F0F">
        <w:rPr>
          <w:sz w:val="24"/>
          <w:szCs w:val="24"/>
        </w:rPr>
        <w:t xml:space="preserve"> and management is not </w:t>
      </w:r>
      <w:r w:rsidR="003D3F5D" w:rsidRPr="00756F0F">
        <w:rPr>
          <w:sz w:val="24"/>
          <w:szCs w:val="24"/>
        </w:rPr>
        <w:t>uniform</w:t>
      </w:r>
      <w:r w:rsidR="00C4145B">
        <w:rPr>
          <w:sz w:val="24"/>
          <w:szCs w:val="24"/>
        </w:rPr>
        <w:t xml:space="preserve"> and</w:t>
      </w:r>
      <w:r w:rsidRPr="00756F0F">
        <w:rPr>
          <w:sz w:val="24"/>
          <w:szCs w:val="24"/>
        </w:rPr>
        <w:t xml:space="preserve"> many women</w:t>
      </w:r>
      <w:r w:rsidR="00756F0F">
        <w:rPr>
          <w:sz w:val="24"/>
          <w:szCs w:val="24"/>
        </w:rPr>
        <w:t xml:space="preserve"> with PCOS</w:t>
      </w:r>
      <w:r w:rsidR="0067385E">
        <w:rPr>
          <w:sz w:val="24"/>
          <w:szCs w:val="24"/>
        </w:rPr>
        <w:t xml:space="preserve"> </w:t>
      </w:r>
      <w:r w:rsidRPr="00756F0F">
        <w:rPr>
          <w:sz w:val="24"/>
          <w:szCs w:val="24"/>
        </w:rPr>
        <w:t xml:space="preserve">will have insulin </w:t>
      </w:r>
      <w:r w:rsidR="0067385E" w:rsidRPr="00756F0F">
        <w:rPr>
          <w:sz w:val="24"/>
          <w:szCs w:val="24"/>
        </w:rPr>
        <w:t>resistance</w:t>
      </w:r>
      <w:r w:rsidR="00F2073E" w:rsidRPr="00756F0F">
        <w:rPr>
          <w:sz w:val="24"/>
          <w:szCs w:val="24"/>
        </w:rPr>
        <w:t xml:space="preserve"> </w:t>
      </w:r>
      <w:r w:rsidR="0067385E">
        <w:rPr>
          <w:sz w:val="24"/>
          <w:szCs w:val="24"/>
        </w:rPr>
        <w:t>(</w:t>
      </w:r>
      <w:r w:rsidR="0067385E" w:rsidRPr="00902BF0">
        <w:rPr>
          <w:sz w:val="24"/>
          <w:szCs w:val="24"/>
        </w:rPr>
        <w:t>Johnson 2014)</w:t>
      </w:r>
      <w:r w:rsidR="0067385E">
        <w:rPr>
          <w:sz w:val="24"/>
          <w:szCs w:val="24"/>
        </w:rPr>
        <w:t>.</w:t>
      </w:r>
    </w:p>
    <w:p w14:paraId="08E51473" w14:textId="4D45A6A4" w:rsidR="008B3651" w:rsidRDefault="00A87FCC" w:rsidP="00756F0F">
      <w:pPr>
        <w:pStyle w:val="NoSpacing"/>
        <w:spacing w:line="360" w:lineRule="auto"/>
        <w:rPr>
          <w:sz w:val="24"/>
          <w:szCs w:val="24"/>
        </w:rPr>
      </w:pPr>
      <w:r w:rsidRPr="00756F0F">
        <w:rPr>
          <w:sz w:val="24"/>
          <w:szCs w:val="24"/>
        </w:rPr>
        <w:t>This research report outlines how the view of PCOS and</w:t>
      </w:r>
      <w:r w:rsidR="00266013">
        <w:rPr>
          <w:sz w:val="24"/>
          <w:szCs w:val="24"/>
        </w:rPr>
        <w:t xml:space="preserve"> </w:t>
      </w:r>
      <w:r w:rsidRPr="00756F0F">
        <w:rPr>
          <w:sz w:val="24"/>
          <w:szCs w:val="24"/>
        </w:rPr>
        <w:t>its treatment ha</w:t>
      </w:r>
      <w:r w:rsidR="00266013">
        <w:rPr>
          <w:sz w:val="24"/>
          <w:szCs w:val="24"/>
        </w:rPr>
        <w:t>s</w:t>
      </w:r>
      <w:r w:rsidRPr="00756F0F">
        <w:rPr>
          <w:sz w:val="24"/>
          <w:szCs w:val="24"/>
        </w:rPr>
        <w:t xml:space="preserve"> changed over many years.  It could be said </w:t>
      </w:r>
      <w:r w:rsidR="008B3651" w:rsidRPr="00756F0F">
        <w:rPr>
          <w:sz w:val="24"/>
          <w:szCs w:val="24"/>
        </w:rPr>
        <w:t>that treatment</w:t>
      </w:r>
      <w:r w:rsidR="0067385E">
        <w:rPr>
          <w:sz w:val="24"/>
          <w:szCs w:val="24"/>
        </w:rPr>
        <w:t>s</w:t>
      </w:r>
      <w:r w:rsidRPr="00756F0F">
        <w:rPr>
          <w:sz w:val="24"/>
          <w:szCs w:val="24"/>
        </w:rPr>
        <w:t xml:space="preserve"> have become less invasive and more accessible, moving from the Laparoscopic wedge to oral treatments</w:t>
      </w:r>
      <w:r w:rsidR="008B3651" w:rsidRPr="00756F0F">
        <w:rPr>
          <w:sz w:val="24"/>
          <w:szCs w:val="24"/>
        </w:rPr>
        <w:t xml:space="preserve">. </w:t>
      </w:r>
      <w:r w:rsidR="00C4145B" w:rsidRPr="00756F0F">
        <w:rPr>
          <w:sz w:val="24"/>
          <w:szCs w:val="24"/>
        </w:rPr>
        <w:t>Despite</w:t>
      </w:r>
      <w:r w:rsidR="008B3651" w:rsidRPr="00756F0F">
        <w:rPr>
          <w:sz w:val="24"/>
          <w:szCs w:val="24"/>
        </w:rPr>
        <w:t xml:space="preserve"> the</w:t>
      </w:r>
      <w:r w:rsidR="00266013">
        <w:rPr>
          <w:sz w:val="24"/>
          <w:szCs w:val="24"/>
        </w:rPr>
        <w:t>se</w:t>
      </w:r>
      <w:r w:rsidR="008B3651" w:rsidRPr="00756F0F">
        <w:rPr>
          <w:sz w:val="24"/>
          <w:szCs w:val="24"/>
        </w:rPr>
        <w:t xml:space="preserve"> improvements</w:t>
      </w:r>
      <w:r w:rsidR="0067385E">
        <w:rPr>
          <w:sz w:val="24"/>
          <w:szCs w:val="24"/>
        </w:rPr>
        <w:t xml:space="preserve">, </w:t>
      </w:r>
      <w:r w:rsidR="008B3651" w:rsidRPr="00756F0F">
        <w:rPr>
          <w:sz w:val="24"/>
          <w:szCs w:val="24"/>
        </w:rPr>
        <w:t xml:space="preserve">diagnosis of PCOS is still </w:t>
      </w:r>
      <w:r w:rsidR="00266013">
        <w:rPr>
          <w:sz w:val="24"/>
          <w:szCs w:val="24"/>
        </w:rPr>
        <w:t>a</w:t>
      </w:r>
      <w:r w:rsidR="008B3651" w:rsidRPr="00756F0F">
        <w:rPr>
          <w:sz w:val="24"/>
          <w:szCs w:val="24"/>
        </w:rPr>
        <w:t xml:space="preserve"> major problem for many women in the U</w:t>
      </w:r>
      <w:r w:rsidR="0067385E">
        <w:rPr>
          <w:sz w:val="24"/>
          <w:szCs w:val="24"/>
        </w:rPr>
        <w:t>K</w:t>
      </w:r>
      <w:r w:rsidR="00266013">
        <w:rPr>
          <w:sz w:val="24"/>
          <w:szCs w:val="24"/>
        </w:rPr>
        <w:t>, this is likely due to the “variable expressions” of the condition and women accessing support (</w:t>
      </w:r>
      <w:proofErr w:type="spellStart"/>
      <w:r w:rsidR="00F2073E" w:rsidRPr="00756F0F">
        <w:rPr>
          <w:sz w:val="24"/>
          <w:szCs w:val="24"/>
        </w:rPr>
        <w:t>Teede</w:t>
      </w:r>
      <w:proofErr w:type="spellEnd"/>
      <w:r w:rsidR="00F2073E" w:rsidRPr="00756F0F">
        <w:rPr>
          <w:sz w:val="24"/>
          <w:szCs w:val="24"/>
        </w:rPr>
        <w:t xml:space="preserve"> et al 2014)</w:t>
      </w:r>
      <w:r w:rsidR="00266013">
        <w:rPr>
          <w:sz w:val="24"/>
          <w:szCs w:val="24"/>
        </w:rPr>
        <w:t>.</w:t>
      </w:r>
    </w:p>
    <w:p w14:paraId="063E3DCD" w14:textId="77777777" w:rsidR="00C4145B" w:rsidRDefault="00266013" w:rsidP="00756F0F">
      <w:pPr>
        <w:pStyle w:val="NoSpacing"/>
        <w:spacing w:line="360" w:lineRule="auto"/>
        <w:rPr>
          <w:sz w:val="24"/>
          <w:szCs w:val="24"/>
        </w:rPr>
      </w:pPr>
      <w:r>
        <w:rPr>
          <w:sz w:val="24"/>
          <w:szCs w:val="24"/>
        </w:rPr>
        <w:t xml:space="preserve">The role of weight management services in supporting women with PCOS cannot be underestimated. The complex relationship between PCOS and obesity is well documented and as PCOS is under </w:t>
      </w:r>
      <w:r w:rsidR="00C4145B">
        <w:rPr>
          <w:sz w:val="24"/>
          <w:szCs w:val="24"/>
        </w:rPr>
        <w:t>diagnosed, these</w:t>
      </w:r>
      <w:r>
        <w:rPr>
          <w:sz w:val="24"/>
          <w:szCs w:val="24"/>
        </w:rPr>
        <w:t xml:space="preserve"> services may be in a position </w:t>
      </w:r>
      <w:r w:rsidR="00C4145B">
        <w:rPr>
          <w:sz w:val="24"/>
          <w:szCs w:val="24"/>
        </w:rPr>
        <w:t>to advocate for</w:t>
      </w:r>
      <w:r>
        <w:rPr>
          <w:sz w:val="24"/>
          <w:szCs w:val="24"/>
        </w:rPr>
        <w:t xml:space="preserve"> </w:t>
      </w:r>
      <w:r w:rsidR="00C4145B">
        <w:rPr>
          <w:sz w:val="24"/>
          <w:szCs w:val="24"/>
        </w:rPr>
        <w:t>women in</w:t>
      </w:r>
      <w:r>
        <w:rPr>
          <w:sz w:val="24"/>
          <w:szCs w:val="24"/>
        </w:rPr>
        <w:t xml:space="preserve"> seeking support from other healthcare professional or support services</w:t>
      </w:r>
      <w:r w:rsidR="00C4145B">
        <w:rPr>
          <w:sz w:val="24"/>
          <w:szCs w:val="24"/>
        </w:rPr>
        <w:t xml:space="preserve">. </w:t>
      </w:r>
    </w:p>
    <w:p w14:paraId="1040310A" w14:textId="68E53192" w:rsidR="00266013" w:rsidRDefault="00266013" w:rsidP="00756F0F">
      <w:pPr>
        <w:pStyle w:val="NoSpacing"/>
        <w:spacing w:line="360" w:lineRule="auto"/>
        <w:rPr>
          <w:sz w:val="24"/>
          <w:szCs w:val="24"/>
        </w:rPr>
      </w:pPr>
      <w:r>
        <w:rPr>
          <w:sz w:val="24"/>
          <w:szCs w:val="24"/>
        </w:rPr>
        <w:t xml:space="preserve">Further research of lifestyle modifications in PCOS is desperately </w:t>
      </w:r>
      <w:r w:rsidR="00C4145B">
        <w:rPr>
          <w:sz w:val="24"/>
          <w:szCs w:val="24"/>
        </w:rPr>
        <w:t>needed as</w:t>
      </w:r>
      <w:r>
        <w:rPr>
          <w:sz w:val="24"/>
          <w:szCs w:val="24"/>
        </w:rPr>
        <w:t xml:space="preserve"> </w:t>
      </w:r>
      <w:r w:rsidR="00C4145B">
        <w:rPr>
          <w:sz w:val="24"/>
          <w:szCs w:val="24"/>
        </w:rPr>
        <w:t>current studies</w:t>
      </w:r>
      <w:r>
        <w:rPr>
          <w:sz w:val="24"/>
          <w:szCs w:val="24"/>
        </w:rPr>
        <w:t xml:space="preserve"> are not substantial enough to give definitive </w:t>
      </w:r>
      <w:r w:rsidR="007531A0">
        <w:rPr>
          <w:sz w:val="24"/>
          <w:szCs w:val="24"/>
        </w:rPr>
        <w:t>results.</w:t>
      </w:r>
      <w:r w:rsidR="00C4145B">
        <w:rPr>
          <w:sz w:val="24"/>
          <w:szCs w:val="24"/>
        </w:rPr>
        <w:t xml:space="preserve"> </w:t>
      </w:r>
    </w:p>
    <w:p w14:paraId="6F2EBC1B" w14:textId="77777777" w:rsidR="00C4145B" w:rsidRDefault="00C4145B" w:rsidP="00756F0F">
      <w:pPr>
        <w:pStyle w:val="NoSpacing"/>
        <w:spacing w:line="360" w:lineRule="auto"/>
        <w:rPr>
          <w:sz w:val="24"/>
          <w:szCs w:val="24"/>
        </w:rPr>
      </w:pPr>
      <w:r>
        <w:rPr>
          <w:sz w:val="24"/>
          <w:szCs w:val="24"/>
        </w:rPr>
        <w:t xml:space="preserve">TAPs   supporting women with PCOS should continue to provide evidence based information when discussing dietary plans and nutritional changes, while also supporting in achieving their goals </w:t>
      </w:r>
      <w:r w:rsidR="00F661B2">
        <w:rPr>
          <w:sz w:val="24"/>
          <w:szCs w:val="24"/>
        </w:rPr>
        <w:t>and accessing</w:t>
      </w:r>
      <w:r>
        <w:rPr>
          <w:sz w:val="24"/>
          <w:szCs w:val="24"/>
        </w:rPr>
        <w:t xml:space="preserve"> treatment. </w:t>
      </w:r>
    </w:p>
    <w:p w14:paraId="06C6B0D0" w14:textId="77777777" w:rsidR="00F661B2" w:rsidRDefault="00F661B2" w:rsidP="00756F0F">
      <w:pPr>
        <w:pStyle w:val="NoSpacing"/>
        <w:spacing w:line="360" w:lineRule="auto"/>
        <w:rPr>
          <w:sz w:val="24"/>
          <w:szCs w:val="24"/>
        </w:rPr>
      </w:pPr>
    </w:p>
    <w:p w14:paraId="4CF79C1A" w14:textId="77777777" w:rsidR="00F661B2" w:rsidRDefault="00F661B2" w:rsidP="00756F0F">
      <w:pPr>
        <w:pStyle w:val="NoSpacing"/>
        <w:spacing w:line="360" w:lineRule="auto"/>
        <w:rPr>
          <w:sz w:val="24"/>
          <w:szCs w:val="24"/>
        </w:rPr>
      </w:pPr>
    </w:p>
    <w:p w14:paraId="522C61D8" w14:textId="77777777" w:rsidR="00F661B2" w:rsidRDefault="00F661B2" w:rsidP="00F661B2"/>
    <w:p w14:paraId="5B366B6B" w14:textId="77777777" w:rsidR="00F661B2" w:rsidRDefault="00F661B2" w:rsidP="00F661B2"/>
    <w:p w14:paraId="5EDCA9ED" w14:textId="77777777" w:rsidR="00F661B2" w:rsidRDefault="00F661B2" w:rsidP="00F661B2"/>
    <w:p w14:paraId="24628530" w14:textId="77777777" w:rsidR="00F661B2" w:rsidRDefault="00F661B2" w:rsidP="00F661B2"/>
    <w:p w14:paraId="7319E6A3" w14:textId="77777777" w:rsidR="00F661B2" w:rsidRDefault="00F661B2" w:rsidP="00F661B2"/>
    <w:p w14:paraId="19F0B8B2" w14:textId="77777777" w:rsidR="00F661B2" w:rsidRDefault="00F661B2" w:rsidP="00F661B2"/>
    <w:p w14:paraId="618DF560" w14:textId="77777777" w:rsidR="00F661B2" w:rsidRDefault="00F661B2" w:rsidP="00F661B2"/>
    <w:p w14:paraId="5D03ED82" w14:textId="77777777" w:rsidR="00EB256E" w:rsidRDefault="00EB256E" w:rsidP="00F661B2"/>
    <w:p w14:paraId="30796516" w14:textId="77777777" w:rsidR="00F661B2" w:rsidRDefault="00F661B2" w:rsidP="00F661B2"/>
    <w:p w14:paraId="4BF3C7A5" w14:textId="0BB833D5" w:rsidR="00F276A3" w:rsidRDefault="00F661B2" w:rsidP="00434534">
      <w:pPr>
        <w:jc w:val="center"/>
        <w:rPr>
          <w:b/>
          <w:bCs/>
          <w:sz w:val="28"/>
          <w:szCs w:val="28"/>
          <w:u w:val="single"/>
        </w:rPr>
      </w:pPr>
      <w:r w:rsidRPr="00406159">
        <w:rPr>
          <w:b/>
          <w:bCs/>
          <w:sz w:val="28"/>
          <w:szCs w:val="28"/>
          <w:u w:val="single"/>
        </w:rPr>
        <w:t>References</w:t>
      </w:r>
    </w:p>
    <w:p w14:paraId="2A5DA6E9" w14:textId="77777777" w:rsidR="00F276A3" w:rsidRPr="001A24AF" w:rsidRDefault="00F276A3" w:rsidP="00F276A3">
      <w:pPr>
        <w:tabs>
          <w:tab w:val="left" w:pos="6070"/>
        </w:tabs>
        <w:rPr>
          <w:rFonts w:cstheme="minorHAnsi"/>
          <w:sz w:val="24"/>
          <w:szCs w:val="24"/>
        </w:rPr>
      </w:pPr>
    </w:p>
    <w:p w14:paraId="40EF6422" w14:textId="543EC602" w:rsidR="00077CC6" w:rsidRDefault="00F276A3" w:rsidP="00F276A3">
      <w:pPr>
        <w:rPr>
          <w:rFonts w:eastAsia="Times New Roman" w:cstheme="minorHAnsi"/>
          <w:color w:val="0563C1"/>
          <w:sz w:val="24"/>
          <w:szCs w:val="24"/>
          <w:u w:val="single"/>
          <w:lang w:eastAsia="en-GB"/>
        </w:rPr>
      </w:pPr>
      <w:proofErr w:type="spellStart"/>
      <w:r w:rsidRPr="001A24AF">
        <w:rPr>
          <w:rFonts w:eastAsia="Times New Roman" w:cstheme="minorHAnsi"/>
          <w:color w:val="000000"/>
          <w:sz w:val="24"/>
          <w:szCs w:val="24"/>
          <w:lang w:eastAsia="en-GB"/>
        </w:rPr>
        <w:t>Adashi</w:t>
      </w:r>
      <w:proofErr w:type="spellEnd"/>
      <w:r w:rsidRPr="001A24AF">
        <w:rPr>
          <w:rFonts w:eastAsia="Times New Roman" w:cstheme="minorHAnsi"/>
          <w:color w:val="000000"/>
          <w:sz w:val="24"/>
          <w:szCs w:val="24"/>
          <w:lang w:eastAsia="en-GB"/>
        </w:rPr>
        <w:t xml:space="preserve">, E. Y., Cibula, D., Peterson, M. and Azziz, R. (2023) </w:t>
      </w:r>
      <w:r w:rsidRPr="001A24AF">
        <w:rPr>
          <w:rFonts w:eastAsia="Times New Roman" w:cstheme="minorHAnsi"/>
          <w:i/>
          <w:iCs/>
          <w:color w:val="000000"/>
          <w:sz w:val="24"/>
          <w:szCs w:val="24"/>
          <w:lang w:eastAsia="en-GB"/>
        </w:rPr>
        <w:t>The polycystic ovary syndrome: the first 150 years of study</w:t>
      </w:r>
      <w:r w:rsidRPr="001A24AF">
        <w:rPr>
          <w:rFonts w:eastAsia="Times New Roman" w:cstheme="minorHAnsi"/>
          <w:color w:val="000000"/>
          <w:sz w:val="24"/>
          <w:szCs w:val="24"/>
          <w:lang w:eastAsia="en-GB"/>
        </w:rPr>
        <w:t xml:space="preserve">. F&amp;S Reports Vol 4 issue 1 Available at: </w:t>
      </w:r>
      <w:hyperlink r:id="rId16" w:history="1">
        <w:r w:rsidRPr="001A24AF">
          <w:rPr>
            <w:rFonts w:eastAsia="Times New Roman" w:cstheme="minorHAnsi"/>
            <w:color w:val="0563C1"/>
            <w:sz w:val="24"/>
            <w:szCs w:val="24"/>
            <w:u w:val="single"/>
            <w:lang w:eastAsia="en-GB"/>
          </w:rPr>
          <w:t>The polycystic ovary syndrome: the first 150 years of study - PMC (nih.gov)</w:t>
        </w:r>
      </w:hyperlink>
    </w:p>
    <w:p w14:paraId="3C2E9969" w14:textId="77777777" w:rsidR="001B41F2" w:rsidRDefault="001B41F2" w:rsidP="00F276A3">
      <w:pPr>
        <w:rPr>
          <w:rFonts w:eastAsia="Times New Roman" w:cstheme="minorHAnsi"/>
          <w:color w:val="0563C1"/>
          <w:sz w:val="24"/>
          <w:szCs w:val="24"/>
          <w:u w:val="single"/>
          <w:lang w:eastAsia="en-GB"/>
        </w:rPr>
      </w:pPr>
    </w:p>
    <w:p w14:paraId="3EF8CE55" w14:textId="77777777" w:rsidR="001B41F2" w:rsidRPr="001A24AF" w:rsidRDefault="001B41F2" w:rsidP="001B41F2">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Barber, T. M. and Franks, S. (2021) 'Obesity and polycystic ovary </w:t>
      </w:r>
      <w:r w:rsidRPr="001A24AF">
        <w:rPr>
          <w:rFonts w:eastAsia="Times New Roman" w:cstheme="minorHAnsi"/>
          <w:i/>
          <w:iCs/>
          <w:color w:val="000000"/>
          <w:sz w:val="24"/>
          <w:szCs w:val="24"/>
          <w:lang w:eastAsia="en-GB"/>
        </w:rPr>
        <w:t>syndrome' Clinical Endocrinology</w:t>
      </w:r>
      <w:r w:rsidRPr="001A24AF">
        <w:rPr>
          <w:rFonts w:eastAsia="Times New Roman" w:cstheme="minorHAnsi"/>
          <w:color w:val="000000"/>
          <w:sz w:val="24"/>
          <w:szCs w:val="24"/>
          <w:lang w:eastAsia="en-GB"/>
        </w:rPr>
        <w:t xml:space="preserve">, 95 (4), pp. 531-1541. Available at:  </w:t>
      </w:r>
      <w:hyperlink r:id="rId17" w:history="1">
        <w:r w:rsidRPr="001A24AF">
          <w:rPr>
            <w:rFonts w:cstheme="minorHAnsi"/>
            <w:color w:val="0000FF"/>
            <w:sz w:val="24"/>
            <w:szCs w:val="24"/>
            <w:u w:val="single"/>
          </w:rPr>
          <w:t>Obesity and polycystic ovary syndrome - Barber - 2021 - Clinical Endocrinology - Wiley Online Library</w:t>
        </w:r>
      </w:hyperlink>
    </w:p>
    <w:p w14:paraId="7DFF1C97" w14:textId="77777777" w:rsidR="001B41F2" w:rsidRPr="00F276A3" w:rsidRDefault="001B41F2" w:rsidP="00F276A3">
      <w:pPr>
        <w:rPr>
          <w:rFonts w:eastAsia="Times New Roman" w:cstheme="minorHAnsi"/>
          <w:color w:val="0563C1"/>
          <w:sz w:val="24"/>
          <w:szCs w:val="24"/>
          <w:u w:val="single"/>
          <w:lang w:eastAsia="en-GB"/>
        </w:rPr>
      </w:pPr>
    </w:p>
    <w:p w14:paraId="2B3B83D1" w14:textId="3D002094" w:rsidR="00F276A3" w:rsidRDefault="00F276A3" w:rsidP="00077CC6">
      <w:pPr>
        <w:spacing w:after="0" w:line="240" w:lineRule="auto"/>
        <w:rPr>
          <w:rStyle w:val="Hyperlink"/>
          <w:rFonts w:eastAsia="Times New Roman" w:cstheme="minorHAnsi"/>
          <w:i/>
          <w:iCs/>
          <w:sz w:val="24"/>
          <w:szCs w:val="24"/>
          <w:lang w:eastAsia="en-GB"/>
        </w:rPr>
      </w:pPr>
      <w:r w:rsidRPr="001A24AF">
        <w:rPr>
          <w:rFonts w:eastAsia="Times New Roman" w:cstheme="minorHAnsi"/>
          <w:sz w:val="24"/>
          <w:szCs w:val="24"/>
          <w:lang w:eastAsia="en-GB"/>
        </w:rPr>
        <w:t>Barber, T M., Hanson, P., Weickert, O, M. and Franks, S. (2019) 'Obesity and Polycystic Ovary Syndrome: Implications for Pathogenesis and Novel Management Strategies',</w:t>
      </w:r>
      <w:r w:rsidRPr="001A24AF">
        <w:rPr>
          <w:rFonts w:eastAsia="Times New Roman" w:cstheme="minorHAnsi"/>
          <w:i/>
          <w:iCs/>
          <w:sz w:val="24"/>
          <w:szCs w:val="24"/>
          <w:lang w:eastAsia="en-GB"/>
        </w:rPr>
        <w:t xml:space="preserve"> Clinical medicine insights Reproductive health, </w:t>
      </w:r>
      <w:r w:rsidRPr="001A24AF">
        <w:rPr>
          <w:rFonts w:eastAsia="Times New Roman" w:cstheme="minorHAnsi"/>
          <w:sz w:val="24"/>
          <w:szCs w:val="24"/>
          <w:lang w:eastAsia="en-GB"/>
        </w:rPr>
        <w:t>13. Available at:</w:t>
      </w:r>
      <w:r w:rsidRPr="001A24AF">
        <w:rPr>
          <w:rFonts w:eastAsia="Times New Roman" w:cstheme="minorHAnsi"/>
          <w:i/>
          <w:iCs/>
          <w:sz w:val="24"/>
          <w:szCs w:val="24"/>
          <w:lang w:eastAsia="en-GB"/>
        </w:rPr>
        <w:t xml:space="preserve"> </w:t>
      </w:r>
      <w:hyperlink r:id="rId18" w:anchor=":~:text=Polycystic%20ovary%20syndrome%20is%20an%20obesity%2Drelated%20condition.,to%20establish%20effective%20weight%2Dloss" w:history="1">
        <w:r w:rsidRPr="001A24AF">
          <w:rPr>
            <w:rStyle w:val="Hyperlink"/>
            <w:rFonts w:eastAsia="Times New Roman" w:cstheme="minorHAnsi"/>
            <w:i/>
            <w:iCs/>
            <w:sz w:val="24"/>
            <w:szCs w:val="24"/>
            <w:lang w:eastAsia="en-GB"/>
          </w:rPr>
          <w:t>https://www.ncbi.nlm.nih.gov/pmc/articles/PMC6734597/#:~:text=Polycystic%20ovary%20syndrome%20is%20an%20obesity%2Drelated%20condition.,to%20establish%20effective%20weight%2Dloss</w:t>
        </w:r>
      </w:hyperlink>
    </w:p>
    <w:p w14:paraId="2D4F772D" w14:textId="77777777" w:rsidR="00077CC6" w:rsidRDefault="00077CC6" w:rsidP="00077CC6">
      <w:pPr>
        <w:spacing w:after="0" w:line="240" w:lineRule="auto"/>
        <w:rPr>
          <w:rFonts w:eastAsia="Times New Roman" w:cstheme="minorHAnsi"/>
          <w:i/>
          <w:iCs/>
          <w:sz w:val="24"/>
          <w:szCs w:val="24"/>
          <w:lang w:eastAsia="en-GB"/>
        </w:rPr>
      </w:pPr>
    </w:p>
    <w:p w14:paraId="057004B1" w14:textId="77777777" w:rsidR="00077CC6" w:rsidRPr="00077CC6" w:rsidRDefault="00077CC6" w:rsidP="00077CC6">
      <w:pPr>
        <w:spacing w:after="0" w:line="240" w:lineRule="auto"/>
        <w:rPr>
          <w:rFonts w:eastAsia="Times New Roman" w:cstheme="minorHAnsi"/>
          <w:i/>
          <w:iCs/>
          <w:sz w:val="24"/>
          <w:szCs w:val="24"/>
          <w:lang w:eastAsia="en-GB"/>
        </w:rPr>
      </w:pPr>
    </w:p>
    <w:p w14:paraId="16952745" w14:textId="77777777" w:rsidR="00077CC6" w:rsidRDefault="00F276A3" w:rsidP="00077CC6">
      <w:pPr>
        <w:tabs>
          <w:tab w:val="left" w:pos="6070"/>
        </w:tabs>
        <w:rPr>
          <w:sz w:val="24"/>
          <w:szCs w:val="24"/>
        </w:rPr>
      </w:pPr>
      <w:r w:rsidRPr="001A24AF">
        <w:rPr>
          <w:sz w:val="24"/>
          <w:szCs w:val="24"/>
        </w:rPr>
        <w:t xml:space="preserve">British Dietetic Association (2014) ‘Dietetic Support Worker and Assistant Practitioner Competency Framework’. Available at: </w:t>
      </w:r>
      <w:hyperlink r:id="rId19" w:history="1">
        <w:r w:rsidRPr="001A24AF">
          <w:rPr>
            <w:color w:val="0000FF"/>
            <w:sz w:val="24"/>
            <w:szCs w:val="24"/>
            <w:u w:val="single"/>
          </w:rPr>
          <w:t>Health-Education-England-DSW-and-AP-Framework-2014.pdf (bda.uk.com)</w:t>
        </w:r>
      </w:hyperlink>
      <w:r w:rsidRPr="001A24AF">
        <w:rPr>
          <w:sz w:val="24"/>
          <w:szCs w:val="24"/>
        </w:rPr>
        <w:t xml:space="preserve"> (Accessed: 6 May 2024).</w:t>
      </w:r>
    </w:p>
    <w:p w14:paraId="44C11AF7" w14:textId="77777777" w:rsidR="00077CC6" w:rsidRPr="001A24AF" w:rsidRDefault="00077CC6" w:rsidP="00077CC6">
      <w:pPr>
        <w:spacing w:after="0" w:line="240" w:lineRule="auto"/>
        <w:rPr>
          <w:rFonts w:eastAsia="Times New Roman" w:cstheme="minorHAnsi"/>
          <w:sz w:val="24"/>
          <w:szCs w:val="24"/>
          <w:lang w:eastAsia="en-GB"/>
        </w:rPr>
      </w:pPr>
      <w:r w:rsidRPr="001A24AF">
        <w:rPr>
          <w:rFonts w:eastAsia="Times New Roman" w:cstheme="minorHAnsi"/>
          <w:color w:val="000000"/>
          <w:sz w:val="24"/>
          <w:szCs w:val="24"/>
          <w:lang w:eastAsia="en-GB"/>
        </w:rPr>
        <w:t xml:space="preserve">British Dietetic Association (2019) </w:t>
      </w:r>
      <w:r w:rsidRPr="001A24AF">
        <w:rPr>
          <w:rFonts w:eastAsia="Times New Roman" w:cstheme="minorHAnsi"/>
          <w:i/>
          <w:iCs/>
          <w:color w:val="000000"/>
          <w:sz w:val="24"/>
          <w:szCs w:val="24"/>
          <w:lang w:eastAsia="en-GB"/>
        </w:rPr>
        <w:t>Polycystic Ovary Syndrome-The fundamentals</w:t>
      </w:r>
      <w:r w:rsidRPr="001A24AF">
        <w:rPr>
          <w:rFonts w:eastAsia="Times New Roman" w:cstheme="minorHAnsi"/>
          <w:color w:val="000000"/>
          <w:sz w:val="24"/>
          <w:szCs w:val="24"/>
          <w:lang w:eastAsia="en-GB"/>
        </w:rPr>
        <w:t xml:space="preserve">. Available at: </w:t>
      </w:r>
      <w:hyperlink r:id="rId20" w:history="1">
        <w:r w:rsidRPr="001A24AF">
          <w:rPr>
            <w:rFonts w:cstheme="minorHAnsi"/>
            <w:color w:val="0000FF"/>
            <w:sz w:val="24"/>
            <w:szCs w:val="24"/>
            <w:u w:val="single"/>
          </w:rPr>
          <w:t>Polycystic Ovary Syndrome – the fundamentals - British Dietetic Association (BDA)</w:t>
        </w:r>
      </w:hyperlink>
      <w:r w:rsidRPr="001A24AF">
        <w:rPr>
          <w:rFonts w:cstheme="minorHAnsi"/>
          <w:color w:val="0000FF"/>
          <w:sz w:val="24"/>
          <w:szCs w:val="24"/>
          <w:u w:val="single"/>
        </w:rPr>
        <w:t xml:space="preserve"> </w:t>
      </w:r>
      <w:r w:rsidRPr="001A24AF">
        <w:rPr>
          <w:rFonts w:cstheme="minorHAnsi"/>
          <w:sz w:val="24"/>
          <w:szCs w:val="24"/>
        </w:rPr>
        <w:t>(Accessed 2 May 2024)</w:t>
      </w:r>
    </w:p>
    <w:p w14:paraId="4FDF4E06" w14:textId="77777777" w:rsidR="00077CC6" w:rsidRDefault="00077CC6" w:rsidP="00077CC6">
      <w:pPr>
        <w:tabs>
          <w:tab w:val="left" w:pos="6070"/>
        </w:tabs>
        <w:rPr>
          <w:sz w:val="24"/>
          <w:szCs w:val="24"/>
        </w:rPr>
      </w:pPr>
    </w:p>
    <w:p w14:paraId="2128CD84" w14:textId="1FB07759" w:rsidR="00F276A3" w:rsidRPr="001A24AF" w:rsidRDefault="00F276A3" w:rsidP="00077CC6">
      <w:pPr>
        <w:tabs>
          <w:tab w:val="left" w:pos="6070"/>
        </w:tabs>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Copp, T., Muscat, D. M., Hersch, J., McCaffery, K. J., Doust, J., </w:t>
      </w:r>
      <w:proofErr w:type="spellStart"/>
      <w:r w:rsidRPr="001A24AF">
        <w:rPr>
          <w:rFonts w:eastAsia="Times New Roman" w:cstheme="minorHAnsi"/>
          <w:color w:val="000000"/>
          <w:sz w:val="24"/>
          <w:szCs w:val="24"/>
          <w:lang w:eastAsia="en-GB"/>
        </w:rPr>
        <w:t>Dokras</w:t>
      </w:r>
      <w:proofErr w:type="spellEnd"/>
      <w:r w:rsidRPr="001A24AF">
        <w:rPr>
          <w:rFonts w:eastAsia="Times New Roman" w:cstheme="minorHAnsi"/>
          <w:color w:val="000000"/>
          <w:sz w:val="24"/>
          <w:szCs w:val="24"/>
          <w:lang w:eastAsia="en-GB"/>
        </w:rPr>
        <w:t>, A., Mol, B. W. and Jansen, J. (2022) 'The challenges with managing polycystic ovary syndrome: A qualitative study of women's and clinicians' experiences', Patient education and counselling, 105(3). Available at:</w:t>
      </w:r>
      <w:r w:rsidRPr="001A24AF">
        <w:rPr>
          <w:rFonts w:cstheme="minorHAnsi"/>
          <w:sz w:val="24"/>
          <w:szCs w:val="24"/>
        </w:rPr>
        <w:t xml:space="preserve"> </w:t>
      </w:r>
      <w:hyperlink r:id="rId21" w:history="1">
        <w:r w:rsidRPr="001A24AF">
          <w:rPr>
            <w:rFonts w:cstheme="minorHAnsi"/>
            <w:color w:val="0000FF"/>
            <w:sz w:val="24"/>
            <w:szCs w:val="24"/>
            <w:u w:val="single"/>
          </w:rPr>
          <w:t>The challenges with managing polycystic ovary syndrome: A qualitative study of women’s and clinicians’ experiences - ScienceDirect</w:t>
        </w:r>
      </w:hyperlink>
    </w:p>
    <w:p w14:paraId="641238B1" w14:textId="77777777" w:rsidR="00F276A3" w:rsidRPr="001A24AF" w:rsidRDefault="00F276A3" w:rsidP="00F661B2">
      <w:pPr>
        <w:rPr>
          <w:rFonts w:cstheme="minorHAnsi"/>
          <w:sz w:val="24"/>
          <w:szCs w:val="24"/>
        </w:rPr>
      </w:pPr>
    </w:p>
    <w:p w14:paraId="5E77E27A" w14:textId="6A4BB60C" w:rsidR="00F661B2" w:rsidRDefault="00F661B2" w:rsidP="00F661B2">
      <w:pPr>
        <w:rPr>
          <w:rStyle w:val="Hyperlink"/>
          <w:rFonts w:eastAsia="Times New Roman" w:cstheme="minorHAnsi"/>
          <w:sz w:val="24"/>
          <w:szCs w:val="24"/>
          <w:lang w:eastAsia="en-GB"/>
        </w:rPr>
      </w:pPr>
      <w:r w:rsidRPr="001A24AF">
        <w:rPr>
          <w:rFonts w:eastAsia="Times New Roman" w:cstheme="minorHAnsi"/>
          <w:color w:val="000000"/>
          <w:sz w:val="24"/>
          <w:szCs w:val="24"/>
          <w:lang w:eastAsia="en-GB"/>
        </w:rPr>
        <w:t xml:space="preserve"> Dennett, C. C. and Simon, J. (2015) 'The Role of Polycystic Ovary Syndrome in Reproductive and Metabolic Health: Overview and Approaches for Treatment', </w:t>
      </w:r>
      <w:r w:rsidRPr="001A24AF">
        <w:rPr>
          <w:rFonts w:eastAsia="Times New Roman" w:cstheme="minorHAnsi"/>
          <w:i/>
          <w:iCs/>
          <w:color w:val="000000"/>
          <w:sz w:val="24"/>
          <w:szCs w:val="24"/>
          <w:lang w:eastAsia="en-GB"/>
        </w:rPr>
        <w:t>Diabetes Spectrum, 28 (2). Available at:</w:t>
      </w:r>
      <w:hyperlink r:id="rId22" w:anchor=":~:text=The%20Role%20of%20Polycystic%20Ovary%20Syndrome%20in%20Reproductive%20and%20Metabolic%20Health%3A%20Overview%20and%20Approaches%20for%20Treatment" w:history="1">
        <w:r w:rsidRPr="001A24AF">
          <w:rPr>
            <w:rStyle w:val="Hyperlink"/>
            <w:rFonts w:eastAsia="Times New Roman" w:cstheme="minorHAnsi"/>
            <w:sz w:val="24"/>
            <w:szCs w:val="24"/>
            <w:lang w:eastAsia="en-GB"/>
          </w:rPr>
          <w:t>https://www.ncbi.nlm.nih.gov/pmc/articles/PMC4433074/#:~:text=The%20Role%20of%</w:t>
        </w:r>
        <w:r w:rsidRPr="001A24AF">
          <w:rPr>
            <w:rStyle w:val="Hyperlink"/>
            <w:rFonts w:eastAsia="Times New Roman" w:cstheme="minorHAnsi"/>
            <w:sz w:val="24"/>
            <w:szCs w:val="24"/>
            <w:lang w:eastAsia="en-GB"/>
          </w:rPr>
          <w:lastRenderedPageBreak/>
          <w:t>20Polycystic%20Ovary%20Syndrome%20in%20Reproductive%20and%20Metabolic%20Health%3A%20Overview%20and%20Approaches%20for%20Treatment</w:t>
        </w:r>
      </w:hyperlink>
    </w:p>
    <w:p w14:paraId="2E5F7A36" w14:textId="77777777" w:rsidR="00077CC6" w:rsidRPr="001A24AF" w:rsidRDefault="00077CC6" w:rsidP="00077CC6">
      <w:pPr>
        <w:rPr>
          <w:rFonts w:cstheme="minorHAnsi"/>
          <w:color w:val="FF0000"/>
          <w:sz w:val="24"/>
          <w:szCs w:val="24"/>
        </w:rPr>
      </w:pPr>
    </w:p>
    <w:p w14:paraId="1FE02A35" w14:textId="77777777" w:rsidR="00077CC6" w:rsidRPr="001A24AF" w:rsidRDefault="00077CC6" w:rsidP="00077CC6">
      <w:pPr>
        <w:spacing w:after="0" w:line="240" w:lineRule="auto"/>
        <w:rPr>
          <w:rFonts w:eastAsia="Times New Roman" w:cstheme="minorHAnsi"/>
          <w:color w:val="000000"/>
          <w:sz w:val="24"/>
          <w:szCs w:val="24"/>
          <w:lang w:eastAsia="en-GB"/>
        </w:rPr>
      </w:pPr>
      <w:proofErr w:type="spellStart"/>
      <w:r w:rsidRPr="001A24AF">
        <w:rPr>
          <w:rFonts w:eastAsia="Times New Roman" w:cstheme="minorHAnsi"/>
          <w:color w:val="000000"/>
          <w:sz w:val="24"/>
          <w:szCs w:val="24"/>
          <w:lang w:eastAsia="en-GB"/>
        </w:rPr>
        <w:t>Genazzani</w:t>
      </w:r>
      <w:proofErr w:type="spellEnd"/>
      <w:r w:rsidRPr="001A24AF">
        <w:rPr>
          <w:rFonts w:eastAsia="Times New Roman" w:cstheme="minorHAnsi"/>
          <w:color w:val="000000"/>
          <w:sz w:val="24"/>
          <w:szCs w:val="24"/>
          <w:lang w:eastAsia="en-GB"/>
        </w:rPr>
        <w:t xml:space="preserve">, A. D., </w:t>
      </w:r>
      <w:proofErr w:type="spellStart"/>
      <w:r w:rsidRPr="001A24AF">
        <w:rPr>
          <w:rFonts w:eastAsia="Times New Roman" w:cstheme="minorHAnsi"/>
          <w:color w:val="000000"/>
          <w:sz w:val="24"/>
          <w:szCs w:val="24"/>
          <w:lang w:eastAsia="en-GB"/>
        </w:rPr>
        <w:t>Ricchieri</w:t>
      </w:r>
      <w:proofErr w:type="spellEnd"/>
      <w:r w:rsidRPr="001A24AF">
        <w:rPr>
          <w:rFonts w:eastAsia="Times New Roman" w:cstheme="minorHAnsi"/>
          <w:color w:val="000000"/>
          <w:sz w:val="24"/>
          <w:szCs w:val="24"/>
          <w:lang w:eastAsia="en-GB"/>
        </w:rPr>
        <w:t xml:space="preserve">, F. and Lanzoni, C. (2010) 'Use of Metformin in the treatment of Polycystic Ovary Syndrome' </w:t>
      </w:r>
      <w:proofErr w:type="spellStart"/>
      <w:r w:rsidRPr="001A24AF">
        <w:rPr>
          <w:rFonts w:eastAsia="Times New Roman" w:cstheme="minorHAnsi"/>
          <w:color w:val="000000"/>
          <w:sz w:val="24"/>
          <w:szCs w:val="24"/>
          <w:lang w:eastAsia="en-GB"/>
        </w:rPr>
        <w:t>Womens</w:t>
      </w:r>
      <w:proofErr w:type="spellEnd"/>
      <w:r w:rsidRPr="001A24AF">
        <w:rPr>
          <w:rFonts w:eastAsia="Times New Roman" w:cstheme="minorHAnsi"/>
          <w:color w:val="000000"/>
          <w:sz w:val="24"/>
          <w:szCs w:val="24"/>
          <w:lang w:eastAsia="en-GB"/>
        </w:rPr>
        <w:t xml:space="preserve"> Health, 6(4), pp. 577-593. Available at: </w:t>
      </w:r>
      <w:hyperlink r:id="rId23" w:anchor="bibr69-WHE-10-43" w:history="1">
        <w:r w:rsidRPr="001A24AF">
          <w:rPr>
            <w:rStyle w:val="Hyperlink"/>
            <w:rFonts w:eastAsia="Times New Roman" w:cstheme="minorHAnsi"/>
            <w:sz w:val="24"/>
            <w:szCs w:val="24"/>
            <w:lang w:eastAsia="en-GB"/>
          </w:rPr>
          <w:t>https://journals.sagepub.com/doi/full/10.2217/WHE.10.43#bibr69-WHE-10-43</w:t>
        </w:r>
      </w:hyperlink>
    </w:p>
    <w:p w14:paraId="75BFFCC1" w14:textId="77777777" w:rsidR="00077CC6" w:rsidRPr="001A24AF" w:rsidRDefault="00077CC6" w:rsidP="00077CC6">
      <w:pPr>
        <w:spacing w:after="0" w:line="240" w:lineRule="auto"/>
        <w:rPr>
          <w:rFonts w:eastAsia="Times New Roman" w:cstheme="minorHAnsi"/>
          <w:color w:val="000000"/>
          <w:sz w:val="24"/>
          <w:szCs w:val="24"/>
          <w:lang w:eastAsia="en-GB"/>
        </w:rPr>
      </w:pPr>
    </w:p>
    <w:p w14:paraId="08BD2518" w14:textId="77777777" w:rsidR="00077CC6" w:rsidRDefault="00077CC6" w:rsidP="00077CC6">
      <w:pPr>
        <w:rPr>
          <w:rFonts w:eastAsia="Times New Roman" w:cstheme="minorHAnsi"/>
          <w:color w:val="000000"/>
          <w:sz w:val="24"/>
          <w:szCs w:val="24"/>
          <w:lang w:eastAsia="en-GB"/>
        </w:rPr>
      </w:pPr>
    </w:p>
    <w:p w14:paraId="4E42B184" w14:textId="13719DBD" w:rsidR="00077CC6" w:rsidRDefault="00077CC6" w:rsidP="00077CC6">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Hillman, S. C., Bryce, C., </w:t>
      </w:r>
      <w:proofErr w:type="spellStart"/>
      <w:r w:rsidRPr="001A24AF">
        <w:rPr>
          <w:rFonts w:eastAsia="Times New Roman" w:cstheme="minorHAnsi"/>
          <w:color w:val="000000"/>
          <w:sz w:val="24"/>
          <w:szCs w:val="24"/>
          <w:lang w:eastAsia="en-GB"/>
        </w:rPr>
        <w:t>Caleyachetty</w:t>
      </w:r>
      <w:proofErr w:type="spellEnd"/>
      <w:r w:rsidRPr="001A24AF">
        <w:rPr>
          <w:rFonts w:eastAsia="Times New Roman" w:cstheme="minorHAnsi"/>
          <w:color w:val="000000"/>
          <w:sz w:val="24"/>
          <w:szCs w:val="24"/>
          <w:lang w:eastAsia="en-GB"/>
        </w:rPr>
        <w:t xml:space="preserve">, R. and Dale, J. (2020) 'Women's experiences of diagnosis and management of polycystic ovary syndrome: a mixed-methods study in general practice', </w:t>
      </w:r>
      <w:r w:rsidRPr="001A24AF">
        <w:rPr>
          <w:rFonts w:eastAsia="Times New Roman" w:cstheme="minorHAnsi"/>
          <w:i/>
          <w:iCs/>
          <w:color w:val="000000"/>
          <w:sz w:val="24"/>
          <w:szCs w:val="24"/>
          <w:lang w:eastAsia="en-GB"/>
        </w:rPr>
        <w:t>British journal of general practice</w:t>
      </w:r>
      <w:r w:rsidRPr="001A24AF">
        <w:rPr>
          <w:rFonts w:eastAsia="Times New Roman" w:cstheme="minorHAnsi"/>
          <w:color w:val="000000"/>
          <w:sz w:val="24"/>
          <w:szCs w:val="24"/>
          <w:lang w:eastAsia="en-GB"/>
        </w:rPr>
        <w:t xml:space="preserve">, 70(694). Available at: </w:t>
      </w:r>
      <w:hyperlink r:id="rId24" w:history="1">
        <w:r w:rsidRPr="001A24AF">
          <w:rPr>
            <w:rFonts w:eastAsia="Times New Roman" w:cstheme="minorHAnsi"/>
            <w:color w:val="0563C1"/>
            <w:sz w:val="24"/>
            <w:szCs w:val="24"/>
            <w:u w:val="single"/>
            <w:lang w:eastAsia="en-GB"/>
          </w:rPr>
          <w:t>Women’s experiences of diagnosis and management of polycystic ovary syndrome: a mixed-methods study in general practice | British Journal of General Practice (bjgp.org)</w:t>
        </w:r>
      </w:hyperlink>
    </w:p>
    <w:p w14:paraId="4241953E" w14:textId="77777777" w:rsidR="00077CC6" w:rsidRPr="001A24AF" w:rsidRDefault="00077CC6" w:rsidP="00077CC6">
      <w:pPr>
        <w:spacing w:after="0" w:line="240" w:lineRule="auto"/>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Homberg, R. (2005) 'Clomiphene citrate - end of an era? a mini-review' </w:t>
      </w:r>
      <w:r w:rsidRPr="001A24AF">
        <w:rPr>
          <w:rFonts w:eastAsia="Times New Roman" w:cstheme="minorHAnsi"/>
          <w:i/>
          <w:iCs/>
          <w:color w:val="000000"/>
          <w:sz w:val="24"/>
          <w:szCs w:val="24"/>
          <w:lang w:eastAsia="en-GB"/>
        </w:rPr>
        <w:t>Human reproduction</w:t>
      </w:r>
      <w:r w:rsidRPr="001A24AF">
        <w:rPr>
          <w:rFonts w:eastAsia="Times New Roman" w:cstheme="minorHAnsi"/>
          <w:color w:val="000000"/>
          <w:sz w:val="24"/>
          <w:szCs w:val="24"/>
          <w:lang w:eastAsia="en-GB"/>
        </w:rPr>
        <w:t xml:space="preserve">, 20(8), pp 2043-2051. Available at: </w:t>
      </w:r>
      <w:hyperlink r:id="rId25" w:history="1">
        <w:r w:rsidRPr="001A24AF">
          <w:rPr>
            <w:rFonts w:eastAsia="Times New Roman" w:cstheme="minorHAnsi"/>
            <w:color w:val="0563C1"/>
            <w:sz w:val="24"/>
            <w:szCs w:val="24"/>
            <w:u w:val="single"/>
            <w:lang w:eastAsia="en-GB"/>
          </w:rPr>
          <w:t>Clomiphene citrate—end of an era? a mini-review | Human Reproduction | Oxford Academic (oup.com)</w:t>
        </w:r>
      </w:hyperlink>
    </w:p>
    <w:p w14:paraId="69073CAB" w14:textId="77777777" w:rsidR="00077CC6" w:rsidRPr="001A24AF" w:rsidRDefault="00077CC6" w:rsidP="00077CC6">
      <w:pPr>
        <w:spacing w:after="0" w:line="240" w:lineRule="auto"/>
        <w:rPr>
          <w:rFonts w:eastAsia="Times New Roman" w:cstheme="minorHAnsi"/>
          <w:color w:val="0563C1"/>
          <w:sz w:val="24"/>
          <w:szCs w:val="24"/>
          <w:u w:val="single"/>
          <w:lang w:eastAsia="en-GB"/>
        </w:rPr>
      </w:pPr>
    </w:p>
    <w:p w14:paraId="55AF6175" w14:textId="77777777" w:rsidR="00077CC6" w:rsidRPr="001A24AF" w:rsidRDefault="00077CC6" w:rsidP="00077CC6">
      <w:pPr>
        <w:spacing w:after="0" w:line="240" w:lineRule="auto"/>
        <w:rPr>
          <w:rFonts w:eastAsia="Times New Roman" w:cstheme="minorHAnsi"/>
          <w:color w:val="000000"/>
          <w:sz w:val="24"/>
          <w:szCs w:val="24"/>
          <w:lang w:eastAsia="en-GB"/>
        </w:rPr>
      </w:pPr>
    </w:p>
    <w:p w14:paraId="0E721B5D" w14:textId="77777777" w:rsidR="00434534" w:rsidRPr="001A24AF" w:rsidRDefault="00434534" w:rsidP="00434534">
      <w:pPr>
        <w:tabs>
          <w:tab w:val="left" w:pos="6070"/>
        </w:tabs>
        <w:rPr>
          <w:rFonts w:cstheme="minorHAnsi"/>
          <w:sz w:val="24"/>
          <w:szCs w:val="24"/>
        </w:rPr>
      </w:pPr>
      <w:r w:rsidRPr="001A24AF">
        <w:rPr>
          <w:rFonts w:cstheme="minorHAnsi"/>
          <w:sz w:val="24"/>
          <w:szCs w:val="24"/>
        </w:rPr>
        <w:t xml:space="preserve">Hunter, E., </w:t>
      </w:r>
      <w:proofErr w:type="spellStart"/>
      <w:r w:rsidRPr="001A24AF">
        <w:rPr>
          <w:rFonts w:cstheme="minorHAnsi"/>
          <w:sz w:val="24"/>
          <w:szCs w:val="24"/>
        </w:rPr>
        <w:t>Avenall</w:t>
      </w:r>
      <w:proofErr w:type="spellEnd"/>
      <w:r w:rsidRPr="001A24AF">
        <w:rPr>
          <w:rFonts w:cstheme="minorHAnsi"/>
          <w:sz w:val="24"/>
          <w:szCs w:val="24"/>
        </w:rPr>
        <w:t xml:space="preserve">, A., Maheshwari, A., Stadler, G. and Best, D. (2021) ‘The effectiveness of weight-loss lifestyle interventions for improving fertility in women and men with overweight or obesity and infertility: A systematic review update of evidence from randomized controlled trails’, </w:t>
      </w:r>
      <w:r w:rsidRPr="001A24AF">
        <w:rPr>
          <w:rFonts w:cstheme="minorHAnsi"/>
          <w:i/>
          <w:iCs/>
          <w:sz w:val="24"/>
          <w:szCs w:val="24"/>
        </w:rPr>
        <w:t>Obesity Review</w:t>
      </w:r>
      <w:r w:rsidRPr="001A24AF">
        <w:rPr>
          <w:rFonts w:cstheme="minorHAnsi"/>
          <w:sz w:val="24"/>
          <w:szCs w:val="24"/>
        </w:rPr>
        <w:t xml:space="preserve">, 22(12), pp 1520-1524. Available at: </w:t>
      </w:r>
      <w:hyperlink r:id="rId26" w:history="1">
        <w:r w:rsidRPr="001A24AF">
          <w:rPr>
            <w:rFonts w:cstheme="minorHAnsi"/>
            <w:color w:val="0000FF"/>
            <w:sz w:val="24"/>
            <w:szCs w:val="24"/>
            <w:u w:val="single"/>
          </w:rPr>
          <w:t>The effectiveness of weight‐loss lifestyle interventions for improving fertility in women and men with overweight or obesity and infertility: A systematic review update of evidence from randomized controlled trials - Hunter - 2021 - Obesity Reviews - Wiley Online Library</w:t>
        </w:r>
      </w:hyperlink>
    </w:p>
    <w:p w14:paraId="2FA0AE0A" w14:textId="77777777" w:rsidR="00077CC6" w:rsidRPr="001A24AF" w:rsidRDefault="00077CC6" w:rsidP="00077CC6">
      <w:pPr>
        <w:rPr>
          <w:rFonts w:eastAsia="Times New Roman" w:cstheme="minorHAnsi"/>
          <w:color w:val="0563C1"/>
          <w:sz w:val="24"/>
          <w:szCs w:val="24"/>
          <w:u w:val="single"/>
          <w:lang w:eastAsia="en-GB"/>
        </w:rPr>
      </w:pPr>
    </w:p>
    <w:p w14:paraId="64713CB5" w14:textId="77777777" w:rsidR="00077CC6" w:rsidRPr="001A24AF" w:rsidRDefault="00077CC6" w:rsidP="00077CC6">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Jeanes, Y. J., Barr, S. and Hart, K. H. (2009) 'Dietary management of women with polycystic ovary syndrome in the United Kingdom: the role of dietitians', </w:t>
      </w:r>
      <w:r w:rsidRPr="001A24AF">
        <w:rPr>
          <w:rFonts w:eastAsia="Times New Roman" w:cstheme="minorHAnsi"/>
          <w:i/>
          <w:iCs/>
          <w:color w:val="000000"/>
          <w:sz w:val="24"/>
          <w:szCs w:val="24"/>
          <w:lang w:eastAsia="en-GB"/>
        </w:rPr>
        <w:t>Journal of Human Nutrition and Dietetics</w:t>
      </w:r>
      <w:r w:rsidRPr="001A24AF">
        <w:rPr>
          <w:rFonts w:eastAsia="Times New Roman" w:cstheme="minorHAnsi"/>
          <w:color w:val="000000"/>
          <w:sz w:val="24"/>
          <w:szCs w:val="24"/>
          <w:lang w:eastAsia="en-GB"/>
        </w:rPr>
        <w:t xml:space="preserve">, 22(6), pp 551-558. Available at: </w:t>
      </w:r>
      <w:hyperlink r:id="rId27" w:history="1">
        <w:r w:rsidRPr="001A24AF">
          <w:rPr>
            <w:rFonts w:cstheme="minorHAnsi"/>
            <w:color w:val="0000FF"/>
            <w:sz w:val="24"/>
            <w:szCs w:val="24"/>
            <w:u w:val="single"/>
          </w:rPr>
          <w:t>Dietary management of women with polycystic ovary syndrome in the United Kingdom: the role of dietitians - Jeanes - 2009 - Journal of Human Nutrition and Dietetics - Wiley Online Library</w:t>
        </w:r>
      </w:hyperlink>
    </w:p>
    <w:p w14:paraId="6732D720" w14:textId="77777777" w:rsidR="00077CC6" w:rsidRPr="001A24AF" w:rsidRDefault="00077CC6" w:rsidP="00077CC6">
      <w:pPr>
        <w:tabs>
          <w:tab w:val="left" w:pos="6070"/>
        </w:tabs>
        <w:rPr>
          <w:rFonts w:cstheme="minorHAnsi"/>
          <w:sz w:val="24"/>
          <w:szCs w:val="24"/>
        </w:rPr>
      </w:pPr>
    </w:p>
    <w:p w14:paraId="3C685AE2" w14:textId="77777777" w:rsidR="00077CC6" w:rsidRPr="001A24AF" w:rsidRDefault="00077CC6" w:rsidP="00077CC6">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Johnson, N.P. (2014) 'Metformin use in women with polycystic ovary syndrome' Annals of Translational medicine, 2(6). Available at: </w:t>
      </w:r>
      <w:hyperlink r:id="rId28" w:history="1">
        <w:r w:rsidRPr="001A24AF">
          <w:rPr>
            <w:rStyle w:val="Hyperlink"/>
            <w:rFonts w:eastAsia="Times New Roman" w:cstheme="minorHAnsi"/>
            <w:sz w:val="24"/>
            <w:szCs w:val="24"/>
            <w:lang w:eastAsia="en-GB"/>
          </w:rPr>
          <w:t>https://www.ncbi.nlm.nih.gov/pmc/articles/PMC4200666/</w:t>
        </w:r>
      </w:hyperlink>
    </w:p>
    <w:p w14:paraId="267AC0C9" w14:textId="77777777" w:rsidR="00077CC6" w:rsidRDefault="00077CC6" w:rsidP="00077CC6">
      <w:pPr>
        <w:rPr>
          <w:rFonts w:eastAsia="Times New Roman" w:cstheme="minorHAnsi"/>
          <w:color w:val="000000"/>
          <w:sz w:val="24"/>
          <w:szCs w:val="24"/>
          <w:lang w:eastAsia="en-GB"/>
        </w:rPr>
      </w:pPr>
    </w:p>
    <w:p w14:paraId="657C6D27" w14:textId="440C49DF" w:rsidR="00077CC6" w:rsidRDefault="00077CC6" w:rsidP="00077CC6">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Karia, A. M., Duff, C. J., Heald, A. H., Bitton, I., Fryer, A.A. and Pensee, W. (2021) 'Investigations of polycystic ovarian syndrome: variation in practice and impact on the speed of diagnosis', </w:t>
      </w:r>
      <w:r w:rsidRPr="001A24AF">
        <w:rPr>
          <w:rFonts w:eastAsia="Times New Roman" w:cstheme="minorHAnsi"/>
          <w:i/>
          <w:iCs/>
          <w:color w:val="000000"/>
          <w:sz w:val="24"/>
          <w:szCs w:val="24"/>
          <w:lang w:eastAsia="en-GB"/>
        </w:rPr>
        <w:t>Cardiovascular endocrinology&amp; metabolism</w:t>
      </w:r>
      <w:r w:rsidRPr="001A24AF">
        <w:rPr>
          <w:rFonts w:eastAsia="Times New Roman" w:cstheme="minorHAnsi"/>
          <w:color w:val="000000"/>
          <w:sz w:val="24"/>
          <w:szCs w:val="24"/>
          <w:lang w:eastAsia="en-GB"/>
        </w:rPr>
        <w:t xml:space="preserve">, 10(2), pp 120-124. Available at: </w:t>
      </w:r>
      <w:hyperlink r:id="rId29" w:history="1">
        <w:r w:rsidRPr="001A24AF">
          <w:rPr>
            <w:rFonts w:eastAsia="Times New Roman" w:cstheme="minorHAnsi"/>
            <w:color w:val="0563C1"/>
            <w:sz w:val="24"/>
            <w:szCs w:val="24"/>
            <w:u w:val="single"/>
            <w:lang w:eastAsia="en-GB"/>
          </w:rPr>
          <w:t>Investigation of polycystic ovarian syndrome: variation in p... : Cardiovascular Endocrinology &amp; Metabolism (lww.com)</w:t>
        </w:r>
      </w:hyperlink>
    </w:p>
    <w:p w14:paraId="4964B2A9" w14:textId="77777777" w:rsidR="00434534" w:rsidRPr="001A24AF" w:rsidRDefault="00434534" w:rsidP="00434534">
      <w:pPr>
        <w:spacing w:after="0" w:line="240" w:lineRule="auto"/>
        <w:rPr>
          <w:rFonts w:eastAsia="Times New Roman" w:cstheme="minorHAnsi"/>
          <w:color w:val="000000"/>
          <w:sz w:val="24"/>
          <w:szCs w:val="24"/>
          <w:lang w:eastAsia="en-GB"/>
        </w:rPr>
      </w:pPr>
      <w:proofErr w:type="spellStart"/>
      <w:r w:rsidRPr="001A24AF">
        <w:rPr>
          <w:rFonts w:eastAsia="Times New Roman" w:cstheme="minorHAnsi"/>
          <w:color w:val="000000"/>
          <w:sz w:val="24"/>
          <w:szCs w:val="24"/>
          <w:lang w:eastAsia="en-GB"/>
        </w:rPr>
        <w:lastRenderedPageBreak/>
        <w:t>Lashen</w:t>
      </w:r>
      <w:proofErr w:type="spellEnd"/>
      <w:r w:rsidRPr="001A24AF">
        <w:rPr>
          <w:rFonts w:eastAsia="Times New Roman" w:cstheme="minorHAnsi"/>
          <w:color w:val="000000"/>
          <w:sz w:val="24"/>
          <w:szCs w:val="24"/>
          <w:lang w:eastAsia="en-GB"/>
        </w:rPr>
        <w:t xml:space="preserve">, H. (2010) 'Role of metformin in the management of polycystic ovary syndrome', </w:t>
      </w:r>
      <w:r w:rsidRPr="001A24AF">
        <w:rPr>
          <w:rFonts w:eastAsia="Times New Roman" w:cstheme="minorHAnsi"/>
          <w:i/>
          <w:iCs/>
          <w:color w:val="000000"/>
          <w:sz w:val="24"/>
          <w:szCs w:val="24"/>
          <w:lang w:eastAsia="en-GB"/>
        </w:rPr>
        <w:t>Therapeutic advances in Endocrinology and Metabolism,</w:t>
      </w:r>
      <w:r w:rsidRPr="001A24AF">
        <w:rPr>
          <w:rFonts w:eastAsia="Times New Roman" w:cstheme="minorHAnsi"/>
          <w:color w:val="000000"/>
          <w:sz w:val="24"/>
          <w:szCs w:val="24"/>
          <w:lang w:eastAsia="en-GB"/>
        </w:rPr>
        <w:t xml:space="preserve"> 1(3), pp. 117-128. Available at: </w:t>
      </w:r>
      <w:hyperlink r:id="rId30" w:anchor=":~:text=Several%20effects%20have%20been%20reported,gestational%20diabetes%20mellitus%20(GDM)" w:history="1">
        <w:r w:rsidRPr="001A24AF">
          <w:rPr>
            <w:rStyle w:val="Hyperlink"/>
            <w:rFonts w:eastAsia="Times New Roman" w:cstheme="minorHAnsi"/>
            <w:sz w:val="24"/>
            <w:szCs w:val="24"/>
            <w:lang w:eastAsia="en-GB"/>
          </w:rPr>
          <w:t>https://www.ncbi.nlm.nih.gov/pmc/articles/PMC3475283/#:~:text=Several%20effects%20have%20been%20reported,gestational%20diabetes%20mellitus%20(GDM)</w:t>
        </w:r>
      </w:hyperlink>
    </w:p>
    <w:p w14:paraId="7CC0DED8" w14:textId="77777777" w:rsidR="00077CC6" w:rsidRPr="007A1173" w:rsidRDefault="00077CC6" w:rsidP="00077CC6">
      <w:pPr>
        <w:tabs>
          <w:tab w:val="left" w:pos="6070"/>
        </w:tabs>
        <w:rPr>
          <w:b/>
          <w:bCs/>
          <w:sz w:val="24"/>
          <w:szCs w:val="24"/>
        </w:rPr>
      </w:pPr>
    </w:p>
    <w:p w14:paraId="16BA1B95" w14:textId="42F66E2D" w:rsidR="00077CC6" w:rsidRDefault="00077CC6" w:rsidP="001B41F2">
      <w:pPr>
        <w:tabs>
          <w:tab w:val="left" w:pos="6070"/>
        </w:tabs>
        <w:rPr>
          <w:sz w:val="24"/>
          <w:szCs w:val="24"/>
        </w:rPr>
      </w:pPr>
      <w:r w:rsidRPr="007A1173">
        <w:rPr>
          <w:sz w:val="24"/>
          <w:szCs w:val="24"/>
        </w:rPr>
        <w:t xml:space="preserve">Marshall, J, C. and </w:t>
      </w:r>
      <w:proofErr w:type="spellStart"/>
      <w:r w:rsidRPr="007A1173">
        <w:rPr>
          <w:sz w:val="24"/>
          <w:szCs w:val="24"/>
        </w:rPr>
        <w:t>Dunaif</w:t>
      </w:r>
      <w:proofErr w:type="spellEnd"/>
      <w:r w:rsidRPr="007A1173">
        <w:rPr>
          <w:sz w:val="24"/>
          <w:szCs w:val="24"/>
        </w:rPr>
        <w:t xml:space="preserve">, A. (2012) ‘Should All Women With PCOS Should Be Treated For Insulin  Resistance’, </w:t>
      </w:r>
      <w:r w:rsidRPr="007A1173">
        <w:rPr>
          <w:i/>
          <w:iCs/>
          <w:sz w:val="24"/>
          <w:szCs w:val="24"/>
        </w:rPr>
        <w:t>Fertility and Sterility</w:t>
      </w:r>
      <w:r w:rsidRPr="007A1173">
        <w:rPr>
          <w:sz w:val="24"/>
          <w:szCs w:val="24"/>
        </w:rPr>
        <w:t xml:space="preserve">, 79(1), pp 18-22. Available at: </w:t>
      </w:r>
      <w:hyperlink r:id="rId31" w:history="1">
        <w:r w:rsidRPr="007A1173">
          <w:rPr>
            <w:color w:val="0000FF"/>
            <w:sz w:val="24"/>
            <w:szCs w:val="24"/>
            <w:u w:val="single"/>
          </w:rPr>
          <w:t>Should all women with PCOS be treated for insulin resistance? - ScienceDirect</w:t>
        </w:r>
      </w:hyperlink>
    </w:p>
    <w:p w14:paraId="6D6F04E0" w14:textId="77777777" w:rsidR="001B41F2" w:rsidRPr="001B41F2" w:rsidRDefault="001B41F2" w:rsidP="001B41F2">
      <w:pPr>
        <w:tabs>
          <w:tab w:val="left" w:pos="6070"/>
        </w:tabs>
        <w:rPr>
          <w:sz w:val="24"/>
          <w:szCs w:val="24"/>
        </w:rPr>
      </w:pPr>
    </w:p>
    <w:p w14:paraId="719AAA00" w14:textId="1A340670" w:rsidR="00F661B2" w:rsidRDefault="00F661B2" w:rsidP="00F661B2">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 Mills, G., </w:t>
      </w:r>
      <w:proofErr w:type="spellStart"/>
      <w:r w:rsidRPr="001A24AF">
        <w:rPr>
          <w:rFonts w:eastAsia="Times New Roman" w:cstheme="minorHAnsi"/>
          <w:color w:val="000000"/>
          <w:sz w:val="24"/>
          <w:szCs w:val="24"/>
          <w:lang w:eastAsia="en-GB"/>
        </w:rPr>
        <w:t>Badeghiesh</w:t>
      </w:r>
      <w:proofErr w:type="spellEnd"/>
      <w:r w:rsidRPr="001A24AF">
        <w:rPr>
          <w:rFonts w:eastAsia="Times New Roman" w:cstheme="minorHAnsi"/>
          <w:color w:val="000000"/>
          <w:sz w:val="24"/>
          <w:szCs w:val="24"/>
          <w:lang w:eastAsia="en-GB"/>
        </w:rPr>
        <w:t xml:space="preserve">, A., </w:t>
      </w:r>
      <w:proofErr w:type="spellStart"/>
      <w:r w:rsidRPr="001A24AF">
        <w:rPr>
          <w:rFonts w:eastAsia="Times New Roman" w:cstheme="minorHAnsi"/>
          <w:color w:val="000000"/>
          <w:sz w:val="24"/>
          <w:szCs w:val="24"/>
          <w:lang w:eastAsia="en-GB"/>
        </w:rPr>
        <w:t>Suarthana</w:t>
      </w:r>
      <w:proofErr w:type="spellEnd"/>
      <w:r w:rsidRPr="001A24AF">
        <w:rPr>
          <w:rFonts w:eastAsia="Times New Roman" w:cstheme="minorHAnsi"/>
          <w:color w:val="000000"/>
          <w:sz w:val="24"/>
          <w:szCs w:val="24"/>
          <w:lang w:eastAsia="en-GB"/>
        </w:rPr>
        <w:t xml:space="preserve">, E., </w:t>
      </w:r>
      <w:proofErr w:type="spellStart"/>
      <w:r w:rsidRPr="001A24AF">
        <w:rPr>
          <w:rFonts w:eastAsia="Times New Roman" w:cstheme="minorHAnsi"/>
          <w:color w:val="000000"/>
          <w:sz w:val="24"/>
          <w:szCs w:val="24"/>
          <w:lang w:eastAsia="en-GB"/>
        </w:rPr>
        <w:t>Baghlaf</w:t>
      </w:r>
      <w:proofErr w:type="spellEnd"/>
      <w:r w:rsidRPr="001A24AF">
        <w:rPr>
          <w:rFonts w:eastAsia="Times New Roman" w:cstheme="minorHAnsi"/>
          <w:color w:val="000000"/>
          <w:sz w:val="24"/>
          <w:szCs w:val="24"/>
          <w:lang w:eastAsia="en-GB"/>
        </w:rPr>
        <w:t>, H. and Dahan, M</w:t>
      </w:r>
      <w:r w:rsidR="00077CC6">
        <w:rPr>
          <w:rFonts w:eastAsia="Times New Roman" w:cstheme="minorHAnsi"/>
          <w:color w:val="000000"/>
          <w:sz w:val="24"/>
          <w:szCs w:val="24"/>
          <w:lang w:eastAsia="en-GB"/>
        </w:rPr>
        <w:t>,</w:t>
      </w:r>
      <w:r w:rsidRPr="001A24AF">
        <w:rPr>
          <w:rFonts w:eastAsia="Times New Roman" w:cstheme="minorHAnsi"/>
          <w:color w:val="000000"/>
          <w:sz w:val="24"/>
          <w:szCs w:val="24"/>
          <w:lang w:eastAsia="en-GB"/>
        </w:rPr>
        <w:t xml:space="preserve"> H. (2020) 'Polycystic ovary syndrome as an independent risk factor for gestational diabetes and hypertensive disorders of pregnancy: a population-based study on 9.1 million pregnancies' </w:t>
      </w:r>
      <w:r w:rsidRPr="001A24AF">
        <w:rPr>
          <w:rFonts w:eastAsia="Times New Roman" w:cstheme="minorHAnsi"/>
          <w:i/>
          <w:iCs/>
          <w:color w:val="000000"/>
          <w:sz w:val="24"/>
          <w:szCs w:val="24"/>
          <w:lang w:eastAsia="en-GB"/>
        </w:rPr>
        <w:t>human reproduction</w:t>
      </w:r>
      <w:r w:rsidRPr="001A24AF">
        <w:rPr>
          <w:rFonts w:eastAsia="Times New Roman" w:cstheme="minorHAnsi"/>
          <w:color w:val="000000"/>
          <w:sz w:val="24"/>
          <w:szCs w:val="24"/>
          <w:lang w:eastAsia="en-GB"/>
        </w:rPr>
        <w:t>, 35(7), pp 1666-1674. Available at:</w:t>
      </w:r>
      <w:r w:rsidRPr="001A24AF">
        <w:rPr>
          <w:rFonts w:cstheme="minorHAnsi"/>
          <w:color w:val="0563C1"/>
          <w:sz w:val="24"/>
          <w:szCs w:val="24"/>
          <w:u w:val="single"/>
        </w:rPr>
        <w:t xml:space="preserve"> </w:t>
      </w:r>
      <w:hyperlink r:id="rId32" w:history="1">
        <w:r w:rsidRPr="001A24AF">
          <w:rPr>
            <w:rFonts w:eastAsia="Times New Roman" w:cstheme="minorHAnsi"/>
            <w:color w:val="0563C1"/>
            <w:sz w:val="24"/>
            <w:szCs w:val="24"/>
            <w:u w:val="single"/>
            <w:lang w:eastAsia="en-GB"/>
          </w:rPr>
          <w:t>Polycystic ovary syndrome as an independent risk factor for gestational diabetes and hypertensive disorders of pregnancy: a population-based study on 9.1 million pregnancies | Human Reproduction | Oxford Academic (oup.com)</w:t>
        </w:r>
      </w:hyperlink>
    </w:p>
    <w:p w14:paraId="60BE9632" w14:textId="77777777" w:rsidR="00434534" w:rsidRDefault="00434534" w:rsidP="00F661B2">
      <w:pPr>
        <w:rPr>
          <w:rFonts w:eastAsia="Times New Roman" w:cstheme="minorHAnsi"/>
          <w:color w:val="0563C1"/>
          <w:sz w:val="24"/>
          <w:szCs w:val="24"/>
          <w:u w:val="single"/>
          <w:lang w:eastAsia="en-GB"/>
        </w:rPr>
      </w:pPr>
    </w:p>
    <w:p w14:paraId="0309554B" w14:textId="77777777" w:rsidR="00434534" w:rsidRPr="001A24AF" w:rsidRDefault="00434534" w:rsidP="00434534">
      <w:pPr>
        <w:tabs>
          <w:tab w:val="left" w:pos="2380"/>
        </w:tabs>
        <w:rPr>
          <w:sz w:val="24"/>
          <w:szCs w:val="24"/>
        </w:rPr>
      </w:pPr>
      <w:r w:rsidRPr="001A24AF">
        <w:rPr>
          <w:sz w:val="24"/>
          <w:szCs w:val="24"/>
        </w:rPr>
        <w:t xml:space="preserve">Moran, L, J., Ko, H., Misso, M., Marsh, K., Noakes, M., Talbot, M., Frearson, M., Thondan, M., </w:t>
      </w:r>
      <w:proofErr w:type="spellStart"/>
      <w:r w:rsidRPr="001A24AF">
        <w:rPr>
          <w:sz w:val="24"/>
          <w:szCs w:val="24"/>
        </w:rPr>
        <w:t>Stepto</w:t>
      </w:r>
      <w:proofErr w:type="spellEnd"/>
      <w:r w:rsidRPr="001A24AF">
        <w:rPr>
          <w:sz w:val="24"/>
          <w:szCs w:val="24"/>
        </w:rPr>
        <w:t xml:space="preserve">, N. and </w:t>
      </w:r>
      <w:proofErr w:type="spellStart"/>
      <w:r w:rsidRPr="001A24AF">
        <w:rPr>
          <w:sz w:val="24"/>
          <w:szCs w:val="24"/>
        </w:rPr>
        <w:t>Teede</w:t>
      </w:r>
      <w:proofErr w:type="spellEnd"/>
      <w:r w:rsidRPr="001A24AF">
        <w:rPr>
          <w:sz w:val="24"/>
          <w:szCs w:val="24"/>
        </w:rPr>
        <w:t xml:space="preserve">, H, J. ‘Dietary Composition in the Treatment of Polycystic Ovary Syndrome: A Systematic Review to Inform Evidence-Based Guidelines’, </w:t>
      </w:r>
      <w:r w:rsidRPr="001A24AF">
        <w:rPr>
          <w:i/>
          <w:iCs/>
          <w:sz w:val="24"/>
          <w:szCs w:val="24"/>
        </w:rPr>
        <w:t>Journal of the Academy of Nutrition and Dietetics</w:t>
      </w:r>
      <w:r w:rsidRPr="001A24AF">
        <w:rPr>
          <w:sz w:val="24"/>
          <w:szCs w:val="24"/>
        </w:rPr>
        <w:t>, 4(113), pp520-545. Available at:</w:t>
      </w:r>
      <w:r w:rsidRPr="001A24AF">
        <w:rPr>
          <w:b/>
          <w:bCs/>
          <w:sz w:val="24"/>
          <w:szCs w:val="24"/>
        </w:rPr>
        <w:t xml:space="preserve"> </w:t>
      </w:r>
      <w:hyperlink r:id="rId33" w:history="1">
        <w:r w:rsidRPr="001A24AF">
          <w:rPr>
            <w:b/>
            <w:bCs/>
            <w:color w:val="0000FF"/>
            <w:sz w:val="24"/>
            <w:szCs w:val="24"/>
            <w:u w:val="single"/>
          </w:rPr>
          <w:t>Dietary Composition in the Treatment of Polycystic Ovary Syndrome: A Systematic Review to Inform Evidence-Based Guidelines - ScienceDirect</w:t>
        </w:r>
      </w:hyperlink>
    </w:p>
    <w:p w14:paraId="0C0DA897" w14:textId="77777777" w:rsidR="00434534" w:rsidRPr="001A24AF" w:rsidRDefault="00434534" w:rsidP="00F661B2">
      <w:pPr>
        <w:rPr>
          <w:rFonts w:eastAsia="Times New Roman" w:cstheme="minorHAnsi"/>
          <w:color w:val="0563C1"/>
          <w:sz w:val="24"/>
          <w:szCs w:val="24"/>
          <w:u w:val="single"/>
          <w:lang w:eastAsia="en-GB"/>
        </w:rPr>
      </w:pPr>
    </w:p>
    <w:p w14:paraId="5A40B5F4" w14:textId="3A8E2013" w:rsidR="00077CC6" w:rsidRDefault="00077CC6" w:rsidP="00077CC6">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Neven, A C H., Laven, J., </w:t>
      </w:r>
      <w:proofErr w:type="spellStart"/>
      <w:r w:rsidRPr="001A24AF">
        <w:rPr>
          <w:rFonts w:eastAsia="Times New Roman" w:cstheme="minorHAnsi"/>
          <w:color w:val="000000"/>
          <w:sz w:val="24"/>
          <w:szCs w:val="24"/>
          <w:lang w:eastAsia="en-GB"/>
        </w:rPr>
        <w:t>Teede</w:t>
      </w:r>
      <w:proofErr w:type="spellEnd"/>
      <w:r w:rsidRPr="001A24AF">
        <w:rPr>
          <w:rFonts w:eastAsia="Times New Roman" w:cstheme="minorHAnsi"/>
          <w:color w:val="000000"/>
          <w:sz w:val="24"/>
          <w:szCs w:val="24"/>
          <w:lang w:eastAsia="en-GB"/>
        </w:rPr>
        <w:t xml:space="preserve">, H J. and Boyle, J A. (2018) ‘A summary on Polycystic Ovary Syndrome: Diagnostic Criteria, Prevalence, Clinical Manifestations, and Management According to the Latest International Guidelines’ </w:t>
      </w:r>
      <w:r w:rsidRPr="001A24AF">
        <w:rPr>
          <w:rFonts w:eastAsia="Times New Roman" w:cstheme="minorHAnsi"/>
          <w:i/>
          <w:iCs/>
          <w:color w:val="000000"/>
          <w:sz w:val="24"/>
          <w:szCs w:val="24"/>
          <w:lang w:eastAsia="en-GB"/>
        </w:rPr>
        <w:t xml:space="preserve">Reproductive Medicine </w:t>
      </w:r>
      <w:r w:rsidRPr="001A24AF">
        <w:rPr>
          <w:rFonts w:eastAsia="Times New Roman" w:cstheme="minorHAnsi"/>
          <w:color w:val="000000"/>
          <w:sz w:val="24"/>
          <w:szCs w:val="24"/>
          <w:lang w:eastAsia="en-GB"/>
        </w:rPr>
        <w:t xml:space="preserve">(36) 1. Available at: </w:t>
      </w:r>
      <w:hyperlink r:id="rId34" w:history="1">
        <w:r w:rsidRPr="001A24AF">
          <w:rPr>
            <w:rFonts w:eastAsia="Times New Roman" w:cstheme="minorHAnsi"/>
            <w:color w:val="0563C1"/>
            <w:sz w:val="24"/>
            <w:szCs w:val="24"/>
            <w:u w:val="single"/>
            <w:lang w:eastAsia="en-GB"/>
          </w:rPr>
          <w:t>Thieme E-Journals - Seminars in Reproductive Medicine / Full Text (thieme-connect.com)</w:t>
        </w:r>
      </w:hyperlink>
    </w:p>
    <w:p w14:paraId="0A638181" w14:textId="77777777" w:rsidR="001B41F2" w:rsidRPr="001B41F2" w:rsidRDefault="001B41F2" w:rsidP="00077CC6">
      <w:pPr>
        <w:rPr>
          <w:rFonts w:eastAsia="Times New Roman" w:cstheme="minorHAnsi"/>
          <w:color w:val="0563C1"/>
          <w:sz w:val="24"/>
          <w:szCs w:val="24"/>
          <w:u w:val="single"/>
          <w:lang w:eastAsia="en-GB"/>
        </w:rPr>
      </w:pPr>
    </w:p>
    <w:p w14:paraId="7F912B1A" w14:textId="77777777" w:rsidR="00077CC6" w:rsidRPr="001A24AF" w:rsidRDefault="00077CC6" w:rsidP="00077CC6">
      <w:pPr>
        <w:rPr>
          <w:rFonts w:cstheme="minorHAnsi"/>
          <w:sz w:val="24"/>
          <w:szCs w:val="24"/>
        </w:rPr>
      </w:pPr>
      <w:r w:rsidRPr="001A24AF">
        <w:rPr>
          <w:rFonts w:cstheme="minorHAnsi"/>
          <w:sz w:val="24"/>
          <w:szCs w:val="24"/>
        </w:rPr>
        <w:t>NHS (2022) Polycystic Ovary Syndrome. Available at:</w:t>
      </w:r>
      <w:r w:rsidRPr="001A24AF">
        <w:rPr>
          <w:rFonts w:cstheme="minorHAnsi"/>
          <w:color w:val="0563C1"/>
          <w:sz w:val="24"/>
          <w:szCs w:val="24"/>
          <w:u w:val="single"/>
        </w:rPr>
        <w:t xml:space="preserve"> </w:t>
      </w:r>
      <w:hyperlink r:id="rId35" w:anchor=":~:text=It%27s%20difficult%20to%20know%20exactly,do%20not%20have%20any%20symptoms." w:history="1">
        <w:r w:rsidRPr="001A24AF">
          <w:rPr>
            <w:rFonts w:eastAsia="Times New Roman" w:cstheme="minorHAnsi"/>
            <w:color w:val="0563C1"/>
            <w:sz w:val="24"/>
            <w:szCs w:val="24"/>
            <w:u w:val="single"/>
            <w:lang w:eastAsia="en-GB"/>
          </w:rPr>
          <w:t>Polycystic ovary syndrome - NHS (www.nhs.uk)</w:t>
        </w:r>
      </w:hyperlink>
      <w:r w:rsidRPr="001A24AF">
        <w:rPr>
          <w:rFonts w:cstheme="minorHAnsi"/>
          <w:sz w:val="24"/>
          <w:szCs w:val="24"/>
        </w:rPr>
        <w:t>(Accessed 4 April 2024)</w:t>
      </w:r>
    </w:p>
    <w:p w14:paraId="2357F090" w14:textId="77777777" w:rsidR="00434534" w:rsidRDefault="00434534" w:rsidP="00077CC6">
      <w:pPr>
        <w:tabs>
          <w:tab w:val="left" w:pos="6020"/>
        </w:tabs>
        <w:spacing w:after="0" w:line="240" w:lineRule="auto"/>
        <w:rPr>
          <w:rFonts w:eastAsia="Times New Roman" w:cstheme="minorHAnsi"/>
          <w:color w:val="000000"/>
          <w:sz w:val="24"/>
          <w:szCs w:val="24"/>
          <w:lang w:eastAsia="en-GB"/>
        </w:rPr>
      </w:pPr>
    </w:p>
    <w:p w14:paraId="1316F9B8" w14:textId="555B1C42" w:rsidR="00077CC6" w:rsidRDefault="00077CC6" w:rsidP="00077CC6">
      <w:pPr>
        <w:tabs>
          <w:tab w:val="left" w:pos="6020"/>
        </w:tabs>
        <w:spacing w:after="0" w:line="240" w:lineRule="auto"/>
        <w:rPr>
          <w:rFonts w:cstheme="minorHAnsi"/>
          <w:sz w:val="24"/>
          <w:szCs w:val="24"/>
        </w:rPr>
      </w:pPr>
      <w:r w:rsidRPr="001A24AF">
        <w:rPr>
          <w:rFonts w:eastAsia="Times New Roman" w:cstheme="minorHAnsi"/>
          <w:color w:val="000000"/>
          <w:sz w:val="24"/>
          <w:szCs w:val="24"/>
          <w:lang w:eastAsia="en-GB"/>
        </w:rPr>
        <w:t>NHS (2016) Polycystic ovarian syndrome pathway. Available at:</w:t>
      </w:r>
      <w:r w:rsidRPr="001A24AF">
        <w:rPr>
          <w:rFonts w:cstheme="minorHAnsi"/>
          <w:sz w:val="24"/>
          <w:szCs w:val="24"/>
        </w:rPr>
        <w:t xml:space="preserve"> </w:t>
      </w:r>
      <w:hyperlink r:id="rId36" w:history="1">
        <w:r w:rsidRPr="001A24AF">
          <w:rPr>
            <w:rFonts w:cstheme="minorHAnsi"/>
            <w:color w:val="0000FF"/>
            <w:sz w:val="24"/>
            <w:szCs w:val="24"/>
            <w:u w:val="single"/>
          </w:rPr>
          <w:t>Download: Polycystic Ovarian Syndrome - North Central London GP Website (icb.nhs.uk)</w:t>
        </w:r>
      </w:hyperlink>
      <w:r w:rsidRPr="001A24AF">
        <w:rPr>
          <w:rFonts w:cstheme="minorHAnsi"/>
          <w:sz w:val="24"/>
          <w:szCs w:val="24"/>
        </w:rPr>
        <w:t xml:space="preserve"> (Accessed 4 April 2024)</w:t>
      </w:r>
    </w:p>
    <w:p w14:paraId="48C8F8E8" w14:textId="77777777" w:rsidR="001B41F2" w:rsidRPr="001A24AF" w:rsidRDefault="001B41F2" w:rsidP="001B41F2">
      <w:pPr>
        <w:tabs>
          <w:tab w:val="left" w:pos="6070"/>
        </w:tabs>
        <w:rPr>
          <w:rFonts w:cstheme="minorHAnsi"/>
          <w:color w:val="0000FF"/>
          <w:sz w:val="24"/>
          <w:szCs w:val="24"/>
          <w:u w:val="single"/>
        </w:rPr>
      </w:pPr>
    </w:p>
    <w:p w14:paraId="6101A569" w14:textId="77777777" w:rsidR="001B41F2" w:rsidRPr="001A24AF" w:rsidRDefault="001B41F2" w:rsidP="001B41F2">
      <w:pPr>
        <w:tabs>
          <w:tab w:val="left" w:pos="6070"/>
        </w:tabs>
        <w:rPr>
          <w:rFonts w:cstheme="minorHAnsi"/>
          <w:sz w:val="24"/>
          <w:szCs w:val="24"/>
        </w:rPr>
      </w:pPr>
      <w:r w:rsidRPr="001A24AF">
        <w:rPr>
          <w:rFonts w:cstheme="minorHAnsi"/>
          <w:sz w:val="24"/>
          <w:szCs w:val="24"/>
        </w:rPr>
        <w:t xml:space="preserve">NHS Wales (2024) Pre-Treatment Information. Available at: </w:t>
      </w:r>
      <w:hyperlink r:id="rId37" w:anchor=":~:text=Your%20BMI%20must%20be%20between,you%20have%20problems%20losing%20weight." w:history="1">
        <w:r w:rsidRPr="001A24AF">
          <w:rPr>
            <w:rFonts w:cstheme="minorHAnsi"/>
            <w:color w:val="0000FF"/>
            <w:sz w:val="24"/>
            <w:szCs w:val="24"/>
            <w:u w:val="single"/>
          </w:rPr>
          <w:t>Pre-Treatment Information - Cardiff and Vale University Health Board (</w:t>
        </w:r>
        <w:proofErr w:type="spellStart"/>
        <w:r w:rsidRPr="001A24AF">
          <w:rPr>
            <w:rFonts w:cstheme="minorHAnsi"/>
            <w:color w:val="0000FF"/>
            <w:sz w:val="24"/>
            <w:szCs w:val="24"/>
            <w:u w:val="single"/>
          </w:rPr>
          <w:t>nhs.wales</w:t>
        </w:r>
        <w:proofErr w:type="spellEnd"/>
        <w:r w:rsidRPr="001A24AF">
          <w:rPr>
            <w:rFonts w:cstheme="minorHAnsi"/>
            <w:color w:val="0000FF"/>
            <w:sz w:val="24"/>
            <w:szCs w:val="24"/>
            <w:u w:val="single"/>
          </w:rPr>
          <w:t>)</w:t>
        </w:r>
      </w:hyperlink>
      <w:r w:rsidRPr="001A24AF">
        <w:rPr>
          <w:rFonts w:cstheme="minorHAnsi"/>
          <w:sz w:val="24"/>
          <w:szCs w:val="24"/>
        </w:rPr>
        <w:t xml:space="preserve"> (Accessed 2 May 2024)</w:t>
      </w:r>
    </w:p>
    <w:p w14:paraId="0D9576CF" w14:textId="28E9B2E6" w:rsidR="00434534" w:rsidRPr="001B41F2" w:rsidRDefault="001B41F2" w:rsidP="001B41F2">
      <w:pPr>
        <w:tabs>
          <w:tab w:val="left" w:pos="6020"/>
        </w:tabs>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ab/>
      </w:r>
      <w:r w:rsidR="00077CC6" w:rsidRPr="001A24AF">
        <w:rPr>
          <w:rFonts w:cstheme="minorHAnsi"/>
          <w:sz w:val="24"/>
          <w:szCs w:val="24"/>
        </w:rPr>
        <w:tab/>
      </w:r>
    </w:p>
    <w:p w14:paraId="39FBAAFB" w14:textId="77777777" w:rsidR="00434534" w:rsidRPr="001A24AF" w:rsidRDefault="00434534" w:rsidP="00434534">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lastRenderedPageBreak/>
        <w:t xml:space="preserve">Norman R. J., Davies, M. J., Lord, J. and Moran, L. J. (2002) 'The role of lifestyle modification in polycystic ovary syndrome' </w:t>
      </w:r>
      <w:r w:rsidRPr="001A24AF">
        <w:rPr>
          <w:rFonts w:eastAsia="Times New Roman" w:cstheme="minorHAnsi"/>
          <w:i/>
          <w:iCs/>
          <w:color w:val="000000"/>
          <w:sz w:val="24"/>
          <w:szCs w:val="24"/>
          <w:lang w:eastAsia="en-GB"/>
        </w:rPr>
        <w:t>Trends in Endocrinology and Metabolism</w:t>
      </w:r>
      <w:r w:rsidRPr="001A24AF">
        <w:rPr>
          <w:rFonts w:eastAsia="Times New Roman" w:cstheme="minorHAnsi"/>
          <w:color w:val="000000"/>
          <w:sz w:val="24"/>
          <w:szCs w:val="24"/>
          <w:lang w:eastAsia="en-GB"/>
        </w:rPr>
        <w:t xml:space="preserve">, 13 (6), pp. 251-257. Available at: </w:t>
      </w:r>
      <w:hyperlink r:id="rId38" w:history="1">
        <w:r w:rsidRPr="001A24AF">
          <w:rPr>
            <w:rStyle w:val="Hyperlink"/>
            <w:rFonts w:eastAsia="Times New Roman" w:cstheme="minorHAnsi"/>
            <w:sz w:val="24"/>
            <w:szCs w:val="24"/>
            <w:lang w:eastAsia="en-GB"/>
          </w:rPr>
          <w:t>https://www.cell.com/trends/endocrinology-metabolism/abstract/S1043-2760(02)00612-4</w:t>
        </w:r>
      </w:hyperlink>
    </w:p>
    <w:p w14:paraId="7F2F8000" w14:textId="77777777" w:rsidR="00077CC6" w:rsidRPr="001A24AF" w:rsidRDefault="00077CC6" w:rsidP="00077CC6">
      <w:pPr>
        <w:rPr>
          <w:rFonts w:cstheme="minorHAnsi"/>
          <w:sz w:val="24"/>
          <w:szCs w:val="24"/>
        </w:rPr>
      </w:pPr>
    </w:p>
    <w:p w14:paraId="3928246F" w14:textId="3FBC04C3" w:rsidR="001B41F2" w:rsidRPr="001A24AF" w:rsidRDefault="00077CC6" w:rsidP="001B41F2">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Peralta-Gimenez, I,. </w:t>
      </w:r>
      <w:proofErr w:type="spellStart"/>
      <w:r w:rsidRPr="001A24AF">
        <w:rPr>
          <w:rFonts w:eastAsia="Times New Roman" w:cstheme="minorHAnsi"/>
          <w:color w:val="000000"/>
          <w:sz w:val="24"/>
          <w:szCs w:val="24"/>
          <w:lang w:eastAsia="en-GB"/>
        </w:rPr>
        <w:t>Lilue</w:t>
      </w:r>
      <w:proofErr w:type="spellEnd"/>
      <w:r w:rsidRPr="001A24AF">
        <w:rPr>
          <w:rFonts w:eastAsia="Times New Roman" w:cstheme="minorHAnsi"/>
          <w:color w:val="000000"/>
          <w:sz w:val="24"/>
          <w:szCs w:val="24"/>
          <w:lang w:eastAsia="en-GB"/>
        </w:rPr>
        <w:t xml:space="preserve">, M., Mendoza, N., </w:t>
      </w:r>
      <w:proofErr w:type="spellStart"/>
      <w:r w:rsidRPr="001A24AF">
        <w:rPr>
          <w:rFonts w:eastAsia="Times New Roman" w:cstheme="minorHAnsi"/>
          <w:color w:val="000000"/>
          <w:sz w:val="24"/>
          <w:szCs w:val="24"/>
          <w:lang w:eastAsia="en-GB"/>
        </w:rPr>
        <w:t>Tesarik</w:t>
      </w:r>
      <w:proofErr w:type="spellEnd"/>
      <w:r w:rsidRPr="001A24AF">
        <w:rPr>
          <w:rFonts w:eastAsia="Times New Roman" w:cstheme="minorHAnsi"/>
          <w:color w:val="000000"/>
          <w:sz w:val="24"/>
          <w:szCs w:val="24"/>
          <w:lang w:eastAsia="en-GB"/>
        </w:rPr>
        <w:t xml:space="preserve">, J. and </w:t>
      </w:r>
      <w:proofErr w:type="spellStart"/>
      <w:r w:rsidRPr="001A24AF">
        <w:rPr>
          <w:rFonts w:eastAsia="Times New Roman" w:cstheme="minorHAnsi"/>
          <w:color w:val="000000"/>
          <w:sz w:val="24"/>
          <w:szCs w:val="24"/>
          <w:lang w:eastAsia="en-GB"/>
        </w:rPr>
        <w:t>Mazheika</w:t>
      </w:r>
      <w:proofErr w:type="spellEnd"/>
      <w:r w:rsidRPr="001A24AF">
        <w:rPr>
          <w:rFonts w:eastAsia="Times New Roman" w:cstheme="minorHAnsi"/>
          <w:color w:val="000000"/>
          <w:sz w:val="24"/>
          <w:szCs w:val="24"/>
          <w:lang w:eastAsia="en-GB"/>
        </w:rPr>
        <w:t>, M. (2022) 'Application of a new ultrasound criterions f</w:t>
      </w:r>
      <w:r>
        <w:rPr>
          <w:rFonts w:eastAsia="Times New Roman" w:cstheme="minorHAnsi"/>
          <w:color w:val="000000"/>
          <w:sz w:val="24"/>
          <w:szCs w:val="24"/>
          <w:lang w:eastAsia="en-GB"/>
        </w:rPr>
        <w:t xml:space="preserve">or </w:t>
      </w:r>
      <w:r w:rsidRPr="001A24AF">
        <w:rPr>
          <w:rFonts w:eastAsia="Times New Roman" w:cstheme="minorHAnsi"/>
          <w:color w:val="000000"/>
          <w:sz w:val="24"/>
          <w:szCs w:val="24"/>
          <w:lang w:eastAsia="en-GB"/>
        </w:rPr>
        <w:t xml:space="preserve">diagnosis of polycystic ovary syndrome', </w:t>
      </w:r>
      <w:r w:rsidRPr="001A24AF">
        <w:rPr>
          <w:rFonts w:eastAsia="Times New Roman" w:cstheme="minorHAnsi"/>
          <w:i/>
          <w:iCs/>
          <w:color w:val="000000"/>
          <w:sz w:val="24"/>
          <w:szCs w:val="24"/>
          <w:lang w:eastAsia="en-GB"/>
        </w:rPr>
        <w:t>Frontiers in endocrinology</w:t>
      </w:r>
      <w:r w:rsidRPr="001A24AF">
        <w:rPr>
          <w:rFonts w:eastAsia="Times New Roman" w:cstheme="minorHAnsi"/>
          <w:color w:val="000000"/>
          <w:sz w:val="24"/>
          <w:szCs w:val="24"/>
          <w:lang w:eastAsia="en-GB"/>
        </w:rPr>
        <w:t xml:space="preserve">, 13. Available at: </w:t>
      </w:r>
      <w:hyperlink r:id="rId39" w:history="1">
        <w:r w:rsidRPr="001A24AF">
          <w:rPr>
            <w:rFonts w:eastAsia="Times New Roman" w:cstheme="minorHAnsi"/>
            <w:color w:val="0563C1"/>
            <w:sz w:val="24"/>
            <w:szCs w:val="24"/>
            <w:u w:val="single"/>
            <w:lang w:eastAsia="en-GB"/>
          </w:rPr>
          <w:t>Frontiers | Application of a new ultrasound criterion for the diagnosis of polycystic ovary syndrome (frontiersin.org)</w:t>
        </w:r>
      </w:hyperlink>
    </w:p>
    <w:p w14:paraId="5BE69D29" w14:textId="728F8E09" w:rsidR="001B41F2" w:rsidRPr="001B41F2" w:rsidRDefault="001B41F2" w:rsidP="00F661B2">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Rao, P. and Bhide, P. (2020) 'Controversies in the diagnosis of polycystic ovary syndrome', </w:t>
      </w:r>
      <w:r w:rsidRPr="001A24AF">
        <w:rPr>
          <w:rFonts w:eastAsia="Times New Roman" w:cstheme="minorHAnsi"/>
          <w:i/>
          <w:iCs/>
          <w:color w:val="000000"/>
          <w:sz w:val="24"/>
          <w:szCs w:val="24"/>
          <w:lang w:eastAsia="en-GB"/>
        </w:rPr>
        <w:t>Sage Journals. Available at:</w:t>
      </w:r>
      <w:r w:rsidRPr="001A24AF">
        <w:rPr>
          <w:rFonts w:cstheme="minorHAnsi"/>
          <w:color w:val="0563C1"/>
          <w:sz w:val="24"/>
          <w:szCs w:val="24"/>
          <w:u w:val="single"/>
        </w:rPr>
        <w:t xml:space="preserve"> </w:t>
      </w:r>
      <w:hyperlink r:id="rId40" w:history="1">
        <w:r w:rsidRPr="001A24AF">
          <w:rPr>
            <w:rFonts w:eastAsia="Times New Roman" w:cstheme="minorHAnsi"/>
            <w:color w:val="0563C1"/>
            <w:sz w:val="24"/>
            <w:szCs w:val="24"/>
            <w:u w:val="single"/>
            <w:lang w:eastAsia="en-GB"/>
          </w:rPr>
          <w:t>Controversies in the diagnosis of polycystic ovary syndrome - PubMed (nih.gov)</w:t>
        </w:r>
      </w:hyperlink>
    </w:p>
    <w:p w14:paraId="5318DC68" w14:textId="17A394A3" w:rsidR="00F661B2" w:rsidRPr="001A24AF" w:rsidRDefault="00F661B2" w:rsidP="00F661B2">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Roberts, J. M., Bodnar, L. M., Patrick, T. E., -and Powers, R.W. (2011) ' The role of obesity in preeclampsia Pregnancy Hypertension' </w:t>
      </w:r>
      <w:r w:rsidRPr="001A24AF">
        <w:rPr>
          <w:rFonts w:eastAsia="Times New Roman" w:cstheme="minorHAnsi"/>
          <w:i/>
          <w:iCs/>
          <w:color w:val="000000"/>
          <w:sz w:val="24"/>
          <w:szCs w:val="24"/>
          <w:lang w:eastAsia="en-GB"/>
        </w:rPr>
        <w:t>An International Journal of Women's</w:t>
      </w:r>
      <w:r w:rsidRPr="001A24AF">
        <w:rPr>
          <w:rFonts w:eastAsia="Times New Roman" w:cstheme="minorHAnsi"/>
          <w:color w:val="000000"/>
          <w:sz w:val="24"/>
          <w:szCs w:val="24"/>
          <w:lang w:eastAsia="en-GB"/>
        </w:rPr>
        <w:t xml:space="preserve"> </w:t>
      </w:r>
      <w:r w:rsidRPr="001A24AF">
        <w:rPr>
          <w:rFonts w:eastAsia="Times New Roman" w:cstheme="minorHAnsi"/>
          <w:i/>
          <w:iCs/>
          <w:color w:val="000000"/>
          <w:sz w:val="24"/>
          <w:szCs w:val="24"/>
          <w:lang w:eastAsia="en-GB"/>
        </w:rPr>
        <w:t xml:space="preserve">Cardiovascular Health, </w:t>
      </w:r>
      <w:r w:rsidRPr="001A24AF">
        <w:rPr>
          <w:rFonts w:eastAsia="Times New Roman" w:cstheme="minorHAnsi"/>
          <w:color w:val="000000"/>
          <w:sz w:val="24"/>
          <w:szCs w:val="24"/>
          <w:lang w:eastAsia="en-GB"/>
        </w:rPr>
        <w:t xml:space="preserve">1 (1). Available at: </w:t>
      </w:r>
      <w:hyperlink r:id="rId41" w:history="1">
        <w:r w:rsidRPr="001A24AF">
          <w:rPr>
            <w:rStyle w:val="Hyperlink"/>
            <w:rFonts w:eastAsia="Times New Roman" w:cstheme="minorHAnsi"/>
            <w:sz w:val="24"/>
            <w:szCs w:val="24"/>
            <w:lang w:eastAsia="en-GB"/>
          </w:rPr>
          <w:t>https://www.sciencedirect.com/science/article/abs/pii/S2210778910000140</w:t>
        </w:r>
      </w:hyperlink>
    </w:p>
    <w:p w14:paraId="059DB67D" w14:textId="77777777" w:rsidR="00434534" w:rsidRPr="001A24AF" w:rsidRDefault="00434534" w:rsidP="00434534">
      <w:pPr>
        <w:spacing w:after="0" w:line="240" w:lineRule="auto"/>
        <w:rPr>
          <w:rFonts w:eastAsia="Times New Roman" w:cstheme="minorHAnsi"/>
          <w:color w:val="000000"/>
          <w:sz w:val="24"/>
          <w:szCs w:val="24"/>
          <w:lang w:eastAsia="en-GB"/>
        </w:rPr>
      </w:pPr>
    </w:p>
    <w:p w14:paraId="4E22EFD2" w14:textId="10B51A3C" w:rsidR="00434534" w:rsidRPr="001B41F2" w:rsidRDefault="00434534" w:rsidP="001B41F2">
      <w:pPr>
        <w:tabs>
          <w:tab w:val="left" w:pos="6070"/>
        </w:tabs>
        <w:rPr>
          <w:rFonts w:cstheme="minorHAnsi"/>
          <w:color w:val="0000FF"/>
          <w:sz w:val="24"/>
          <w:szCs w:val="24"/>
          <w:u w:val="single"/>
        </w:rPr>
      </w:pPr>
      <w:r w:rsidRPr="001A24AF">
        <w:rPr>
          <w:rFonts w:cstheme="minorHAnsi"/>
          <w:sz w:val="24"/>
          <w:szCs w:val="24"/>
        </w:rPr>
        <w:t xml:space="preserve">Rogers, J, M., Ferrari, M., Mosely, K., Lang, C. P. and Brennan, L. (2016) ‘Mindfulness-based interventions for adults who are overweight or obese: a </w:t>
      </w:r>
      <w:proofErr w:type="spellStart"/>
      <w:r w:rsidRPr="001A24AF">
        <w:rPr>
          <w:rFonts w:cstheme="minorHAnsi"/>
          <w:sz w:val="24"/>
          <w:szCs w:val="24"/>
        </w:rPr>
        <w:t>meta analysis</w:t>
      </w:r>
      <w:proofErr w:type="spellEnd"/>
      <w:r w:rsidRPr="001A24AF">
        <w:rPr>
          <w:rFonts w:cstheme="minorHAnsi"/>
          <w:sz w:val="24"/>
          <w:szCs w:val="24"/>
        </w:rPr>
        <w:t xml:space="preserve"> of physical and psychological health outcomes’, </w:t>
      </w:r>
      <w:r w:rsidRPr="001A24AF">
        <w:rPr>
          <w:rFonts w:cstheme="minorHAnsi"/>
          <w:i/>
          <w:iCs/>
          <w:sz w:val="24"/>
          <w:szCs w:val="24"/>
        </w:rPr>
        <w:t>Obesity reviews</w:t>
      </w:r>
      <w:r w:rsidRPr="001A24AF">
        <w:rPr>
          <w:rFonts w:cstheme="minorHAnsi"/>
          <w:sz w:val="24"/>
          <w:szCs w:val="24"/>
        </w:rPr>
        <w:t xml:space="preserve">, 18(1), pp 51-67. Available at: </w:t>
      </w:r>
      <w:hyperlink r:id="rId42" w:history="1">
        <w:r w:rsidRPr="001A24AF">
          <w:rPr>
            <w:rFonts w:cstheme="minorHAnsi"/>
            <w:color w:val="0000FF"/>
            <w:sz w:val="24"/>
            <w:szCs w:val="24"/>
            <w:u w:val="single"/>
          </w:rPr>
          <w:t>Mindfulness‐based interventions for adults who are overweight or obese: a meta‐analysis of physical and psychological health outcomes - Rogers - 2017 - Obesity Reviews - Wiley Online Library</w:t>
        </w:r>
      </w:hyperlink>
    </w:p>
    <w:p w14:paraId="2D572C3F" w14:textId="77777777" w:rsidR="00434534" w:rsidRPr="001A24AF" w:rsidRDefault="00434534" w:rsidP="00434534">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Rosenberg, S, L. (2019) 'The relationship between PCOS and obesity: Which comes first?', </w:t>
      </w:r>
      <w:r w:rsidRPr="001A24AF">
        <w:rPr>
          <w:rFonts w:eastAsia="Times New Roman" w:cstheme="minorHAnsi"/>
          <w:i/>
          <w:iCs/>
          <w:color w:val="000000"/>
          <w:sz w:val="24"/>
          <w:szCs w:val="24"/>
          <w:lang w:eastAsia="en-GB"/>
        </w:rPr>
        <w:t>The science journal of the Lander college of arts and sciences</w:t>
      </w:r>
      <w:r w:rsidRPr="001A24AF">
        <w:rPr>
          <w:rFonts w:eastAsia="Times New Roman" w:cstheme="minorHAnsi"/>
          <w:color w:val="000000"/>
          <w:sz w:val="24"/>
          <w:szCs w:val="24"/>
          <w:lang w:eastAsia="en-GB"/>
        </w:rPr>
        <w:t xml:space="preserve">, 13(1). Available at: </w:t>
      </w:r>
      <w:hyperlink r:id="rId43" w:history="1">
        <w:r w:rsidRPr="001A24AF">
          <w:rPr>
            <w:rFonts w:eastAsia="Times New Roman" w:cstheme="minorHAnsi"/>
            <w:color w:val="0563C1"/>
            <w:sz w:val="24"/>
            <w:szCs w:val="24"/>
            <w:u w:val="single"/>
            <w:lang w:eastAsia="en-GB"/>
          </w:rPr>
          <w:t>"The Relationship Between PCOS and Obesity: Which Comes First?" by Sara L. Rosenberg (touro.edu)</w:t>
        </w:r>
      </w:hyperlink>
    </w:p>
    <w:p w14:paraId="5234ED20" w14:textId="77777777" w:rsidR="001B41F2" w:rsidRDefault="001B41F2" w:rsidP="001B41F2">
      <w:pPr>
        <w:tabs>
          <w:tab w:val="left" w:pos="6070"/>
        </w:tabs>
        <w:rPr>
          <w:color w:val="0000FF"/>
          <w:sz w:val="24"/>
          <w:szCs w:val="24"/>
          <w:u w:val="single"/>
        </w:rPr>
      </w:pPr>
      <w:proofErr w:type="spellStart"/>
      <w:r w:rsidRPr="007A1173">
        <w:rPr>
          <w:sz w:val="24"/>
          <w:szCs w:val="24"/>
        </w:rPr>
        <w:t>Sarre</w:t>
      </w:r>
      <w:proofErr w:type="spellEnd"/>
      <w:r w:rsidRPr="007A1173">
        <w:rPr>
          <w:sz w:val="24"/>
          <w:szCs w:val="24"/>
        </w:rPr>
        <w:t xml:space="preserve">, S., Maben, J., Aldus, C., Schneider, J., </w:t>
      </w:r>
      <w:proofErr w:type="spellStart"/>
      <w:r w:rsidRPr="007A1173">
        <w:rPr>
          <w:sz w:val="24"/>
          <w:szCs w:val="24"/>
        </w:rPr>
        <w:t>Wharrad</w:t>
      </w:r>
      <w:proofErr w:type="spellEnd"/>
      <w:r w:rsidRPr="007A1173">
        <w:rPr>
          <w:sz w:val="24"/>
          <w:szCs w:val="24"/>
        </w:rPr>
        <w:t xml:space="preserve">, H., Nicholson, C. and Arthur, A. (2018) ‘The challenges of training, support and assessment of healthcare support workers: A qualitative study of experiences in three English acute hospitals’, </w:t>
      </w:r>
      <w:r w:rsidRPr="007A1173">
        <w:rPr>
          <w:i/>
          <w:iCs/>
          <w:sz w:val="24"/>
          <w:szCs w:val="24"/>
        </w:rPr>
        <w:t>International Journal of Nursing Studies</w:t>
      </w:r>
      <w:r w:rsidRPr="007A1173">
        <w:rPr>
          <w:sz w:val="24"/>
          <w:szCs w:val="24"/>
        </w:rPr>
        <w:t xml:space="preserve">, 79, pp 145-153. Available at: </w:t>
      </w:r>
      <w:hyperlink r:id="rId44" w:anchor=":~:text=Barriers%20to%20accessing%20training%2C%20support,of%20the%20healthcare%20support%20workforce." w:history="1">
        <w:r w:rsidRPr="007A1173">
          <w:rPr>
            <w:color w:val="0000FF"/>
            <w:sz w:val="24"/>
            <w:szCs w:val="24"/>
            <w:u w:val="single"/>
          </w:rPr>
          <w:t>The challenges of training, support and assessment of healthcare support workers: A qualitative study of experiences in three English acute hospitals - ScienceDirect</w:t>
        </w:r>
      </w:hyperlink>
    </w:p>
    <w:p w14:paraId="7A6C8B28" w14:textId="77777777" w:rsidR="00F661B2" w:rsidRDefault="00F661B2" w:rsidP="00F661B2">
      <w:pPr>
        <w:spacing w:after="0" w:line="240" w:lineRule="auto"/>
        <w:rPr>
          <w:rFonts w:eastAsia="Times New Roman" w:cstheme="minorHAnsi"/>
          <w:color w:val="000000"/>
          <w:sz w:val="24"/>
          <w:szCs w:val="24"/>
          <w:lang w:eastAsia="en-GB"/>
        </w:rPr>
      </w:pPr>
    </w:p>
    <w:p w14:paraId="5AA097B9" w14:textId="77777777" w:rsidR="001B41F2" w:rsidRPr="001A24AF" w:rsidRDefault="001B41F2" w:rsidP="001B41F2">
      <w:pPr>
        <w:tabs>
          <w:tab w:val="left" w:pos="6070"/>
        </w:tabs>
        <w:rPr>
          <w:rFonts w:cstheme="minorHAnsi"/>
          <w:color w:val="0000FF"/>
          <w:sz w:val="24"/>
          <w:szCs w:val="24"/>
          <w:u w:val="single"/>
        </w:rPr>
      </w:pPr>
      <w:r w:rsidRPr="001A24AF">
        <w:rPr>
          <w:rFonts w:cstheme="minorHAnsi"/>
          <w:sz w:val="24"/>
          <w:szCs w:val="24"/>
        </w:rPr>
        <w:t xml:space="preserve">Sim, K, A., Partridge, S, R. and Sainsbury, A. (2014) ‘Does weight loss in overweight or obese women improve fertility treatment outcomes? A systematic review’ </w:t>
      </w:r>
      <w:r w:rsidRPr="001A24AF">
        <w:rPr>
          <w:rFonts w:cstheme="minorHAnsi"/>
          <w:i/>
          <w:iCs/>
          <w:sz w:val="24"/>
          <w:szCs w:val="24"/>
        </w:rPr>
        <w:t>Obesity Reviews</w:t>
      </w:r>
      <w:r w:rsidRPr="001A24AF">
        <w:rPr>
          <w:rFonts w:cstheme="minorHAnsi"/>
          <w:sz w:val="24"/>
          <w:szCs w:val="24"/>
        </w:rPr>
        <w:t xml:space="preserve">, 10(15), pp 839-850. Available at: </w:t>
      </w:r>
      <w:hyperlink r:id="rId45" w:history="1">
        <w:r w:rsidRPr="001A24AF">
          <w:rPr>
            <w:rFonts w:cstheme="minorHAnsi"/>
            <w:color w:val="0000FF"/>
            <w:sz w:val="24"/>
            <w:szCs w:val="24"/>
            <w:u w:val="single"/>
          </w:rPr>
          <w:t>Does weight loss in overweight or obese women improve fertility treatment outcomes? A systematic review - Sim - 2014 - Obesity Reviews - Wiley Online Library</w:t>
        </w:r>
      </w:hyperlink>
    </w:p>
    <w:p w14:paraId="764F1065" w14:textId="77777777" w:rsidR="001B41F2" w:rsidRPr="001A24AF" w:rsidRDefault="001B41F2" w:rsidP="00F661B2">
      <w:pPr>
        <w:spacing w:after="0" w:line="240" w:lineRule="auto"/>
        <w:rPr>
          <w:rFonts w:eastAsia="Times New Roman" w:cstheme="minorHAnsi"/>
          <w:color w:val="000000"/>
          <w:sz w:val="24"/>
          <w:szCs w:val="24"/>
          <w:lang w:eastAsia="en-GB"/>
        </w:rPr>
      </w:pPr>
    </w:p>
    <w:p w14:paraId="31236F6C" w14:textId="77777777" w:rsidR="00F661B2" w:rsidRPr="001A24AF" w:rsidRDefault="00F661B2" w:rsidP="00F661B2">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Smet, M.E. and McLennan, A. (2018) 'Rotterdam criteria, the end'. </w:t>
      </w:r>
      <w:r w:rsidRPr="001A24AF">
        <w:rPr>
          <w:rFonts w:eastAsia="Times New Roman" w:cstheme="minorHAnsi"/>
          <w:i/>
          <w:iCs/>
          <w:color w:val="000000"/>
          <w:sz w:val="24"/>
          <w:szCs w:val="24"/>
          <w:lang w:eastAsia="en-GB"/>
        </w:rPr>
        <w:t>Australasian journal of ultrasound in medicine</w:t>
      </w:r>
      <w:r w:rsidRPr="001A24AF">
        <w:rPr>
          <w:rFonts w:eastAsia="Times New Roman" w:cstheme="minorHAnsi"/>
          <w:color w:val="000000"/>
          <w:sz w:val="24"/>
          <w:szCs w:val="24"/>
          <w:lang w:eastAsia="en-GB"/>
        </w:rPr>
        <w:t xml:space="preserve">, 21(2). Available at: </w:t>
      </w:r>
      <w:hyperlink r:id="rId46" w:anchor=":~:text=According%20to%20the%20Rotterdam%20consensus,in%20at%20least%20one%20ovary)." w:history="1">
        <w:r w:rsidRPr="001A24AF">
          <w:rPr>
            <w:rFonts w:eastAsia="Times New Roman" w:cstheme="minorHAnsi"/>
            <w:color w:val="0563C1"/>
            <w:sz w:val="24"/>
            <w:szCs w:val="24"/>
            <w:u w:val="single"/>
            <w:lang w:eastAsia="en-GB"/>
          </w:rPr>
          <w:t>Rotterdam criteria, the end - PMC (nih.gov)</w:t>
        </w:r>
      </w:hyperlink>
    </w:p>
    <w:p w14:paraId="3723AB30" w14:textId="77777777" w:rsidR="00434534" w:rsidRDefault="00434534" w:rsidP="00434534">
      <w:pPr>
        <w:tabs>
          <w:tab w:val="left" w:pos="6070"/>
        </w:tabs>
        <w:rPr>
          <w:color w:val="0000FF"/>
          <w:sz w:val="24"/>
          <w:szCs w:val="24"/>
          <w:u w:val="single"/>
        </w:rPr>
      </w:pPr>
    </w:p>
    <w:p w14:paraId="4E6209DB" w14:textId="77777777" w:rsidR="00434534" w:rsidRPr="001A24AF" w:rsidRDefault="00434534" w:rsidP="00F661B2">
      <w:pPr>
        <w:spacing w:after="0" w:line="240" w:lineRule="auto"/>
        <w:rPr>
          <w:rFonts w:eastAsia="Times New Roman" w:cstheme="minorHAnsi"/>
          <w:color w:val="000000"/>
          <w:sz w:val="24"/>
          <w:szCs w:val="24"/>
          <w:lang w:eastAsia="en-GB"/>
        </w:rPr>
      </w:pPr>
    </w:p>
    <w:p w14:paraId="3AE5B2D6" w14:textId="262FFA9B" w:rsidR="00434534" w:rsidRDefault="00F661B2" w:rsidP="001B41F2">
      <w:pPr>
        <w:rPr>
          <w:rFonts w:eastAsia="Times New Roman" w:cstheme="minorHAnsi"/>
          <w:color w:val="0563C1"/>
          <w:sz w:val="24"/>
          <w:szCs w:val="24"/>
          <w:u w:val="single"/>
          <w:lang w:eastAsia="en-GB"/>
        </w:rPr>
      </w:pPr>
      <w:proofErr w:type="spellStart"/>
      <w:r w:rsidRPr="001A24AF">
        <w:rPr>
          <w:rFonts w:eastAsia="Times New Roman" w:cstheme="minorHAnsi"/>
          <w:color w:val="000000"/>
          <w:sz w:val="24"/>
          <w:szCs w:val="24"/>
          <w:lang w:eastAsia="en-GB"/>
        </w:rPr>
        <w:t>Teede</w:t>
      </w:r>
      <w:proofErr w:type="spellEnd"/>
      <w:r w:rsidRPr="001A24AF">
        <w:rPr>
          <w:rFonts w:eastAsia="Times New Roman" w:cstheme="minorHAnsi"/>
          <w:color w:val="000000"/>
          <w:sz w:val="24"/>
          <w:szCs w:val="24"/>
          <w:lang w:eastAsia="en-GB"/>
        </w:rPr>
        <w:t xml:space="preserve">, H., Gibson-Helm, M., Norman, R. J. and Boyle, J. (2014) 'Polycystic ovary syndrome: Perceptions and attitudes of women and primary health care physicians on features of PCOS and renaming the syndrome' </w:t>
      </w:r>
      <w:r w:rsidRPr="001A24AF">
        <w:rPr>
          <w:rFonts w:eastAsia="Times New Roman" w:cstheme="minorHAnsi"/>
          <w:i/>
          <w:iCs/>
          <w:color w:val="000000"/>
          <w:sz w:val="24"/>
          <w:szCs w:val="24"/>
          <w:lang w:eastAsia="en-GB"/>
        </w:rPr>
        <w:t>The journal of clinical endocrinology and metabolism</w:t>
      </w:r>
      <w:r w:rsidRPr="001A24AF">
        <w:rPr>
          <w:rFonts w:eastAsia="Times New Roman" w:cstheme="minorHAnsi"/>
          <w:color w:val="000000"/>
          <w:sz w:val="24"/>
          <w:szCs w:val="24"/>
          <w:lang w:eastAsia="en-GB"/>
        </w:rPr>
        <w:t xml:space="preserve">, 99(1). Available at: </w:t>
      </w:r>
      <w:hyperlink r:id="rId47" w:history="1">
        <w:r w:rsidRPr="001A24AF">
          <w:rPr>
            <w:rFonts w:eastAsia="Times New Roman" w:cstheme="minorHAnsi"/>
            <w:color w:val="0563C1"/>
            <w:sz w:val="24"/>
            <w:szCs w:val="24"/>
            <w:u w:val="single"/>
            <w:lang w:eastAsia="en-GB"/>
          </w:rPr>
          <w:t>Polycystic Ovary Syndrome: Perceptions and Attitudes of Women and Primary Health Care Physicians on Features of PCOS and Renaming the Syndrome | The Journal of Clinical Endocrinology &amp; Metabolism | Oxford Academic (oup.com)</w:t>
        </w:r>
      </w:hyperlink>
    </w:p>
    <w:p w14:paraId="3EA27A24" w14:textId="77777777" w:rsidR="001B41F2" w:rsidRPr="001B41F2" w:rsidRDefault="001B41F2" w:rsidP="001B41F2">
      <w:pPr>
        <w:rPr>
          <w:rFonts w:eastAsia="Times New Roman" w:cstheme="minorHAnsi"/>
          <w:color w:val="0563C1"/>
          <w:sz w:val="24"/>
          <w:szCs w:val="24"/>
          <w:u w:val="single"/>
          <w:lang w:eastAsia="en-GB"/>
        </w:rPr>
      </w:pPr>
    </w:p>
    <w:p w14:paraId="63C3922C" w14:textId="0D3E42D0" w:rsidR="00434534" w:rsidRPr="001B41F2" w:rsidRDefault="00434534" w:rsidP="001B41F2">
      <w:pPr>
        <w:tabs>
          <w:tab w:val="left" w:pos="6070"/>
        </w:tabs>
        <w:rPr>
          <w:sz w:val="24"/>
          <w:szCs w:val="24"/>
        </w:rPr>
      </w:pPr>
      <w:r w:rsidRPr="001A24AF">
        <w:rPr>
          <w:sz w:val="24"/>
          <w:szCs w:val="24"/>
        </w:rPr>
        <w:t xml:space="preserve">The Health Foundation (2017) </w:t>
      </w:r>
      <w:r w:rsidRPr="001A24AF">
        <w:rPr>
          <w:i/>
          <w:iCs/>
          <w:sz w:val="24"/>
          <w:szCs w:val="24"/>
        </w:rPr>
        <w:t>Delivering a national approach to patient flow in Wales</w:t>
      </w:r>
      <w:r w:rsidRPr="001A24AF">
        <w:rPr>
          <w:sz w:val="24"/>
          <w:szCs w:val="24"/>
        </w:rPr>
        <w:t xml:space="preserve"> Available at: </w:t>
      </w:r>
      <w:hyperlink r:id="rId48" w:history="1">
        <w:r w:rsidRPr="001A24AF">
          <w:rPr>
            <w:color w:val="0000FF"/>
            <w:sz w:val="24"/>
            <w:szCs w:val="24"/>
            <w:u w:val="single"/>
          </w:rPr>
          <w:t>Delivering a national approach to patient flow in Wales (health.org.uk)</w:t>
        </w:r>
      </w:hyperlink>
      <w:r w:rsidRPr="001A24AF">
        <w:rPr>
          <w:color w:val="0000FF"/>
          <w:sz w:val="24"/>
          <w:szCs w:val="24"/>
          <w:u w:val="single"/>
        </w:rPr>
        <w:t xml:space="preserve"> </w:t>
      </w:r>
      <w:r w:rsidRPr="001A24AF">
        <w:rPr>
          <w:sz w:val="24"/>
          <w:szCs w:val="24"/>
        </w:rPr>
        <w:t>(Accessed 2 May 2024).</w:t>
      </w:r>
    </w:p>
    <w:p w14:paraId="014E20D3" w14:textId="051BE9D5" w:rsidR="00F661B2" w:rsidRPr="001B41F2" w:rsidRDefault="00434534" w:rsidP="001B41F2">
      <w:pPr>
        <w:rPr>
          <w:rFonts w:eastAsia="Times New Roman" w:cstheme="minorHAnsi"/>
          <w:color w:val="0563C1"/>
          <w:sz w:val="24"/>
          <w:szCs w:val="24"/>
          <w:u w:val="single"/>
          <w:lang w:eastAsia="en-GB"/>
        </w:rPr>
      </w:pPr>
      <w:r w:rsidRPr="001A24AF">
        <w:rPr>
          <w:rFonts w:eastAsia="Times New Roman" w:cstheme="minorHAnsi"/>
          <w:color w:val="000000"/>
          <w:sz w:val="24"/>
          <w:szCs w:val="24"/>
          <w:lang w:eastAsia="en-GB"/>
        </w:rPr>
        <w:t xml:space="preserve">Wallach, E. E., Schwartz, </w:t>
      </w:r>
      <w:proofErr w:type="spellStart"/>
      <w:r w:rsidRPr="001A24AF">
        <w:rPr>
          <w:rFonts w:eastAsia="Times New Roman" w:cstheme="minorHAnsi"/>
          <w:color w:val="000000"/>
          <w:sz w:val="24"/>
          <w:szCs w:val="24"/>
          <w:lang w:eastAsia="en-GB"/>
        </w:rPr>
        <w:t>M.and</w:t>
      </w:r>
      <w:proofErr w:type="spellEnd"/>
      <w:r w:rsidRPr="001A24AF">
        <w:rPr>
          <w:rFonts w:eastAsia="Times New Roman" w:cstheme="minorHAnsi"/>
          <w:color w:val="000000"/>
          <w:sz w:val="24"/>
          <w:szCs w:val="24"/>
          <w:lang w:eastAsia="en-GB"/>
        </w:rPr>
        <w:t xml:space="preserve"> </w:t>
      </w:r>
      <w:proofErr w:type="spellStart"/>
      <w:r w:rsidRPr="001A24AF">
        <w:rPr>
          <w:rFonts w:eastAsia="Times New Roman" w:cstheme="minorHAnsi"/>
          <w:color w:val="000000"/>
          <w:sz w:val="24"/>
          <w:szCs w:val="24"/>
          <w:lang w:eastAsia="en-GB"/>
        </w:rPr>
        <w:t>Jewelewicz</w:t>
      </w:r>
      <w:proofErr w:type="spellEnd"/>
      <w:r w:rsidRPr="001A24AF">
        <w:rPr>
          <w:rFonts w:eastAsia="Times New Roman" w:cstheme="minorHAnsi"/>
          <w:color w:val="000000"/>
          <w:sz w:val="24"/>
          <w:szCs w:val="24"/>
          <w:lang w:eastAsia="en-GB"/>
        </w:rPr>
        <w:t xml:space="preserve">, R. (1981) ‘The use of Gonadotrophins for induction of ovulation' </w:t>
      </w:r>
      <w:r w:rsidRPr="001A24AF">
        <w:rPr>
          <w:rFonts w:eastAsia="Times New Roman" w:cstheme="minorHAnsi"/>
          <w:i/>
          <w:iCs/>
          <w:color w:val="000000"/>
          <w:sz w:val="24"/>
          <w:szCs w:val="24"/>
          <w:lang w:eastAsia="en-GB"/>
        </w:rPr>
        <w:t>Fertility and Sterility</w:t>
      </w:r>
      <w:r w:rsidRPr="001A24AF">
        <w:rPr>
          <w:rFonts w:eastAsia="Times New Roman" w:cstheme="minorHAnsi"/>
          <w:color w:val="000000"/>
          <w:sz w:val="24"/>
          <w:szCs w:val="24"/>
          <w:lang w:eastAsia="en-GB"/>
        </w:rPr>
        <w:t xml:space="preserve">, 35 (1), pp. 3-12. Available at: </w:t>
      </w:r>
      <w:hyperlink r:id="rId49" w:history="1">
        <w:r w:rsidRPr="001A24AF">
          <w:rPr>
            <w:rFonts w:eastAsia="Times New Roman" w:cstheme="minorHAnsi"/>
            <w:color w:val="0563C1"/>
            <w:sz w:val="24"/>
            <w:szCs w:val="24"/>
            <w:u w:val="single"/>
            <w:lang w:eastAsia="en-GB"/>
          </w:rPr>
          <w:t>The Use of Gonadotropins for Induction of Ovulation - ScienceDirect</w:t>
        </w:r>
      </w:hyperlink>
    </w:p>
    <w:p w14:paraId="36566989" w14:textId="3F82086D" w:rsidR="00F661B2" w:rsidRPr="001B41F2" w:rsidRDefault="00F661B2" w:rsidP="001B41F2">
      <w:pPr>
        <w:rPr>
          <w:rFonts w:eastAsia="Times New Roman" w:cstheme="minorHAnsi"/>
          <w:color w:val="0563C1"/>
          <w:sz w:val="24"/>
          <w:szCs w:val="24"/>
          <w:u w:val="single"/>
          <w:lang w:eastAsia="en-GB"/>
        </w:rPr>
      </w:pPr>
      <w:r w:rsidRPr="001A24AF">
        <w:rPr>
          <w:rFonts w:cstheme="minorHAnsi"/>
          <w:sz w:val="24"/>
          <w:szCs w:val="24"/>
        </w:rPr>
        <w:t xml:space="preserve">Wang, Y., Zhihong, N. and Li, K (2021) 'The prevalence of anxiety and depression of different severity in women with polycystic ovary syndrome: a </w:t>
      </w:r>
      <w:proofErr w:type="spellStart"/>
      <w:r w:rsidRPr="001A24AF">
        <w:rPr>
          <w:rFonts w:cstheme="minorHAnsi"/>
          <w:sz w:val="24"/>
          <w:szCs w:val="24"/>
        </w:rPr>
        <w:t>meta</w:t>
      </w:r>
      <w:proofErr w:type="spellEnd"/>
      <w:r w:rsidRPr="001A24AF">
        <w:rPr>
          <w:rFonts w:cstheme="minorHAnsi"/>
          <w:sz w:val="24"/>
          <w:szCs w:val="24"/>
        </w:rPr>
        <w:t xml:space="preserve"> -analysis', Gynaecology Endocrinology, 37(12). Available at:</w:t>
      </w:r>
      <w:r w:rsidRPr="001A24AF">
        <w:rPr>
          <w:rFonts w:cstheme="minorHAnsi"/>
          <w:color w:val="0563C1"/>
          <w:sz w:val="24"/>
          <w:szCs w:val="24"/>
          <w:u w:val="single"/>
        </w:rPr>
        <w:t xml:space="preserve"> </w:t>
      </w:r>
      <w:hyperlink r:id="rId50" w:history="1">
        <w:r w:rsidRPr="001A24AF">
          <w:rPr>
            <w:rFonts w:eastAsia="Times New Roman" w:cstheme="minorHAnsi"/>
            <w:color w:val="0563C1"/>
            <w:sz w:val="24"/>
            <w:szCs w:val="24"/>
            <w:u w:val="single"/>
            <w:lang w:eastAsia="en-GB"/>
          </w:rPr>
          <w:t xml:space="preserve">The prevalence of anxiety and depression of different severity in women with polycystic ovary syndrome: a meta-analysis: </w:t>
        </w:r>
        <w:proofErr w:type="spellStart"/>
        <w:r w:rsidRPr="001A24AF">
          <w:rPr>
            <w:rFonts w:eastAsia="Times New Roman" w:cstheme="minorHAnsi"/>
            <w:color w:val="0563C1"/>
            <w:sz w:val="24"/>
            <w:szCs w:val="24"/>
            <w:u w:val="single"/>
            <w:lang w:eastAsia="en-GB"/>
          </w:rPr>
          <w:t>Gynecological</w:t>
        </w:r>
        <w:proofErr w:type="spellEnd"/>
        <w:r w:rsidRPr="001A24AF">
          <w:rPr>
            <w:rFonts w:eastAsia="Times New Roman" w:cstheme="minorHAnsi"/>
            <w:color w:val="0563C1"/>
            <w:sz w:val="24"/>
            <w:szCs w:val="24"/>
            <w:u w:val="single"/>
            <w:lang w:eastAsia="en-GB"/>
          </w:rPr>
          <w:t xml:space="preserve"> Endocrinology: Vol 37, No 12 (tandfonline.com)</w:t>
        </w:r>
      </w:hyperlink>
    </w:p>
    <w:p w14:paraId="5844F9AF" w14:textId="77777777" w:rsidR="00434534" w:rsidRPr="001A24AF" w:rsidRDefault="00434534" w:rsidP="00434534">
      <w:pPr>
        <w:spacing w:after="0" w:line="240" w:lineRule="auto"/>
        <w:rPr>
          <w:rFonts w:eastAsia="Times New Roman" w:cstheme="minorHAnsi"/>
          <w:color w:val="000000"/>
          <w:sz w:val="24"/>
          <w:szCs w:val="24"/>
          <w:lang w:eastAsia="en-GB"/>
        </w:rPr>
      </w:pPr>
    </w:p>
    <w:p w14:paraId="28268AB2" w14:textId="4F50D821" w:rsidR="00F661B2" w:rsidRDefault="00434534" w:rsidP="001B41F2">
      <w:pPr>
        <w:spacing w:after="0" w:line="240" w:lineRule="auto"/>
        <w:rPr>
          <w:rFonts w:eastAsia="Times New Roman" w:cstheme="minorHAnsi"/>
          <w:color w:val="000000"/>
          <w:sz w:val="24"/>
          <w:szCs w:val="24"/>
          <w:lang w:eastAsia="en-GB"/>
        </w:rPr>
      </w:pPr>
      <w:r w:rsidRPr="001A24AF">
        <w:rPr>
          <w:rFonts w:eastAsia="Times New Roman" w:cstheme="minorHAnsi"/>
          <w:color w:val="000000"/>
          <w:sz w:val="24"/>
          <w:szCs w:val="24"/>
          <w:lang w:eastAsia="en-GB"/>
        </w:rPr>
        <w:t xml:space="preserve">World Health Organisation ‘Polycystic ovary syndrome Available at: </w:t>
      </w:r>
      <w:hyperlink r:id="rId51" w:history="1">
        <w:r w:rsidRPr="001A24AF">
          <w:rPr>
            <w:rFonts w:cstheme="minorHAnsi"/>
            <w:color w:val="0000FF"/>
            <w:sz w:val="24"/>
            <w:szCs w:val="24"/>
            <w:u w:val="single"/>
          </w:rPr>
          <w:t>Polycystic ovary syndrome (who.int)</w:t>
        </w:r>
      </w:hyperlink>
      <w:r w:rsidRPr="001A24AF">
        <w:rPr>
          <w:rFonts w:cstheme="minorHAnsi"/>
          <w:sz w:val="24"/>
          <w:szCs w:val="24"/>
        </w:rPr>
        <w:t xml:space="preserve"> Accessed: 18 April 2024</w:t>
      </w:r>
    </w:p>
    <w:p w14:paraId="3634E578" w14:textId="77777777" w:rsidR="001B41F2" w:rsidRPr="001B41F2" w:rsidRDefault="001B41F2" w:rsidP="001B41F2">
      <w:pPr>
        <w:spacing w:after="0" w:line="240" w:lineRule="auto"/>
        <w:rPr>
          <w:rFonts w:eastAsia="Times New Roman" w:cstheme="minorHAnsi"/>
          <w:color w:val="000000"/>
          <w:sz w:val="24"/>
          <w:szCs w:val="24"/>
          <w:lang w:eastAsia="en-GB"/>
        </w:rPr>
      </w:pPr>
    </w:p>
    <w:p w14:paraId="15E0A78D" w14:textId="747B929F" w:rsidR="00434534" w:rsidRDefault="00434534" w:rsidP="001B41F2">
      <w:pPr>
        <w:spacing w:after="0" w:line="240" w:lineRule="auto"/>
        <w:rPr>
          <w:rFonts w:eastAsia="Times New Roman" w:cstheme="minorHAnsi"/>
          <w:color w:val="212121"/>
          <w:sz w:val="24"/>
          <w:szCs w:val="24"/>
          <w:lang w:eastAsia="en-GB"/>
        </w:rPr>
      </w:pPr>
      <w:r w:rsidRPr="001A24AF">
        <w:rPr>
          <w:rFonts w:eastAsia="Times New Roman" w:cstheme="minorHAnsi"/>
          <w:color w:val="212121"/>
          <w:sz w:val="24"/>
          <w:szCs w:val="24"/>
          <w:lang w:eastAsia="en-GB"/>
        </w:rPr>
        <w:t xml:space="preserve">Xenou, M and </w:t>
      </w:r>
      <w:proofErr w:type="spellStart"/>
      <w:r w:rsidRPr="001A24AF">
        <w:rPr>
          <w:rFonts w:eastAsia="Times New Roman" w:cstheme="minorHAnsi"/>
          <w:color w:val="212121"/>
          <w:sz w:val="24"/>
          <w:szCs w:val="24"/>
          <w:lang w:eastAsia="en-GB"/>
        </w:rPr>
        <w:t>Gourounti</w:t>
      </w:r>
      <w:proofErr w:type="spellEnd"/>
      <w:r w:rsidRPr="001A24AF">
        <w:rPr>
          <w:rFonts w:eastAsia="Times New Roman" w:cstheme="minorHAnsi"/>
          <w:color w:val="212121"/>
          <w:sz w:val="24"/>
          <w:szCs w:val="24"/>
          <w:lang w:eastAsia="en-GB"/>
        </w:rPr>
        <w:t xml:space="preserve">, K. (2021)' Dietary Patterns and Polycystic Ovary Syndrome: a Systematic Review', </w:t>
      </w:r>
      <w:proofErr w:type="spellStart"/>
      <w:r w:rsidRPr="001A24AF">
        <w:rPr>
          <w:rFonts w:eastAsia="Times New Roman" w:cstheme="minorHAnsi"/>
          <w:i/>
          <w:iCs/>
          <w:color w:val="212121"/>
          <w:sz w:val="24"/>
          <w:szCs w:val="24"/>
          <w:lang w:eastAsia="en-GB"/>
        </w:rPr>
        <w:t>Maedica</w:t>
      </w:r>
      <w:proofErr w:type="spellEnd"/>
      <w:r w:rsidRPr="001A24AF">
        <w:rPr>
          <w:rFonts w:eastAsia="Times New Roman" w:cstheme="minorHAnsi"/>
          <w:i/>
          <w:iCs/>
          <w:color w:val="212121"/>
          <w:sz w:val="24"/>
          <w:szCs w:val="24"/>
          <w:lang w:eastAsia="en-GB"/>
        </w:rPr>
        <w:t xml:space="preserve"> a journal of clinical medicine, </w:t>
      </w:r>
      <w:r w:rsidRPr="001A24AF">
        <w:rPr>
          <w:rFonts w:eastAsia="Times New Roman" w:cstheme="minorHAnsi"/>
          <w:color w:val="212121"/>
          <w:sz w:val="24"/>
          <w:szCs w:val="24"/>
          <w:lang w:eastAsia="en-GB"/>
        </w:rPr>
        <w:t xml:space="preserve">16(3). Available at: </w:t>
      </w:r>
      <w:hyperlink r:id="rId52" w:anchor=":~:text=Based%20on%20the%20results%20of,testosterone%2C%20glucose%2C%20and%20fat" w:history="1">
        <w:r w:rsidRPr="001A24AF">
          <w:rPr>
            <w:rStyle w:val="Hyperlink"/>
            <w:rFonts w:eastAsia="Times New Roman" w:cstheme="minorHAnsi"/>
            <w:sz w:val="24"/>
            <w:szCs w:val="24"/>
            <w:lang w:eastAsia="en-GB"/>
          </w:rPr>
          <w:t>https://www.ncbi.nlm.nih.gov/pmc/articles/PMC8643565/#:~:text=Based%20on%20the%20results%20of,testosterone%2C%20glucose%2C%20and%20fat</w:t>
        </w:r>
      </w:hyperlink>
    </w:p>
    <w:p w14:paraId="0ACB7477" w14:textId="77777777" w:rsidR="001B41F2" w:rsidRPr="001B41F2" w:rsidRDefault="001B41F2" w:rsidP="001B41F2">
      <w:pPr>
        <w:spacing w:after="0" w:line="240" w:lineRule="auto"/>
        <w:rPr>
          <w:rFonts w:eastAsia="Times New Roman" w:cstheme="minorHAnsi"/>
          <w:color w:val="212121"/>
          <w:sz w:val="24"/>
          <w:szCs w:val="24"/>
          <w:lang w:eastAsia="en-GB"/>
        </w:rPr>
      </w:pPr>
    </w:p>
    <w:p w14:paraId="7771A3B0" w14:textId="2DCAEA8F" w:rsidR="00434534" w:rsidRPr="00434534" w:rsidRDefault="00434534" w:rsidP="00434534">
      <w:pPr>
        <w:tabs>
          <w:tab w:val="left" w:pos="6070"/>
        </w:tabs>
        <w:rPr>
          <w:rFonts w:eastAsia="Times New Roman" w:cstheme="minorHAnsi"/>
          <w:color w:val="0563C1"/>
          <w:sz w:val="24"/>
          <w:szCs w:val="24"/>
          <w:u w:val="single"/>
          <w:lang w:eastAsia="en-GB"/>
        </w:rPr>
      </w:pPr>
      <w:proofErr w:type="spellStart"/>
      <w:r w:rsidRPr="001A24AF">
        <w:rPr>
          <w:rFonts w:eastAsia="Times New Roman" w:cstheme="minorHAnsi"/>
          <w:sz w:val="24"/>
          <w:szCs w:val="24"/>
          <w:lang w:eastAsia="en-GB"/>
        </w:rPr>
        <w:t>Xiaocui</w:t>
      </w:r>
      <w:proofErr w:type="spellEnd"/>
      <w:r w:rsidRPr="001A24AF">
        <w:rPr>
          <w:rFonts w:eastAsia="Times New Roman" w:cstheme="minorHAnsi"/>
          <w:sz w:val="24"/>
          <w:szCs w:val="24"/>
          <w:lang w:eastAsia="en-GB"/>
        </w:rPr>
        <w:t xml:space="preserve">, L., </w:t>
      </w:r>
      <w:proofErr w:type="spellStart"/>
      <w:r w:rsidRPr="001A24AF">
        <w:rPr>
          <w:rFonts w:eastAsia="Times New Roman" w:cstheme="minorHAnsi"/>
          <w:sz w:val="24"/>
          <w:szCs w:val="24"/>
          <w:lang w:eastAsia="en-GB"/>
        </w:rPr>
        <w:t>Xinru</w:t>
      </w:r>
      <w:proofErr w:type="spellEnd"/>
      <w:r w:rsidRPr="001A24AF">
        <w:rPr>
          <w:rFonts w:eastAsia="Times New Roman" w:cstheme="minorHAnsi"/>
          <w:sz w:val="24"/>
          <w:szCs w:val="24"/>
          <w:lang w:eastAsia="en-GB"/>
        </w:rPr>
        <w:t xml:space="preserve">, L., Zuo, Y., Gao, J., Liu, Y. and Zheng, W. (2021) 'The risk factors of gestational diabetes mellitus in patients with polycystic ovary syndrome' </w:t>
      </w:r>
      <w:r w:rsidRPr="001A24AF">
        <w:rPr>
          <w:rFonts w:eastAsia="Times New Roman" w:cstheme="minorHAnsi"/>
          <w:i/>
          <w:iCs/>
          <w:sz w:val="24"/>
          <w:szCs w:val="24"/>
          <w:lang w:eastAsia="en-GB"/>
        </w:rPr>
        <w:t>Medicine</w:t>
      </w:r>
      <w:r w:rsidRPr="001A24AF">
        <w:rPr>
          <w:rFonts w:eastAsia="Times New Roman" w:cstheme="minorHAnsi"/>
          <w:sz w:val="24"/>
          <w:szCs w:val="24"/>
          <w:lang w:eastAsia="en-GB"/>
        </w:rPr>
        <w:t xml:space="preserve">, 100(31). Available at: </w:t>
      </w:r>
      <w:hyperlink r:id="rId53" w:anchor="R13" w:history="1">
        <w:r w:rsidRPr="001A24AF">
          <w:rPr>
            <w:rFonts w:eastAsia="Times New Roman" w:cstheme="minorHAnsi"/>
            <w:color w:val="0563C1"/>
            <w:sz w:val="24"/>
            <w:szCs w:val="24"/>
            <w:u w:val="single"/>
            <w:lang w:eastAsia="en-GB"/>
          </w:rPr>
          <w:t>The risk factors of gestational diabetes mellitus in patients with polycystic ovary syndrome - PMC (nih.gov)</w:t>
        </w:r>
      </w:hyperlink>
    </w:p>
    <w:p w14:paraId="5DA19677" w14:textId="77777777" w:rsidR="00434534" w:rsidRPr="001A24AF" w:rsidRDefault="00434534" w:rsidP="00434534">
      <w:pPr>
        <w:tabs>
          <w:tab w:val="left" w:pos="2380"/>
        </w:tabs>
        <w:rPr>
          <w:rFonts w:cstheme="minorHAnsi"/>
          <w:b/>
          <w:bCs/>
          <w:color w:val="0000FF"/>
          <w:sz w:val="24"/>
          <w:szCs w:val="24"/>
          <w:u w:val="single"/>
        </w:rPr>
      </w:pPr>
      <w:r w:rsidRPr="001A24AF">
        <w:rPr>
          <w:rFonts w:cstheme="minorHAnsi"/>
          <w:sz w:val="24"/>
          <w:szCs w:val="24"/>
        </w:rPr>
        <w:t xml:space="preserve">Zhang, X., Zheng, Y., Guo, Y. and Lai, Z. (2019) ‘The effect of Low Carbohydrate Diet on Polycystic Ovary Syndrome: A Meta-Analysis of Randomized Controlled Trails’, </w:t>
      </w:r>
      <w:r w:rsidRPr="001A24AF">
        <w:rPr>
          <w:rFonts w:cstheme="minorHAnsi"/>
          <w:i/>
          <w:iCs/>
          <w:sz w:val="24"/>
          <w:szCs w:val="24"/>
        </w:rPr>
        <w:t>International Journal of Endocrinology</w:t>
      </w:r>
      <w:r w:rsidRPr="001A24AF">
        <w:rPr>
          <w:rFonts w:cstheme="minorHAnsi"/>
          <w:sz w:val="24"/>
          <w:szCs w:val="24"/>
        </w:rPr>
        <w:t xml:space="preserve">. Available at: </w:t>
      </w:r>
      <w:hyperlink r:id="rId54" w:history="1">
        <w:r w:rsidRPr="001A24AF">
          <w:rPr>
            <w:rFonts w:cstheme="minorHAnsi"/>
            <w:b/>
            <w:bCs/>
            <w:color w:val="0000FF"/>
            <w:sz w:val="24"/>
            <w:szCs w:val="24"/>
            <w:u w:val="single"/>
          </w:rPr>
          <w:t>The Effect of Low Carbohydrate Diet on Polycystic Ovary Syndrome: A Meta-Analysis of Randomized Controlled Trials (hindawi.com)</w:t>
        </w:r>
      </w:hyperlink>
    </w:p>
    <w:p w14:paraId="095B74A0" w14:textId="77777777" w:rsidR="00F661B2" w:rsidRDefault="00F661B2" w:rsidP="00F661B2">
      <w:pPr>
        <w:tabs>
          <w:tab w:val="left" w:pos="2540"/>
          <w:tab w:val="center" w:pos="4513"/>
          <w:tab w:val="left" w:pos="5490"/>
        </w:tabs>
        <w:rPr>
          <w:b/>
          <w:bCs/>
        </w:rPr>
      </w:pPr>
    </w:p>
    <w:p w14:paraId="1495C23E" w14:textId="77777777" w:rsidR="00F661B2" w:rsidRPr="00C3553F" w:rsidRDefault="00F661B2" w:rsidP="00F661B2">
      <w:pPr>
        <w:tabs>
          <w:tab w:val="left" w:pos="6070"/>
        </w:tabs>
        <w:rPr>
          <w:b/>
          <w:bCs/>
        </w:rPr>
      </w:pPr>
    </w:p>
    <w:p w14:paraId="50498D21" w14:textId="77777777" w:rsidR="00F661B2" w:rsidRPr="00C3553F" w:rsidRDefault="00F661B2" w:rsidP="00F661B2">
      <w:pPr>
        <w:tabs>
          <w:tab w:val="left" w:pos="6070"/>
        </w:tabs>
        <w:rPr>
          <w:b/>
          <w:bCs/>
          <w:sz w:val="24"/>
          <w:szCs w:val="24"/>
        </w:rPr>
      </w:pPr>
    </w:p>
    <w:p w14:paraId="1149B652" w14:textId="77777777" w:rsidR="00F661B2" w:rsidRPr="001A24AF" w:rsidRDefault="00F661B2" w:rsidP="00F661B2">
      <w:pPr>
        <w:rPr>
          <w:rFonts w:eastAsia="Times New Roman" w:cstheme="minorHAnsi"/>
          <w:color w:val="0563C1"/>
          <w:sz w:val="24"/>
          <w:szCs w:val="24"/>
          <w:u w:val="single"/>
          <w:lang w:eastAsia="en-GB"/>
        </w:rPr>
      </w:pPr>
    </w:p>
    <w:p w14:paraId="77CAE4C7" w14:textId="6C485B5F" w:rsidR="00F661B2" w:rsidRPr="0067385E" w:rsidRDefault="00F661B2" w:rsidP="00756F0F">
      <w:pPr>
        <w:pStyle w:val="NoSpacing"/>
        <w:spacing w:line="360" w:lineRule="auto"/>
        <w:rPr>
          <w:sz w:val="24"/>
          <w:szCs w:val="24"/>
        </w:rPr>
        <w:sectPr w:rsidR="00F661B2" w:rsidRPr="0067385E" w:rsidSect="00EB256E">
          <w:pgSz w:w="11906" w:h="16838"/>
          <w:pgMar w:top="1440" w:right="1474" w:bottom="567" w:left="1440" w:header="720" w:footer="720" w:gutter="0"/>
          <w:cols w:space="720"/>
          <w:docGrid w:linePitch="360"/>
        </w:sectPr>
      </w:pPr>
    </w:p>
    <w:p w14:paraId="61FFCEE6" w14:textId="77777777" w:rsidR="00F4775B" w:rsidRDefault="00F4775B" w:rsidP="00F4775B"/>
    <w:p w14:paraId="6881F02C" w14:textId="77777777" w:rsidR="00F4775B" w:rsidRPr="00F4775B" w:rsidRDefault="00F4775B" w:rsidP="00F4775B">
      <w:pPr>
        <w:spacing w:after="0"/>
        <w:rPr>
          <w:rFonts w:ascii="Arial" w:eastAsia="Times New Roman" w:hAnsi="Arial" w:cs="Arial"/>
          <w:color w:val="323E4F"/>
          <w:sz w:val="32"/>
          <w:szCs w:val="32"/>
          <w:lang w:eastAsia="en-GB"/>
        </w:rPr>
      </w:pPr>
      <w:r w:rsidRPr="00F4775B">
        <w:rPr>
          <w:rFonts w:ascii="Arial" w:eastAsia="Times New Roman" w:hAnsi="Arial" w:cs="Arial"/>
          <w:noProof/>
          <w:color w:val="323E4F"/>
          <w:sz w:val="32"/>
          <w:szCs w:val="32"/>
          <w:lang w:eastAsia="en-GB"/>
        </w:rPr>
        <mc:AlternateContent>
          <mc:Choice Requires="wpg">
            <w:drawing>
              <wp:anchor distT="0" distB="0" distL="114300" distR="114300" simplePos="0" relativeHeight="251674624" behindDoc="1" locked="0" layoutInCell="1" allowOverlap="1" wp14:anchorId="63EC81AF" wp14:editId="0337FDAE">
                <wp:simplePos x="0" y="0"/>
                <wp:positionH relativeFrom="column">
                  <wp:posOffset>6292850</wp:posOffset>
                </wp:positionH>
                <wp:positionV relativeFrom="paragraph">
                  <wp:posOffset>-139700</wp:posOffset>
                </wp:positionV>
                <wp:extent cx="419100" cy="463550"/>
                <wp:effectExtent l="0" t="0" r="0" b="0"/>
                <wp:wrapNone/>
                <wp:docPr id="211207824" name="Group 3"/>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1944793314" name="Picture 1"/>
                          <pic:cNvPicPr>
                            <a:picLocks noChangeAspect="1"/>
                          </pic:cNvPicPr>
                        </pic:nvPicPr>
                        <pic:blipFill>
                          <a:blip r:embed="rId55" cstate="print">
                            <a:extLst>
                              <a:ext uri="{28A0092B-C50C-407E-A947-70E740481C1C}">
                                <a14:useLocalDpi xmlns:a14="http://schemas.microsoft.com/office/drawing/2010/main" val="0"/>
                              </a:ext>
                              <a:ext uri="{837473B0-CC2E-450A-ABE3-18F120FF3D39}">
                                <a1611:picAttrSrcUrl xmlns:a1611="http://schemas.microsoft.com/office/drawing/2016/11/main" r:id="rId56"/>
                              </a:ext>
                            </a:extLst>
                          </a:blip>
                          <a:stretch>
                            <a:fillRect/>
                          </a:stretch>
                        </pic:blipFill>
                        <pic:spPr>
                          <a:xfrm>
                            <a:off x="0" y="0"/>
                            <a:ext cx="4139565" cy="5731510"/>
                          </a:xfrm>
                          <a:prstGeom prst="rect">
                            <a:avLst/>
                          </a:prstGeom>
                        </pic:spPr>
                      </pic:pic>
                      <wps:wsp>
                        <wps:cNvPr id="410143706" name="Text Box 2"/>
                        <wps:cNvSpPr txBox="1"/>
                        <wps:spPr>
                          <a:xfrm>
                            <a:off x="0" y="5731510"/>
                            <a:ext cx="4139565" cy="343535"/>
                          </a:xfrm>
                          <a:prstGeom prst="rect">
                            <a:avLst/>
                          </a:prstGeom>
                          <a:solidFill>
                            <a:prstClr val="white"/>
                          </a:solidFill>
                          <a:ln>
                            <a:noFill/>
                          </a:ln>
                        </wps:spPr>
                        <wps:txbx>
                          <w:txbxContent>
                            <w:p w14:paraId="44E15B08" w14:textId="77777777" w:rsidR="00F4775B" w:rsidRPr="00055EC5" w:rsidRDefault="00EB256E" w:rsidP="00F4775B">
                              <w:pPr>
                                <w:rPr>
                                  <w:sz w:val="18"/>
                                  <w:szCs w:val="18"/>
                                </w:rPr>
                              </w:pPr>
                              <w:hyperlink r:id="rId57" w:history="1">
                                <w:r w:rsidR="00F4775B" w:rsidRPr="00055EC5">
                                  <w:rPr>
                                    <w:rStyle w:val="Hyperlink"/>
                                    <w:sz w:val="18"/>
                                    <w:szCs w:val="18"/>
                                  </w:rPr>
                                  <w:t>This Photo</w:t>
                                </w:r>
                              </w:hyperlink>
                              <w:r w:rsidR="00F4775B" w:rsidRPr="00055EC5">
                                <w:rPr>
                                  <w:sz w:val="18"/>
                                  <w:szCs w:val="18"/>
                                </w:rPr>
                                <w:t xml:space="preserve"> by Unknown Author is licensed under </w:t>
                              </w:r>
                              <w:hyperlink r:id="rId58" w:history="1">
                                <w:r w:rsidR="00F4775B" w:rsidRPr="00055EC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EC81AF" id="Group 3" o:spid="_x0000_s1028" style="position:absolute;margin-left:495.5pt;margin-top:-11pt;width:33pt;height:36.5pt;z-index:-251641856;mso-width-relative:margin;mso-height-relative:margin" coordsize="4139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BC1agMAAPYHAAAOAAAAZHJzL2Uyb0RvYy54bWycVdtu2zgQfV+g/0Do&#10;vZEVSfZaiFN4k01QIGiNTRZ9pinKIiqRXJK2lf36PaQkX+Jie3mwPEMOhzNnznBuPnRtQ3bcWKHk&#10;IkquJhHhkqlSyM0i+vvl4f3vEbGOypI2SvJF9Mpt9OH23W83e13wa1WrpuSGwIm0xV4voto5XcSx&#10;ZTVvqb1SmktsVsq01EE1m7g0dA/vbRNfTybTeK9MqY1i3Fqs3veb0W3wX1Wcuc9VZbkjzSJCbC58&#10;Tfiu/Te+vaHFxlBdCzaEQX8hipYKiUsPru6po2RrxIWrVjCjrKrcFVNtrKpKMB5yQDbJ5E02j0Zt&#10;dchlU+w3+gAToH2D0y+7ZZ92j0Y/65UBEnu9ARZB87l0lWn9P6IkXYDs9QAZ7xxhWMySeTIBsAxb&#10;2TTN8wFSVgP3i1Os/vNwLp3n07w/OJ3M8kmW+2LE47XxWTBasAK/AQFIFwh8nyk45baGR4OT9od8&#10;tNR83er3KJamTqxFI9xrIB7K4oOSu5VgK9MrAHNliCjRCPMsm83TNMkiImkL4sPM304Sn6U/6Y37&#10;o9Sn9qTYV0ukuqup3PCl1aAu/ARMzs1jr57du26EfhBN44vl5SFD0PwNTb4BUk/Be8W2LZeu7ynD&#10;GySrpK2FthExBW/XHFmZj2WCiqGfHTLSRkjn46OFdYY7VnuxQhx/Ifa+loeNEPQxTp+CBen8iR+j&#10;2Qld8lma5Ekg2oEuwNBY98hVS7yAWBEDakQLunuyQzSjCWh2DCCIUD398QbZET1oF/j9VJs911Rz&#10;hODdHpmRJZMkS2eT6UiMF99Kf6iOXHssB2PfkMR1WB444Nf/F7ATUGhx7M4T2NIszdPzJvtJ1FBo&#10;1YhypJqH864xZEfxuO5r4Xhg6xurRvoqSOVP9aTwK2jvMSEvuW7dhcY5gLBW5SswMAq1xPtiNXsQ&#10;uO+JWreiBm80FjF33Gd8qkbtF5EapIjUyvz7rXVvj5piNyJ7vPmLyP6zpf5JaD5KVHueZJkfEkHJ&#10;8tk1FHO6sz7dkdv2TiFztASiC6K3d80oVka1XzCelv5WbFHJcPcicqN45/pJhPHG+HIZjPqX5kk+&#10;a7xPSWCwx/ml+0KNHrjtUN9PauTXBcV72x715dapSgT+e5x7VAf4wfUgheEC6Wx6nerB6jiub/8D&#10;AAD//wMAUEsDBAoAAAAAAAAAIQAkmeiSrgkAAK4JAAAUAAAAZHJzL21lZGlhL2ltYWdlMS5wbmeJ&#10;UE5HDQoaCgAAAA1JSERSAAAAZQAAAGkIBgAAACO+7bQAAAABc1JHQgCuzhzpAAAABGdBTUEAALGP&#10;C/xhBQAAAAlwSFlzAAAh1QAAIdUBBJy0nQAACUNJREFUeF7tnQtsG2cBx52OMlQeZQyQCmyCMUbZ&#10;SNfYOb/u4VZiaKhLbMfJBkKotItfSScNxoSEtHpFse98PjtOHwFPrCDomvgRO6+lKVu7MtIJqrZJ&#10;NU3dpLFWmwZIPNRKo48tdrjP+Zy4ydm+i33Nl/T7SX85ue8R3/e7u+98F9ualci9Dz9xO9HqaTc6&#10;vKzB7rksPubysbmzenvnJbBcb931OKgHm2BUQ+da29jifUzb5J4WB36mUkC9Rrvn+6Ad7AFTa/Qt&#10;nrcNLR6wVywUIC5zz+4tC8pAfX2L+23YBaaWEK3e8zcMtnioMrZ0PN3Q5N10f1vHpzQa3xrw2ODw&#10;bjI5On+WL7+hvutN2BWmFjQ0e3eIAzu3F+iaPBcaHZ4GWCwJ0daxWWd1v1NoA9o32Dp2wmJMtRA2&#10;15XC4Bpsng8bmz3fhEVlIWyd94H6hbaE1X0FFmGqof7h9q/orM65iV1nd78Gi2ShtblOzrUV+3ng&#10;u967YBFmqTTYHv+W0e6cmx/Eyf4ILJKF0eF5sdAW9PNgU/sDsAhTjGX79k/IzUZb552E1TW3pxgc&#10;3r/DbmRBODzvF9qCfkB/Un+nVGA3q4vNrTu+oLe7ntM7Oi+C01PxLKhw6qoks1s6kCL2oW127obd&#10;l0VrdT4jcQq9sO/yEZ/vbB8dF8B66H7g+jzsfmVC2D3t4uQq64Wekujt3pze4fkFOA2Gf2oBvjWg&#10;HNSTal9NCJt7Wu9YoWdx+tbOJ42Lt9KahrA6PxK34Fj9I06tOF9owSPhcMcIa7u4XLpNLQL2HJ1j&#10;10/gqq4M7t7mvYNonp8H1I14SJyVDx/V3RAKAet3z3dc6+Eqq4fesSutb3L+1Wh3nRZ3/bNLDTj+&#10;Sq3IKow4z0iPgZzkx1kcb4M47lDBPFqbc7u+xX1N4o/i3KSA8dc2ObfnhYjGtomT8Q3XiXCWJ8AD&#10;8KEx2J3vSlXAWZ40Nnve04ivG/BeglCAD41UwXwKZzNKU/vXB4hmwXoriWR/+VSQ0nkhP/EoxODw&#10;PCPd3ypLi8cHV1kRhtbOv0n2B6OKFGOLd7d0f6srJof3WbjKijC0YSmqBUtBMCtKitbu3GBo8+pW&#10;exqad34JrrIilkUKpjxYCoJgKQiCpSAIloIgWAqCYCkIgqUgCJaCIFiKynAv6RT/8wSWoiLBuOlH&#10;bJL6IBgnzx8YZ7bCxRXBUlSgrU1zmzBEH2T76Vwwyczkk2KyfMr8Y1ilLFhKjdl7lP4ae9j0xpyM&#10;4iSYme4R8pgv8+BnYXVJsBQFhIeo0/BHScIZpp5Nklk2XrSHLAr9FqxeElWkRPmTU0LX8RyK+XX3&#10;pOI3BoVGTN8WD0UXwWCHUvR/u19ZvKWH0tQLXJz8SFoEMwPa7huzCG0JzW2wSUlUkdLtn5jinv1j&#10;DsX0hs4okhIeZX65cMsPxOkPhbQpAqtouAQ9UW7v4AeYy8G00QKrV0TNw1cdopFNeJD8baB4si4K&#10;kBBIknsDCfIDqfJChAHq1X0vEXfCLmWhipQe9i+64J7jFhTTGzlHw6dZkeALhm8EE+a3pAa7UvgU&#10;nRUGKQ52pYhbb06JnFU8p0RSzEmpgS+VQJ852zNOm2FzxagiZS83cS4SODGDYnojZ6/CpymfGU0d&#10;nza1cQkqKyWhOJEh+nVh2FLVu7nUnFNWHYE+4j5hkL4kJUOc7LPhIbIrdlpX9UeKYCkK8fnu/3jX&#10;YeJgsRA+Y7kSyehlz1WVwFKWiJChXMEUdb3rkOFs6OimT8LFNQFLQRAsBUGwFATBUhAES0EQLAVB&#10;sBSVCWRMPxcy5sfgr7LAUlTCFdOs5VPUn/OX9FN0lk+Se2BRRbAUFQiOmGkuSV4oftUPwqbMJ6LD&#10;5N2wWkmwFAWEjj5U8ZU7nzZbg2UuXPIp+jqsWhIsRSYHXqY2dR02T3f9QbsBLlpEIGE6Ue4OJCjr&#10;GbM8CauXRBUpz+9/IxzbN5VAMYd+885h+DRlEx21HOLgYLNJcjo6smUMFuXxDW9YxyUt75YTwqXo&#10;f4l70ddhk7KoImVvaHXcT+k+YvkqGze/vHCAweD7+5ljT4zde3t0fAsfiJtL3hIGl/SFjGXMN6b/&#10;DOy2IqpI6eEnomH2RAbF/Co6lYBPsyLCMHMs0M+UvEfPJsgsJ1FWCJdgcuIZmBd2Jxs8p1QgPGyJ&#10;sYnShyWpsHEmJ0q7uP+oZTPsRhGqSOkVTp3rCb6WRTEHD5z/H3yasom8aG4MxOmKt4ILCWUsZ2DT&#10;JYHnFJmEx42fCw9teU9KwnxEcWlyp8+nKfGBovJQRUqUn3AIXcddKCYmTC35k1Bdp3Vr/SnTU/4+&#10;iXkmTV9i48Z6WLUq8JyyBLpHmGY+PX84Ew9tfbFh3TpYXDVYytJZw/bRk92jW5+Gv9cMLAVBsBQE&#10;wVIQBEtBECwFQbAUBMFSVCY8RLWxo/V3wF9lgaWoCJ8h94CLmVyCvhQcpH8IF1cES1EBYZy+K5gk&#10;b7jsD37mM/Tzy/ZG1FsZf8q00Z9krhRkLEygn37T93vTF2F1SbAUmfhiG9axSVPZy/49R6jfgTuN&#10;UjIKEUbIQVi9JFiKDLi04Xt8iryav3mVIK9FRrcu+monNkEdL3ePPpiistwA+RCsXhZVpID7KWH/&#10;KzkUE+uZkv1GVHD8F5JMcuFgg7dx+wfMMbFKnTCs28gOUP8pKyROnuoZY8p+bW4x6kjhXp0M+49l&#10;UUyvcEb2ncfgADUsOchigARhgH7f30dOS5Xnk6CykTTdB7uTjYqHr5k6NCMfi0/zsdAAc67sXlAi&#10;XJK+HBkiH4VdKQLPKTIIJolHpAa+dKhrYjNFG0AxqkjZx0+sqg83AASHaS07YCp9qIJhU8bdwUHz&#10;p2GzJaGKlAPCqclu9k9ZFPNc9HXF/81SgEvo1rNJOiklg0uRWSFDt8OqVXELzikg1RHKMPu5ODl/&#10;j76fmgyPGL8Mi6sGzylLhIvds55PUv+ODm2ZhItqBpaCIFgKgmApCIKlIAiWgiBYCoJgKQiCpSAI&#10;loIgVUkBX8Ot3bbjKk5tU+nr5ivsKTjLESwFwWApCEZjsLtzUgU4yxPgQ5Ti+YdUIc4yxe79p4aw&#10;uX4qWYizLCEedT4FTpvrjPaOLqkKODc3JmtHAPgAUvIYHB0Gvd3NGuze62IFPM/cnOTAeDeCcRfH&#10;f9aERvN/KNuUqn95JBYAAAAASUVORK5CYIJQSwMEFAAGAAgAAAAhAJ3iQr7gAAAACwEAAA8AAABk&#10;cnMvZG93bnJldi54bWxMj0FLw0AQhe+C/2EZwVu7SSRqYzalFPVUBFuh9DbNTpPQ7G7IbpP03zs9&#10;6e0N7/Hme/lyMq0YqPeNswrieQSCbOl0YysFP7uP2SsIH9BqbJ0lBVfysCzu73LMtBvtNw3bUAku&#10;sT5DBXUIXSalL2sy6OeuI8veyfUGA599JXWPI5ebViZR9CwNNpY/1NjRuqbyvL0YBZ8jjqun+H3Y&#10;nE/r62GXfu03MSn1+DCt3kAEmsJfGG74jA4FMx3dxWovWgWLRcxbgoJZkrC4JaL0hdVRQcqWLHL5&#10;f0PxCwAA//8DAFBLAwQUAAYACAAAACEAKYsCGvIAAADUAQAAGQAAAGRycy9fcmVscy9lMm9Eb2Mu&#10;eG1sLnJlbHOskc9KAzEQh++C7xDm3s1uDyLSbC9V6MGL1AcYktndsPlHEt327Z0qBQsFLx4zyXy/&#10;bzKb7dE78Um52BgUdE0LgoKOxoZRwfvhZfUIolQMBl0MpOBEBbb9/d3mjRxWbiqTTUUwJRQFU63p&#10;ScqiJ/JYmpgo8M0Qs8fKxzzKhHrGkeS6bR9k/s2A/oop9kZB3ps1iMMpcfLf7DgMVtMu6g9Pod6I&#10;kBOTsrNhZijmkeoPtrDzsixNCiM61+joJU+gZ2dLXXFRXp6/RsMmz8dKOaADeVu5+09l6/m7LvkK&#10;PBmL8rvYnX3PDvJqF/0XAAAA//8DAFBLAQItABQABgAIAAAAIQCxgme2CgEAABMCAAATAAAAAAAA&#10;AAAAAAAAAAAAAABbQ29udGVudF9UeXBlc10ueG1sUEsBAi0AFAAGAAgAAAAhADj9If/WAAAAlAEA&#10;AAsAAAAAAAAAAAAAAAAAOwEAAF9yZWxzLy5yZWxzUEsBAi0AFAAGAAgAAAAhAL6kELVqAwAA9gcA&#10;AA4AAAAAAAAAAAAAAAAAOgIAAGRycy9lMm9Eb2MueG1sUEsBAi0ACgAAAAAAAAAhACSZ6JKuCQAA&#10;rgkAABQAAAAAAAAAAAAAAAAA0AUAAGRycy9tZWRpYS9pbWFnZTEucG5nUEsBAi0AFAAGAAgAAAAh&#10;AJ3iQr7gAAAACwEAAA8AAAAAAAAAAAAAAAAAsA8AAGRycy9kb3ducmV2LnhtbFBLAQItABQABgAI&#10;AAAAIQApiwIa8gAAANQBAAAZAAAAAAAAAAAAAAAAAL0QAABkcnMvX3JlbHMvZTJvRG9jLnhtbC5y&#10;ZWxzUEsFBgAAAAAGAAYAfAEAAOY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4139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48pyAAAAOMAAAAPAAAAZHJzL2Rvd25yZXYueG1sRE9fa8Iw&#10;EH8X/A7hBr7NVC06q1GGKBOGoJ2gj0dza4vNpWuidt9+EQY+3u//zZetqcSNGldaVjDoRyCIM6tL&#10;zhUcvzavbyCcR9ZYWSYFv+Rgueh25phoe+cD3VKfixDCLkEFhfd1IqXLCjLo+rYmDty3bQz6cDa5&#10;1A3eQ7ip5DCKxtJgyaGhwJpWBWWX9GoUlNHH+nOz8jszTE/b8/5Kh/qHlOq9tO8zEJ5a/xT/u7c6&#10;zJ/G8WQ6Gg1iePwUAJCLPwAAAP//AwBQSwECLQAUAAYACAAAACEA2+H2y+4AAACFAQAAEwAAAAAA&#10;AAAAAAAAAAAAAAAAW0NvbnRlbnRfVHlwZXNdLnhtbFBLAQItABQABgAIAAAAIQBa9CxbvwAAABUB&#10;AAALAAAAAAAAAAAAAAAAAB8BAABfcmVscy8ucmVsc1BLAQItABQABgAIAAAAIQC1Y48pyAAAAOMA&#10;AAAPAAAAAAAAAAAAAAAAAAcCAABkcnMvZG93bnJldi54bWxQSwUGAAAAAAMAAwC3AAAA/AIAAAAA&#10;">
                  <v:imagedata r:id="rId59" o:title=""/>
                </v:shape>
                <v:shape id="_x0000_s1030" type="#_x0000_t202" style="position:absolute;top:57315;width:413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6TjyQAAAOIAAAAPAAAAZHJzL2Rvd25yZXYueG1sRI/BbsIw&#10;EETvSP0Hayv1goqdNiQQMKit1IorlA9Y4iWJiNdR7JLw93WlShxHM/NGs96OthVX6n3jWEMyUyCI&#10;S2carjQcvz+fFyB8QDbYOiYNN/Kw3TxM1lgYN/CerodQiQhhX6CGOoSukNKXNVn0M9cRR+/seosh&#10;yr6Spschwm0rX5TKpMWG40KNHX3UVF4OP1bDeTdM58vh9BWO+T7N3rHJT+6m9dPj+LYCEWgM9/B/&#10;e2c0pIlK0tdcZfB3Kd4BufkFAAD//wMAUEsBAi0AFAAGAAgAAAAhANvh9svuAAAAhQEAABMAAAAA&#10;AAAAAAAAAAAAAAAAAFtDb250ZW50X1R5cGVzXS54bWxQSwECLQAUAAYACAAAACEAWvQsW78AAAAV&#10;AQAACwAAAAAAAAAAAAAAAAAfAQAAX3JlbHMvLnJlbHNQSwECLQAUAAYACAAAACEAt4Ok48kAAADi&#10;AAAADwAAAAAAAAAAAAAAAAAHAgAAZHJzL2Rvd25yZXYueG1sUEsFBgAAAAADAAMAtwAAAP0CAAAA&#10;AA==&#10;" stroked="f">
                  <v:textbox>
                    <w:txbxContent>
                      <w:p w14:paraId="44E15B08" w14:textId="77777777" w:rsidR="00F4775B" w:rsidRPr="00055EC5" w:rsidRDefault="00EB256E" w:rsidP="00F4775B">
                        <w:pPr>
                          <w:rPr>
                            <w:sz w:val="18"/>
                            <w:szCs w:val="18"/>
                          </w:rPr>
                        </w:pPr>
                        <w:hyperlink r:id="rId60" w:history="1">
                          <w:r w:rsidR="00F4775B" w:rsidRPr="00055EC5">
                            <w:rPr>
                              <w:rStyle w:val="Hyperlink"/>
                              <w:sz w:val="18"/>
                              <w:szCs w:val="18"/>
                            </w:rPr>
                            <w:t>This Photo</w:t>
                          </w:r>
                        </w:hyperlink>
                        <w:r w:rsidR="00F4775B" w:rsidRPr="00055EC5">
                          <w:rPr>
                            <w:sz w:val="18"/>
                            <w:szCs w:val="18"/>
                          </w:rPr>
                          <w:t xml:space="preserve"> by Unknown Author is licensed under </w:t>
                        </w:r>
                        <w:hyperlink r:id="rId61" w:history="1">
                          <w:r w:rsidR="00F4775B" w:rsidRPr="00055EC5">
                            <w:rPr>
                              <w:rStyle w:val="Hyperlink"/>
                              <w:sz w:val="18"/>
                              <w:szCs w:val="18"/>
                            </w:rPr>
                            <w:t>CC BY-NC</w:t>
                          </w:r>
                        </w:hyperlink>
                      </w:p>
                    </w:txbxContent>
                  </v:textbox>
                </v:shape>
              </v:group>
            </w:pict>
          </mc:Fallback>
        </mc:AlternateContent>
      </w:r>
      <w:r w:rsidRPr="00F4775B">
        <w:rPr>
          <w:rFonts w:ascii="Arial" w:eastAsia="Times New Roman" w:hAnsi="Arial" w:cs="Arial"/>
          <w:b/>
          <w:bCs/>
          <w:color w:val="323E4F"/>
          <w:sz w:val="32"/>
          <w:szCs w:val="32"/>
          <w:lang w:eastAsia="en-GB"/>
        </w:rPr>
        <w:t>Appendix:</w:t>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t xml:space="preserve">Critique check list </w:t>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r w:rsidRPr="00F4775B">
        <w:rPr>
          <w:rFonts w:ascii="Arial" w:eastAsia="Times New Roman" w:hAnsi="Arial" w:cs="Arial"/>
          <w:b/>
          <w:bCs/>
          <w:color w:val="323E4F"/>
          <w:sz w:val="32"/>
          <w:szCs w:val="32"/>
          <w:lang w:eastAsia="en-GB"/>
        </w:rPr>
        <w:tab/>
      </w:r>
    </w:p>
    <w:p w14:paraId="5BE7ABA3" w14:textId="77777777" w:rsidR="00F4775B" w:rsidRPr="00F4775B" w:rsidRDefault="00F4775B" w:rsidP="00F4775B">
      <w:pPr>
        <w:spacing w:after="0"/>
        <w:rPr>
          <w:rFonts w:ascii="Arial" w:eastAsia="Times New Roman" w:hAnsi="Arial" w:cs="Arial"/>
          <w:color w:val="323E4F"/>
          <w:sz w:val="32"/>
          <w:szCs w:val="32"/>
          <w:lang w:eastAsia="en-GB"/>
        </w:rPr>
      </w:pPr>
    </w:p>
    <w:tbl>
      <w:tblPr>
        <w:tblStyle w:val="TableGrid"/>
        <w:tblW w:w="16019" w:type="dxa"/>
        <w:tblInd w:w="-998"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C3553F" w:rsidRPr="00F4775B" w14:paraId="2C8FEB1B" w14:textId="77777777" w:rsidTr="00DA0564">
        <w:trPr>
          <w:cantSplit/>
          <w:trHeight w:val="1745"/>
        </w:trPr>
        <w:tc>
          <w:tcPr>
            <w:tcW w:w="3545" w:type="dxa"/>
          </w:tcPr>
          <w:p w14:paraId="61B07C61"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4AA09238"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0D164749"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2AB9864D"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2A61F617"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 xml:space="preserve">Article Title </w:t>
            </w:r>
          </w:p>
        </w:tc>
        <w:tc>
          <w:tcPr>
            <w:tcW w:w="2405" w:type="dxa"/>
          </w:tcPr>
          <w:p w14:paraId="0B2A9A17"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7C660DA3"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722629A3"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3D184322"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66D43F00"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Author(s)</w:t>
            </w:r>
          </w:p>
        </w:tc>
        <w:tc>
          <w:tcPr>
            <w:tcW w:w="1283" w:type="dxa"/>
          </w:tcPr>
          <w:p w14:paraId="7781C00F"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47B1F037"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1059560F" w14:textId="77777777" w:rsidR="00F4775B" w:rsidRPr="00F4775B" w:rsidRDefault="00F4775B" w:rsidP="00F4775B">
            <w:pPr>
              <w:textAlignment w:val="baseline"/>
              <w:rPr>
                <w:rFonts w:ascii="Arial" w:eastAsia="Times New Roman" w:hAnsi="Arial" w:cs="Arial"/>
                <w:b/>
                <w:bCs/>
                <w:color w:val="323E4F"/>
                <w:kern w:val="0"/>
                <w:sz w:val="20"/>
                <w:szCs w:val="20"/>
                <w:lang w:eastAsia="en-GB"/>
                <w14:ligatures w14:val="none"/>
              </w:rPr>
            </w:pPr>
          </w:p>
          <w:p w14:paraId="4E473C63"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Year of publication</w:t>
            </w:r>
          </w:p>
        </w:tc>
        <w:tc>
          <w:tcPr>
            <w:tcW w:w="1829" w:type="dxa"/>
          </w:tcPr>
          <w:p w14:paraId="1DE491FC"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64C1393A"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63BD4740"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6F6352A4"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50664919"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Journal name</w:t>
            </w:r>
          </w:p>
        </w:tc>
        <w:tc>
          <w:tcPr>
            <w:tcW w:w="842" w:type="dxa"/>
            <w:textDirection w:val="btLr"/>
          </w:tcPr>
          <w:p w14:paraId="7F0F3718"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Abstract</w:t>
            </w:r>
          </w:p>
          <w:p w14:paraId="05C18CF5"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(y or n)</w:t>
            </w:r>
          </w:p>
        </w:tc>
        <w:tc>
          <w:tcPr>
            <w:tcW w:w="2883" w:type="dxa"/>
          </w:tcPr>
          <w:p w14:paraId="6D494295"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2E8C3515"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53DD3048"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p>
          <w:p w14:paraId="67922933"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Methods/</w:t>
            </w:r>
          </w:p>
          <w:p w14:paraId="6D436AB5" w14:textId="77777777" w:rsidR="00F4775B" w:rsidRPr="00F4775B" w:rsidRDefault="00F4775B" w:rsidP="00F4775B">
            <w:pPr>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instruments used</w:t>
            </w:r>
          </w:p>
        </w:tc>
        <w:tc>
          <w:tcPr>
            <w:tcW w:w="707" w:type="dxa"/>
            <w:textDirection w:val="btLr"/>
          </w:tcPr>
          <w:p w14:paraId="4E619225"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Reliable</w:t>
            </w:r>
          </w:p>
          <w:p w14:paraId="103080F7"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w:t>
            </w:r>
            <w:r w:rsidRPr="00F4775B">
              <w:rPr>
                <w:rFonts w:ascii="Arial" w:eastAsia="Times New Roman" w:hAnsi="Arial" w:cs="Arial"/>
                <w:b/>
                <w:bCs/>
                <w:noProof/>
                <w:color w:val="323E4F"/>
                <w:kern w:val="0"/>
                <w:sz w:val="20"/>
                <w:szCs w:val="20"/>
                <w:lang w:eastAsia="en-GB"/>
              </w:rPr>
              <w:t>y or n)</w:t>
            </w:r>
          </w:p>
        </w:tc>
        <w:tc>
          <w:tcPr>
            <w:tcW w:w="708" w:type="dxa"/>
            <w:textDirection w:val="btLr"/>
          </w:tcPr>
          <w:p w14:paraId="2FD0504F"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Validity</w:t>
            </w:r>
          </w:p>
          <w:p w14:paraId="65A5B299"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(y or n)</w:t>
            </w:r>
          </w:p>
        </w:tc>
        <w:tc>
          <w:tcPr>
            <w:tcW w:w="975" w:type="dxa"/>
            <w:textDirection w:val="btLr"/>
          </w:tcPr>
          <w:p w14:paraId="20C197DD"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Ethical Considerations</w:t>
            </w:r>
          </w:p>
          <w:p w14:paraId="3DEBAB90"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 xml:space="preserve"> (</w:t>
            </w:r>
            <w:r w:rsidRPr="00F4775B">
              <w:rPr>
                <w:rFonts w:ascii="Arial" w:eastAsia="Times New Roman" w:hAnsi="Arial" w:cs="Arial"/>
                <w:b/>
                <w:bCs/>
                <w:noProof/>
                <w:color w:val="323E4F"/>
                <w:kern w:val="0"/>
                <w:sz w:val="20"/>
                <w:szCs w:val="20"/>
                <w:lang w:eastAsia="en-GB"/>
              </w:rPr>
              <w:t>y or n</w:t>
            </w:r>
            <w:r w:rsidRPr="00F4775B">
              <w:rPr>
                <w:rFonts w:ascii="Arial" w:eastAsia="Times New Roman" w:hAnsi="Arial" w:cs="Arial"/>
                <w:b/>
                <w:bCs/>
                <w:color w:val="323E4F"/>
                <w:kern w:val="0"/>
                <w:sz w:val="20"/>
                <w:szCs w:val="20"/>
                <w:lang w:eastAsia="en-GB"/>
                <w14:ligatures w14:val="none"/>
              </w:rPr>
              <w:t>)</w:t>
            </w:r>
          </w:p>
          <w:p w14:paraId="15218895"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p>
        </w:tc>
        <w:tc>
          <w:tcPr>
            <w:tcW w:w="842" w:type="dxa"/>
            <w:textDirection w:val="btLr"/>
          </w:tcPr>
          <w:p w14:paraId="42818ABB"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Reference list</w:t>
            </w:r>
          </w:p>
          <w:p w14:paraId="7EB3F029"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r w:rsidRPr="00F4775B">
              <w:rPr>
                <w:rFonts w:ascii="Arial" w:eastAsia="Times New Roman" w:hAnsi="Arial" w:cs="Arial"/>
                <w:b/>
                <w:bCs/>
                <w:color w:val="323E4F"/>
                <w:kern w:val="0"/>
                <w:sz w:val="20"/>
                <w:szCs w:val="20"/>
                <w:lang w:eastAsia="en-GB"/>
                <w14:ligatures w14:val="none"/>
              </w:rPr>
              <w:t>(</w:t>
            </w:r>
            <w:r w:rsidRPr="00F4775B">
              <w:rPr>
                <w:rFonts w:ascii="Arial" w:eastAsia="Times New Roman" w:hAnsi="Arial" w:cs="Arial"/>
                <w:b/>
                <w:bCs/>
                <w:noProof/>
                <w:color w:val="323E4F"/>
                <w:kern w:val="0"/>
                <w:sz w:val="20"/>
                <w:szCs w:val="20"/>
                <w:lang w:eastAsia="en-GB"/>
              </w:rPr>
              <w:t>y or n</w:t>
            </w:r>
            <w:r w:rsidRPr="00F4775B">
              <w:rPr>
                <w:rFonts w:ascii="Arial" w:eastAsia="Times New Roman" w:hAnsi="Arial" w:cs="Arial"/>
                <w:b/>
                <w:bCs/>
                <w:color w:val="323E4F"/>
                <w:kern w:val="0"/>
                <w:sz w:val="20"/>
                <w:szCs w:val="20"/>
                <w:lang w:eastAsia="en-GB"/>
                <w14:ligatures w14:val="none"/>
              </w:rPr>
              <w:t>)</w:t>
            </w:r>
          </w:p>
          <w:p w14:paraId="581158FE" w14:textId="77777777" w:rsidR="00F4775B" w:rsidRPr="00F4775B" w:rsidRDefault="00F4775B" w:rsidP="00F4775B">
            <w:pPr>
              <w:ind w:left="113" w:right="113"/>
              <w:jc w:val="center"/>
              <w:textAlignment w:val="baseline"/>
              <w:rPr>
                <w:rFonts w:ascii="Arial" w:eastAsia="Times New Roman" w:hAnsi="Arial" w:cs="Arial"/>
                <w:b/>
                <w:bCs/>
                <w:color w:val="323E4F"/>
                <w:kern w:val="0"/>
                <w:sz w:val="20"/>
                <w:szCs w:val="20"/>
                <w:lang w:eastAsia="en-GB"/>
                <w14:ligatures w14:val="none"/>
              </w:rPr>
            </w:pPr>
          </w:p>
        </w:tc>
      </w:tr>
      <w:tr w:rsidR="00C3553F" w:rsidRPr="00F4775B" w14:paraId="27C3C415" w14:textId="77777777" w:rsidTr="00DA0564">
        <w:trPr>
          <w:trHeight w:val="1327"/>
        </w:trPr>
        <w:tc>
          <w:tcPr>
            <w:tcW w:w="3545" w:type="dxa"/>
          </w:tcPr>
          <w:p w14:paraId="283B34B1" w14:textId="30ED0FE0" w:rsidR="00F4775B" w:rsidRPr="007531A0" w:rsidRDefault="00C3553F" w:rsidP="00F4775B">
            <w:pPr>
              <w:jc w:val="center"/>
              <w:textAlignment w:val="baseline"/>
              <w:rPr>
                <w:rFonts w:eastAsia="Times New Roman" w:cstheme="minorHAnsi"/>
                <w:color w:val="323E4F"/>
                <w:kern w:val="0"/>
                <w:sz w:val="24"/>
                <w:szCs w:val="24"/>
                <w:lang w:eastAsia="en-GB"/>
                <w14:ligatures w14:val="none"/>
              </w:rPr>
            </w:pPr>
            <w:r w:rsidRPr="007531A0">
              <w:rPr>
                <w:rFonts w:cstheme="minorHAnsi"/>
                <w:color w:val="2A2A2A"/>
                <w:sz w:val="24"/>
                <w:szCs w:val="24"/>
                <w:shd w:val="clear" w:color="auto" w:fill="FFFFFF"/>
              </w:rPr>
              <w:t>Polycystic ovary syndrome as an independent risk factor for gestational diabetes and hypertensive disorders of pregnancy: a population-based study on 9.1 million pregnancies</w:t>
            </w:r>
          </w:p>
          <w:p w14:paraId="454309A1" w14:textId="4479169D" w:rsidR="00F4775B" w:rsidRPr="007531A0" w:rsidRDefault="00F4775B" w:rsidP="00F4775B">
            <w:pP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 </w:t>
            </w:r>
          </w:p>
        </w:tc>
        <w:tc>
          <w:tcPr>
            <w:tcW w:w="2405" w:type="dxa"/>
          </w:tcPr>
          <w:p w14:paraId="37D537E9" w14:textId="4F5F5B7C" w:rsidR="00F4775B" w:rsidRPr="007531A0" w:rsidRDefault="00F4775B" w:rsidP="00F4775B">
            <w:pPr>
              <w:jc w:val="center"/>
              <w:rPr>
                <w:rFonts w:cstheme="minorHAnsi"/>
                <w:color w:val="000000"/>
                <w:sz w:val="24"/>
                <w:szCs w:val="24"/>
              </w:rPr>
            </w:pPr>
          </w:p>
          <w:p w14:paraId="09CEB7FF" w14:textId="2222F3F8" w:rsidR="00F4775B" w:rsidRPr="007531A0" w:rsidRDefault="007531A0" w:rsidP="00F4775B">
            <w:pPr>
              <w:jc w:val="center"/>
              <w:textAlignment w:val="baseline"/>
              <w:rPr>
                <w:rFonts w:ascii="Arial" w:eastAsia="Times New Roman" w:hAnsi="Arial" w:cs="Arial"/>
                <w:color w:val="323E4F"/>
                <w:kern w:val="0"/>
                <w:sz w:val="24"/>
                <w:szCs w:val="24"/>
                <w:lang w:eastAsia="en-GB"/>
                <w14:ligatures w14:val="none"/>
              </w:rPr>
            </w:pPr>
            <w:r>
              <w:rPr>
                <w:rStyle w:val="al-author-name-more"/>
                <w:rFonts w:cstheme="minorHAnsi"/>
                <w:color w:val="2A2A2A"/>
                <w:sz w:val="24"/>
                <w:szCs w:val="24"/>
                <w:bdr w:val="none" w:sz="0" w:space="0" w:color="auto" w:frame="1"/>
                <w:shd w:val="clear" w:color="auto" w:fill="FFFFFF"/>
              </w:rPr>
              <w:t>M</w:t>
            </w:r>
            <w:r>
              <w:rPr>
                <w:rStyle w:val="al-author-name-more"/>
                <w:rFonts w:cstheme="minorHAnsi"/>
                <w:color w:val="2A2A2A"/>
                <w:bdr w:val="none" w:sz="0" w:space="0" w:color="auto" w:frame="1"/>
                <w:shd w:val="clear" w:color="auto" w:fill="FFFFFF"/>
              </w:rPr>
              <w:t xml:space="preserve">ill, G., </w:t>
            </w:r>
            <w:proofErr w:type="spellStart"/>
            <w:r>
              <w:rPr>
                <w:rStyle w:val="al-author-name-more"/>
                <w:rFonts w:cstheme="minorHAnsi"/>
                <w:color w:val="2A2A2A"/>
                <w:bdr w:val="none" w:sz="0" w:space="0" w:color="auto" w:frame="1"/>
                <w:shd w:val="clear" w:color="auto" w:fill="FFFFFF"/>
              </w:rPr>
              <w:t>Badeghiesh</w:t>
            </w:r>
            <w:proofErr w:type="spellEnd"/>
            <w:r>
              <w:rPr>
                <w:rStyle w:val="al-author-name-more"/>
                <w:rFonts w:cstheme="minorHAnsi"/>
                <w:color w:val="2A2A2A"/>
                <w:bdr w:val="none" w:sz="0" w:space="0" w:color="auto" w:frame="1"/>
                <w:shd w:val="clear" w:color="auto" w:fill="FFFFFF"/>
              </w:rPr>
              <w:t xml:space="preserve">, A., </w:t>
            </w:r>
            <w:proofErr w:type="spellStart"/>
            <w:r>
              <w:rPr>
                <w:rStyle w:val="al-author-name-more"/>
                <w:rFonts w:cstheme="minorHAnsi"/>
                <w:color w:val="2A2A2A"/>
                <w:bdr w:val="none" w:sz="0" w:space="0" w:color="auto" w:frame="1"/>
                <w:shd w:val="clear" w:color="auto" w:fill="FFFFFF"/>
              </w:rPr>
              <w:t>Suarthana</w:t>
            </w:r>
            <w:proofErr w:type="spellEnd"/>
            <w:r>
              <w:rPr>
                <w:rStyle w:val="al-author-name-more"/>
                <w:rFonts w:cstheme="minorHAnsi"/>
                <w:color w:val="2A2A2A"/>
                <w:bdr w:val="none" w:sz="0" w:space="0" w:color="auto" w:frame="1"/>
                <w:shd w:val="clear" w:color="auto" w:fill="FFFFFF"/>
              </w:rPr>
              <w:t xml:space="preserve">, E., </w:t>
            </w:r>
            <w:proofErr w:type="spellStart"/>
            <w:r>
              <w:rPr>
                <w:rStyle w:val="al-author-name-more"/>
                <w:rFonts w:cstheme="minorHAnsi"/>
                <w:color w:val="2A2A2A"/>
                <w:bdr w:val="none" w:sz="0" w:space="0" w:color="auto" w:frame="1"/>
                <w:shd w:val="clear" w:color="auto" w:fill="FFFFFF"/>
              </w:rPr>
              <w:t>Baghlaf</w:t>
            </w:r>
            <w:proofErr w:type="spellEnd"/>
            <w:r>
              <w:rPr>
                <w:rStyle w:val="al-author-name-more"/>
                <w:rFonts w:cstheme="minorHAnsi"/>
                <w:color w:val="2A2A2A"/>
                <w:bdr w:val="none" w:sz="0" w:space="0" w:color="auto" w:frame="1"/>
                <w:shd w:val="clear" w:color="auto" w:fill="FFFFFF"/>
              </w:rPr>
              <w:t xml:space="preserve">, H. Dahan, M. </w:t>
            </w:r>
          </w:p>
        </w:tc>
        <w:tc>
          <w:tcPr>
            <w:tcW w:w="1283" w:type="dxa"/>
          </w:tcPr>
          <w:p w14:paraId="628A142A" w14:textId="70053FEC" w:rsidR="00F4775B" w:rsidRPr="007531A0" w:rsidRDefault="007531A0" w:rsidP="00F4775B">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C3553F" w:rsidRPr="007531A0">
              <w:rPr>
                <w:rFonts w:ascii="Arial" w:eastAsia="Times New Roman" w:hAnsi="Arial" w:cs="Arial"/>
                <w:sz w:val="24"/>
                <w:szCs w:val="24"/>
                <w:lang w:eastAsia="en-GB"/>
              </w:rPr>
              <w:t>2020</w:t>
            </w:r>
          </w:p>
        </w:tc>
        <w:tc>
          <w:tcPr>
            <w:tcW w:w="1829" w:type="dxa"/>
          </w:tcPr>
          <w:p w14:paraId="663484BE" w14:textId="3B0D1791" w:rsidR="00F4775B" w:rsidRPr="007531A0" w:rsidRDefault="00C3553F" w:rsidP="001E61D6">
            <w:pP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Human Reproduction </w:t>
            </w:r>
            <w:r w:rsidR="00F4775B" w:rsidRPr="007531A0">
              <w:rPr>
                <w:rFonts w:ascii="Arial" w:eastAsia="Times New Roman" w:hAnsi="Arial" w:cs="Arial"/>
                <w:color w:val="323E4F"/>
                <w:kern w:val="0"/>
                <w:sz w:val="24"/>
                <w:szCs w:val="24"/>
                <w:lang w:eastAsia="en-GB"/>
                <w14:ligatures w14:val="none"/>
              </w:rPr>
              <w:t xml:space="preserve"> </w:t>
            </w:r>
          </w:p>
        </w:tc>
        <w:tc>
          <w:tcPr>
            <w:tcW w:w="842" w:type="dxa"/>
          </w:tcPr>
          <w:p w14:paraId="07D56609" w14:textId="7A8A0069" w:rsidR="00F4775B" w:rsidRPr="007531A0" w:rsidRDefault="00C3553F" w:rsidP="001E61D6">
            <w:pP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2883" w:type="dxa"/>
          </w:tcPr>
          <w:p w14:paraId="20B82829" w14:textId="3969C5F4" w:rsidR="00F4775B" w:rsidRPr="007531A0" w:rsidRDefault="00C3553F" w:rsidP="00F4775B">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Retrospective population based study </w:t>
            </w:r>
          </w:p>
        </w:tc>
        <w:tc>
          <w:tcPr>
            <w:tcW w:w="707" w:type="dxa"/>
          </w:tcPr>
          <w:p w14:paraId="53E96BE9" w14:textId="32A23E8D" w:rsidR="00F4775B" w:rsidRPr="007531A0" w:rsidRDefault="00C3553F" w:rsidP="00F4775B">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708" w:type="dxa"/>
          </w:tcPr>
          <w:p w14:paraId="3CDD9A45" w14:textId="2888E6CC" w:rsidR="00F4775B" w:rsidRPr="007531A0" w:rsidRDefault="00C3553F" w:rsidP="00F4775B">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c>
          <w:tcPr>
            <w:tcW w:w="975" w:type="dxa"/>
          </w:tcPr>
          <w:p w14:paraId="1C740DA1" w14:textId="5EEE1B78" w:rsidR="00F4775B" w:rsidRPr="007531A0" w:rsidRDefault="00C3553F" w:rsidP="00F4775B">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No</w:t>
            </w:r>
          </w:p>
        </w:tc>
        <w:tc>
          <w:tcPr>
            <w:tcW w:w="842" w:type="dxa"/>
          </w:tcPr>
          <w:p w14:paraId="2B3B94AF" w14:textId="6F77EDA1" w:rsidR="00F4775B" w:rsidRPr="007531A0" w:rsidRDefault="00C3553F" w:rsidP="00F4775B">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r>
      <w:tr w:rsidR="00C3553F" w:rsidRPr="00F4775B" w14:paraId="76B6BFD0" w14:textId="77777777" w:rsidTr="00DA0564">
        <w:trPr>
          <w:trHeight w:val="1327"/>
        </w:trPr>
        <w:tc>
          <w:tcPr>
            <w:tcW w:w="3545" w:type="dxa"/>
          </w:tcPr>
          <w:p w14:paraId="5E2C685A" w14:textId="772450A0" w:rsidR="00476E3E" w:rsidRPr="007531A0" w:rsidRDefault="00476E3E" w:rsidP="00476E3E">
            <w:pPr>
              <w:outlineLvl w:val="0"/>
              <w:rPr>
                <w:rFonts w:ascii="Georgia" w:eastAsia="Times New Roman" w:hAnsi="Georgia" w:cs="Times New Roman"/>
                <w:color w:val="1F1F1F"/>
                <w:kern w:val="36"/>
                <w:sz w:val="24"/>
                <w:szCs w:val="24"/>
                <w:lang w:eastAsia="en-GB"/>
              </w:rPr>
            </w:pPr>
            <w:r w:rsidRPr="007531A0">
              <w:rPr>
                <w:rFonts w:eastAsia="Times New Roman" w:cstheme="minorHAnsi"/>
                <w:color w:val="1F1F1F"/>
                <w:kern w:val="36"/>
                <w:sz w:val="24"/>
                <w:szCs w:val="24"/>
                <w:lang w:eastAsia="en-GB"/>
              </w:rPr>
              <w:t>The challenges with managing polycystic</w:t>
            </w:r>
            <w:r w:rsidRPr="007531A0">
              <w:rPr>
                <w:rFonts w:ascii="Georgia" w:eastAsia="Times New Roman" w:hAnsi="Georgia" w:cs="Times New Roman"/>
                <w:color w:val="1F1F1F"/>
                <w:kern w:val="36"/>
                <w:sz w:val="24"/>
                <w:szCs w:val="24"/>
                <w:lang w:eastAsia="en-GB"/>
              </w:rPr>
              <w:t xml:space="preserve"> </w:t>
            </w:r>
            <w:r w:rsidRPr="007531A0">
              <w:rPr>
                <w:rFonts w:eastAsia="Times New Roman" w:cstheme="minorHAnsi"/>
                <w:color w:val="1F1F1F"/>
                <w:kern w:val="36"/>
                <w:sz w:val="24"/>
                <w:szCs w:val="24"/>
                <w:lang w:eastAsia="en-GB"/>
              </w:rPr>
              <w:t>ovary syndrome: A qualitative study of women’s and clinicians’ experiences.</w:t>
            </w:r>
          </w:p>
          <w:p w14:paraId="1C46308C"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p>
        </w:tc>
        <w:tc>
          <w:tcPr>
            <w:tcW w:w="2405" w:type="dxa"/>
          </w:tcPr>
          <w:p w14:paraId="4BC1394F" w14:textId="75C4D0B6" w:rsidR="00476E3E" w:rsidRPr="007531A0" w:rsidRDefault="007531A0" w:rsidP="00476E3E">
            <w:pPr>
              <w:jc w:val="center"/>
              <w:textAlignment w:val="baseline"/>
              <w:rPr>
                <w:rFonts w:ascii="Arial" w:eastAsia="Times New Roman" w:hAnsi="Arial" w:cs="Arial"/>
                <w:color w:val="323E4F"/>
                <w:kern w:val="0"/>
                <w:sz w:val="24"/>
                <w:szCs w:val="24"/>
                <w:lang w:eastAsia="en-GB"/>
                <w14:ligatures w14:val="none"/>
              </w:rPr>
            </w:pPr>
            <w:r>
              <w:rPr>
                <w:rFonts w:ascii="Arial" w:eastAsia="Times New Roman" w:hAnsi="Arial" w:cs="Arial"/>
                <w:color w:val="323E4F"/>
                <w:kern w:val="0"/>
                <w:sz w:val="24"/>
                <w:szCs w:val="24"/>
                <w:lang w:eastAsia="en-GB"/>
                <w14:ligatures w14:val="none"/>
              </w:rPr>
              <w:t>C</w:t>
            </w:r>
            <w:r>
              <w:rPr>
                <w:rFonts w:ascii="Arial" w:eastAsia="Times New Roman" w:hAnsi="Arial" w:cs="Arial"/>
                <w:color w:val="323E4F"/>
                <w:sz w:val="24"/>
                <w:szCs w:val="24"/>
                <w:lang w:eastAsia="en-GB"/>
              </w:rPr>
              <w:t xml:space="preserve">oop, T., Muscat, D, M., Hersch, J., McCaffery, K, J., Doust, J., </w:t>
            </w:r>
            <w:proofErr w:type="spellStart"/>
            <w:r>
              <w:rPr>
                <w:rFonts w:ascii="Arial" w:eastAsia="Times New Roman" w:hAnsi="Arial" w:cs="Arial"/>
                <w:color w:val="323E4F"/>
                <w:sz w:val="24"/>
                <w:szCs w:val="24"/>
                <w:lang w:eastAsia="en-GB"/>
              </w:rPr>
              <w:t>Dokros</w:t>
            </w:r>
            <w:proofErr w:type="spellEnd"/>
            <w:r>
              <w:rPr>
                <w:rFonts w:ascii="Arial" w:eastAsia="Times New Roman" w:hAnsi="Arial" w:cs="Arial"/>
                <w:color w:val="323E4F"/>
                <w:sz w:val="24"/>
                <w:szCs w:val="24"/>
                <w:lang w:eastAsia="en-GB"/>
              </w:rPr>
              <w:t xml:space="preserve">, A., </w:t>
            </w:r>
            <w:r>
              <w:rPr>
                <w:rFonts w:ascii="Arial" w:eastAsia="Times New Roman" w:hAnsi="Arial" w:cs="Arial"/>
                <w:color w:val="323E4F"/>
                <w:kern w:val="0"/>
                <w:sz w:val="24"/>
                <w:szCs w:val="24"/>
                <w:lang w:eastAsia="en-GB"/>
                <w14:ligatures w14:val="none"/>
              </w:rPr>
              <w:t>Mol, B, W. and Jansen, J.</w:t>
            </w:r>
          </w:p>
        </w:tc>
        <w:tc>
          <w:tcPr>
            <w:tcW w:w="1283" w:type="dxa"/>
          </w:tcPr>
          <w:p w14:paraId="4EC06C5B" w14:textId="44281930"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2022</w:t>
            </w:r>
          </w:p>
        </w:tc>
        <w:tc>
          <w:tcPr>
            <w:tcW w:w="1829" w:type="dxa"/>
          </w:tcPr>
          <w:p w14:paraId="4709C509" w14:textId="1D66BB4E"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Patient Education and </w:t>
            </w:r>
            <w:r w:rsidR="007531A0" w:rsidRPr="007531A0">
              <w:rPr>
                <w:rFonts w:ascii="Arial" w:eastAsia="Times New Roman" w:hAnsi="Arial" w:cs="Arial"/>
                <w:color w:val="323E4F"/>
                <w:kern w:val="0"/>
                <w:sz w:val="24"/>
                <w:szCs w:val="24"/>
                <w:lang w:eastAsia="en-GB"/>
                <w14:ligatures w14:val="none"/>
              </w:rPr>
              <w:t>Counselling</w:t>
            </w:r>
          </w:p>
        </w:tc>
        <w:tc>
          <w:tcPr>
            <w:tcW w:w="842" w:type="dxa"/>
          </w:tcPr>
          <w:p w14:paraId="5CD8CC46"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c>
          <w:tcPr>
            <w:tcW w:w="2883" w:type="dxa"/>
          </w:tcPr>
          <w:p w14:paraId="042189C0"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Semi structured interviews</w:t>
            </w:r>
          </w:p>
        </w:tc>
        <w:tc>
          <w:tcPr>
            <w:tcW w:w="707" w:type="dxa"/>
          </w:tcPr>
          <w:p w14:paraId="15AE48F2" w14:textId="3AD4356B"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708" w:type="dxa"/>
          </w:tcPr>
          <w:p w14:paraId="5A31163F" w14:textId="1CB63964"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975" w:type="dxa"/>
          </w:tcPr>
          <w:p w14:paraId="282F60C8"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842" w:type="dxa"/>
          </w:tcPr>
          <w:p w14:paraId="3CA08FBB"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r>
      <w:tr w:rsidR="00C3553F" w:rsidRPr="00F4775B" w14:paraId="1AEED6A4" w14:textId="77777777" w:rsidTr="00DA0564">
        <w:trPr>
          <w:trHeight w:val="1327"/>
        </w:trPr>
        <w:tc>
          <w:tcPr>
            <w:tcW w:w="3545" w:type="dxa"/>
          </w:tcPr>
          <w:p w14:paraId="5BE98852" w14:textId="1C73E3EE"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sz w:val="24"/>
                <w:szCs w:val="24"/>
              </w:rPr>
              <w:t>Application of a new ultrasound criterion for the diagnosis of polycystic ovary syndrome</w:t>
            </w:r>
          </w:p>
        </w:tc>
        <w:tc>
          <w:tcPr>
            <w:tcW w:w="2405" w:type="dxa"/>
          </w:tcPr>
          <w:p w14:paraId="291F9213" w14:textId="4933712B"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Calibri" w:eastAsia="Times New Roman" w:hAnsi="Calibri" w:cs="Calibri"/>
                <w:color w:val="000000"/>
                <w:sz w:val="24"/>
                <w:szCs w:val="24"/>
                <w:lang w:eastAsia="en-GB"/>
              </w:rPr>
              <w:t xml:space="preserve">Peralta-Gimenez, I,. </w:t>
            </w:r>
            <w:proofErr w:type="spellStart"/>
            <w:r w:rsidRPr="007531A0">
              <w:rPr>
                <w:rFonts w:ascii="Calibri" w:eastAsia="Times New Roman" w:hAnsi="Calibri" w:cs="Calibri"/>
                <w:color w:val="000000"/>
                <w:sz w:val="24"/>
                <w:szCs w:val="24"/>
                <w:lang w:eastAsia="en-GB"/>
              </w:rPr>
              <w:t>Lilue</w:t>
            </w:r>
            <w:proofErr w:type="spellEnd"/>
            <w:r w:rsidRPr="007531A0">
              <w:rPr>
                <w:rFonts w:ascii="Calibri" w:eastAsia="Times New Roman" w:hAnsi="Calibri" w:cs="Calibri"/>
                <w:color w:val="000000"/>
                <w:sz w:val="24"/>
                <w:szCs w:val="24"/>
                <w:lang w:eastAsia="en-GB"/>
              </w:rPr>
              <w:t xml:space="preserve">, M., Mendoza, N., </w:t>
            </w:r>
            <w:proofErr w:type="spellStart"/>
            <w:r w:rsidRPr="007531A0">
              <w:rPr>
                <w:rFonts w:ascii="Calibri" w:eastAsia="Times New Roman" w:hAnsi="Calibri" w:cs="Calibri"/>
                <w:color w:val="000000"/>
                <w:sz w:val="24"/>
                <w:szCs w:val="24"/>
                <w:lang w:eastAsia="en-GB"/>
              </w:rPr>
              <w:t>Tesarik</w:t>
            </w:r>
            <w:proofErr w:type="spellEnd"/>
            <w:r w:rsidRPr="007531A0">
              <w:rPr>
                <w:rFonts w:ascii="Calibri" w:eastAsia="Times New Roman" w:hAnsi="Calibri" w:cs="Calibri"/>
                <w:color w:val="000000"/>
                <w:sz w:val="24"/>
                <w:szCs w:val="24"/>
                <w:lang w:eastAsia="en-GB"/>
              </w:rPr>
              <w:t xml:space="preserve">, J. and </w:t>
            </w:r>
            <w:proofErr w:type="spellStart"/>
            <w:r w:rsidRPr="007531A0">
              <w:rPr>
                <w:rFonts w:ascii="Calibri" w:eastAsia="Times New Roman" w:hAnsi="Calibri" w:cs="Calibri"/>
                <w:color w:val="000000"/>
                <w:sz w:val="24"/>
                <w:szCs w:val="24"/>
                <w:lang w:eastAsia="en-GB"/>
              </w:rPr>
              <w:t>Mazheika</w:t>
            </w:r>
            <w:proofErr w:type="spellEnd"/>
            <w:r w:rsidRPr="007531A0">
              <w:rPr>
                <w:rFonts w:ascii="Calibri" w:eastAsia="Times New Roman" w:hAnsi="Calibri" w:cs="Calibri"/>
                <w:color w:val="000000"/>
                <w:sz w:val="24"/>
                <w:szCs w:val="24"/>
                <w:lang w:eastAsia="en-GB"/>
              </w:rPr>
              <w:t>, M.</w:t>
            </w:r>
          </w:p>
        </w:tc>
        <w:tc>
          <w:tcPr>
            <w:tcW w:w="1283" w:type="dxa"/>
          </w:tcPr>
          <w:p w14:paraId="3B33A60A" w14:textId="2CA2D675"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2022</w:t>
            </w:r>
          </w:p>
        </w:tc>
        <w:tc>
          <w:tcPr>
            <w:tcW w:w="1829" w:type="dxa"/>
          </w:tcPr>
          <w:p w14:paraId="47759DE2" w14:textId="1625644A" w:rsidR="00476E3E" w:rsidRPr="007531A0" w:rsidRDefault="00C3553F" w:rsidP="00476E3E">
            <w:pPr>
              <w:jc w:val="center"/>
              <w:textAlignment w:val="baseline"/>
              <w:rPr>
                <w:rFonts w:eastAsia="Times New Roman" w:cstheme="minorHAnsi"/>
                <w:color w:val="323E4F"/>
                <w:kern w:val="0"/>
                <w:sz w:val="24"/>
                <w:szCs w:val="24"/>
                <w:lang w:eastAsia="en-GB"/>
                <w14:ligatures w14:val="none"/>
              </w:rPr>
            </w:pPr>
            <w:r w:rsidRPr="007531A0">
              <w:rPr>
                <w:rFonts w:eastAsia="Times New Roman" w:cstheme="minorHAnsi"/>
                <w:color w:val="323E4F"/>
                <w:kern w:val="0"/>
                <w:sz w:val="24"/>
                <w:szCs w:val="24"/>
                <w:lang w:eastAsia="en-GB"/>
                <w14:ligatures w14:val="none"/>
              </w:rPr>
              <w:t>Frontiers</w:t>
            </w:r>
          </w:p>
        </w:tc>
        <w:tc>
          <w:tcPr>
            <w:tcW w:w="842" w:type="dxa"/>
          </w:tcPr>
          <w:p w14:paraId="0636AF30"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No</w:t>
            </w:r>
          </w:p>
        </w:tc>
        <w:tc>
          <w:tcPr>
            <w:tcW w:w="2883" w:type="dxa"/>
          </w:tcPr>
          <w:p w14:paraId="7AEB6DDF"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Cross sectional study of Ultrasound scans </w:t>
            </w:r>
          </w:p>
        </w:tc>
        <w:tc>
          <w:tcPr>
            <w:tcW w:w="707" w:type="dxa"/>
          </w:tcPr>
          <w:p w14:paraId="34E2EF03" w14:textId="39D3516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c>
          <w:tcPr>
            <w:tcW w:w="708" w:type="dxa"/>
          </w:tcPr>
          <w:p w14:paraId="00F80841" w14:textId="240FD132"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 xml:space="preserve">Yes </w:t>
            </w:r>
          </w:p>
        </w:tc>
        <w:tc>
          <w:tcPr>
            <w:tcW w:w="975" w:type="dxa"/>
          </w:tcPr>
          <w:p w14:paraId="46616800"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c>
          <w:tcPr>
            <w:tcW w:w="842" w:type="dxa"/>
          </w:tcPr>
          <w:p w14:paraId="21DF9F4B" w14:textId="77777777" w:rsidR="00476E3E" w:rsidRPr="007531A0" w:rsidRDefault="00476E3E" w:rsidP="00476E3E">
            <w:pPr>
              <w:jc w:val="center"/>
              <w:textAlignment w:val="baseline"/>
              <w:rPr>
                <w:rFonts w:ascii="Arial" w:eastAsia="Times New Roman" w:hAnsi="Arial" w:cs="Arial"/>
                <w:color w:val="323E4F"/>
                <w:kern w:val="0"/>
                <w:sz w:val="24"/>
                <w:szCs w:val="24"/>
                <w:lang w:eastAsia="en-GB"/>
                <w14:ligatures w14:val="none"/>
              </w:rPr>
            </w:pPr>
            <w:r w:rsidRPr="007531A0">
              <w:rPr>
                <w:rFonts w:ascii="Arial" w:eastAsia="Times New Roman" w:hAnsi="Arial" w:cs="Arial"/>
                <w:color w:val="323E4F"/>
                <w:kern w:val="0"/>
                <w:sz w:val="24"/>
                <w:szCs w:val="24"/>
                <w:lang w:eastAsia="en-GB"/>
                <w14:ligatures w14:val="none"/>
              </w:rPr>
              <w:t>Yes</w:t>
            </w:r>
          </w:p>
        </w:tc>
      </w:tr>
    </w:tbl>
    <w:p w14:paraId="1FC9E887" w14:textId="77777777" w:rsidR="00F4775B" w:rsidRDefault="00F4775B" w:rsidP="00F4775B">
      <w:pPr>
        <w:sectPr w:rsidR="00F4775B" w:rsidSect="00F4775B">
          <w:pgSz w:w="16838" w:h="11906" w:orient="landscape"/>
          <w:pgMar w:top="1440" w:right="1440" w:bottom="1440" w:left="1440" w:header="720" w:footer="720" w:gutter="0"/>
          <w:cols w:space="720"/>
          <w:docGrid w:linePitch="360"/>
        </w:sectPr>
      </w:pPr>
    </w:p>
    <w:p w14:paraId="72A47B2B" w14:textId="77777777" w:rsidR="00F4775B" w:rsidRDefault="00F4775B" w:rsidP="00F4775B"/>
    <w:p w14:paraId="08D9A8B7" w14:textId="77777777" w:rsidR="00F4775B" w:rsidRDefault="00F4775B" w:rsidP="00F4775B"/>
    <w:p w14:paraId="526BED41" w14:textId="77777777" w:rsidR="001E61D6" w:rsidRPr="001A24AF" w:rsidRDefault="001E61D6" w:rsidP="009D5C5B">
      <w:pPr>
        <w:rPr>
          <w:rFonts w:eastAsia="Times New Roman" w:cstheme="minorHAnsi"/>
          <w:color w:val="0563C1"/>
          <w:sz w:val="24"/>
          <w:szCs w:val="24"/>
          <w:u w:val="single"/>
          <w:lang w:eastAsia="en-GB"/>
        </w:rPr>
      </w:pPr>
    </w:p>
    <w:p w14:paraId="4BEEC99E" w14:textId="77777777" w:rsidR="00F2073E" w:rsidRPr="00C3553F" w:rsidRDefault="00F2073E" w:rsidP="00607272">
      <w:pPr>
        <w:tabs>
          <w:tab w:val="left" w:pos="6070"/>
        </w:tabs>
        <w:rPr>
          <w:b/>
          <w:bCs/>
          <w:sz w:val="24"/>
          <w:szCs w:val="24"/>
        </w:rPr>
      </w:pPr>
    </w:p>
    <w:sectPr w:rsidR="00F2073E" w:rsidRPr="00C3553F" w:rsidSect="00F4775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717A6E" w14:textId="77777777" w:rsidR="00337BEC" w:rsidRDefault="00337BEC" w:rsidP="00337BEC">
      <w:pPr>
        <w:spacing w:after="0" w:line="240" w:lineRule="auto"/>
      </w:pPr>
      <w:r>
        <w:separator/>
      </w:r>
    </w:p>
  </w:endnote>
  <w:endnote w:type="continuationSeparator" w:id="0">
    <w:p w14:paraId="75CC6821" w14:textId="77777777" w:rsidR="00337BEC" w:rsidRDefault="00337BEC" w:rsidP="00337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6019968"/>
      <w:docPartObj>
        <w:docPartGallery w:val="Page Numbers (Bottom of Page)"/>
        <w:docPartUnique/>
      </w:docPartObj>
    </w:sdtPr>
    <w:sdtEndPr>
      <w:rPr>
        <w:noProof/>
      </w:rPr>
    </w:sdtEndPr>
    <w:sdtContent>
      <w:p w14:paraId="04EB6700" w14:textId="4F0D6E7E" w:rsidR="00406159" w:rsidRDefault="004061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39B13" w14:textId="77777777" w:rsidR="00337BEC" w:rsidRDefault="00337B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0789CC" w14:textId="77777777" w:rsidR="00337BEC" w:rsidRDefault="00337BEC" w:rsidP="00337BEC">
      <w:pPr>
        <w:spacing w:after="0" w:line="240" w:lineRule="auto"/>
      </w:pPr>
      <w:r>
        <w:separator/>
      </w:r>
    </w:p>
  </w:footnote>
  <w:footnote w:type="continuationSeparator" w:id="0">
    <w:p w14:paraId="007BBFD6" w14:textId="77777777" w:rsidR="00337BEC" w:rsidRDefault="00337BEC" w:rsidP="00337B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5B1EF7"/>
    <w:multiLevelType w:val="hybridMultilevel"/>
    <w:tmpl w:val="6636905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F90E5A"/>
    <w:multiLevelType w:val="hybridMultilevel"/>
    <w:tmpl w:val="9FDC3DEA"/>
    <w:lvl w:ilvl="0" w:tplc="0809000D">
      <w:start w:val="1"/>
      <w:numFmt w:val="bullet"/>
      <w:lvlText w:val=""/>
      <w:lvlJc w:val="left"/>
      <w:pPr>
        <w:ind w:left="900" w:hanging="360"/>
      </w:pPr>
      <w:rPr>
        <w:rFonts w:ascii="Wingdings" w:hAnsi="Wingdings" w:cs="Wingdings" w:hint="default"/>
      </w:rPr>
    </w:lvl>
    <w:lvl w:ilvl="1" w:tplc="08090003">
      <w:start w:val="1"/>
      <w:numFmt w:val="bullet"/>
      <w:lvlText w:val="o"/>
      <w:lvlJc w:val="left"/>
      <w:pPr>
        <w:ind w:left="1620" w:hanging="360"/>
      </w:pPr>
      <w:rPr>
        <w:rFonts w:ascii="Courier New" w:hAnsi="Courier New" w:cs="Courier New" w:hint="default"/>
      </w:rPr>
    </w:lvl>
    <w:lvl w:ilvl="2" w:tplc="08090005">
      <w:start w:val="1"/>
      <w:numFmt w:val="bullet"/>
      <w:lvlText w:val=""/>
      <w:lvlJc w:val="left"/>
      <w:pPr>
        <w:ind w:left="2340" w:hanging="360"/>
      </w:pPr>
      <w:rPr>
        <w:rFonts w:ascii="Wingdings" w:hAnsi="Wingdings" w:hint="default"/>
      </w:rPr>
    </w:lvl>
    <w:lvl w:ilvl="3" w:tplc="08090001">
      <w:start w:val="1"/>
      <w:numFmt w:val="bullet"/>
      <w:lvlText w:val=""/>
      <w:lvlJc w:val="left"/>
      <w:pPr>
        <w:ind w:left="3060" w:hanging="360"/>
      </w:pPr>
      <w:rPr>
        <w:rFonts w:ascii="Symbol" w:hAnsi="Symbol" w:hint="default"/>
      </w:rPr>
    </w:lvl>
    <w:lvl w:ilvl="4" w:tplc="08090003">
      <w:start w:val="1"/>
      <w:numFmt w:val="bullet"/>
      <w:lvlText w:val="o"/>
      <w:lvlJc w:val="left"/>
      <w:pPr>
        <w:ind w:left="3780" w:hanging="360"/>
      </w:pPr>
      <w:rPr>
        <w:rFonts w:ascii="Courier New" w:hAnsi="Courier New" w:cs="Courier New" w:hint="default"/>
      </w:rPr>
    </w:lvl>
    <w:lvl w:ilvl="5" w:tplc="08090005">
      <w:start w:val="1"/>
      <w:numFmt w:val="bullet"/>
      <w:lvlText w:val=""/>
      <w:lvlJc w:val="left"/>
      <w:pPr>
        <w:ind w:left="4500" w:hanging="360"/>
      </w:pPr>
      <w:rPr>
        <w:rFonts w:ascii="Wingdings" w:hAnsi="Wingdings" w:hint="default"/>
      </w:rPr>
    </w:lvl>
    <w:lvl w:ilvl="6" w:tplc="08090001">
      <w:start w:val="1"/>
      <w:numFmt w:val="bullet"/>
      <w:lvlText w:val=""/>
      <w:lvlJc w:val="left"/>
      <w:pPr>
        <w:ind w:left="5220" w:hanging="360"/>
      </w:pPr>
      <w:rPr>
        <w:rFonts w:ascii="Symbol" w:hAnsi="Symbol" w:hint="default"/>
      </w:rPr>
    </w:lvl>
    <w:lvl w:ilvl="7" w:tplc="08090003">
      <w:start w:val="1"/>
      <w:numFmt w:val="bullet"/>
      <w:lvlText w:val="o"/>
      <w:lvlJc w:val="left"/>
      <w:pPr>
        <w:ind w:left="5940" w:hanging="360"/>
      </w:pPr>
      <w:rPr>
        <w:rFonts w:ascii="Courier New" w:hAnsi="Courier New" w:cs="Courier New" w:hint="default"/>
      </w:rPr>
    </w:lvl>
    <w:lvl w:ilvl="8" w:tplc="08090005">
      <w:start w:val="1"/>
      <w:numFmt w:val="bullet"/>
      <w:lvlText w:val=""/>
      <w:lvlJc w:val="left"/>
      <w:pPr>
        <w:ind w:left="6660" w:hanging="360"/>
      </w:pPr>
      <w:rPr>
        <w:rFonts w:ascii="Wingdings" w:hAnsi="Wingdings" w:hint="default"/>
      </w:rPr>
    </w:lvl>
  </w:abstractNum>
  <w:abstractNum w:abstractNumId="2" w15:restartNumberingAfterBreak="0">
    <w:nsid w:val="230C3D2A"/>
    <w:multiLevelType w:val="hybridMultilevel"/>
    <w:tmpl w:val="44BC5448"/>
    <w:lvl w:ilvl="0" w:tplc="0809000D">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2AA5182"/>
    <w:multiLevelType w:val="multilevel"/>
    <w:tmpl w:val="71CC1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305BDC"/>
    <w:multiLevelType w:val="hybridMultilevel"/>
    <w:tmpl w:val="C6C889AE"/>
    <w:lvl w:ilvl="0" w:tplc="0809000D">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36228498">
    <w:abstractNumId w:val="4"/>
  </w:num>
  <w:num w:numId="2" w16cid:durableId="393821157">
    <w:abstractNumId w:val="0"/>
  </w:num>
  <w:num w:numId="3" w16cid:durableId="1498763988">
    <w:abstractNumId w:val="2"/>
  </w:num>
  <w:num w:numId="4" w16cid:durableId="709573669">
    <w:abstractNumId w:val="1"/>
  </w:num>
  <w:num w:numId="5" w16cid:durableId="11659732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3D6CA"/>
    <w:rsid w:val="000046DC"/>
    <w:rsid w:val="00016534"/>
    <w:rsid w:val="00045ADD"/>
    <w:rsid w:val="0006392D"/>
    <w:rsid w:val="000715FB"/>
    <w:rsid w:val="00077CC6"/>
    <w:rsid w:val="00096EB6"/>
    <w:rsid w:val="000B32E9"/>
    <w:rsid w:val="000C116F"/>
    <w:rsid w:val="000F1627"/>
    <w:rsid w:val="000F6A22"/>
    <w:rsid w:val="0012313F"/>
    <w:rsid w:val="0016709F"/>
    <w:rsid w:val="0017000C"/>
    <w:rsid w:val="00180C05"/>
    <w:rsid w:val="001A24AF"/>
    <w:rsid w:val="001B41F2"/>
    <w:rsid w:val="001B5B67"/>
    <w:rsid w:val="001B7061"/>
    <w:rsid w:val="001E3A71"/>
    <w:rsid w:val="001E61D6"/>
    <w:rsid w:val="00266013"/>
    <w:rsid w:val="002B1CC1"/>
    <w:rsid w:val="002C73CB"/>
    <w:rsid w:val="002E0669"/>
    <w:rsid w:val="002E3C64"/>
    <w:rsid w:val="00337BEC"/>
    <w:rsid w:val="00350672"/>
    <w:rsid w:val="00361543"/>
    <w:rsid w:val="003A6D12"/>
    <w:rsid w:val="003C1877"/>
    <w:rsid w:val="003D3F5D"/>
    <w:rsid w:val="003E3A57"/>
    <w:rsid w:val="003F7F28"/>
    <w:rsid w:val="00406159"/>
    <w:rsid w:val="00427F72"/>
    <w:rsid w:val="00434534"/>
    <w:rsid w:val="00435883"/>
    <w:rsid w:val="004628BA"/>
    <w:rsid w:val="00475D94"/>
    <w:rsid w:val="00476E3E"/>
    <w:rsid w:val="004D2261"/>
    <w:rsid w:val="004F6975"/>
    <w:rsid w:val="00505288"/>
    <w:rsid w:val="0052094D"/>
    <w:rsid w:val="005E2F7E"/>
    <w:rsid w:val="005E584F"/>
    <w:rsid w:val="00607272"/>
    <w:rsid w:val="00630145"/>
    <w:rsid w:val="0067385E"/>
    <w:rsid w:val="0067520C"/>
    <w:rsid w:val="007531A0"/>
    <w:rsid w:val="00756F0F"/>
    <w:rsid w:val="007575AF"/>
    <w:rsid w:val="007A1173"/>
    <w:rsid w:val="00885051"/>
    <w:rsid w:val="008A4DC5"/>
    <w:rsid w:val="008B3651"/>
    <w:rsid w:val="008C3934"/>
    <w:rsid w:val="00902BF0"/>
    <w:rsid w:val="00926AA9"/>
    <w:rsid w:val="00952E44"/>
    <w:rsid w:val="00973CA7"/>
    <w:rsid w:val="009A0FB7"/>
    <w:rsid w:val="009B322C"/>
    <w:rsid w:val="009D119E"/>
    <w:rsid w:val="009D5C5B"/>
    <w:rsid w:val="009E4CBC"/>
    <w:rsid w:val="009F0D5B"/>
    <w:rsid w:val="00A350A8"/>
    <w:rsid w:val="00A61C72"/>
    <w:rsid w:val="00A87FCC"/>
    <w:rsid w:val="00AE7757"/>
    <w:rsid w:val="00B14F6F"/>
    <w:rsid w:val="00B26299"/>
    <w:rsid w:val="00B3305C"/>
    <w:rsid w:val="00B474CE"/>
    <w:rsid w:val="00BB4EFE"/>
    <w:rsid w:val="00BF243C"/>
    <w:rsid w:val="00C021A6"/>
    <w:rsid w:val="00C11D68"/>
    <w:rsid w:val="00C3553F"/>
    <w:rsid w:val="00C4145B"/>
    <w:rsid w:val="00C52B1E"/>
    <w:rsid w:val="00C74C3A"/>
    <w:rsid w:val="00CA012F"/>
    <w:rsid w:val="00D108BE"/>
    <w:rsid w:val="00D7764D"/>
    <w:rsid w:val="00DA0A1B"/>
    <w:rsid w:val="00DF7B6D"/>
    <w:rsid w:val="00E062CA"/>
    <w:rsid w:val="00E172EA"/>
    <w:rsid w:val="00E637EA"/>
    <w:rsid w:val="00EB124C"/>
    <w:rsid w:val="00EB1537"/>
    <w:rsid w:val="00EB256E"/>
    <w:rsid w:val="00F02E46"/>
    <w:rsid w:val="00F2073E"/>
    <w:rsid w:val="00F276A3"/>
    <w:rsid w:val="00F4775B"/>
    <w:rsid w:val="00F5447B"/>
    <w:rsid w:val="00F54769"/>
    <w:rsid w:val="00F661B2"/>
    <w:rsid w:val="00F72718"/>
    <w:rsid w:val="00F87602"/>
    <w:rsid w:val="00F91F11"/>
    <w:rsid w:val="00FF7E8C"/>
    <w:rsid w:val="082D59E9"/>
    <w:rsid w:val="2BA3D6CA"/>
    <w:rsid w:val="705D6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3D6CA"/>
  <w15:chartTrackingRefBased/>
  <w15:docId w15:val="{B9930397-CAC2-46E7-8E2D-29C03929B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uiPriority w:val="39"/>
    <w:rsid w:val="001B5B67"/>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7BEC"/>
    <w:rPr>
      <w:color w:val="0000FF"/>
      <w:u w:val="single"/>
    </w:rPr>
  </w:style>
  <w:style w:type="paragraph" w:styleId="Header">
    <w:name w:val="header"/>
    <w:basedOn w:val="Normal"/>
    <w:link w:val="HeaderChar"/>
    <w:uiPriority w:val="99"/>
    <w:unhideWhenUsed/>
    <w:rsid w:val="00337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BEC"/>
  </w:style>
  <w:style w:type="paragraph" w:styleId="Footer">
    <w:name w:val="footer"/>
    <w:basedOn w:val="Normal"/>
    <w:link w:val="FooterChar"/>
    <w:uiPriority w:val="99"/>
    <w:unhideWhenUsed/>
    <w:rsid w:val="00337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BEC"/>
  </w:style>
  <w:style w:type="character" w:styleId="UnresolvedMention">
    <w:name w:val="Unresolved Mention"/>
    <w:basedOn w:val="DefaultParagraphFont"/>
    <w:uiPriority w:val="99"/>
    <w:semiHidden/>
    <w:unhideWhenUsed/>
    <w:rsid w:val="004D2261"/>
    <w:rPr>
      <w:color w:val="605E5C"/>
      <w:shd w:val="clear" w:color="auto" w:fill="E1DFDD"/>
    </w:rPr>
  </w:style>
  <w:style w:type="table" w:styleId="TableGrid">
    <w:name w:val="Table Grid"/>
    <w:basedOn w:val="TableNormal"/>
    <w:uiPriority w:val="39"/>
    <w:rsid w:val="00F4775B"/>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F6A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F6A22"/>
  </w:style>
  <w:style w:type="character" w:customStyle="1" w:styleId="eop">
    <w:name w:val="eop"/>
    <w:basedOn w:val="DefaultParagraphFont"/>
    <w:rsid w:val="000F6A22"/>
  </w:style>
  <w:style w:type="paragraph" w:customStyle="1" w:styleId="react-xocs-list-item">
    <w:name w:val="react-xocs-list-item"/>
    <w:basedOn w:val="Normal"/>
    <w:rsid w:val="004358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358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label">
    <w:name w:val="list-label"/>
    <w:basedOn w:val="DefaultParagraphFont"/>
    <w:rsid w:val="00435883"/>
  </w:style>
  <w:style w:type="paragraph" w:styleId="NoSpacing">
    <w:name w:val="No Spacing"/>
    <w:uiPriority w:val="1"/>
    <w:qFormat/>
    <w:rsid w:val="008B3651"/>
    <w:pPr>
      <w:spacing w:after="0" w:line="240" w:lineRule="auto"/>
    </w:pPr>
  </w:style>
  <w:style w:type="character" w:customStyle="1" w:styleId="al-author-name-more">
    <w:name w:val="al-author-name-more"/>
    <w:basedOn w:val="DefaultParagraphFont"/>
    <w:rsid w:val="00C3553F"/>
  </w:style>
  <w:style w:type="character" w:customStyle="1" w:styleId="delimiter">
    <w:name w:val="delimiter"/>
    <w:basedOn w:val="DefaultParagraphFont"/>
    <w:rsid w:val="00C35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18966">
      <w:bodyDiv w:val="1"/>
      <w:marLeft w:val="0"/>
      <w:marRight w:val="0"/>
      <w:marTop w:val="0"/>
      <w:marBottom w:val="0"/>
      <w:divBdr>
        <w:top w:val="none" w:sz="0" w:space="0" w:color="auto"/>
        <w:left w:val="none" w:sz="0" w:space="0" w:color="auto"/>
        <w:bottom w:val="none" w:sz="0" w:space="0" w:color="auto"/>
        <w:right w:val="none" w:sz="0" w:space="0" w:color="auto"/>
      </w:divBdr>
    </w:div>
    <w:div w:id="12391375">
      <w:bodyDiv w:val="1"/>
      <w:marLeft w:val="0"/>
      <w:marRight w:val="0"/>
      <w:marTop w:val="0"/>
      <w:marBottom w:val="0"/>
      <w:divBdr>
        <w:top w:val="none" w:sz="0" w:space="0" w:color="auto"/>
        <w:left w:val="none" w:sz="0" w:space="0" w:color="auto"/>
        <w:bottom w:val="none" w:sz="0" w:space="0" w:color="auto"/>
        <w:right w:val="none" w:sz="0" w:space="0" w:color="auto"/>
      </w:divBdr>
    </w:div>
    <w:div w:id="91629900">
      <w:bodyDiv w:val="1"/>
      <w:marLeft w:val="0"/>
      <w:marRight w:val="0"/>
      <w:marTop w:val="0"/>
      <w:marBottom w:val="0"/>
      <w:divBdr>
        <w:top w:val="none" w:sz="0" w:space="0" w:color="auto"/>
        <w:left w:val="none" w:sz="0" w:space="0" w:color="auto"/>
        <w:bottom w:val="none" w:sz="0" w:space="0" w:color="auto"/>
        <w:right w:val="none" w:sz="0" w:space="0" w:color="auto"/>
      </w:divBdr>
    </w:div>
    <w:div w:id="100150546">
      <w:bodyDiv w:val="1"/>
      <w:marLeft w:val="0"/>
      <w:marRight w:val="0"/>
      <w:marTop w:val="0"/>
      <w:marBottom w:val="0"/>
      <w:divBdr>
        <w:top w:val="none" w:sz="0" w:space="0" w:color="auto"/>
        <w:left w:val="none" w:sz="0" w:space="0" w:color="auto"/>
        <w:bottom w:val="none" w:sz="0" w:space="0" w:color="auto"/>
        <w:right w:val="none" w:sz="0" w:space="0" w:color="auto"/>
      </w:divBdr>
    </w:div>
    <w:div w:id="143619898">
      <w:bodyDiv w:val="1"/>
      <w:marLeft w:val="0"/>
      <w:marRight w:val="0"/>
      <w:marTop w:val="0"/>
      <w:marBottom w:val="0"/>
      <w:divBdr>
        <w:top w:val="none" w:sz="0" w:space="0" w:color="auto"/>
        <w:left w:val="none" w:sz="0" w:space="0" w:color="auto"/>
        <w:bottom w:val="none" w:sz="0" w:space="0" w:color="auto"/>
        <w:right w:val="none" w:sz="0" w:space="0" w:color="auto"/>
      </w:divBdr>
    </w:div>
    <w:div w:id="214590072">
      <w:bodyDiv w:val="1"/>
      <w:marLeft w:val="0"/>
      <w:marRight w:val="0"/>
      <w:marTop w:val="0"/>
      <w:marBottom w:val="0"/>
      <w:divBdr>
        <w:top w:val="none" w:sz="0" w:space="0" w:color="auto"/>
        <w:left w:val="none" w:sz="0" w:space="0" w:color="auto"/>
        <w:bottom w:val="none" w:sz="0" w:space="0" w:color="auto"/>
        <w:right w:val="none" w:sz="0" w:space="0" w:color="auto"/>
      </w:divBdr>
    </w:div>
    <w:div w:id="241764349">
      <w:bodyDiv w:val="1"/>
      <w:marLeft w:val="0"/>
      <w:marRight w:val="0"/>
      <w:marTop w:val="0"/>
      <w:marBottom w:val="0"/>
      <w:divBdr>
        <w:top w:val="none" w:sz="0" w:space="0" w:color="auto"/>
        <w:left w:val="none" w:sz="0" w:space="0" w:color="auto"/>
        <w:bottom w:val="none" w:sz="0" w:space="0" w:color="auto"/>
        <w:right w:val="none" w:sz="0" w:space="0" w:color="auto"/>
      </w:divBdr>
    </w:div>
    <w:div w:id="267473471">
      <w:bodyDiv w:val="1"/>
      <w:marLeft w:val="0"/>
      <w:marRight w:val="0"/>
      <w:marTop w:val="0"/>
      <w:marBottom w:val="0"/>
      <w:divBdr>
        <w:top w:val="none" w:sz="0" w:space="0" w:color="auto"/>
        <w:left w:val="none" w:sz="0" w:space="0" w:color="auto"/>
        <w:bottom w:val="none" w:sz="0" w:space="0" w:color="auto"/>
        <w:right w:val="none" w:sz="0" w:space="0" w:color="auto"/>
      </w:divBdr>
    </w:div>
    <w:div w:id="274873070">
      <w:bodyDiv w:val="1"/>
      <w:marLeft w:val="0"/>
      <w:marRight w:val="0"/>
      <w:marTop w:val="0"/>
      <w:marBottom w:val="0"/>
      <w:divBdr>
        <w:top w:val="none" w:sz="0" w:space="0" w:color="auto"/>
        <w:left w:val="none" w:sz="0" w:space="0" w:color="auto"/>
        <w:bottom w:val="none" w:sz="0" w:space="0" w:color="auto"/>
        <w:right w:val="none" w:sz="0" w:space="0" w:color="auto"/>
      </w:divBdr>
    </w:div>
    <w:div w:id="306741240">
      <w:bodyDiv w:val="1"/>
      <w:marLeft w:val="0"/>
      <w:marRight w:val="0"/>
      <w:marTop w:val="0"/>
      <w:marBottom w:val="0"/>
      <w:divBdr>
        <w:top w:val="none" w:sz="0" w:space="0" w:color="auto"/>
        <w:left w:val="none" w:sz="0" w:space="0" w:color="auto"/>
        <w:bottom w:val="none" w:sz="0" w:space="0" w:color="auto"/>
        <w:right w:val="none" w:sz="0" w:space="0" w:color="auto"/>
      </w:divBdr>
    </w:div>
    <w:div w:id="321665551">
      <w:bodyDiv w:val="1"/>
      <w:marLeft w:val="0"/>
      <w:marRight w:val="0"/>
      <w:marTop w:val="0"/>
      <w:marBottom w:val="0"/>
      <w:divBdr>
        <w:top w:val="none" w:sz="0" w:space="0" w:color="auto"/>
        <w:left w:val="none" w:sz="0" w:space="0" w:color="auto"/>
        <w:bottom w:val="none" w:sz="0" w:space="0" w:color="auto"/>
        <w:right w:val="none" w:sz="0" w:space="0" w:color="auto"/>
      </w:divBdr>
    </w:div>
    <w:div w:id="377433206">
      <w:bodyDiv w:val="1"/>
      <w:marLeft w:val="0"/>
      <w:marRight w:val="0"/>
      <w:marTop w:val="0"/>
      <w:marBottom w:val="0"/>
      <w:divBdr>
        <w:top w:val="none" w:sz="0" w:space="0" w:color="auto"/>
        <w:left w:val="none" w:sz="0" w:space="0" w:color="auto"/>
        <w:bottom w:val="none" w:sz="0" w:space="0" w:color="auto"/>
        <w:right w:val="none" w:sz="0" w:space="0" w:color="auto"/>
      </w:divBdr>
    </w:div>
    <w:div w:id="400908974">
      <w:bodyDiv w:val="1"/>
      <w:marLeft w:val="0"/>
      <w:marRight w:val="0"/>
      <w:marTop w:val="0"/>
      <w:marBottom w:val="0"/>
      <w:divBdr>
        <w:top w:val="none" w:sz="0" w:space="0" w:color="auto"/>
        <w:left w:val="none" w:sz="0" w:space="0" w:color="auto"/>
        <w:bottom w:val="none" w:sz="0" w:space="0" w:color="auto"/>
        <w:right w:val="none" w:sz="0" w:space="0" w:color="auto"/>
      </w:divBdr>
    </w:div>
    <w:div w:id="412363873">
      <w:bodyDiv w:val="1"/>
      <w:marLeft w:val="0"/>
      <w:marRight w:val="0"/>
      <w:marTop w:val="0"/>
      <w:marBottom w:val="0"/>
      <w:divBdr>
        <w:top w:val="none" w:sz="0" w:space="0" w:color="auto"/>
        <w:left w:val="none" w:sz="0" w:space="0" w:color="auto"/>
        <w:bottom w:val="none" w:sz="0" w:space="0" w:color="auto"/>
        <w:right w:val="none" w:sz="0" w:space="0" w:color="auto"/>
      </w:divBdr>
    </w:div>
    <w:div w:id="469445886">
      <w:bodyDiv w:val="1"/>
      <w:marLeft w:val="0"/>
      <w:marRight w:val="0"/>
      <w:marTop w:val="0"/>
      <w:marBottom w:val="0"/>
      <w:divBdr>
        <w:top w:val="none" w:sz="0" w:space="0" w:color="auto"/>
        <w:left w:val="none" w:sz="0" w:space="0" w:color="auto"/>
        <w:bottom w:val="none" w:sz="0" w:space="0" w:color="auto"/>
        <w:right w:val="none" w:sz="0" w:space="0" w:color="auto"/>
      </w:divBdr>
    </w:div>
    <w:div w:id="587272840">
      <w:bodyDiv w:val="1"/>
      <w:marLeft w:val="0"/>
      <w:marRight w:val="0"/>
      <w:marTop w:val="0"/>
      <w:marBottom w:val="0"/>
      <w:divBdr>
        <w:top w:val="none" w:sz="0" w:space="0" w:color="auto"/>
        <w:left w:val="none" w:sz="0" w:space="0" w:color="auto"/>
        <w:bottom w:val="none" w:sz="0" w:space="0" w:color="auto"/>
        <w:right w:val="none" w:sz="0" w:space="0" w:color="auto"/>
      </w:divBdr>
    </w:div>
    <w:div w:id="588007969">
      <w:bodyDiv w:val="1"/>
      <w:marLeft w:val="0"/>
      <w:marRight w:val="0"/>
      <w:marTop w:val="0"/>
      <w:marBottom w:val="0"/>
      <w:divBdr>
        <w:top w:val="none" w:sz="0" w:space="0" w:color="auto"/>
        <w:left w:val="none" w:sz="0" w:space="0" w:color="auto"/>
        <w:bottom w:val="none" w:sz="0" w:space="0" w:color="auto"/>
        <w:right w:val="none" w:sz="0" w:space="0" w:color="auto"/>
      </w:divBdr>
    </w:div>
    <w:div w:id="724378832">
      <w:bodyDiv w:val="1"/>
      <w:marLeft w:val="0"/>
      <w:marRight w:val="0"/>
      <w:marTop w:val="0"/>
      <w:marBottom w:val="0"/>
      <w:divBdr>
        <w:top w:val="none" w:sz="0" w:space="0" w:color="auto"/>
        <w:left w:val="none" w:sz="0" w:space="0" w:color="auto"/>
        <w:bottom w:val="none" w:sz="0" w:space="0" w:color="auto"/>
        <w:right w:val="none" w:sz="0" w:space="0" w:color="auto"/>
      </w:divBdr>
    </w:div>
    <w:div w:id="783421570">
      <w:bodyDiv w:val="1"/>
      <w:marLeft w:val="0"/>
      <w:marRight w:val="0"/>
      <w:marTop w:val="0"/>
      <w:marBottom w:val="0"/>
      <w:divBdr>
        <w:top w:val="none" w:sz="0" w:space="0" w:color="auto"/>
        <w:left w:val="none" w:sz="0" w:space="0" w:color="auto"/>
        <w:bottom w:val="none" w:sz="0" w:space="0" w:color="auto"/>
        <w:right w:val="none" w:sz="0" w:space="0" w:color="auto"/>
      </w:divBdr>
    </w:div>
    <w:div w:id="878470152">
      <w:bodyDiv w:val="1"/>
      <w:marLeft w:val="0"/>
      <w:marRight w:val="0"/>
      <w:marTop w:val="0"/>
      <w:marBottom w:val="0"/>
      <w:divBdr>
        <w:top w:val="none" w:sz="0" w:space="0" w:color="auto"/>
        <w:left w:val="none" w:sz="0" w:space="0" w:color="auto"/>
        <w:bottom w:val="none" w:sz="0" w:space="0" w:color="auto"/>
        <w:right w:val="none" w:sz="0" w:space="0" w:color="auto"/>
      </w:divBdr>
      <w:divsChild>
        <w:div w:id="1625303530">
          <w:marLeft w:val="0"/>
          <w:marRight w:val="0"/>
          <w:marTop w:val="0"/>
          <w:marBottom w:val="0"/>
          <w:divBdr>
            <w:top w:val="none" w:sz="0" w:space="0" w:color="auto"/>
            <w:left w:val="none" w:sz="0" w:space="0" w:color="auto"/>
            <w:bottom w:val="none" w:sz="0" w:space="0" w:color="auto"/>
            <w:right w:val="none" w:sz="0" w:space="0" w:color="auto"/>
          </w:divBdr>
        </w:div>
        <w:div w:id="454715230">
          <w:marLeft w:val="0"/>
          <w:marRight w:val="0"/>
          <w:marTop w:val="0"/>
          <w:marBottom w:val="0"/>
          <w:divBdr>
            <w:top w:val="none" w:sz="0" w:space="0" w:color="auto"/>
            <w:left w:val="none" w:sz="0" w:space="0" w:color="auto"/>
            <w:bottom w:val="none" w:sz="0" w:space="0" w:color="auto"/>
            <w:right w:val="none" w:sz="0" w:space="0" w:color="auto"/>
          </w:divBdr>
        </w:div>
      </w:divsChild>
    </w:div>
    <w:div w:id="880216045">
      <w:bodyDiv w:val="1"/>
      <w:marLeft w:val="0"/>
      <w:marRight w:val="0"/>
      <w:marTop w:val="0"/>
      <w:marBottom w:val="0"/>
      <w:divBdr>
        <w:top w:val="none" w:sz="0" w:space="0" w:color="auto"/>
        <w:left w:val="none" w:sz="0" w:space="0" w:color="auto"/>
        <w:bottom w:val="none" w:sz="0" w:space="0" w:color="auto"/>
        <w:right w:val="none" w:sz="0" w:space="0" w:color="auto"/>
      </w:divBdr>
    </w:div>
    <w:div w:id="912203170">
      <w:bodyDiv w:val="1"/>
      <w:marLeft w:val="0"/>
      <w:marRight w:val="0"/>
      <w:marTop w:val="0"/>
      <w:marBottom w:val="0"/>
      <w:divBdr>
        <w:top w:val="none" w:sz="0" w:space="0" w:color="auto"/>
        <w:left w:val="none" w:sz="0" w:space="0" w:color="auto"/>
        <w:bottom w:val="none" w:sz="0" w:space="0" w:color="auto"/>
        <w:right w:val="none" w:sz="0" w:space="0" w:color="auto"/>
      </w:divBdr>
    </w:div>
    <w:div w:id="913900110">
      <w:bodyDiv w:val="1"/>
      <w:marLeft w:val="0"/>
      <w:marRight w:val="0"/>
      <w:marTop w:val="0"/>
      <w:marBottom w:val="0"/>
      <w:divBdr>
        <w:top w:val="none" w:sz="0" w:space="0" w:color="auto"/>
        <w:left w:val="none" w:sz="0" w:space="0" w:color="auto"/>
        <w:bottom w:val="none" w:sz="0" w:space="0" w:color="auto"/>
        <w:right w:val="none" w:sz="0" w:space="0" w:color="auto"/>
      </w:divBdr>
    </w:div>
    <w:div w:id="994725513">
      <w:bodyDiv w:val="1"/>
      <w:marLeft w:val="0"/>
      <w:marRight w:val="0"/>
      <w:marTop w:val="0"/>
      <w:marBottom w:val="0"/>
      <w:divBdr>
        <w:top w:val="none" w:sz="0" w:space="0" w:color="auto"/>
        <w:left w:val="none" w:sz="0" w:space="0" w:color="auto"/>
        <w:bottom w:val="none" w:sz="0" w:space="0" w:color="auto"/>
        <w:right w:val="none" w:sz="0" w:space="0" w:color="auto"/>
      </w:divBdr>
    </w:div>
    <w:div w:id="1001199806">
      <w:bodyDiv w:val="1"/>
      <w:marLeft w:val="0"/>
      <w:marRight w:val="0"/>
      <w:marTop w:val="0"/>
      <w:marBottom w:val="0"/>
      <w:divBdr>
        <w:top w:val="none" w:sz="0" w:space="0" w:color="auto"/>
        <w:left w:val="none" w:sz="0" w:space="0" w:color="auto"/>
        <w:bottom w:val="none" w:sz="0" w:space="0" w:color="auto"/>
        <w:right w:val="none" w:sz="0" w:space="0" w:color="auto"/>
      </w:divBdr>
    </w:div>
    <w:div w:id="1084061994">
      <w:bodyDiv w:val="1"/>
      <w:marLeft w:val="0"/>
      <w:marRight w:val="0"/>
      <w:marTop w:val="0"/>
      <w:marBottom w:val="0"/>
      <w:divBdr>
        <w:top w:val="none" w:sz="0" w:space="0" w:color="auto"/>
        <w:left w:val="none" w:sz="0" w:space="0" w:color="auto"/>
        <w:bottom w:val="none" w:sz="0" w:space="0" w:color="auto"/>
        <w:right w:val="none" w:sz="0" w:space="0" w:color="auto"/>
      </w:divBdr>
    </w:div>
    <w:div w:id="1119689215">
      <w:bodyDiv w:val="1"/>
      <w:marLeft w:val="0"/>
      <w:marRight w:val="0"/>
      <w:marTop w:val="0"/>
      <w:marBottom w:val="0"/>
      <w:divBdr>
        <w:top w:val="none" w:sz="0" w:space="0" w:color="auto"/>
        <w:left w:val="none" w:sz="0" w:space="0" w:color="auto"/>
        <w:bottom w:val="none" w:sz="0" w:space="0" w:color="auto"/>
        <w:right w:val="none" w:sz="0" w:space="0" w:color="auto"/>
      </w:divBdr>
    </w:div>
    <w:div w:id="1173107614">
      <w:bodyDiv w:val="1"/>
      <w:marLeft w:val="0"/>
      <w:marRight w:val="0"/>
      <w:marTop w:val="0"/>
      <w:marBottom w:val="0"/>
      <w:divBdr>
        <w:top w:val="none" w:sz="0" w:space="0" w:color="auto"/>
        <w:left w:val="none" w:sz="0" w:space="0" w:color="auto"/>
        <w:bottom w:val="none" w:sz="0" w:space="0" w:color="auto"/>
        <w:right w:val="none" w:sz="0" w:space="0" w:color="auto"/>
      </w:divBdr>
    </w:div>
    <w:div w:id="1233394051">
      <w:bodyDiv w:val="1"/>
      <w:marLeft w:val="0"/>
      <w:marRight w:val="0"/>
      <w:marTop w:val="0"/>
      <w:marBottom w:val="0"/>
      <w:divBdr>
        <w:top w:val="none" w:sz="0" w:space="0" w:color="auto"/>
        <w:left w:val="none" w:sz="0" w:space="0" w:color="auto"/>
        <w:bottom w:val="none" w:sz="0" w:space="0" w:color="auto"/>
        <w:right w:val="none" w:sz="0" w:space="0" w:color="auto"/>
      </w:divBdr>
    </w:div>
    <w:div w:id="1240671110">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7126785">
      <w:bodyDiv w:val="1"/>
      <w:marLeft w:val="0"/>
      <w:marRight w:val="0"/>
      <w:marTop w:val="0"/>
      <w:marBottom w:val="0"/>
      <w:divBdr>
        <w:top w:val="none" w:sz="0" w:space="0" w:color="auto"/>
        <w:left w:val="none" w:sz="0" w:space="0" w:color="auto"/>
        <w:bottom w:val="none" w:sz="0" w:space="0" w:color="auto"/>
        <w:right w:val="none" w:sz="0" w:space="0" w:color="auto"/>
      </w:divBdr>
    </w:div>
    <w:div w:id="1362780336">
      <w:bodyDiv w:val="1"/>
      <w:marLeft w:val="0"/>
      <w:marRight w:val="0"/>
      <w:marTop w:val="0"/>
      <w:marBottom w:val="0"/>
      <w:divBdr>
        <w:top w:val="none" w:sz="0" w:space="0" w:color="auto"/>
        <w:left w:val="none" w:sz="0" w:space="0" w:color="auto"/>
        <w:bottom w:val="none" w:sz="0" w:space="0" w:color="auto"/>
        <w:right w:val="none" w:sz="0" w:space="0" w:color="auto"/>
      </w:divBdr>
    </w:div>
    <w:div w:id="1363553390">
      <w:bodyDiv w:val="1"/>
      <w:marLeft w:val="0"/>
      <w:marRight w:val="0"/>
      <w:marTop w:val="0"/>
      <w:marBottom w:val="0"/>
      <w:divBdr>
        <w:top w:val="none" w:sz="0" w:space="0" w:color="auto"/>
        <w:left w:val="none" w:sz="0" w:space="0" w:color="auto"/>
        <w:bottom w:val="none" w:sz="0" w:space="0" w:color="auto"/>
        <w:right w:val="none" w:sz="0" w:space="0" w:color="auto"/>
      </w:divBdr>
    </w:div>
    <w:div w:id="1450931584">
      <w:bodyDiv w:val="1"/>
      <w:marLeft w:val="0"/>
      <w:marRight w:val="0"/>
      <w:marTop w:val="0"/>
      <w:marBottom w:val="0"/>
      <w:divBdr>
        <w:top w:val="none" w:sz="0" w:space="0" w:color="auto"/>
        <w:left w:val="none" w:sz="0" w:space="0" w:color="auto"/>
        <w:bottom w:val="none" w:sz="0" w:space="0" w:color="auto"/>
        <w:right w:val="none" w:sz="0" w:space="0" w:color="auto"/>
      </w:divBdr>
    </w:div>
    <w:div w:id="1464620548">
      <w:bodyDiv w:val="1"/>
      <w:marLeft w:val="0"/>
      <w:marRight w:val="0"/>
      <w:marTop w:val="0"/>
      <w:marBottom w:val="0"/>
      <w:divBdr>
        <w:top w:val="none" w:sz="0" w:space="0" w:color="auto"/>
        <w:left w:val="none" w:sz="0" w:space="0" w:color="auto"/>
        <w:bottom w:val="none" w:sz="0" w:space="0" w:color="auto"/>
        <w:right w:val="none" w:sz="0" w:space="0" w:color="auto"/>
      </w:divBdr>
    </w:div>
    <w:div w:id="1465588028">
      <w:bodyDiv w:val="1"/>
      <w:marLeft w:val="0"/>
      <w:marRight w:val="0"/>
      <w:marTop w:val="0"/>
      <w:marBottom w:val="0"/>
      <w:divBdr>
        <w:top w:val="none" w:sz="0" w:space="0" w:color="auto"/>
        <w:left w:val="none" w:sz="0" w:space="0" w:color="auto"/>
        <w:bottom w:val="none" w:sz="0" w:space="0" w:color="auto"/>
        <w:right w:val="none" w:sz="0" w:space="0" w:color="auto"/>
      </w:divBdr>
    </w:div>
    <w:div w:id="1545174640">
      <w:bodyDiv w:val="1"/>
      <w:marLeft w:val="0"/>
      <w:marRight w:val="0"/>
      <w:marTop w:val="0"/>
      <w:marBottom w:val="0"/>
      <w:divBdr>
        <w:top w:val="none" w:sz="0" w:space="0" w:color="auto"/>
        <w:left w:val="none" w:sz="0" w:space="0" w:color="auto"/>
        <w:bottom w:val="none" w:sz="0" w:space="0" w:color="auto"/>
        <w:right w:val="none" w:sz="0" w:space="0" w:color="auto"/>
      </w:divBdr>
    </w:div>
    <w:div w:id="1644696978">
      <w:bodyDiv w:val="1"/>
      <w:marLeft w:val="0"/>
      <w:marRight w:val="0"/>
      <w:marTop w:val="0"/>
      <w:marBottom w:val="0"/>
      <w:divBdr>
        <w:top w:val="none" w:sz="0" w:space="0" w:color="auto"/>
        <w:left w:val="none" w:sz="0" w:space="0" w:color="auto"/>
        <w:bottom w:val="none" w:sz="0" w:space="0" w:color="auto"/>
        <w:right w:val="none" w:sz="0" w:space="0" w:color="auto"/>
      </w:divBdr>
    </w:div>
    <w:div w:id="1706906975">
      <w:bodyDiv w:val="1"/>
      <w:marLeft w:val="0"/>
      <w:marRight w:val="0"/>
      <w:marTop w:val="0"/>
      <w:marBottom w:val="0"/>
      <w:divBdr>
        <w:top w:val="none" w:sz="0" w:space="0" w:color="auto"/>
        <w:left w:val="none" w:sz="0" w:space="0" w:color="auto"/>
        <w:bottom w:val="none" w:sz="0" w:space="0" w:color="auto"/>
        <w:right w:val="none" w:sz="0" w:space="0" w:color="auto"/>
      </w:divBdr>
    </w:div>
    <w:div w:id="1840727846">
      <w:bodyDiv w:val="1"/>
      <w:marLeft w:val="0"/>
      <w:marRight w:val="0"/>
      <w:marTop w:val="0"/>
      <w:marBottom w:val="0"/>
      <w:divBdr>
        <w:top w:val="none" w:sz="0" w:space="0" w:color="auto"/>
        <w:left w:val="none" w:sz="0" w:space="0" w:color="auto"/>
        <w:bottom w:val="none" w:sz="0" w:space="0" w:color="auto"/>
        <w:right w:val="none" w:sz="0" w:space="0" w:color="auto"/>
      </w:divBdr>
    </w:div>
    <w:div w:id="1890146822">
      <w:bodyDiv w:val="1"/>
      <w:marLeft w:val="0"/>
      <w:marRight w:val="0"/>
      <w:marTop w:val="0"/>
      <w:marBottom w:val="0"/>
      <w:divBdr>
        <w:top w:val="none" w:sz="0" w:space="0" w:color="auto"/>
        <w:left w:val="none" w:sz="0" w:space="0" w:color="auto"/>
        <w:bottom w:val="none" w:sz="0" w:space="0" w:color="auto"/>
        <w:right w:val="none" w:sz="0" w:space="0" w:color="auto"/>
      </w:divBdr>
    </w:div>
    <w:div w:id="1992975349">
      <w:bodyDiv w:val="1"/>
      <w:marLeft w:val="0"/>
      <w:marRight w:val="0"/>
      <w:marTop w:val="0"/>
      <w:marBottom w:val="0"/>
      <w:divBdr>
        <w:top w:val="none" w:sz="0" w:space="0" w:color="auto"/>
        <w:left w:val="none" w:sz="0" w:space="0" w:color="auto"/>
        <w:bottom w:val="none" w:sz="0" w:space="0" w:color="auto"/>
        <w:right w:val="none" w:sz="0" w:space="0" w:color="auto"/>
      </w:divBdr>
    </w:div>
    <w:div w:id="2006124662">
      <w:bodyDiv w:val="1"/>
      <w:marLeft w:val="0"/>
      <w:marRight w:val="0"/>
      <w:marTop w:val="0"/>
      <w:marBottom w:val="0"/>
      <w:divBdr>
        <w:top w:val="none" w:sz="0" w:space="0" w:color="auto"/>
        <w:left w:val="none" w:sz="0" w:space="0" w:color="auto"/>
        <w:bottom w:val="none" w:sz="0" w:space="0" w:color="auto"/>
        <w:right w:val="none" w:sz="0" w:space="0" w:color="auto"/>
      </w:divBdr>
    </w:div>
    <w:div w:id="2108496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ncbi.nlm.nih.gov/pmc/articles/PMC6734597/" TargetMode="External"/><Relationship Id="rId26" Type="http://schemas.openxmlformats.org/officeDocument/2006/relationships/hyperlink" Target="https://onlinelibrary.wiley.com/doi/full/10.1111/obr.13325" TargetMode="External"/><Relationship Id="rId39" Type="http://schemas.openxmlformats.org/officeDocument/2006/relationships/hyperlink" Target="https://www.frontiersin.org/journals/endocrinology/articles/10.3389/fendo.2022.915245/full" TargetMode="External"/><Relationship Id="rId21" Type="http://schemas.openxmlformats.org/officeDocument/2006/relationships/hyperlink" Target="https://www.sciencedirect.com/science/article/abs/pii/S0738399121003943" TargetMode="External"/><Relationship Id="rId34" Type="http://schemas.openxmlformats.org/officeDocument/2006/relationships/hyperlink" Target="https://www.thieme-connect.com/products/ejournals/html/10.1055/s-0038-1668085" TargetMode="External"/><Relationship Id="rId42" Type="http://schemas.openxmlformats.org/officeDocument/2006/relationships/hyperlink" Target="https://onlinelibrary.wiley.com/doi/full/10.1111/obr.12461" TargetMode="External"/><Relationship Id="rId47" Type="http://schemas.openxmlformats.org/officeDocument/2006/relationships/hyperlink" Target="https://academic.oup.com/jcem/article/99/1/E107/2836448" TargetMode="External"/><Relationship Id="rId50" Type="http://schemas.openxmlformats.org/officeDocument/2006/relationships/hyperlink" Target="https://www.tandfonline.com/doi/abs/10.1080/09513590.2021.1942452" TargetMode="External"/><Relationship Id="rId55" Type="http://schemas.openxmlformats.org/officeDocument/2006/relationships/image" Target="media/image4.png"/><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cbi.nlm.nih.gov/pmc/articles/PMC10028479/" TargetMode="External"/><Relationship Id="rId29" Type="http://schemas.openxmlformats.org/officeDocument/2006/relationships/hyperlink" Target="https://journals.lww.com/cardiovascularendocrinology/fulltext/2021/06000/investigation_of_polycystic_ovarian_syndrome_.8.aspx" TargetMode="External"/><Relationship Id="rId11" Type="http://schemas.openxmlformats.org/officeDocument/2006/relationships/image" Target="media/image1.jpeg"/><Relationship Id="rId24" Type="http://schemas.openxmlformats.org/officeDocument/2006/relationships/hyperlink" Target="https://bjgp.org/content/70/694/e322.short" TargetMode="External"/><Relationship Id="rId32" Type="http://schemas.openxmlformats.org/officeDocument/2006/relationships/hyperlink" Target="https://academic.oup.com/humrep/article/35/7/1666/5857279" TargetMode="External"/><Relationship Id="rId37" Type="http://schemas.openxmlformats.org/officeDocument/2006/relationships/hyperlink" Target="https://cavuhb.nhs.wales/our-services/obstetrics-and-gynaecology1/wales-fertility-institute/pre-treatment-information/" TargetMode="External"/><Relationship Id="rId40" Type="http://schemas.openxmlformats.org/officeDocument/2006/relationships/hyperlink" Target="https://pubmed.ncbi.nlm.nih.gov/32656532/" TargetMode="External"/><Relationship Id="rId45" Type="http://schemas.openxmlformats.org/officeDocument/2006/relationships/hyperlink" Target="https://onlinelibrary.wiley.com/doi/full/10.1111/obr.12217" TargetMode="External"/><Relationship Id="rId53" Type="http://schemas.openxmlformats.org/officeDocument/2006/relationships/hyperlink" Target="https://www.ncbi.nlm.nih.gov/pmc/articles/PMC8341335/" TargetMode="External"/><Relationship Id="rId58" Type="http://schemas.openxmlformats.org/officeDocument/2006/relationships/hyperlink" Target="https://creativecommons.org/licenses/by-nc/3.0/" TargetMode="External"/><Relationship Id="rId5" Type="http://schemas.openxmlformats.org/officeDocument/2006/relationships/numbering" Target="numbering.xml"/><Relationship Id="rId61" Type="http://schemas.openxmlformats.org/officeDocument/2006/relationships/hyperlink" Target="https://creativecommons.org/licenses/by-nc/3.0/" TargetMode="External"/><Relationship Id="rId19" Type="http://schemas.openxmlformats.org/officeDocument/2006/relationships/hyperlink" Target="https://www.bda.uk.com/static/19a1b829-6738-4b56-b2feb7509e6e9a2d/Health-Education-England-DSW-and-AP-Framework-2014.pdf" TargetMode="External"/><Relationship Id="rId14" Type="http://schemas.openxmlformats.org/officeDocument/2006/relationships/image" Target="media/image2.png"/><Relationship Id="rId22" Type="http://schemas.openxmlformats.org/officeDocument/2006/relationships/hyperlink" Target="https://www.ncbi.nlm.nih.gov/pmc/articles/PMC4433074/" TargetMode="External"/><Relationship Id="rId27" Type="http://schemas.openxmlformats.org/officeDocument/2006/relationships/hyperlink" Target="https://onlinelibrary.wiley.com/doi/full/10.1111/j.1365-277X.2009.00988.x" TargetMode="External"/><Relationship Id="rId30" Type="http://schemas.openxmlformats.org/officeDocument/2006/relationships/hyperlink" Target="https://www.ncbi.nlm.nih.gov/pmc/articles/PMC3475283/" TargetMode="External"/><Relationship Id="rId35" Type="http://schemas.openxmlformats.org/officeDocument/2006/relationships/hyperlink" Target="https://www.nhs.uk/conditions/polycystic-ovary-syndrome-pcos/" TargetMode="External"/><Relationship Id="rId43" Type="http://schemas.openxmlformats.org/officeDocument/2006/relationships/hyperlink" Target="https://touroscholar.touro.edu/sjlcas/vol13/iss1/5/" TargetMode="External"/><Relationship Id="rId48" Type="http://schemas.openxmlformats.org/officeDocument/2006/relationships/hyperlink" Target="https://www.health.org.uk/sites/default/files/PatientFlowWales.pdf" TargetMode="External"/><Relationship Id="rId56" Type="http://schemas.openxmlformats.org/officeDocument/2006/relationships/hyperlink" Target="https://www.pngall.com/checklist-png/" TargetMode="External"/><Relationship Id="rId8" Type="http://schemas.openxmlformats.org/officeDocument/2006/relationships/webSettings" Target="webSettings.xml"/><Relationship Id="rId51" Type="http://schemas.openxmlformats.org/officeDocument/2006/relationships/hyperlink" Target="https://www.who.int/news-room/fact-sheets/detail/polycystic-ovary-syndrome" TargetMode="External"/><Relationship Id="rId3" Type="http://schemas.openxmlformats.org/officeDocument/2006/relationships/customXml" Target="../customXml/item3.xml"/><Relationship Id="rId12" Type="http://schemas.openxmlformats.org/officeDocument/2006/relationships/hyperlink" Target="mailto:2316148@student.uwtsd.ac.uk" TargetMode="External"/><Relationship Id="rId17" Type="http://schemas.openxmlformats.org/officeDocument/2006/relationships/hyperlink" Target="https://onlinelibrary.wiley.com/doi/10.1111/cen.14421" TargetMode="External"/><Relationship Id="rId25" Type="http://schemas.openxmlformats.org/officeDocument/2006/relationships/hyperlink" Target="https://academic.oup.com/humrep/article/20/8/2043/618568" TargetMode="External"/><Relationship Id="rId33" Type="http://schemas.openxmlformats.org/officeDocument/2006/relationships/hyperlink" Target="https://www.sciencedirect.com/science/article/abs/pii/S2212267212019259?via%3Dihub" TargetMode="External"/><Relationship Id="rId38" Type="http://schemas.openxmlformats.org/officeDocument/2006/relationships/hyperlink" Target="https://www.cell.com/trends/endocrinology-metabolism/abstract/S1043-2760(02)00612-4" TargetMode="External"/><Relationship Id="rId46" Type="http://schemas.openxmlformats.org/officeDocument/2006/relationships/hyperlink" Target="https://www.ncbi.nlm.nih.gov/pmc/articles/PMC8409808/" TargetMode="External"/><Relationship Id="rId59" Type="http://schemas.openxmlformats.org/officeDocument/2006/relationships/image" Target="media/image5.png"/><Relationship Id="rId20" Type="http://schemas.openxmlformats.org/officeDocument/2006/relationships/hyperlink" Target="https://www.bda.uk.com/resource/polycystic-ovary-syndrome-the-fundamentals.html" TargetMode="External"/><Relationship Id="rId41" Type="http://schemas.openxmlformats.org/officeDocument/2006/relationships/hyperlink" Target="https://www.sciencedirect.com/science/article/abs/pii/S2210778910000140" TargetMode="External"/><Relationship Id="rId54" Type="http://schemas.openxmlformats.org/officeDocument/2006/relationships/hyperlink" Target="https://www.hindawi.com/journals/ije/2019/4386401/"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journals.sagepub.com/doi/full/10.2217/WHE.10.43" TargetMode="External"/><Relationship Id="rId28" Type="http://schemas.openxmlformats.org/officeDocument/2006/relationships/hyperlink" Target="https://www.ncbi.nlm.nih.gov/pmc/articles/PMC4200666/" TargetMode="External"/><Relationship Id="rId36" Type="http://schemas.openxmlformats.org/officeDocument/2006/relationships/hyperlink" Target="https://gps.northcentrallondon.icb.nhs.uk/pathways/polycystic-ovarian-syndrome" TargetMode="External"/><Relationship Id="rId49" Type="http://schemas.openxmlformats.org/officeDocument/2006/relationships/hyperlink" Target="https://www.sciencedirect.com/science/article/pii/S0015028216452490" TargetMode="External"/><Relationship Id="rId57" Type="http://schemas.openxmlformats.org/officeDocument/2006/relationships/hyperlink" Target="https://www.pngall.com/checklist-png/" TargetMode="External"/><Relationship Id="rId10" Type="http://schemas.openxmlformats.org/officeDocument/2006/relationships/endnotes" Target="endnotes.xml"/><Relationship Id="rId31" Type="http://schemas.openxmlformats.org/officeDocument/2006/relationships/hyperlink" Target="https://www.sciencedirect.com/science/article/pii/S0015028211028123?via%3Dihub" TargetMode="External"/><Relationship Id="rId44" Type="http://schemas.openxmlformats.org/officeDocument/2006/relationships/hyperlink" Target="https://www.sciencedirect.com/science/article/pii/S0020748917302729" TargetMode="External"/><Relationship Id="rId52" Type="http://schemas.openxmlformats.org/officeDocument/2006/relationships/hyperlink" Target="https://www.ncbi.nlm.nih.gov/pmc/articles/PMC8643565/" TargetMode="External"/><Relationship Id="rId60" Type="http://schemas.openxmlformats.org/officeDocument/2006/relationships/hyperlink" Target="https://www.pngall.com/checklist-png/"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9" ma:contentTypeDescription="Create a new document." ma:contentTypeScope="" ma:versionID="5792d4fadb86b58978016b5107221129">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bb2a7106abcdaca9455dedec3f3fe62c"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B1EF8-CC2D-4F9B-B3D8-93E6A37BF119}">
  <ds:schemaRefs>
    <ds:schemaRef ds:uri="http://purl.org/dc/terms/"/>
    <ds:schemaRef ds:uri="http://schemas.microsoft.com/office/2006/documentManagement/types"/>
    <ds:schemaRef ds:uri="aa4d4e53-fe93-4e82-93cf-b8cfd6b89cef"/>
    <ds:schemaRef ds:uri="http://purl.org/dc/dcmitype/"/>
    <ds:schemaRef ds:uri="http://purl.org/dc/elements/1.1/"/>
    <ds:schemaRef ds:uri="http://schemas.openxmlformats.org/package/2006/metadata/core-properties"/>
    <ds:schemaRef ds:uri="http://www.w3.org/XML/1998/namespace"/>
    <ds:schemaRef ds:uri="http://schemas.microsoft.com/office/infopath/2007/PartnerControls"/>
    <ds:schemaRef ds:uri="1262467d-a34d-436c-9204-997e0c3fcaa9"/>
    <ds:schemaRef ds:uri="http://schemas.microsoft.com/office/2006/metadata/properties"/>
  </ds:schemaRefs>
</ds:datastoreItem>
</file>

<file path=customXml/itemProps2.xml><?xml version="1.0" encoding="utf-8"?>
<ds:datastoreItem xmlns:ds="http://schemas.openxmlformats.org/officeDocument/2006/customXml" ds:itemID="{94BE8B89-6058-4D78-B081-9842813B8FC6}">
  <ds:schemaRefs>
    <ds:schemaRef ds:uri="http://schemas.microsoft.com/sharepoint/v3/contenttype/forms"/>
  </ds:schemaRefs>
</ds:datastoreItem>
</file>

<file path=customXml/itemProps3.xml><?xml version="1.0" encoding="utf-8"?>
<ds:datastoreItem xmlns:ds="http://schemas.openxmlformats.org/officeDocument/2006/customXml" ds:itemID="{196FDD9E-B17E-4C22-A82F-21B4ACD5F1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E29001-2F55-48CC-BC98-BCD2D605A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TotalTime>
  <Pages>19</Pages>
  <Words>5587</Words>
  <Characters>31851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Gunter (Aneurin Bevan UHB - Family and Therapies)</dc:creator>
  <cp:keywords/>
  <dc:description/>
  <cp:lastModifiedBy>Claire Gunter-Adams (Aneurin Bevan UHB - Family and Therapies)</cp:lastModifiedBy>
  <cp:revision>20</cp:revision>
  <dcterms:created xsi:type="dcterms:W3CDTF">2024-02-29T11:10:00Z</dcterms:created>
  <dcterms:modified xsi:type="dcterms:W3CDTF">2024-05-16T09:51:00Z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MediaServiceImageTags">
    <vt:lpwstr/>
  </property>
</Properties>
</file>