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BA76D" w14:textId="452BB011" w:rsidR="00F02E2D" w:rsidRDefault="005A25C4">
      <w:pPr>
        <w:jc w:val="center"/>
      </w:pPr>
      <w:r w:rsidRPr="00577FC5">
        <w:rPr>
          <w:b/>
          <w:noProof/>
        </w:rPr>
        <w:drawing>
          <wp:anchor distT="0" distB="0" distL="114300" distR="114300" simplePos="0" relativeHeight="251657728" behindDoc="0" locked="0" layoutInCell="1" allowOverlap="1" wp14:anchorId="7A01FAE9" wp14:editId="16BF2362">
            <wp:simplePos x="0" y="0"/>
            <wp:positionH relativeFrom="column">
              <wp:posOffset>0</wp:posOffset>
            </wp:positionH>
            <wp:positionV relativeFrom="paragraph">
              <wp:posOffset>228600</wp:posOffset>
            </wp:positionV>
            <wp:extent cx="5899785" cy="257175"/>
            <wp:effectExtent l="0" t="0" r="0" b="0"/>
            <wp:wrapNone/>
            <wp:docPr id="1326746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46959" name=""/>
                    <pic:cNvPicPr/>
                  </pic:nvPicPr>
                  <pic:blipFill rotWithShape="1">
                    <a:blip r:embed="rId8"/>
                    <a:srcRect b="48034"/>
                    <a:stretch>
                      <a:fillRect/>
                    </a:stretch>
                  </pic:blipFill>
                  <pic:spPr bwMode="auto">
                    <a:xfrm>
                      <a:off x="0" y="0"/>
                      <a:ext cx="5899785" cy="257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6CCB" w:rsidRPr="00577FC5">
        <w:rPr>
          <w:noProof/>
        </w:rPr>
        <w:drawing>
          <wp:inline distT="0" distB="0" distL="0" distR="0" wp14:anchorId="2B9AEB6A" wp14:editId="24787F3A">
            <wp:extent cx="5943600" cy="236855"/>
            <wp:effectExtent l="0" t="0" r="0" b="0"/>
            <wp:docPr id="1415250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50145" name=""/>
                    <pic:cNvPicPr/>
                  </pic:nvPicPr>
                  <pic:blipFill rotWithShape="1">
                    <a:blip r:embed="rId9"/>
                    <a:srcRect b="52137"/>
                    <a:stretch>
                      <a:fillRect/>
                    </a:stretch>
                  </pic:blipFill>
                  <pic:spPr bwMode="auto">
                    <a:xfrm>
                      <a:off x="0" y="0"/>
                      <a:ext cx="5943600" cy="236855"/>
                    </a:xfrm>
                    <a:prstGeom prst="rect">
                      <a:avLst/>
                    </a:prstGeom>
                    <a:ln>
                      <a:noFill/>
                    </a:ln>
                    <a:extLst>
                      <a:ext uri="{53640926-AAD7-44D8-BBD7-CCE9431645EC}">
                        <a14:shadowObscured xmlns:a14="http://schemas.microsoft.com/office/drawing/2010/main"/>
                      </a:ext>
                    </a:extLst>
                  </pic:spPr>
                </pic:pic>
              </a:graphicData>
            </a:graphic>
          </wp:inline>
        </w:drawing>
      </w:r>
      <w:r w:rsidR="00FE6CCB" w:rsidRPr="007920DD">
        <w:rPr>
          <w:noProof/>
        </w:rPr>
        <w:drawing>
          <wp:anchor distT="0" distB="0" distL="114300" distR="114300" simplePos="0" relativeHeight="251656704" behindDoc="0" locked="0" layoutInCell="1" allowOverlap="1" wp14:anchorId="3C3EF2CE" wp14:editId="4843F8FD">
            <wp:simplePos x="0" y="0"/>
            <wp:positionH relativeFrom="column">
              <wp:posOffset>-551543</wp:posOffset>
            </wp:positionH>
            <wp:positionV relativeFrom="paragraph">
              <wp:posOffset>-710746</wp:posOffset>
            </wp:positionV>
            <wp:extent cx="1809750" cy="723900"/>
            <wp:effectExtent l="0" t="0" r="635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3B0E50C" w14:textId="371AA338" w:rsidR="00E54653" w:rsidRDefault="00FE6CCB" w:rsidP="005A25C4">
      <w:r w:rsidRPr="00577FC5">
        <w:rPr>
          <w:b/>
          <w:noProof/>
        </w:rPr>
        <w:drawing>
          <wp:anchor distT="0" distB="0" distL="114300" distR="114300" simplePos="0" relativeHeight="251658752" behindDoc="0" locked="0" layoutInCell="1" allowOverlap="1" wp14:anchorId="621A488B" wp14:editId="6BA7C921">
            <wp:simplePos x="0" y="0"/>
            <wp:positionH relativeFrom="column">
              <wp:posOffset>0</wp:posOffset>
            </wp:positionH>
            <wp:positionV relativeFrom="paragraph">
              <wp:posOffset>256540</wp:posOffset>
            </wp:positionV>
            <wp:extent cx="5902960" cy="7371244"/>
            <wp:effectExtent l="0" t="0" r="0" b="0"/>
            <wp:wrapNone/>
            <wp:docPr id="1591249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49423" name=""/>
                    <pic:cNvPicPr/>
                  </pic:nvPicPr>
                  <pic:blipFill rotWithShape="1">
                    <a:blip r:embed="rId12"/>
                    <a:srcRect b="2929"/>
                    <a:stretch>
                      <a:fillRect/>
                    </a:stretch>
                  </pic:blipFill>
                  <pic:spPr bwMode="auto">
                    <a:xfrm>
                      <a:off x="0" y="0"/>
                      <a:ext cx="5902960" cy="73712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pacing w:val="5"/>
        </w:rPr>
        <w:br w:type="page"/>
      </w:r>
    </w:p>
    <w:p w14:paraId="6894C33F" w14:textId="77777777" w:rsidR="00E54653" w:rsidRDefault="00E54653" w:rsidP="005A25C4"/>
    <w:sdt>
      <w:sdtPr>
        <w:rPr>
          <w:rFonts w:ascii="Times New Roman" w:eastAsia="Times New Roman" w:hAnsi="Times New Roman" w:cs="Times New Roman"/>
          <w:b w:val="0"/>
          <w:bCs w:val="0"/>
          <w:color w:val="auto"/>
          <w:sz w:val="24"/>
          <w:szCs w:val="24"/>
          <w:lang w:eastAsia="zh-TW"/>
        </w:rPr>
        <w:id w:val="296813095"/>
        <w:docPartObj>
          <w:docPartGallery w:val="Table of Contents"/>
          <w:docPartUnique/>
        </w:docPartObj>
      </w:sdtPr>
      <w:sdtEndPr>
        <w:rPr>
          <w:noProof/>
        </w:rPr>
      </w:sdtEndPr>
      <w:sdtContent>
        <w:p w14:paraId="0B1E8096" w14:textId="7C3B4527" w:rsidR="00D24B3E" w:rsidRPr="00FE5713" w:rsidRDefault="00D24B3E">
          <w:pPr>
            <w:pStyle w:val="TOCHeading"/>
            <w:rPr>
              <w:rFonts w:ascii="Times New Roman" w:hAnsi="Times New Roman" w:cs="Times New Roman"/>
            </w:rPr>
          </w:pPr>
          <w:r w:rsidRPr="00FE5713">
            <w:rPr>
              <w:rFonts w:ascii="Times New Roman" w:hAnsi="Times New Roman" w:cs="Times New Roman"/>
            </w:rPr>
            <w:t>Table of Contents</w:t>
          </w:r>
        </w:p>
        <w:p w14:paraId="50FB4FE2" w14:textId="24CCB0CE" w:rsidR="004F12CF" w:rsidRPr="004F12CF" w:rsidRDefault="00D24B3E">
          <w:pPr>
            <w:pStyle w:val="TOC1"/>
            <w:tabs>
              <w:tab w:val="left" w:pos="423"/>
              <w:tab w:val="right" w:leader="dot" w:pos="9350"/>
            </w:tabs>
            <w:rPr>
              <w:rFonts w:ascii="Times New Roman" w:eastAsiaTheme="minorEastAsia" w:hAnsi="Times New Roman"/>
              <w:b w:val="0"/>
              <w:bCs w:val="0"/>
              <w:caps w:val="0"/>
              <w:noProof/>
              <w:kern w:val="2"/>
              <w:sz w:val="24"/>
              <w:szCs w:val="24"/>
              <w:u w:val="none"/>
              <w:lang w:eastAsia="zh-CN"/>
              <w14:ligatures w14:val="standardContextual"/>
            </w:rPr>
          </w:pPr>
          <w:r w:rsidRPr="004F12CF">
            <w:rPr>
              <w:rFonts w:ascii="Times New Roman" w:hAnsi="Times New Roman"/>
              <w:b w:val="0"/>
              <w:bCs w:val="0"/>
              <w:sz w:val="24"/>
              <w:szCs w:val="24"/>
            </w:rPr>
            <w:fldChar w:fldCharType="begin"/>
          </w:r>
          <w:r w:rsidRPr="004F12CF">
            <w:rPr>
              <w:rFonts w:ascii="Times New Roman" w:hAnsi="Times New Roman"/>
              <w:b w:val="0"/>
              <w:bCs w:val="0"/>
              <w:sz w:val="24"/>
              <w:szCs w:val="24"/>
            </w:rPr>
            <w:instrText xml:space="preserve"> TOC \o "1-3" \h \z \u </w:instrText>
          </w:r>
          <w:r w:rsidRPr="004F12CF">
            <w:rPr>
              <w:rFonts w:ascii="Times New Roman" w:hAnsi="Times New Roman"/>
              <w:b w:val="0"/>
              <w:bCs w:val="0"/>
              <w:sz w:val="24"/>
              <w:szCs w:val="24"/>
            </w:rPr>
            <w:fldChar w:fldCharType="separate"/>
          </w:r>
          <w:hyperlink w:anchor="_Toc204547895" w:history="1">
            <w:r w:rsidR="004F12CF" w:rsidRPr="004F12CF">
              <w:rPr>
                <w:rStyle w:val="Hyperlink"/>
                <w:rFonts w:ascii="Times New Roman" w:hAnsi="Times New Roman"/>
                <w:b w:val="0"/>
                <w:bCs w:val="0"/>
                <w:noProof/>
                <w:sz w:val="24"/>
                <w:szCs w:val="24"/>
              </w:rPr>
              <w:t>1.</w:t>
            </w:r>
            <w:r w:rsidR="004F12CF" w:rsidRPr="004F12CF">
              <w:rPr>
                <w:rFonts w:ascii="Times New Roman" w:eastAsiaTheme="minorEastAsia" w:hAnsi="Times New Roman"/>
                <w:b w:val="0"/>
                <w:bCs w:val="0"/>
                <w:caps w:val="0"/>
                <w:noProof/>
                <w:kern w:val="2"/>
                <w:sz w:val="24"/>
                <w:szCs w:val="24"/>
                <w:u w:val="none"/>
                <w:lang w:eastAsia="zh-CN"/>
                <w14:ligatures w14:val="standardContextual"/>
              </w:rPr>
              <w:tab/>
            </w:r>
            <w:r w:rsidR="004F12CF" w:rsidRPr="004F12CF">
              <w:rPr>
                <w:rStyle w:val="Hyperlink"/>
                <w:rFonts w:ascii="Times New Roman" w:hAnsi="Times New Roman"/>
                <w:b w:val="0"/>
                <w:bCs w:val="0"/>
                <w:noProof/>
                <w:sz w:val="24"/>
                <w:szCs w:val="24"/>
              </w:rPr>
              <w:t>Abstract</w:t>
            </w:r>
            <w:r w:rsidR="004F12CF" w:rsidRPr="004F12CF">
              <w:rPr>
                <w:rFonts w:ascii="Times New Roman" w:hAnsi="Times New Roman"/>
                <w:b w:val="0"/>
                <w:bCs w:val="0"/>
                <w:noProof/>
                <w:webHidden/>
                <w:sz w:val="24"/>
                <w:szCs w:val="24"/>
              </w:rPr>
              <w:tab/>
            </w:r>
            <w:r w:rsidR="004F12CF" w:rsidRPr="004F12CF">
              <w:rPr>
                <w:rFonts w:ascii="Times New Roman" w:hAnsi="Times New Roman"/>
                <w:b w:val="0"/>
                <w:bCs w:val="0"/>
                <w:noProof/>
                <w:webHidden/>
                <w:sz w:val="24"/>
                <w:szCs w:val="24"/>
              </w:rPr>
              <w:fldChar w:fldCharType="begin"/>
            </w:r>
            <w:r w:rsidR="004F12CF" w:rsidRPr="004F12CF">
              <w:rPr>
                <w:rFonts w:ascii="Times New Roman" w:hAnsi="Times New Roman"/>
                <w:b w:val="0"/>
                <w:bCs w:val="0"/>
                <w:noProof/>
                <w:webHidden/>
                <w:sz w:val="24"/>
                <w:szCs w:val="24"/>
              </w:rPr>
              <w:instrText xml:space="preserve"> PAGEREF _Toc204547895 \h </w:instrText>
            </w:r>
            <w:r w:rsidR="004F12CF" w:rsidRPr="004F12CF">
              <w:rPr>
                <w:rFonts w:ascii="Times New Roman" w:hAnsi="Times New Roman"/>
                <w:b w:val="0"/>
                <w:bCs w:val="0"/>
                <w:noProof/>
                <w:webHidden/>
                <w:sz w:val="24"/>
                <w:szCs w:val="24"/>
              </w:rPr>
            </w:r>
            <w:r w:rsidR="004F12CF" w:rsidRPr="004F12CF">
              <w:rPr>
                <w:rFonts w:ascii="Times New Roman" w:hAnsi="Times New Roman"/>
                <w:b w:val="0"/>
                <w:bCs w:val="0"/>
                <w:noProof/>
                <w:webHidden/>
                <w:sz w:val="24"/>
                <w:szCs w:val="24"/>
              </w:rPr>
              <w:fldChar w:fldCharType="separate"/>
            </w:r>
            <w:r w:rsidR="004F12CF" w:rsidRPr="004F12CF">
              <w:rPr>
                <w:rFonts w:ascii="Times New Roman" w:hAnsi="Times New Roman"/>
                <w:b w:val="0"/>
                <w:bCs w:val="0"/>
                <w:noProof/>
                <w:webHidden/>
                <w:sz w:val="24"/>
                <w:szCs w:val="24"/>
              </w:rPr>
              <w:t>3</w:t>
            </w:r>
            <w:r w:rsidR="004F12CF" w:rsidRPr="004F12CF">
              <w:rPr>
                <w:rFonts w:ascii="Times New Roman" w:hAnsi="Times New Roman"/>
                <w:b w:val="0"/>
                <w:bCs w:val="0"/>
                <w:noProof/>
                <w:webHidden/>
                <w:sz w:val="24"/>
                <w:szCs w:val="24"/>
              </w:rPr>
              <w:fldChar w:fldCharType="end"/>
            </w:r>
          </w:hyperlink>
        </w:p>
        <w:p w14:paraId="5434791A" w14:textId="473BA655" w:rsidR="004F12CF" w:rsidRPr="004F12CF" w:rsidRDefault="004F12CF">
          <w:pPr>
            <w:pStyle w:val="TOC1"/>
            <w:tabs>
              <w:tab w:val="left" w:pos="468"/>
              <w:tab w:val="right" w:leader="dot" w:pos="9350"/>
            </w:tabs>
            <w:rPr>
              <w:rFonts w:ascii="Times New Roman" w:eastAsiaTheme="minorEastAsia" w:hAnsi="Times New Roman"/>
              <w:b w:val="0"/>
              <w:bCs w:val="0"/>
              <w:caps w:val="0"/>
              <w:noProof/>
              <w:kern w:val="2"/>
              <w:sz w:val="24"/>
              <w:szCs w:val="24"/>
              <w:u w:val="none"/>
              <w:lang w:eastAsia="zh-CN"/>
              <w14:ligatures w14:val="standardContextual"/>
            </w:rPr>
          </w:pPr>
          <w:hyperlink w:anchor="_Toc204547896" w:history="1">
            <w:r w:rsidRPr="004F12CF">
              <w:rPr>
                <w:rStyle w:val="Hyperlink"/>
                <w:rFonts w:ascii="Times New Roman" w:hAnsi="Times New Roman"/>
                <w:b w:val="0"/>
                <w:bCs w:val="0"/>
                <w:noProof/>
                <w:sz w:val="24"/>
                <w:szCs w:val="24"/>
              </w:rPr>
              <w:t xml:space="preserve">2. </w:t>
            </w:r>
            <w:r w:rsidRPr="004F12CF">
              <w:rPr>
                <w:rFonts w:ascii="Times New Roman" w:eastAsiaTheme="minorEastAsia" w:hAnsi="Times New Roman"/>
                <w:b w:val="0"/>
                <w:bCs w:val="0"/>
                <w:caps w:val="0"/>
                <w:noProof/>
                <w:kern w:val="2"/>
                <w:sz w:val="24"/>
                <w:szCs w:val="24"/>
                <w:u w:val="none"/>
                <w:lang w:eastAsia="zh-CN"/>
                <w14:ligatures w14:val="standardContextual"/>
              </w:rPr>
              <w:tab/>
            </w:r>
            <w:r w:rsidRPr="004F12CF">
              <w:rPr>
                <w:rStyle w:val="Hyperlink"/>
                <w:rFonts w:ascii="Times New Roman" w:hAnsi="Times New Roman"/>
                <w:b w:val="0"/>
                <w:bCs w:val="0"/>
                <w:noProof/>
                <w:sz w:val="24"/>
                <w:szCs w:val="24"/>
              </w:rPr>
              <w:t>Methodology and Sampling</w:t>
            </w:r>
            <w:r w:rsidRPr="004F12CF">
              <w:rPr>
                <w:rFonts w:ascii="Times New Roman" w:hAnsi="Times New Roman"/>
                <w:b w:val="0"/>
                <w:bCs w:val="0"/>
                <w:noProof/>
                <w:webHidden/>
                <w:sz w:val="24"/>
                <w:szCs w:val="24"/>
              </w:rPr>
              <w:tab/>
            </w:r>
            <w:r w:rsidRPr="004F12CF">
              <w:rPr>
                <w:rFonts w:ascii="Times New Roman" w:hAnsi="Times New Roman"/>
                <w:b w:val="0"/>
                <w:bCs w:val="0"/>
                <w:noProof/>
                <w:webHidden/>
                <w:sz w:val="24"/>
                <w:szCs w:val="24"/>
              </w:rPr>
              <w:fldChar w:fldCharType="begin"/>
            </w:r>
            <w:r w:rsidRPr="004F12CF">
              <w:rPr>
                <w:rFonts w:ascii="Times New Roman" w:hAnsi="Times New Roman"/>
                <w:b w:val="0"/>
                <w:bCs w:val="0"/>
                <w:noProof/>
                <w:webHidden/>
                <w:sz w:val="24"/>
                <w:szCs w:val="24"/>
              </w:rPr>
              <w:instrText xml:space="preserve"> PAGEREF _Toc204547896 \h </w:instrText>
            </w:r>
            <w:r w:rsidRPr="004F12CF">
              <w:rPr>
                <w:rFonts w:ascii="Times New Roman" w:hAnsi="Times New Roman"/>
                <w:b w:val="0"/>
                <w:bCs w:val="0"/>
                <w:noProof/>
                <w:webHidden/>
                <w:sz w:val="24"/>
                <w:szCs w:val="24"/>
              </w:rPr>
            </w:r>
            <w:r w:rsidRPr="004F12CF">
              <w:rPr>
                <w:rFonts w:ascii="Times New Roman" w:hAnsi="Times New Roman"/>
                <w:b w:val="0"/>
                <w:bCs w:val="0"/>
                <w:noProof/>
                <w:webHidden/>
                <w:sz w:val="24"/>
                <w:szCs w:val="24"/>
              </w:rPr>
              <w:fldChar w:fldCharType="separate"/>
            </w:r>
            <w:r w:rsidRPr="004F12CF">
              <w:rPr>
                <w:rFonts w:ascii="Times New Roman" w:hAnsi="Times New Roman"/>
                <w:b w:val="0"/>
                <w:bCs w:val="0"/>
                <w:noProof/>
                <w:webHidden/>
                <w:sz w:val="24"/>
                <w:szCs w:val="24"/>
              </w:rPr>
              <w:t>4</w:t>
            </w:r>
            <w:r w:rsidRPr="004F12CF">
              <w:rPr>
                <w:rFonts w:ascii="Times New Roman" w:hAnsi="Times New Roman"/>
                <w:b w:val="0"/>
                <w:bCs w:val="0"/>
                <w:noProof/>
                <w:webHidden/>
                <w:sz w:val="24"/>
                <w:szCs w:val="24"/>
              </w:rPr>
              <w:fldChar w:fldCharType="end"/>
            </w:r>
          </w:hyperlink>
        </w:p>
        <w:p w14:paraId="7C16B8C7" w14:textId="137C9D1A" w:rsidR="004F12CF" w:rsidRPr="004F12CF" w:rsidRDefault="004F12CF">
          <w:pPr>
            <w:pStyle w:val="TOC1"/>
            <w:tabs>
              <w:tab w:val="left" w:pos="423"/>
              <w:tab w:val="right" w:leader="dot" w:pos="9350"/>
            </w:tabs>
            <w:rPr>
              <w:rFonts w:ascii="Times New Roman" w:eastAsiaTheme="minorEastAsia" w:hAnsi="Times New Roman"/>
              <w:b w:val="0"/>
              <w:bCs w:val="0"/>
              <w:caps w:val="0"/>
              <w:noProof/>
              <w:kern w:val="2"/>
              <w:sz w:val="24"/>
              <w:szCs w:val="24"/>
              <w:u w:val="none"/>
              <w:lang w:eastAsia="zh-CN"/>
              <w14:ligatures w14:val="standardContextual"/>
            </w:rPr>
          </w:pPr>
          <w:hyperlink w:anchor="_Toc204547897" w:history="1">
            <w:r w:rsidRPr="004F12CF">
              <w:rPr>
                <w:rStyle w:val="Hyperlink"/>
                <w:rFonts w:ascii="Times New Roman" w:hAnsi="Times New Roman"/>
                <w:b w:val="0"/>
                <w:bCs w:val="0"/>
                <w:noProof/>
                <w:sz w:val="24"/>
                <w:szCs w:val="24"/>
              </w:rPr>
              <w:t>3.</w:t>
            </w:r>
            <w:r w:rsidRPr="004F12CF">
              <w:rPr>
                <w:rFonts w:ascii="Times New Roman" w:eastAsiaTheme="minorEastAsia" w:hAnsi="Times New Roman"/>
                <w:b w:val="0"/>
                <w:bCs w:val="0"/>
                <w:caps w:val="0"/>
                <w:noProof/>
                <w:kern w:val="2"/>
                <w:sz w:val="24"/>
                <w:szCs w:val="24"/>
                <w:u w:val="none"/>
                <w:lang w:eastAsia="zh-CN"/>
                <w14:ligatures w14:val="standardContextual"/>
              </w:rPr>
              <w:tab/>
            </w:r>
            <w:r w:rsidRPr="004F12CF">
              <w:rPr>
                <w:rStyle w:val="Hyperlink"/>
                <w:rFonts w:ascii="Times New Roman" w:hAnsi="Times New Roman"/>
                <w:b w:val="0"/>
                <w:bCs w:val="0"/>
                <w:noProof/>
                <w:sz w:val="24"/>
                <w:szCs w:val="24"/>
              </w:rPr>
              <w:t>Literature Review</w:t>
            </w:r>
            <w:r w:rsidRPr="004F12CF">
              <w:rPr>
                <w:rFonts w:ascii="Times New Roman" w:hAnsi="Times New Roman"/>
                <w:b w:val="0"/>
                <w:bCs w:val="0"/>
                <w:noProof/>
                <w:webHidden/>
                <w:sz w:val="24"/>
                <w:szCs w:val="24"/>
              </w:rPr>
              <w:tab/>
            </w:r>
            <w:r w:rsidRPr="004F12CF">
              <w:rPr>
                <w:rFonts w:ascii="Times New Roman" w:hAnsi="Times New Roman"/>
                <w:b w:val="0"/>
                <w:bCs w:val="0"/>
                <w:noProof/>
                <w:webHidden/>
                <w:sz w:val="24"/>
                <w:szCs w:val="24"/>
              </w:rPr>
              <w:fldChar w:fldCharType="begin"/>
            </w:r>
            <w:r w:rsidRPr="004F12CF">
              <w:rPr>
                <w:rFonts w:ascii="Times New Roman" w:hAnsi="Times New Roman"/>
                <w:b w:val="0"/>
                <w:bCs w:val="0"/>
                <w:noProof/>
                <w:webHidden/>
                <w:sz w:val="24"/>
                <w:szCs w:val="24"/>
              </w:rPr>
              <w:instrText xml:space="preserve"> PAGEREF _Toc204547897 \h </w:instrText>
            </w:r>
            <w:r w:rsidRPr="004F12CF">
              <w:rPr>
                <w:rFonts w:ascii="Times New Roman" w:hAnsi="Times New Roman"/>
                <w:b w:val="0"/>
                <w:bCs w:val="0"/>
                <w:noProof/>
                <w:webHidden/>
                <w:sz w:val="24"/>
                <w:szCs w:val="24"/>
              </w:rPr>
            </w:r>
            <w:r w:rsidRPr="004F12CF">
              <w:rPr>
                <w:rFonts w:ascii="Times New Roman" w:hAnsi="Times New Roman"/>
                <w:b w:val="0"/>
                <w:bCs w:val="0"/>
                <w:noProof/>
                <w:webHidden/>
                <w:sz w:val="24"/>
                <w:szCs w:val="24"/>
              </w:rPr>
              <w:fldChar w:fldCharType="separate"/>
            </w:r>
            <w:r w:rsidRPr="004F12CF">
              <w:rPr>
                <w:rFonts w:ascii="Times New Roman" w:hAnsi="Times New Roman"/>
                <w:b w:val="0"/>
                <w:bCs w:val="0"/>
                <w:noProof/>
                <w:webHidden/>
                <w:sz w:val="24"/>
                <w:szCs w:val="24"/>
              </w:rPr>
              <w:t>5</w:t>
            </w:r>
            <w:r w:rsidRPr="004F12CF">
              <w:rPr>
                <w:rFonts w:ascii="Times New Roman" w:hAnsi="Times New Roman"/>
                <w:b w:val="0"/>
                <w:bCs w:val="0"/>
                <w:noProof/>
                <w:webHidden/>
                <w:sz w:val="24"/>
                <w:szCs w:val="24"/>
              </w:rPr>
              <w:fldChar w:fldCharType="end"/>
            </w:r>
          </w:hyperlink>
        </w:p>
        <w:p w14:paraId="0EBB9E6F" w14:textId="57C3DE2E" w:rsidR="004F12CF" w:rsidRPr="004F12CF" w:rsidRDefault="004F12CF">
          <w:pPr>
            <w:pStyle w:val="TOC2"/>
            <w:tabs>
              <w:tab w:val="right" w:leader="dot" w:pos="9350"/>
            </w:tabs>
            <w:rPr>
              <w:rFonts w:ascii="Times New Roman" w:eastAsiaTheme="minorEastAsia" w:hAnsi="Times New Roman"/>
              <w:b w:val="0"/>
              <w:bCs w:val="0"/>
              <w:smallCaps w:val="0"/>
              <w:noProof/>
              <w:kern w:val="2"/>
              <w:sz w:val="24"/>
              <w:szCs w:val="24"/>
              <w:lang w:eastAsia="zh-CN"/>
              <w14:ligatures w14:val="standardContextual"/>
            </w:rPr>
          </w:pPr>
          <w:hyperlink w:anchor="_Toc204547898" w:history="1">
            <w:r w:rsidRPr="004F12CF">
              <w:rPr>
                <w:rStyle w:val="Hyperlink"/>
                <w:rFonts w:ascii="Times New Roman" w:hAnsi="Times New Roman"/>
                <w:b w:val="0"/>
                <w:bCs w:val="0"/>
                <w:noProof/>
                <w:sz w:val="24"/>
                <w:szCs w:val="24"/>
              </w:rPr>
              <w:t>3.1  Introduction</w:t>
            </w:r>
            <w:r w:rsidRPr="004F12CF">
              <w:rPr>
                <w:rFonts w:ascii="Times New Roman" w:hAnsi="Times New Roman"/>
                <w:b w:val="0"/>
                <w:bCs w:val="0"/>
                <w:noProof/>
                <w:webHidden/>
                <w:sz w:val="24"/>
                <w:szCs w:val="24"/>
              </w:rPr>
              <w:tab/>
            </w:r>
            <w:r w:rsidRPr="004F12CF">
              <w:rPr>
                <w:rFonts w:ascii="Times New Roman" w:hAnsi="Times New Roman"/>
                <w:b w:val="0"/>
                <w:bCs w:val="0"/>
                <w:noProof/>
                <w:webHidden/>
                <w:sz w:val="24"/>
                <w:szCs w:val="24"/>
              </w:rPr>
              <w:fldChar w:fldCharType="begin"/>
            </w:r>
            <w:r w:rsidRPr="004F12CF">
              <w:rPr>
                <w:rFonts w:ascii="Times New Roman" w:hAnsi="Times New Roman"/>
                <w:b w:val="0"/>
                <w:bCs w:val="0"/>
                <w:noProof/>
                <w:webHidden/>
                <w:sz w:val="24"/>
                <w:szCs w:val="24"/>
              </w:rPr>
              <w:instrText xml:space="preserve"> PAGEREF _Toc204547898 \h </w:instrText>
            </w:r>
            <w:r w:rsidRPr="004F12CF">
              <w:rPr>
                <w:rFonts w:ascii="Times New Roman" w:hAnsi="Times New Roman"/>
                <w:b w:val="0"/>
                <w:bCs w:val="0"/>
                <w:noProof/>
                <w:webHidden/>
                <w:sz w:val="24"/>
                <w:szCs w:val="24"/>
              </w:rPr>
            </w:r>
            <w:r w:rsidRPr="004F12CF">
              <w:rPr>
                <w:rFonts w:ascii="Times New Roman" w:hAnsi="Times New Roman"/>
                <w:b w:val="0"/>
                <w:bCs w:val="0"/>
                <w:noProof/>
                <w:webHidden/>
                <w:sz w:val="24"/>
                <w:szCs w:val="24"/>
              </w:rPr>
              <w:fldChar w:fldCharType="separate"/>
            </w:r>
            <w:r w:rsidRPr="004F12CF">
              <w:rPr>
                <w:rFonts w:ascii="Times New Roman" w:hAnsi="Times New Roman"/>
                <w:b w:val="0"/>
                <w:bCs w:val="0"/>
                <w:noProof/>
                <w:webHidden/>
                <w:sz w:val="24"/>
                <w:szCs w:val="24"/>
              </w:rPr>
              <w:t>5</w:t>
            </w:r>
            <w:r w:rsidRPr="004F12CF">
              <w:rPr>
                <w:rFonts w:ascii="Times New Roman" w:hAnsi="Times New Roman"/>
                <w:b w:val="0"/>
                <w:bCs w:val="0"/>
                <w:noProof/>
                <w:webHidden/>
                <w:sz w:val="24"/>
                <w:szCs w:val="24"/>
              </w:rPr>
              <w:fldChar w:fldCharType="end"/>
            </w:r>
          </w:hyperlink>
        </w:p>
        <w:p w14:paraId="4EB9D0C8" w14:textId="062E3B85" w:rsidR="004F12CF" w:rsidRPr="004F12CF" w:rsidRDefault="004F12CF">
          <w:pPr>
            <w:pStyle w:val="TOC2"/>
            <w:tabs>
              <w:tab w:val="right" w:leader="dot" w:pos="9350"/>
            </w:tabs>
            <w:rPr>
              <w:rFonts w:ascii="Times New Roman" w:eastAsiaTheme="minorEastAsia" w:hAnsi="Times New Roman"/>
              <w:b w:val="0"/>
              <w:bCs w:val="0"/>
              <w:smallCaps w:val="0"/>
              <w:noProof/>
              <w:kern w:val="2"/>
              <w:sz w:val="24"/>
              <w:szCs w:val="24"/>
              <w:lang w:eastAsia="zh-CN"/>
              <w14:ligatures w14:val="standardContextual"/>
            </w:rPr>
          </w:pPr>
          <w:hyperlink w:anchor="_Toc204547899" w:history="1">
            <w:r w:rsidRPr="004F12CF">
              <w:rPr>
                <w:rStyle w:val="Hyperlink"/>
                <w:rFonts w:ascii="Times New Roman" w:hAnsi="Times New Roman"/>
                <w:b w:val="0"/>
                <w:bCs w:val="0"/>
                <w:noProof/>
                <w:sz w:val="24"/>
                <w:szCs w:val="24"/>
              </w:rPr>
              <w:t>3.2  Body of the Review</w:t>
            </w:r>
            <w:r w:rsidRPr="004F12CF">
              <w:rPr>
                <w:rFonts w:ascii="Times New Roman" w:hAnsi="Times New Roman"/>
                <w:b w:val="0"/>
                <w:bCs w:val="0"/>
                <w:noProof/>
                <w:webHidden/>
                <w:sz w:val="24"/>
                <w:szCs w:val="24"/>
              </w:rPr>
              <w:tab/>
            </w:r>
            <w:r w:rsidRPr="004F12CF">
              <w:rPr>
                <w:rFonts w:ascii="Times New Roman" w:hAnsi="Times New Roman"/>
                <w:b w:val="0"/>
                <w:bCs w:val="0"/>
                <w:noProof/>
                <w:webHidden/>
                <w:sz w:val="24"/>
                <w:szCs w:val="24"/>
              </w:rPr>
              <w:fldChar w:fldCharType="begin"/>
            </w:r>
            <w:r w:rsidRPr="004F12CF">
              <w:rPr>
                <w:rFonts w:ascii="Times New Roman" w:hAnsi="Times New Roman"/>
                <w:b w:val="0"/>
                <w:bCs w:val="0"/>
                <w:noProof/>
                <w:webHidden/>
                <w:sz w:val="24"/>
                <w:szCs w:val="24"/>
              </w:rPr>
              <w:instrText xml:space="preserve"> PAGEREF _Toc204547899 \h </w:instrText>
            </w:r>
            <w:r w:rsidRPr="004F12CF">
              <w:rPr>
                <w:rFonts w:ascii="Times New Roman" w:hAnsi="Times New Roman"/>
                <w:b w:val="0"/>
                <w:bCs w:val="0"/>
                <w:noProof/>
                <w:webHidden/>
                <w:sz w:val="24"/>
                <w:szCs w:val="24"/>
              </w:rPr>
            </w:r>
            <w:r w:rsidRPr="004F12CF">
              <w:rPr>
                <w:rFonts w:ascii="Times New Roman" w:hAnsi="Times New Roman"/>
                <w:b w:val="0"/>
                <w:bCs w:val="0"/>
                <w:noProof/>
                <w:webHidden/>
                <w:sz w:val="24"/>
                <w:szCs w:val="24"/>
              </w:rPr>
              <w:fldChar w:fldCharType="separate"/>
            </w:r>
            <w:r w:rsidRPr="004F12CF">
              <w:rPr>
                <w:rFonts w:ascii="Times New Roman" w:hAnsi="Times New Roman"/>
                <w:b w:val="0"/>
                <w:bCs w:val="0"/>
                <w:noProof/>
                <w:webHidden/>
                <w:sz w:val="24"/>
                <w:szCs w:val="24"/>
              </w:rPr>
              <w:t>8</w:t>
            </w:r>
            <w:r w:rsidRPr="004F12CF">
              <w:rPr>
                <w:rFonts w:ascii="Times New Roman" w:hAnsi="Times New Roman"/>
                <w:b w:val="0"/>
                <w:bCs w:val="0"/>
                <w:noProof/>
                <w:webHidden/>
                <w:sz w:val="24"/>
                <w:szCs w:val="24"/>
              </w:rPr>
              <w:fldChar w:fldCharType="end"/>
            </w:r>
          </w:hyperlink>
        </w:p>
        <w:p w14:paraId="498B54EF" w14:textId="4C1AEC32" w:rsidR="004F12CF" w:rsidRPr="004F12CF" w:rsidRDefault="004F12CF">
          <w:pPr>
            <w:pStyle w:val="TOC2"/>
            <w:tabs>
              <w:tab w:val="right" w:leader="dot" w:pos="9350"/>
            </w:tabs>
            <w:rPr>
              <w:rFonts w:ascii="Times New Roman" w:eastAsiaTheme="minorEastAsia" w:hAnsi="Times New Roman"/>
              <w:b w:val="0"/>
              <w:bCs w:val="0"/>
              <w:smallCaps w:val="0"/>
              <w:noProof/>
              <w:kern w:val="2"/>
              <w:sz w:val="24"/>
              <w:szCs w:val="24"/>
              <w:lang w:eastAsia="zh-CN"/>
              <w14:ligatures w14:val="standardContextual"/>
            </w:rPr>
          </w:pPr>
          <w:hyperlink w:anchor="_Toc204547900" w:history="1">
            <w:r w:rsidRPr="004F12CF">
              <w:rPr>
                <w:rStyle w:val="Hyperlink"/>
                <w:rFonts w:ascii="Times New Roman" w:hAnsi="Times New Roman"/>
                <w:b w:val="0"/>
                <w:bCs w:val="0"/>
                <w:noProof/>
                <w:sz w:val="24"/>
                <w:szCs w:val="24"/>
              </w:rPr>
              <w:t>3.3  Research Gaps</w:t>
            </w:r>
            <w:r w:rsidRPr="004F12CF">
              <w:rPr>
                <w:rFonts w:ascii="Times New Roman" w:hAnsi="Times New Roman"/>
                <w:b w:val="0"/>
                <w:bCs w:val="0"/>
                <w:noProof/>
                <w:webHidden/>
                <w:sz w:val="24"/>
                <w:szCs w:val="24"/>
              </w:rPr>
              <w:tab/>
            </w:r>
            <w:r w:rsidRPr="004F12CF">
              <w:rPr>
                <w:rFonts w:ascii="Times New Roman" w:hAnsi="Times New Roman"/>
                <w:b w:val="0"/>
                <w:bCs w:val="0"/>
                <w:noProof/>
                <w:webHidden/>
                <w:sz w:val="24"/>
                <w:szCs w:val="24"/>
              </w:rPr>
              <w:fldChar w:fldCharType="begin"/>
            </w:r>
            <w:r w:rsidRPr="004F12CF">
              <w:rPr>
                <w:rFonts w:ascii="Times New Roman" w:hAnsi="Times New Roman"/>
                <w:b w:val="0"/>
                <w:bCs w:val="0"/>
                <w:noProof/>
                <w:webHidden/>
                <w:sz w:val="24"/>
                <w:szCs w:val="24"/>
              </w:rPr>
              <w:instrText xml:space="preserve"> PAGEREF _Toc204547900 \h </w:instrText>
            </w:r>
            <w:r w:rsidRPr="004F12CF">
              <w:rPr>
                <w:rFonts w:ascii="Times New Roman" w:hAnsi="Times New Roman"/>
                <w:b w:val="0"/>
                <w:bCs w:val="0"/>
                <w:noProof/>
                <w:webHidden/>
                <w:sz w:val="24"/>
                <w:szCs w:val="24"/>
              </w:rPr>
            </w:r>
            <w:r w:rsidRPr="004F12CF">
              <w:rPr>
                <w:rFonts w:ascii="Times New Roman" w:hAnsi="Times New Roman"/>
                <w:b w:val="0"/>
                <w:bCs w:val="0"/>
                <w:noProof/>
                <w:webHidden/>
                <w:sz w:val="24"/>
                <w:szCs w:val="24"/>
              </w:rPr>
              <w:fldChar w:fldCharType="separate"/>
            </w:r>
            <w:r w:rsidRPr="004F12CF">
              <w:rPr>
                <w:rFonts w:ascii="Times New Roman" w:hAnsi="Times New Roman"/>
                <w:b w:val="0"/>
                <w:bCs w:val="0"/>
                <w:noProof/>
                <w:webHidden/>
                <w:sz w:val="24"/>
                <w:szCs w:val="24"/>
              </w:rPr>
              <w:t>12</w:t>
            </w:r>
            <w:r w:rsidRPr="004F12CF">
              <w:rPr>
                <w:rFonts w:ascii="Times New Roman" w:hAnsi="Times New Roman"/>
                <w:b w:val="0"/>
                <w:bCs w:val="0"/>
                <w:noProof/>
                <w:webHidden/>
                <w:sz w:val="24"/>
                <w:szCs w:val="24"/>
              </w:rPr>
              <w:fldChar w:fldCharType="end"/>
            </w:r>
          </w:hyperlink>
        </w:p>
        <w:p w14:paraId="01462B38" w14:textId="2F10974F" w:rsidR="004F12CF" w:rsidRPr="004F12CF" w:rsidRDefault="004F12CF">
          <w:pPr>
            <w:pStyle w:val="TOC2"/>
            <w:tabs>
              <w:tab w:val="right" w:leader="dot" w:pos="9350"/>
            </w:tabs>
            <w:rPr>
              <w:rFonts w:ascii="Times New Roman" w:eastAsiaTheme="minorEastAsia" w:hAnsi="Times New Roman"/>
              <w:b w:val="0"/>
              <w:bCs w:val="0"/>
              <w:smallCaps w:val="0"/>
              <w:noProof/>
              <w:kern w:val="2"/>
              <w:sz w:val="24"/>
              <w:szCs w:val="24"/>
              <w:lang w:eastAsia="zh-CN"/>
              <w14:ligatures w14:val="standardContextual"/>
            </w:rPr>
          </w:pPr>
          <w:hyperlink w:anchor="_Toc204547901" w:history="1">
            <w:r w:rsidRPr="004F12CF">
              <w:rPr>
                <w:rStyle w:val="Hyperlink"/>
                <w:rFonts w:ascii="Times New Roman" w:hAnsi="Times New Roman"/>
                <w:b w:val="0"/>
                <w:bCs w:val="0"/>
                <w:noProof/>
                <w:sz w:val="24"/>
                <w:szCs w:val="24"/>
              </w:rPr>
              <w:t>3.4  Conclusion of Literature Review</w:t>
            </w:r>
            <w:r w:rsidRPr="004F12CF">
              <w:rPr>
                <w:rFonts w:ascii="Times New Roman" w:hAnsi="Times New Roman"/>
                <w:b w:val="0"/>
                <w:bCs w:val="0"/>
                <w:noProof/>
                <w:webHidden/>
                <w:sz w:val="24"/>
                <w:szCs w:val="24"/>
              </w:rPr>
              <w:tab/>
            </w:r>
            <w:r w:rsidRPr="004F12CF">
              <w:rPr>
                <w:rFonts w:ascii="Times New Roman" w:hAnsi="Times New Roman"/>
                <w:b w:val="0"/>
                <w:bCs w:val="0"/>
                <w:noProof/>
                <w:webHidden/>
                <w:sz w:val="24"/>
                <w:szCs w:val="24"/>
              </w:rPr>
              <w:fldChar w:fldCharType="begin"/>
            </w:r>
            <w:r w:rsidRPr="004F12CF">
              <w:rPr>
                <w:rFonts w:ascii="Times New Roman" w:hAnsi="Times New Roman"/>
                <w:b w:val="0"/>
                <w:bCs w:val="0"/>
                <w:noProof/>
                <w:webHidden/>
                <w:sz w:val="24"/>
                <w:szCs w:val="24"/>
              </w:rPr>
              <w:instrText xml:space="preserve"> PAGEREF _Toc204547901 \h </w:instrText>
            </w:r>
            <w:r w:rsidRPr="004F12CF">
              <w:rPr>
                <w:rFonts w:ascii="Times New Roman" w:hAnsi="Times New Roman"/>
                <w:b w:val="0"/>
                <w:bCs w:val="0"/>
                <w:noProof/>
                <w:webHidden/>
                <w:sz w:val="24"/>
                <w:szCs w:val="24"/>
              </w:rPr>
            </w:r>
            <w:r w:rsidRPr="004F12CF">
              <w:rPr>
                <w:rFonts w:ascii="Times New Roman" w:hAnsi="Times New Roman"/>
                <w:b w:val="0"/>
                <w:bCs w:val="0"/>
                <w:noProof/>
                <w:webHidden/>
                <w:sz w:val="24"/>
                <w:szCs w:val="24"/>
              </w:rPr>
              <w:fldChar w:fldCharType="separate"/>
            </w:r>
            <w:r w:rsidRPr="004F12CF">
              <w:rPr>
                <w:rFonts w:ascii="Times New Roman" w:hAnsi="Times New Roman"/>
                <w:b w:val="0"/>
                <w:bCs w:val="0"/>
                <w:noProof/>
                <w:webHidden/>
                <w:sz w:val="24"/>
                <w:szCs w:val="24"/>
              </w:rPr>
              <w:t>14</w:t>
            </w:r>
            <w:r w:rsidRPr="004F12CF">
              <w:rPr>
                <w:rFonts w:ascii="Times New Roman" w:hAnsi="Times New Roman"/>
                <w:b w:val="0"/>
                <w:bCs w:val="0"/>
                <w:noProof/>
                <w:webHidden/>
                <w:sz w:val="24"/>
                <w:szCs w:val="24"/>
              </w:rPr>
              <w:fldChar w:fldCharType="end"/>
            </w:r>
          </w:hyperlink>
        </w:p>
        <w:p w14:paraId="7BF4C760" w14:textId="76BE6134" w:rsidR="004F12CF" w:rsidRPr="004F12CF" w:rsidRDefault="004F12CF">
          <w:pPr>
            <w:pStyle w:val="TOC1"/>
            <w:tabs>
              <w:tab w:val="left" w:pos="423"/>
              <w:tab w:val="right" w:leader="dot" w:pos="9350"/>
            </w:tabs>
            <w:rPr>
              <w:rFonts w:ascii="Times New Roman" w:eastAsiaTheme="minorEastAsia" w:hAnsi="Times New Roman"/>
              <w:b w:val="0"/>
              <w:bCs w:val="0"/>
              <w:caps w:val="0"/>
              <w:noProof/>
              <w:kern w:val="2"/>
              <w:sz w:val="24"/>
              <w:szCs w:val="24"/>
              <w:u w:val="none"/>
              <w:lang w:eastAsia="zh-CN"/>
              <w14:ligatures w14:val="standardContextual"/>
            </w:rPr>
          </w:pPr>
          <w:hyperlink w:anchor="_Toc204547902" w:history="1">
            <w:r w:rsidRPr="004F12CF">
              <w:rPr>
                <w:rStyle w:val="Hyperlink"/>
                <w:rFonts w:ascii="Times New Roman" w:hAnsi="Times New Roman"/>
                <w:b w:val="0"/>
                <w:bCs w:val="0"/>
                <w:noProof/>
                <w:sz w:val="24"/>
                <w:szCs w:val="24"/>
              </w:rPr>
              <w:t>4.</w:t>
            </w:r>
            <w:r w:rsidRPr="004F12CF">
              <w:rPr>
                <w:rFonts w:ascii="Times New Roman" w:eastAsiaTheme="minorEastAsia" w:hAnsi="Times New Roman"/>
                <w:b w:val="0"/>
                <w:bCs w:val="0"/>
                <w:caps w:val="0"/>
                <w:noProof/>
                <w:kern w:val="2"/>
                <w:sz w:val="24"/>
                <w:szCs w:val="24"/>
                <w:u w:val="none"/>
                <w:lang w:eastAsia="zh-CN"/>
                <w14:ligatures w14:val="standardContextual"/>
              </w:rPr>
              <w:tab/>
            </w:r>
            <w:r w:rsidRPr="004F12CF">
              <w:rPr>
                <w:rStyle w:val="Hyperlink"/>
                <w:rFonts w:ascii="Times New Roman" w:hAnsi="Times New Roman"/>
                <w:b w:val="0"/>
                <w:bCs w:val="0"/>
                <w:noProof/>
                <w:sz w:val="24"/>
                <w:szCs w:val="24"/>
              </w:rPr>
              <w:t>Annotated Bibliography</w:t>
            </w:r>
            <w:r w:rsidRPr="004F12CF">
              <w:rPr>
                <w:rFonts w:ascii="Times New Roman" w:hAnsi="Times New Roman"/>
                <w:b w:val="0"/>
                <w:bCs w:val="0"/>
                <w:noProof/>
                <w:webHidden/>
                <w:sz w:val="24"/>
                <w:szCs w:val="24"/>
              </w:rPr>
              <w:tab/>
            </w:r>
            <w:r w:rsidRPr="004F12CF">
              <w:rPr>
                <w:rFonts w:ascii="Times New Roman" w:hAnsi="Times New Roman"/>
                <w:b w:val="0"/>
                <w:bCs w:val="0"/>
                <w:noProof/>
                <w:webHidden/>
                <w:sz w:val="24"/>
                <w:szCs w:val="24"/>
              </w:rPr>
              <w:fldChar w:fldCharType="begin"/>
            </w:r>
            <w:r w:rsidRPr="004F12CF">
              <w:rPr>
                <w:rFonts w:ascii="Times New Roman" w:hAnsi="Times New Roman"/>
                <w:b w:val="0"/>
                <w:bCs w:val="0"/>
                <w:noProof/>
                <w:webHidden/>
                <w:sz w:val="24"/>
                <w:szCs w:val="24"/>
              </w:rPr>
              <w:instrText xml:space="preserve"> PAGEREF _Toc204547902 \h </w:instrText>
            </w:r>
            <w:r w:rsidRPr="004F12CF">
              <w:rPr>
                <w:rFonts w:ascii="Times New Roman" w:hAnsi="Times New Roman"/>
                <w:b w:val="0"/>
                <w:bCs w:val="0"/>
                <w:noProof/>
                <w:webHidden/>
                <w:sz w:val="24"/>
                <w:szCs w:val="24"/>
              </w:rPr>
            </w:r>
            <w:r w:rsidRPr="004F12CF">
              <w:rPr>
                <w:rFonts w:ascii="Times New Roman" w:hAnsi="Times New Roman"/>
                <w:b w:val="0"/>
                <w:bCs w:val="0"/>
                <w:noProof/>
                <w:webHidden/>
                <w:sz w:val="24"/>
                <w:szCs w:val="24"/>
              </w:rPr>
              <w:fldChar w:fldCharType="separate"/>
            </w:r>
            <w:r w:rsidRPr="004F12CF">
              <w:rPr>
                <w:rFonts w:ascii="Times New Roman" w:hAnsi="Times New Roman"/>
                <w:b w:val="0"/>
                <w:bCs w:val="0"/>
                <w:noProof/>
                <w:webHidden/>
                <w:sz w:val="24"/>
                <w:szCs w:val="24"/>
              </w:rPr>
              <w:t>16</w:t>
            </w:r>
            <w:r w:rsidRPr="004F12CF">
              <w:rPr>
                <w:rFonts w:ascii="Times New Roman" w:hAnsi="Times New Roman"/>
                <w:b w:val="0"/>
                <w:bCs w:val="0"/>
                <w:noProof/>
                <w:webHidden/>
                <w:sz w:val="24"/>
                <w:szCs w:val="24"/>
              </w:rPr>
              <w:fldChar w:fldCharType="end"/>
            </w:r>
          </w:hyperlink>
        </w:p>
        <w:p w14:paraId="7891AB61" w14:textId="2D536F70" w:rsidR="004F12CF" w:rsidRPr="004F12CF" w:rsidRDefault="004F12CF">
          <w:pPr>
            <w:pStyle w:val="TOC1"/>
            <w:tabs>
              <w:tab w:val="left" w:pos="423"/>
              <w:tab w:val="right" w:leader="dot" w:pos="9350"/>
            </w:tabs>
            <w:rPr>
              <w:rFonts w:ascii="Times New Roman" w:eastAsiaTheme="minorEastAsia" w:hAnsi="Times New Roman"/>
              <w:b w:val="0"/>
              <w:bCs w:val="0"/>
              <w:caps w:val="0"/>
              <w:noProof/>
              <w:kern w:val="2"/>
              <w:sz w:val="24"/>
              <w:szCs w:val="24"/>
              <w:u w:val="none"/>
              <w:lang w:eastAsia="zh-CN"/>
              <w14:ligatures w14:val="standardContextual"/>
            </w:rPr>
          </w:pPr>
          <w:hyperlink w:anchor="_Toc204547903" w:history="1">
            <w:r w:rsidRPr="004F12CF">
              <w:rPr>
                <w:rStyle w:val="Hyperlink"/>
                <w:rFonts w:ascii="Times New Roman" w:hAnsi="Times New Roman"/>
                <w:b w:val="0"/>
                <w:bCs w:val="0"/>
                <w:noProof/>
                <w:sz w:val="24"/>
                <w:szCs w:val="24"/>
              </w:rPr>
              <w:t>5.</w:t>
            </w:r>
            <w:r w:rsidRPr="004F12CF">
              <w:rPr>
                <w:rFonts w:ascii="Times New Roman" w:eastAsiaTheme="minorEastAsia" w:hAnsi="Times New Roman"/>
                <w:b w:val="0"/>
                <w:bCs w:val="0"/>
                <w:caps w:val="0"/>
                <w:noProof/>
                <w:kern w:val="2"/>
                <w:sz w:val="24"/>
                <w:szCs w:val="24"/>
                <w:u w:val="none"/>
                <w:lang w:eastAsia="zh-CN"/>
                <w14:ligatures w14:val="standardContextual"/>
              </w:rPr>
              <w:tab/>
            </w:r>
            <w:r w:rsidRPr="004F12CF">
              <w:rPr>
                <w:rStyle w:val="Hyperlink"/>
                <w:rFonts w:ascii="Times New Roman" w:hAnsi="Times New Roman"/>
                <w:b w:val="0"/>
                <w:bCs w:val="0"/>
                <w:noProof/>
                <w:sz w:val="24"/>
                <w:szCs w:val="24"/>
              </w:rPr>
              <w:t>Appendix:</w:t>
            </w:r>
            <w:r w:rsidRPr="004F12CF">
              <w:rPr>
                <w:rFonts w:ascii="Times New Roman" w:hAnsi="Times New Roman"/>
                <w:b w:val="0"/>
                <w:bCs w:val="0"/>
                <w:noProof/>
                <w:webHidden/>
                <w:sz w:val="24"/>
                <w:szCs w:val="24"/>
              </w:rPr>
              <w:tab/>
            </w:r>
            <w:r w:rsidRPr="004F12CF">
              <w:rPr>
                <w:rFonts w:ascii="Times New Roman" w:hAnsi="Times New Roman"/>
                <w:b w:val="0"/>
                <w:bCs w:val="0"/>
                <w:noProof/>
                <w:webHidden/>
                <w:sz w:val="24"/>
                <w:szCs w:val="24"/>
              </w:rPr>
              <w:fldChar w:fldCharType="begin"/>
            </w:r>
            <w:r w:rsidRPr="004F12CF">
              <w:rPr>
                <w:rFonts w:ascii="Times New Roman" w:hAnsi="Times New Roman"/>
                <w:b w:val="0"/>
                <w:bCs w:val="0"/>
                <w:noProof/>
                <w:webHidden/>
                <w:sz w:val="24"/>
                <w:szCs w:val="24"/>
              </w:rPr>
              <w:instrText xml:space="preserve"> PAGEREF _Toc204547903 \h </w:instrText>
            </w:r>
            <w:r w:rsidRPr="004F12CF">
              <w:rPr>
                <w:rFonts w:ascii="Times New Roman" w:hAnsi="Times New Roman"/>
                <w:b w:val="0"/>
                <w:bCs w:val="0"/>
                <w:noProof/>
                <w:webHidden/>
                <w:sz w:val="24"/>
                <w:szCs w:val="24"/>
              </w:rPr>
            </w:r>
            <w:r w:rsidRPr="004F12CF">
              <w:rPr>
                <w:rFonts w:ascii="Times New Roman" w:hAnsi="Times New Roman"/>
                <w:b w:val="0"/>
                <w:bCs w:val="0"/>
                <w:noProof/>
                <w:webHidden/>
                <w:sz w:val="24"/>
                <w:szCs w:val="24"/>
              </w:rPr>
              <w:fldChar w:fldCharType="separate"/>
            </w:r>
            <w:r w:rsidRPr="004F12CF">
              <w:rPr>
                <w:rFonts w:ascii="Times New Roman" w:hAnsi="Times New Roman"/>
                <w:b w:val="0"/>
                <w:bCs w:val="0"/>
                <w:noProof/>
                <w:webHidden/>
                <w:sz w:val="24"/>
                <w:szCs w:val="24"/>
              </w:rPr>
              <w:t>28</w:t>
            </w:r>
            <w:r w:rsidRPr="004F12CF">
              <w:rPr>
                <w:rFonts w:ascii="Times New Roman" w:hAnsi="Times New Roman"/>
                <w:b w:val="0"/>
                <w:bCs w:val="0"/>
                <w:noProof/>
                <w:webHidden/>
                <w:sz w:val="24"/>
                <w:szCs w:val="24"/>
              </w:rPr>
              <w:fldChar w:fldCharType="end"/>
            </w:r>
          </w:hyperlink>
        </w:p>
        <w:p w14:paraId="2C37A62D" w14:textId="07689736" w:rsidR="00D24B3E" w:rsidRPr="004F12CF" w:rsidRDefault="00D24B3E">
          <w:r w:rsidRPr="004F12CF">
            <w:rPr>
              <w:noProof/>
            </w:rPr>
            <w:fldChar w:fldCharType="end"/>
          </w:r>
        </w:p>
      </w:sdtContent>
    </w:sdt>
    <w:p w14:paraId="46AC1F4D" w14:textId="66C84CC5" w:rsidR="00FE6CCB" w:rsidRPr="004F12CF" w:rsidRDefault="00FE6CCB">
      <w:pPr>
        <w:rPr>
          <w:spacing w:val="5"/>
        </w:rPr>
      </w:pPr>
      <w:r w:rsidRPr="004F12CF">
        <w:rPr>
          <w:spacing w:val="5"/>
        </w:rPr>
        <w:br w:type="page"/>
      </w:r>
    </w:p>
    <w:p w14:paraId="3FE01D1F" w14:textId="3A33EE56" w:rsidR="00F02E2D" w:rsidRPr="00FE5713" w:rsidRDefault="00000000">
      <w:pPr>
        <w:pBdr>
          <w:bottom w:val="single" w:sz="8" w:space="4" w:color="4F81BD"/>
        </w:pBdr>
        <w:jc w:val="both"/>
        <w:rPr>
          <w:b/>
          <w:bCs/>
          <w:spacing w:val="5"/>
        </w:rPr>
      </w:pPr>
      <w:r>
        <w:rPr>
          <w:b/>
          <w:bCs/>
          <w:spacing w:val="5"/>
        </w:rPr>
        <w:lastRenderedPageBreak/>
        <w:t>Title:</w:t>
      </w:r>
      <w:r>
        <w:rPr>
          <w:b/>
          <w:bCs/>
          <w:spacing w:val="5"/>
        </w:rPr>
        <w:br/>
      </w:r>
      <w:r>
        <w:rPr>
          <w:spacing w:val="5"/>
        </w:rPr>
        <w:t xml:space="preserve">Exploring Digital Trade Finance Impact </w:t>
      </w:r>
      <w:r w:rsidR="009871AD">
        <w:rPr>
          <w:spacing w:val="5"/>
        </w:rPr>
        <w:t>on</w:t>
      </w:r>
      <w:r>
        <w:rPr>
          <w:spacing w:val="5"/>
        </w:rPr>
        <w:t xml:space="preserve"> Fee Income Across North Asian Banks</w:t>
      </w:r>
    </w:p>
    <w:p w14:paraId="13CA0A5A" w14:textId="77777777" w:rsidR="00F02E2D" w:rsidRDefault="00F02E2D">
      <w:pPr>
        <w:pBdr>
          <w:bottom w:val="single" w:sz="8" w:space="4" w:color="4F81BD"/>
        </w:pBdr>
        <w:spacing w:after="300"/>
        <w:jc w:val="both"/>
      </w:pPr>
    </w:p>
    <w:p w14:paraId="48FBDB3D" w14:textId="47527AAE" w:rsidR="00F02E2D" w:rsidRPr="00D24B3E" w:rsidRDefault="008801AA" w:rsidP="00D24B3E">
      <w:pPr>
        <w:pStyle w:val="Heading1"/>
        <w:numPr>
          <w:ilvl w:val="0"/>
          <w:numId w:val="12"/>
        </w:numPr>
        <w:ind w:hanging="720"/>
        <w:rPr>
          <w:sz w:val="24"/>
          <w:szCs w:val="24"/>
        </w:rPr>
      </w:pPr>
      <w:r w:rsidRPr="00D24B3E">
        <w:rPr>
          <w:sz w:val="24"/>
          <w:szCs w:val="24"/>
        </w:rPr>
        <w:t xml:space="preserve"> </w:t>
      </w:r>
      <w:bookmarkStart w:id="0" w:name="_Toc204547895"/>
      <w:r w:rsidRPr="00D24B3E">
        <w:rPr>
          <w:sz w:val="24"/>
          <w:szCs w:val="24"/>
        </w:rPr>
        <w:t>Abstract</w:t>
      </w:r>
      <w:bookmarkEnd w:id="0"/>
    </w:p>
    <w:p w14:paraId="6B901C8D" w14:textId="30B4EDB3" w:rsidR="00B2055E" w:rsidRPr="00D24B3E" w:rsidRDefault="00B2055E" w:rsidP="0022152C">
      <w:pPr>
        <w:autoSpaceDE w:val="0"/>
        <w:autoSpaceDN w:val="0"/>
        <w:adjustRightInd w:val="0"/>
        <w:spacing w:after="240" w:line="276" w:lineRule="auto"/>
        <w:jc w:val="both"/>
        <w:rPr>
          <w:color w:val="000000"/>
        </w:rPr>
      </w:pPr>
      <w:r w:rsidRPr="00D24B3E">
        <w:rPr>
          <w:color w:val="000000"/>
        </w:rPr>
        <w:t xml:space="preserve">Trade finance underpins trillions in global commerce but remains one of the most operationally inefficient domains in banking, constrained by manual workflows, paper-based documentation, and fragmented systems. </w:t>
      </w:r>
      <w:r w:rsidR="001F7D9B">
        <w:rPr>
          <w:color w:val="000000"/>
        </w:rPr>
        <w:t>These legacy infrastructures have become increasingly unsustainable in the evolving digital economy, where responsiveness, compliance, and agility are essential</w:t>
      </w:r>
      <w:r w:rsidRPr="00D24B3E">
        <w:rPr>
          <w:color w:val="000000"/>
        </w:rPr>
        <w:t xml:space="preserve">. </w:t>
      </w:r>
      <w:r w:rsidR="0006282F">
        <w:rPr>
          <w:color w:val="000000"/>
        </w:rPr>
        <w:t>D</w:t>
      </w:r>
      <w:r w:rsidR="00A1009C" w:rsidRPr="00D24B3E">
        <w:rPr>
          <w:color w:val="000000"/>
        </w:rPr>
        <w:t xml:space="preserve">igital </w:t>
      </w:r>
      <w:r w:rsidRPr="00D24B3E">
        <w:rPr>
          <w:color w:val="000000"/>
        </w:rPr>
        <w:t xml:space="preserve">innovations have initiated </w:t>
      </w:r>
      <w:r w:rsidR="0086388B">
        <w:rPr>
          <w:color w:val="000000"/>
        </w:rPr>
        <w:t xml:space="preserve">a </w:t>
      </w:r>
      <w:r w:rsidRPr="00D24B3E">
        <w:rPr>
          <w:color w:val="000000"/>
        </w:rPr>
        <w:t xml:space="preserve">transformation, </w:t>
      </w:r>
      <w:r w:rsidR="001F7D9B">
        <w:rPr>
          <w:color w:val="000000"/>
        </w:rPr>
        <w:t xml:space="preserve">and </w:t>
      </w:r>
      <w:r w:rsidR="00A1009C" w:rsidRPr="00D24B3E">
        <w:rPr>
          <w:color w:val="000000"/>
        </w:rPr>
        <w:t>the income-generating potential of digital trade finance platforms</w:t>
      </w:r>
      <w:r w:rsidR="00E926DC" w:rsidRPr="00D24B3E">
        <w:rPr>
          <w:color w:val="000000"/>
        </w:rPr>
        <w:t>, both</w:t>
      </w:r>
      <w:r w:rsidR="00A1009C" w:rsidRPr="00D24B3E">
        <w:rPr>
          <w:color w:val="000000"/>
        </w:rPr>
        <w:t xml:space="preserve"> at the service level and within </w:t>
      </w:r>
      <w:r w:rsidR="00D31413" w:rsidRPr="00D24B3E">
        <w:rPr>
          <w:color w:val="000000"/>
        </w:rPr>
        <w:t>interconnected stakeholder networks</w:t>
      </w:r>
      <w:r w:rsidR="00E926DC" w:rsidRPr="00D24B3E">
        <w:rPr>
          <w:color w:val="000000"/>
        </w:rPr>
        <w:t>,</w:t>
      </w:r>
      <w:r w:rsidR="00A1009C" w:rsidRPr="00D24B3E">
        <w:rPr>
          <w:color w:val="000000"/>
        </w:rPr>
        <w:t xml:space="preserve"> remains underexplored in academic and industry research. </w:t>
      </w:r>
      <w:r w:rsidR="0086388B">
        <w:rPr>
          <w:color w:val="000000"/>
        </w:rPr>
        <w:t>The e</w:t>
      </w:r>
      <w:r w:rsidR="00073DAA" w:rsidRPr="00D24B3E">
        <w:t>xisting literature emphasizes efficiency and digital maturity but offers limited insight into monetization, institutional alignment, and value creation through platform orchestration</w:t>
      </w:r>
      <w:r w:rsidRPr="00D24B3E">
        <w:rPr>
          <w:color w:val="000000"/>
        </w:rPr>
        <w:t>.</w:t>
      </w:r>
    </w:p>
    <w:p w14:paraId="4ABA1B7B" w14:textId="1B5ABC21" w:rsidR="00B57159" w:rsidRPr="00D24B3E" w:rsidRDefault="00E11020" w:rsidP="0022152C">
      <w:pPr>
        <w:autoSpaceDE w:val="0"/>
        <w:autoSpaceDN w:val="0"/>
        <w:adjustRightInd w:val="0"/>
        <w:spacing w:after="240" w:line="276" w:lineRule="auto"/>
        <w:jc w:val="both"/>
      </w:pPr>
      <w:r>
        <w:rPr>
          <w:b/>
          <w:bCs/>
        </w:rPr>
        <w:t>This study aims</w:t>
      </w:r>
      <w:r w:rsidR="00D81885" w:rsidRPr="00D24B3E">
        <w:rPr>
          <w:b/>
          <w:bCs/>
        </w:rPr>
        <w:t xml:space="preserve"> to investigate the relationship between </w:t>
      </w:r>
      <w:r w:rsidR="00071ECF">
        <w:rPr>
          <w:b/>
          <w:bCs/>
        </w:rPr>
        <w:t>adopting digital trade finance platforms and generating</w:t>
      </w:r>
      <w:r w:rsidR="00D81885" w:rsidRPr="00D24B3E">
        <w:rPr>
          <w:b/>
          <w:bCs/>
        </w:rPr>
        <w:t xml:space="preserve"> sustainable </w:t>
      </w:r>
      <w:r w:rsidR="00C163AC">
        <w:rPr>
          <w:b/>
          <w:bCs/>
        </w:rPr>
        <w:t xml:space="preserve">fee </w:t>
      </w:r>
      <w:r w:rsidR="00D81885" w:rsidRPr="00D24B3E">
        <w:rPr>
          <w:b/>
          <w:bCs/>
        </w:rPr>
        <w:t>income in corporate banking.</w:t>
      </w:r>
      <w:r w:rsidR="00D81885" w:rsidRPr="00D24B3E">
        <w:t xml:space="preserve"> Through a qualitative, multiple-case study design, the research focuses on five North Asian markets</w:t>
      </w:r>
      <w:r w:rsidR="00E926DC" w:rsidRPr="00D24B3E">
        <w:t xml:space="preserve">: </w:t>
      </w:r>
      <w:r w:rsidR="00D81885" w:rsidRPr="00D24B3E">
        <w:t xml:space="preserve">Hong Kong, China, Japan, South Korea, and Taiwan, each varying in </w:t>
      </w:r>
      <w:r w:rsidR="00E926DC" w:rsidRPr="00D24B3E">
        <w:t xml:space="preserve">terms of </w:t>
      </w:r>
      <w:r w:rsidR="00D81885" w:rsidRPr="00D24B3E">
        <w:t>regulatory development, digital maturity</w:t>
      </w:r>
      <w:r w:rsidR="00A011E8" w:rsidRPr="00D24B3E">
        <w:rPr>
          <w:rStyle w:val="FootnoteReference"/>
        </w:rPr>
        <w:footnoteReference w:id="1"/>
      </w:r>
      <w:r w:rsidR="0086388B">
        <w:t>,</w:t>
      </w:r>
      <w:r>
        <w:t xml:space="preserve"> </w:t>
      </w:r>
      <w:r w:rsidR="00D81885" w:rsidRPr="00D24B3E">
        <w:t>and client sophistication.</w:t>
      </w:r>
    </w:p>
    <w:p w14:paraId="332C1899" w14:textId="538079F4" w:rsidR="000B4273" w:rsidRPr="00D24B3E" w:rsidRDefault="00B57159" w:rsidP="0022152C">
      <w:pPr>
        <w:spacing w:line="276" w:lineRule="auto"/>
        <w:jc w:val="both"/>
        <w:rPr>
          <w:color w:val="000000"/>
        </w:rPr>
      </w:pPr>
      <w:r w:rsidRPr="00D24B3E">
        <w:t xml:space="preserve">This study advances theoretical understanding by positioning digital trade finance as a coordinated platform model, where monetization emerges from interdependent relationships among banks, </w:t>
      </w:r>
      <w:proofErr w:type="spellStart"/>
      <w:r w:rsidRPr="00D24B3E">
        <w:t>fintechs</w:t>
      </w:r>
      <w:proofErr w:type="spellEnd"/>
      <w:r w:rsidRPr="00D24B3E">
        <w:t xml:space="preserve">, clients, and regulators. </w:t>
      </w:r>
      <w:r w:rsidR="00E926DC" w:rsidRPr="00D24B3E">
        <w:rPr>
          <w:color w:val="000000"/>
        </w:rPr>
        <w:t xml:space="preserve">Unlike prior studies focused on process automation, this research explores income logic embedded in </w:t>
      </w:r>
      <w:r w:rsidR="00D31413" w:rsidRPr="00D24B3E">
        <w:rPr>
          <w:color w:val="000000"/>
        </w:rPr>
        <w:t xml:space="preserve">the </w:t>
      </w:r>
      <w:r w:rsidR="00E926DC" w:rsidRPr="00D24B3E">
        <w:rPr>
          <w:color w:val="000000"/>
        </w:rPr>
        <w:t>trade platform</w:t>
      </w:r>
      <w:r w:rsidR="00E926DC" w:rsidRPr="00D24B3E">
        <w:t xml:space="preserve">, </w:t>
      </w:r>
      <w:r w:rsidRPr="00D24B3E">
        <w:t>highlight</w:t>
      </w:r>
      <w:r w:rsidR="00E926DC" w:rsidRPr="00D24B3E">
        <w:t>ing</w:t>
      </w:r>
      <w:r w:rsidRPr="00D24B3E">
        <w:t xml:space="preserve"> collaborative strategies as drivers </w:t>
      </w:r>
      <w:r w:rsidR="00C163AC">
        <w:t xml:space="preserve">for fee </w:t>
      </w:r>
      <w:r w:rsidRPr="00D24B3E">
        <w:t xml:space="preserve">income. Corporate banks are redefined as orchestrators aligning digital infrastructure with regulatory compliance and client engagement. </w:t>
      </w:r>
      <w:r w:rsidR="00B2055E" w:rsidRPr="00D24B3E">
        <w:rPr>
          <w:color w:val="000000"/>
        </w:rPr>
        <w:t xml:space="preserve">Findings offer strategic insights for banks seeking income diversification, </w:t>
      </w:r>
      <w:proofErr w:type="spellStart"/>
      <w:r w:rsidR="00B2055E" w:rsidRPr="00D24B3E">
        <w:rPr>
          <w:color w:val="000000"/>
        </w:rPr>
        <w:t>fintechs</w:t>
      </w:r>
      <w:proofErr w:type="spellEnd"/>
      <w:r w:rsidR="00B2055E" w:rsidRPr="00D24B3E">
        <w:rPr>
          <w:color w:val="000000"/>
        </w:rPr>
        <w:t xml:space="preserve"> designing scalable integration models, and policymakers supporting sustainable digital trade ecosystems in North Asia.</w:t>
      </w:r>
      <w:r w:rsidR="00D31413" w:rsidRPr="00D24B3E">
        <w:rPr>
          <w:color w:val="000000"/>
        </w:rPr>
        <w:t xml:space="preserve"> </w:t>
      </w:r>
    </w:p>
    <w:p w14:paraId="27FCA4E4" w14:textId="77777777" w:rsidR="00F614B4" w:rsidRPr="00D24B3E" w:rsidRDefault="00F614B4" w:rsidP="00EA48C6">
      <w:pPr>
        <w:jc w:val="both"/>
        <w:rPr>
          <w:color w:val="000000"/>
        </w:rPr>
      </w:pPr>
    </w:p>
    <w:p w14:paraId="3C240B37" w14:textId="12E7C16A" w:rsidR="00F614B4" w:rsidRPr="00D24B3E" w:rsidRDefault="00F614B4" w:rsidP="0022152C">
      <w:pPr>
        <w:spacing w:line="276" w:lineRule="auto"/>
      </w:pPr>
      <w:r w:rsidRPr="00D24B3E">
        <w:rPr>
          <w:b/>
          <w:bCs/>
        </w:rPr>
        <w:t>Keywords:</w:t>
      </w:r>
      <w:r w:rsidRPr="00D24B3E">
        <w:rPr>
          <w:b/>
          <w:bCs/>
        </w:rPr>
        <w:br/>
      </w:r>
      <w:r w:rsidRPr="00D24B3E">
        <w:t xml:space="preserve">Digital trade finance, income, </w:t>
      </w:r>
      <w:r w:rsidR="00560A7F" w:rsidRPr="00D24B3E">
        <w:t>c</w:t>
      </w:r>
      <w:r w:rsidRPr="00D24B3E">
        <w:t xml:space="preserve">orporate banking, </w:t>
      </w:r>
      <w:r w:rsidR="00560A7F" w:rsidRPr="00D24B3E">
        <w:t>p</w:t>
      </w:r>
      <w:r w:rsidRPr="00D24B3E">
        <w:t xml:space="preserve">latform, North Asia, </w:t>
      </w:r>
      <w:r w:rsidR="00560A7F" w:rsidRPr="00D24B3E">
        <w:t>d</w:t>
      </w:r>
      <w:r w:rsidRPr="00D24B3E">
        <w:t>igital transformation</w:t>
      </w:r>
    </w:p>
    <w:p w14:paraId="7E7727C6" w14:textId="77777777" w:rsidR="00B2055E" w:rsidRPr="00D24B3E" w:rsidRDefault="00B2055E" w:rsidP="0022152C">
      <w:pPr>
        <w:spacing w:line="276" w:lineRule="auto"/>
        <w:jc w:val="both"/>
      </w:pPr>
    </w:p>
    <w:p w14:paraId="63B1ADFB" w14:textId="77777777" w:rsidR="0022152C" w:rsidRPr="00D24B3E" w:rsidRDefault="0022152C">
      <w:pPr>
        <w:rPr>
          <w:b/>
          <w:bCs/>
          <w:color w:val="000000" w:themeColor="text1"/>
        </w:rPr>
      </w:pPr>
      <w:r w:rsidRPr="00D24B3E">
        <w:rPr>
          <w:b/>
          <w:bCs/>
          <w:color w:val="000000" w:themeColor="text1"/>
        </w:rPr>
        <w:br w:type="page"/>
      </w:r>
    </w:p>
    <w:p w14:paraId="61DD8D84" w14:textId="4028437B" w:rsidR="00FF4423" w:rsidRPr="00D24B3E" w:rsidRDefault="00F614B4" w:rsidP="00D24B3E">
      <w:pPr>
        <w:pStyle w:val="Heading1"/>
        <w:rPr>
          <w:sz w:val="24"/>
          <w:szCs w:val="24"/>
        </w:rPr>
      </w:pPr>
      <w:bookmarkStart w:id="1" w:name="_Toc204547896"/>
      <w:r w:rsidRPr="00D24B3E">
        <w:rPr>
          <w:sz w:val="24"/>
          <w:szCs w:val="24"/>
        </w:rPr>
        <w:lastRenderedPageBreak/>
        <w:t>2.</w:t>
      </w:r>
      <w:r w:rsidR="00EA48C6" w:rsidRPr="00D24B3E">
        <w:rPr>
          <w:sz w:val="24"/>
          <w:szCs w:val="24"/>
        </w:rPr>
        <w:t xml:space="preserve"> </w:t>
      </w:r>
      <w:r w:rsidR="00EA48C6" w:rsidRPr="00D24B3E">
        <w:rPr>
          <w:sz w:val="24"/>
          <w:szCs w:val="24"/>
        </w:rPr>
        <w:tab/>
      </w:r>
      <w:r w:rsidR="00FF4423" w:rsidRPr="00D24B3E">
        <w:rPr>
          <w:sz w:val="24"/>
          <w:szCs w:val="24"/>
        </w:rPr>
        <w:t>Methodology and Sampling</w:t>
      </w:r>
      <w:bookmarkEnd w:id="1"/>
    </w:p>
    <w:p w14:paraId="10629B1D" w14:textId="77777777" w:rsidR="00EA48C6" w:rsidRPr="00D24B3E" w:rsidRDefault="00EA48C6" w:rsidP="00EA48C6">
      <w:pPr>
        <w:jc w:val="both"/>
      </w:pPr>
    </w:p>
    <w:p w14:paraId="6FF20C33" w14:textId="24827D1D" w:rsidR="00073DAA" w:rsidRPr="00D24B3E" w:rsidRDefault="00EA48C6" w:rsidP="0022152C">
      <w:pPr>
        <w:autoSpaceDE w:val="0"/>
        <w:autoSpaceDN w:val="0"/>
        <w:adjustRightInd w:val="0"/>
        <w:spacing w:after="320" w:line="276" w:lineRule="auto"/>
        <w:jc w:val="both"/>
      </w:pPr>
      <w:r w:rsidRPr="00D24B3E">
        <w:t>This study adopts a qualitative</w:t>
      </w:r>
      <w:r w:rsidR="0086388B">
        <w:t xml:space="preserve"> and </w:t>
      </w:r>
      <w:r w:rsidRPr="00D24B3E">
        <w:t xml:space="preserve">case study design to examine </w:t>
      </w:r>
      <w:r w:rsidR="00071ECF">
        <w:t>North Asian corporate banks monetizing</w:t>
      </w:r>
      <w:r w:rsidRPr="00D24B3E">
        <w:t xml:space="preserve"> digital trade services within complex regulatory and operational environments. </w:t>
      </w:r>
      <w:r w:rsidR="00D26B48" w:rsidRPr="00D24B3E">
        <w:t xml:space="preserve">A qualitative case study is selected because it enables an in-depth examination of complex, real-world practices related to digital trade platform design, implementation, and monetization within institutional settings. </w:t>
      </w:r>
      <w:r w:rsidR="002126DD">
        <w:t>It captures strategic reasoning, contextual dynamics, and stakeholder interactions that influence revenue outcomes compared to survey or quantitative methods</w:t>
      </w:r>
      <w:r w:rsidR="00D26B48" w:rsidRPr="00D24B3E">
        <w:t xml:space="preserve">. This approach is appropriate for investigating platform-driven income generation across diverse regulatory and market conditions in North Asia. </w:t>
      </w:r>
      <w:r w:rsidR="00E926DC" w:rsidRPr="00D24B3E">
        <w:rPr>
          <w:color w:val="000000"/>
        </w:rPr>
        <w:t>Based on semi-structured interviews and internal document analysis, d</w:t>
      </w:r>
      <w:r w:rsidRPr="00D24B3E">
        <w:t xml:space="preserve">ata will be collected through two primary methods: semi-structured interviews and document analysis. </w:t>
      </w:r>
      <w:r w:rsidR="00073DAA" w:rsidRPr="00D24B3E">
        <w:t xml:space="preserve">Interviews will target transformation leaders, product heads, and senior </w:t>
      </w:r>
      <w:r w:rsidR="0086388B">
        <w:t>relationship managers</w:t>
      </w:r>
      <w:r w:rsidR="00073DAA" w:rsidRPr="00D24B3E">
        <w:t xml:space="preserve"> from 10 banks across Hong Kong, Japan, China, Korea, and Taiwan</w:t>
      </w:r>
      <w:r w:rsidRPr="00D24B3E">
        <w:t xml:space="preserve">. Targeted participants include digital transformation leads, trade product heads, and senior relationship managers responsible for </w:t>
      </w:r>
      <w:r w:rsidR="00073DAA" w:rsidRPr="00D24B3E">
        <w:t>designing</w:t>
      </w:r>
      <w:r w:rsidRPr="00D24B3E">
        <w:t>, deliver</w:t>
      </w:r>
      <w:r w:rsidR="00073DAA" w:rsidRPr="00D24B3E">
        <w:t>ing</w:t>
      </w:r>
      <w:r w:rsidRPr="00D24B3E">
        <w:t>, and commercializ</w:t>
      </w:r>
      <w:r w:rsidR="00073DAA" w:rsidRPr="00D24B3E">
        <w:t>ing</w:t>
      </w:r>
      <w:r w:rsidRPr="00D24B3E">
        <w:t xml:space="preserve"> digital trade finance platforms. </w:t>
      </w:r>
    </w:p>
    <w:p w14:paraId="2D39E6F6" w14:textId="2EAB349A" w:rsidR="00C163AC" w:rsidRDefault="00C163AC" w:rsidP="0022152C">
      <w:pPr>
        <w:autoSpaceDE w:val="0"/>
        <w:autoSpaceDN w:val="0"/>
        <w:adjustRightInd w:val="0"/>
        <w:spacing w:after="320" w:line="276" w:lineRule="auto"/>
        <w:jc w:val="both"/>
        <w:rPr>
          <w:rFonts w:ascii="Times-Roman" w:hAnsi="Times-Roman" w:cs="Times-Roman"/>
        </w:rPr>
      </w:pPr>
      <w:r>
        <w:rPr>
          <w:rFonts w:ascii="Times-Roman" w:hAnsi="Times-Roman" w:cs="Times-Roman"/>
        </w:rPr>
        <w:t xml:space="preserve">To ensure depth and relevance, participants will be selected through purposive sampling, focusing on professionals involved in </w:t>
      </w:r>
      <w:r w:rsidR="00071ECF">
        <w:rPr>
          <w:rFonts w:ascii="Times-Roman" w:hAnsi="Times-Roman" w:cs="Times-Roman"/>
        </w:rPr>
        <w:t>designing, implementing, and commercializing</w:t>
      </w:r>
      <w:r>
        <w:rPr>
          <w:rFonts w:ascii="Times-Roman" w:hAnsi="Times-Roman" w:cs="Times-Roman"/>
        </w:rPr>
        <w:t xml:space="preserve"> digital trade finance platforms. Recruitment will leverage established banking networks across North Asia, including Citibank, HSBC, Hang Seng Bank, Bank of East Asia, Mizuho Bank, and Hana Bank, to access experienced practitioners with strategic oversight. To support thematic convergence, qualitative interviews may be supplemented by 100 online surveys. Data will be triangulated with internal documents (e.g., strategy papers, fee schedules, onboarding materials) and public sources such as annual reports and industry white papers. Thematic analysis will be guided by the study’s integrated theoretical framework, with open coding used to identify patterns in monetization strategy, client adoption, and organizational alignment. This dual-method approach enables a context-rich understanding of digital trade monetization beyond what aggregate-level quantitative methods</w:t>
      </w:r>
      <w:r w:rsidR="00071ECF">
        <w:rPr>
          <w:rFonts w:ascii="Times-Roman" w:hAnsi="Times-Roman" w:cs="Times-Roman"/>
        </w:rPr>
        <w:t xml:space="preserve"> can provide</w:t>
      </w:r>
      <w:r>
        <w:rPr>
          <w:rFonts w:ascii="Times-Roman" w:hAnsi="Times-Roman" w:cs="Times-Roman"/>
        </w:rPr>
        <w:t>.</w:t>
      </w:r>
    </w:p>
    <w:p w14:paraId="2562BE4B" w14:textId="2207DFC3" w:rsidR="00C163AC" w:rsidRDefault="00C163AC" w:rsidP="0022152C">
      <w:pPr>
        <w:autoSpaceDE w:val="0"/>
        <w:autoSpaceDN w:val="0"/>
        <w:adjustRightInd w:val="0"/>
        <w:spacing w:after="320" w:line="276" w:lineRule="auto"/>
        <w:jc w:val="both"/>
        <w:rPr>
          <w:rFonts w:ascii="Times-Roman" w:hAnsi="Times-Roman" w:cs="Times-Roman"/>
        </w:rPr>
      </w:pPr>
      <w:r>
        <w:rPr>
          <w:rFonts w:ascii="Times-Roman" w:hAnsi="Times-Roman" w:cs="Times-Roman"/>
        </w:rPr>
        <w:t>In the next phase, empirical constructs will be operationalized through a structured case study protocol to ensure consistency and analytical depth. Each bank will be assessed using diagnostic indicators such as platform maturity, fee-income composition, onboarding timelines, and marginal cost-to-serve</w:t>
      </w:r>
      <w:r w:rsidR="008F679C">
        <w:rPr>
          <w:rStyle w:val="FootnoteReference"/>
          <w:rFonts w:ascii="Times-Roman" w:hAnsi="Times-Roman" w:cs="Times-Roman"/>
        </w:rPr>
        <w:footnoteReference w:id="2"/>
      </w:r>
      <w:r>
        <w:rPr>
          <w:rFonts w:ascii="Times-Roman" w:hAnsi="Times-Roman" w:cs="Times-Roman"/>
        </w:rPr>
        <w:t>. Supplementary metrics</w:t>
      </w:r>
      <w:r w:rsidR="00071ECF">
        <w:rPr>
          <w:rFonts w:ascii="Times-Roman" w:hAnsi="Times-Roman" w:cs="Times-Roman"/>
        </w:rPr>
        <w:t>, such as digital client lifetime value, pricing models, and cross-selling performance,</w:t>
      </w:r>
      <w:r>
        <w:rPr>
          <w:rFonts w:ascii="Times-Roman" w:hAnsi="Times-Roman" w:cs="Times-Roman"/>
        </w:rPr>
        <w:t xml:space="preserve"> will support cross-case comparison. Thematic interview data will be cross-referenced with these indicators to enhance validity and contextual insight, enabling more nuanced, evidence-based conclusions on digital trade monetization.</w:t>
      </w:r>
    </w:p>
    <w:p w14:paraId="531FBB37" w14:textId="6C23D0AC" w:rsidR="00F02E2D" w:rsidRPr="00D24B3E" w:rsidRDefault="00EA48C6" w:rsidP="0022152C">
      <w:pPr>
        <w:autoSpaceDE w:val="0"/>
        <w:autoSpaceDN w:val="0"/>
        <w:adjustRightInd w:val="0"/>
        <w:spacing w:after="320" w:line="276" w:lineRule="auto"/>
        <w:jc w:val="both"/>
      </w:pPr>
      <w:r w:rsidRPr="00D24B3E">
        <w:lastRenderedPageBreak/>
        <w:t xml:space="preserve">The limitations of this study stem from its qualitative method of inquiry, which yields context-specific insights that are not statistically generalizable. The small number of participating institutions and challenges in securing a broad, representative sample of senior banking executives restrict the breadth of sector-wide generalizations. However, this narrower focus allows for a more in-depth, institution-level analysis of strategic and operational practices. Dependability is reinforced through methodological triangulation, as </w:t>
      </w:r>
      <w:r w:rsidR="005319C2" w:rsidRPr="00D24B3E">
        <w:t>the study applies RBV, TOE, and SDL</w:t>
      </w:r>
      <w:r w:rsidR="00071ECF">
        <w:t>.</w:t>
      </w:r>
      <w:r w:rsidR="00560A7F" w:rsidRPr="00D24B3E">
        <w:rPr>
          <w:rStyle w:val="FootnoteReference"/>
        </w:rPr>
        <w:footnoteReference w:id="3"/>
      </w:r>
      <w:r w:rsidR="005319C2" w:rsidRPr="00D24B3E">
        <w:t xml:space="preserve"> </w:t>
      </w:r>
      <w:r w:rsidR="00071ECF">
        <w:t>To</w:t>
      </w:r>
      <w:r w:rsidR="005319C2" w:rsidRPr="00D24B3E">
        <w:t xml:space="preserve"> examine the intersection of resources, context, and co-creation in shaping digital trade revenue</w:t>
      </w:r>
      <w:r w:rsidR="00D31413" w:rsidRPr="00D24B3E">
        <w:t xml:space="preserve">. </w:t>
      </w:r>
    </w:p>
    <w:p w14:paraId="6CFD6778" w14:textId="6EF68329" w:rsidR="00FF4423" w:rsidRPr="00D24B3E" w:rsidRDefault="00F614B4" w:rsidP="00D24B3E">
      <w:pPr>
        <w:pStyle w:val="Heading1"/>
        <w:rPr>
          <w:sz w:val="24"/>
          <w:szCs w:val="24"/>
        </w:rPr>
      </w:pPr>
      <w:bookmarkStart w:id="2" w:name="_Toc204547897"/>
      <w:r w:rsidRPr="00D24B3E">
        <w:rPr>
          <w:sz w:val="24"/>
          <w:szCs w:val="24"/>
        </w:rPr>
        <w:t>3.</w:t>
      </w:r>
      <w:r w:rsidRPr="00D24B3E">
        <w:rPr>
          <w:sz w:val="24"/>
          <w:szCs w:val="24"/>
        </w:rPr>
        <w:tab/>
        <w:t>Literature Review</w:t>
      </w:r>
      <w:bookmarkEnd w:id="2"/>
    </w:p>
    <w:p w14:paraId="0E49A91E" w14:textId="60C0C88C" w:rsidR="00F02E2D" w:rsidRPr="00D24B3E" w:rsidRDefault="00F614B4" w:rsidP="00D24B3E">
      <w:pPr>
        <w:pStyle w:val="Heading2"/>
        <w:rPr>
          <w:sz w:val="24"/>
          <w:szCs w:val="24"/>
        </w:rPr>
      </w:pPr>
      <w:bookmarkStart w:id="3" w:name="_Toc204547898"/>
      <w:r w:rsidRPr="00D24B3E">
        <w:rPr>
          <w:sz w:val="24"/>
          <w:szCs w:val="24"/>
        </w:rPr>
        <w:t>3.1  Introduction</w:t>
      </w:r>
      <w:bookmarkEnd w:id="3"/>
    </w:p>
    <w:p w14:paraId="3AE9A370" w14:textId="3E028124" w:rsidR="00F02E2D" w:rsidRDefault="00F86EB4" w:rsidP="0022152C">
      <w:pPr>
        <w:spacing w:before="240" w:after="240" w:line="276" w:lineRule="auto"/>
        <w:jc w:val="both"/>
        <w:rPr>
          <w:rFonts w:eastAsia="Times-Roman"/>
        </w:rPr>
      </w:pPr>
      <w:r w:rsidRPr="00D24B3E">
        <w:t xml:space="preserve">This research extends current literature and provides actionable guidance for banks, </w:t>
      </w:r>
      <w:proofErr w:type="spellStart"/>
      <w:r w:rsidRPr="00D24B3E">
        <w:t>fintechs</w:t>
      </w:r>
      <w:proofErr w:type="spellEnd"/>
      <w:r w:rsidRPr="00D24B3E">
        <w:t>, and regulators navigating digital trade evolution</w:t>
      </w:r>
      <w:r w:rsidR="009871AD" w:rsidRPr="00D24B3E">
        <w:rPr>
          <w:rFonts w:eastAsia="Times-Roman"/>
        </w:rPr>
        <w:t xml:space="preserve">. Drawing on 20 recent academic and industry sources, the review critically compares different perspectives to </w:t>
      </w:r>
      <w:r w:rsidR="005319C2" w:rsidRPr="00D24B3E">
        <w:rPr>
          <w:rFonts w:eastAsia="Times-Roman"/>
        </w:rPr>
        <w:t>evaluate</w:t>
      </w:r>
      <w:r w:rsidR="009871AD" w:rsidRPr="00D24B3E">
        <w:rPr>
          <w:rFonts w:eastAsia="Times-Roman"/>
        </w:rPr>
        <w:t xml:space="preserve"> </w:t>
      </w:r>
      <w:r w:rsidR="00D31413" w:rsidRPr="00D24B3E">
        <w:rPr>
          <w:rFonts w:eastAsia="Times-Roman"/>
        </w:rPr>
        <w:t xml:space="preserve">the influence of </w:t>
      </w:r>
      <w:r w:rsidR="009871AD" w:rsidRPr="00D24B3E">
        <w:rPr>
          <w:rFonts w:eastAsia="Times-Roman"/>
        </w:rPr>
        <w:t>digital trade finance platforms o</w:t>
      </w:r>
      <w:r w:rsidR="00C163AC">
        <w:rPr>
          <w:rFonts w:eastAsia="Times-Roman"/>
        </w:rPr>
        <w:t>n</w:t>
      </w:r>
      <w:r w:rsidR="009871AD" w:rsidRPr="00D24B3E">
        <w:rPr>
          <w:rFonts w:eastAsia="Times-Roman"/>
        </w:rPr>
        <w:t xml:space="preserve"> </w:t>
      </w:r>
      <w:r w:rsidR="00071ECF">
        <w:rPr>
          <w:rFonts w:eastAsia="Times-Roman"/>
        </w:rPr>
        <w:t>fee income</w:t>
      </w:r>
      <w:r w:rsidR="009871AD" w:rsidRPr="00D24B3E">
        <w:rPr>
          <w:rFonts w:eastAsia="Times-Roman"/>
        </w:rPr>
        <w:t xml:space="preserve"> in corporate banking. Despite the rise of blockchain LCs, AI compliance tools, and e-documents, the mechanisms driving measurable financial returns remain unclear. (Huang, 2023; </w:t>
      </w:r>
      <w:proofErr w:type="spellStart"/>
      <w:r w:rsidR="009871AD" w:rsidRPr="00D24B3E">
        <w:rPr>
          <w:rFonts w:eastAsia="Times-Roman"/>
        </w:rPr>
        <w:t>Citterio</w:t>
      </w:r>
      <w:proofErr w:type="spellEnd"/>
      <w:r w:rsidR="009871AD" w:rsidRPr="00D24B3E">
        <w:rPr>
          <w:rFonts w:eastAsia="Times-Roman"/>
        </w:rPr>
        <w:t>, King, and Locatelli, 2024). Nevertheless, many studies cite these technologies as catalysts for improving transparency, efficiency, and risk mitigation (Chang, Luo, and Chen, 2019; Khalil et al., 2025). However, despite these operational improvements, the causal link to sustained, trade-specific income is seldom examined (</w:t>
      </w:r>
      <w:proofErr w:type="spellStart"/>
      <w:r w:rsidR="009871AD" w:rsidRPr="00D24B3E">
        <w:rPr>
          <w:rFonts w:eastAsia="Times-Roman"/>
        </w:rPr>
        <w:t>Citterio</w:t>
      </w:r>
      <w:proofErr w:type="spellEnd"/>
      <w:r w:rsidR="009871AD" w:rsidRPr="00D24B3E">
        <w:rPr>
          <w:rFonts w:eastAsia="Times-Roman"/>
        </w:rPr>
        <w:t>, King, and Locatelli, 2024).</w:t>
      </w:r>
      <w:r w:rsidR="005E7B5E" w:rsidRPr="005E7B5E">
        <w:rPr>
          <w:rFonts w:ascii="Times-Roman" w:hAnsi="Times-Roman" w:cs="Times-Roman"/>
        </w:rPr>
        <w:t xml:space="preserve"> </w:t>
      </w:r>
      <w:r w:rsidR="005E7B5E">
        <w:rPr>
          <w:rFonts w:ascii="Times-Roman" w:hAnsi="Times-Roman" w:cs="Times-Roman"/>
        </w:rPr>
        <w:t>To address this gap, it is essential to define the foundational constructs that underpin digital monetization strategies in trade finance.</w:t>
      </w:r>
    </w:p>
    <w:p w14:paraId="29255BA1" w14:textId="3193D6A2" w:rsidR="005E7B5E" w:rsidRPr="00D24B3E" w:rsidRDefault="005E7B5E" w:rsidP="0022152C">
      <w:pPr>
        <w:spacing w:before="240" w:after="240" w:line="276" w:lineRule="auto"/>
        <w:jc w:val="both"/>
      </w:pPr>
      <w:r w:rsidRPr="005E7B5E">
        <w:rPr>
          <w:rFonts w:ascii="Times-Italic" w:hAnsi="Times-Italic" w:cs="Times-Italic"/>
        </w:rPr>
        <w:t>Digital maturity</w:t>
      </w:r>
      <w:r>
        <w:rPr>
          <w:rFonts w:ascii="Times-Roman" w:hAnsi="Times-Roman" w:cs="Times-Roman"/>
        </w:rPr>
        <w:t xml:space="preserve"> denotes a </w:t>
      </w:r>
      <w:r w:rsidR="00071ECF">
        <w:rPr>
          <w:rFonts w:ascii="Times-Roman" w:hAnsi="Times-Roman" w:cs="Times-Roman"/>
        </w:rPr>
        <w:t>bank integrating</w:t>
      </w:r>
      <w:r>
        <w:rPr>
          <w:rFonts w:ascii="Times-Roman" w:hAnsi="Times-Roman" w:cs="Times-Roman"/>
        </w:rPr>
        <w:t xml:space="preserve"> advanced technologies, data analytics, and digital client interfaces within trade finance operations. (Zhou &amp; Li, 2023). For example, recent studies show that onboarding a digitally ready trade client can reduce service delivery costs by up to 40%, primarily due to automation, reduced error rates, and workflow efficiency (Cai &amp; Chen, 2022). Furthermore, pricing models such as </w:t>
      </w:r>
      <w:r w:rsidRPr="005E7B5E">
        <w:rPr>
          <w:rFonts w:ascii="Times-Bold" w:hAnsi="Times-Bold" w:cs="Times-Bold"/>
        </w:rPr>
        <w:t>tiered transaction fees</w:t>
      </w:r>
      <w:r w:rsidRPr="00D24B3E">
        <w:rPr>
          <w:rStyle w:val="FootnoteReference"/>
          <w:rFonts w:eastAsia="Times-Roman"/>
        </w:rPr>
        <w:footnoteReference w:id="4"/>
      </w:r>
      <w:r>
        <w:rPr>
          <w:rFonts w:ascii="Times-Roman" w:hAnsi="Times-Roman" w:cs="Times-Roman"/>
        </w:rPr>
        <w:t xml:space="preserve"> or </w:t>
      </w:r>
      <w:r w:rsidRPr="005E7B5E">
        <w:rPr>
          <w:rFonts w:ascii="Times-Bold" w:hAnsi="Times-Bold" w:cs="Times-Bold"/>
        </w:rPr>
        <w:t>subscription-based advisory services</w:t>
      </w:r>
      <w:r>
        <w:rPr>
          <w:rStyle w:val="FootnoteReference"/>
          <w:rFonts w:ascii="Times-Bold" w:hAnsi="Times-Bold" w:cs="Times-Bold"/>
        </w:rPr>
        <w:footnoteReference w:id="5"/>
      </w:r>
      <w:r>
        <w:rPr>
          <w:rFonts w:ascii="Times-Roman" w:hAnsi="Times-Roman" w:cs="Times-Roman"/>
        </w:rPr>
        <w:t xml:space="preserve"> reflect how digital maturity influences monetization pathways. A practical instance includes a regional bank introducing bundled pricing for trade document advisory, with usage tiers aligned to client volume and complexity</w:t>
      </w:r>
      <w:r w:rsidR="00C163AC">
        <w:rPr>
          <w:rFonts w:ascii="Times-Roman" w:hAnsi="Times-Roman" w:cs="Times-Roman"/>
        </w:rPr>
        <w:t>,</w:t>
      </w:r>
      <w:r>
        <w:rPr>
          <w:rFonts w:ascii="Times-Roman" w:hAnsi="Times-Roman" w:cs="Times-Roman"/>
        </w:rPr>
        <w:t xml:space="preserve"> resulting in revenue predictability and higher service adoption. </w:t>
      </w:r>
      <w:r w:rsidR="000C7472">
        <w:rPr>
          <w:rFonts w:ascii="Times-Roman" w:hAnsi="Times-Roman" w:cs="Times-Roman"/>
        </w:rPr>
        <w:t xml:space="preserve">For instance, a bank may apply a </w:t>
      </w:r>
      <w:r w:rsidR="000C7472" w:rsidRPr="000C7472">
        <w:rPr>
          <w:rFonts w:ascii="Times-Bold" w:hAnsi="Times-Bold" w:cs="Times-Bold"/>
        </w:rPr>
        <w:t>tiered pricing model</w:t>
      </w:r>
      <w:r w:rsidR="000C7472">
        <w:rPr>
          <w:rFonts w:ascii="Times-Roman" w:hAnsi="Times-Roman" w:cs="Times-Roman"/>
        </w:rPr>
        <w:t xml:space="preserve"> where basic trade services like LC issuance are billed at a standard rate</w:t>
      </w:r>
      <w:r w:rsidR="00071ECF">
        <w:rPr>
          <w:rFonts w:ascii="Times-Roman" w:hAnsi="Times-Roman" w:cs="Times-Roman"/>
        </w:rPr>
        <w:t>. At the same time,</w:t>
      </w:r>
      <w:r w:rsidR="000C7472">
        <w:rPr>
          <w:rFonts w:ascii="Times-Roman" w:hAnsi="Times-Roman" w:cs="Times-Roman"/>
        </w:rPr>
        <w:t xml:space="preserve"> premium features—such as real-time advisory or expedited processing—incur higher fees. Similarly, through</w:t>
      </w:r>
      <w:r w:rsidR="00014E52">
        <w:rPr>
          <w:rFonts w:ascii="Times-Roman" w:hAnsi="Times-Roman" w:cs="Times-Roman"/>
        </w:rPr>
        <w:t xml:space="preserve"> automated</w:t>
      </w:r>
      <w:r w:rsidR="000C7472" w:rsidRPr="000C7472">
        <w:rPr>
          <w:rFonts w:ascii="Times-Bold" w:hAnsi="Times-Bold" w:cs="Times-Bold"/>
        </w:rPr>
        <w:t xml:space="preserve"> onboarding</w:t>
      </w:r>
      <w:r w:rsidR="000C7472">
        <w:rPr>
          <w:rFonts w:ascii="Times-Roman" w:hAnsi="Times-Roman" w:cs="Times-Roman"/>
        </w:rPr>
        <w:t xml:space="preserve">, a bank may reduce client setup time using automated KYC, improving client experience and </w:t>
      </w:r>
      <w:r w:rsidR="000C7472">
        <w:rPr>
          <w:rFonts w:ascii="Times-Roman" w:hAnsi="Times-Roman" w:cs="Times-Roman"/>
        </w:rPr>
        <w:lastRenderedPageBreak/>
        <w:t xml:space="preserve">expediting </w:t>
      </w:r>
      <w:r w:rsidR="00071ECF">
        <w:rPr>
          <w:rFonts w:ascii="Times-Roman" w:hAnsi="Times-Roman" w:cs="Times-Roman"/>
        </w:rPr>
        <w:t>ramp-up</w:t>
      </w:r>
      <w:r w:rsidR="000C7472">
        <w:rPr>
          <w:rFonts w:ascii="Times-Roman" w:hAnsi="Times-Roman" w:cs="Times-Roman"/>
        </w:rPr>
        <w:t xml:space="preserve"> revenue. These examples show how strategic pricing and efficient onboarding convert digital capabilities into measurable income. </w:t>
      </w:r>
      <w:r w:rsidR="00C163AC">
        <w:rPr>
          <w:rFonts w:ascii="Times-Roman" w:hAnsi="Times-Roman" w:cs="Times-Roman"/>
        </w:rPr>
        <w:t>This</w:t>
      </w:r>
      <w:r>
        <w:rPr>
          <w:rFonts w:ascii="Times-Roman" w:hAnsi="Times-Roman" w:cs="Times-Roman"/>
        </w:rPr>
        <w:t xml:space="preserve"> study strengthens the analytical foundation for evaluating how digital platforms convert operational efficiency into scalable </w:t>
      </w:r>
      <w:r w:rsidR="00C163AC">
        <w:rPr>
          <w:rFonts w:ascii="Times-Roman" w:hAnsi="Times-Roman" w:cs="Times-Roman"/>
        </w:rPr>
        <w:t xml:space="preserve">fee </w:t>
      </w:r>
      <w:r>
        <w:rPr>
          <w:rFonts w:ascii="Times-Roman" w:hAnsi="Times-Roman" w:cs="Times-Roman"/>
        </w:rPr>
        <w:t>income.</w:t>
      </w:r>
      <w:r w:rsidRPr="005E7B5E">
        <w:rPr>
          <w:rFonts w:ascii="Times-Roman" w:hAnsi="Times-Roman" w:cs="Times-Roman"/>
        </w:rPr>
        <w:t xml:space="preserve"> </w:t>
      </w:r>
      <w:r>
        <w:rPr>
          <w:rFonts w:ascii="Times-Roman" w:hAnsi="Times-Roman" w:cs="Times-Roman"/>
        </w:rPr>
        <w:t>With this conceptual grounding, the literature can now be analyzed through key thematic clusters that frame the evolution of digital trade finance within corporate banking.</w:t>
      </w:r>
    </w:p>
    <w:p w14:paraId="302FDABA" w14:textId="3632E0F3" w:rsidR="00F02E2D" w:rsidRPr="00D24B3E" w:rsidRDefault="00000000" w:rsidP="0022152C">
      <w:pPr>
        <w:spacing w:after="240" w:line="276" w:lineRule="auto"/>
        <w:jc w:val="both"/>
      </w:pPr>
      <w:r w:rsidRPr="00D24B3E">
        <w:rPr>
          <w:rFonts w:eastAsia="Times-Roman"/>
        </w:rPr>
        <w:t xml:space="preserve">This literature review reveals five central themes shaping scholarly discourse on digital trade finance in corporate banking: operational efficiency, theoretical grounding, platform ecosystems, </w:t>
      </w:r>
      <w:r w:rsidR="0086388B">
        <w:rPr>
          <w:rFonts w:eastAsia="Times-Roman"/>
        </w:rPr>
        <w:t>operational value, and market diversity</w:t>
      </w:r>
      <w:r w:rsidRPr="00D24B3E">
        <w:rPr>
          <w:rFonts w:eastAsia="Times-Roman"/>
        </w:rPr>
        <w:t xml:space="preserve">. </w:t>
      </w:r>
      <w:r w:rsidRPr="00D24B3E">
        <w:rPr>
          <w:rFonts w:eastAsia="Times-Bold"/>
        </w:rPr>
        <w:t>Operational efficiency</w:t>
      </w:r>
      <w:r w:rsidRPr="00D24B3E">
        <w:rPr>
          <w:rFonts w:eastAsia="Times-Roman"/>
        </w:rPr>
        <w:t xml:space="preserve"> refers to faster processing, enhanced compliance, and reduced manual intervention driven by digital adoption (Guo </w:t>
      </w:r>
      <w:r w:rsidR="002126DD">
        <w:rPr>
          <w:rFonts w:eastAsia="Times-Roman"/>
        </w:rPr>
        <w:t>&amp;</w:t>
      </w:r>
      <w:r w:rsidRPr="00D24B3E">
        <w:rPr>
          <w:rFonts w:eastAsia="Times-Roman"/>
        </w:rPr>
        <w:t xml:space="preserve"> Ma, 2025; Diyan Lestari, Ma, and Jun, 2023). </w:t>
      </w:r>
      <w:r w:rsidR="00F86EB4" w:rsidRPr="00D24B3E">
        <w:t xml:space="preserve">Although digital transformation in Asia promises operational efficiency, its specific contribution to </w:t>
      </w:r>
      <w:r w:rsidR="00C163AC">
        <w:t xml:space="preserve">fee </w:t>
      </w:r>
      <w:r w:rsidR="00F86EB4" w:rsidRPr="00D24B3E">
        <w:t>income in trade finance remains underexplored</w:t>
      </w:r>
      <w:r w:rsidRPr="00D24B3E">
        <w:rPr>
          <w:rFonts w:eastAsia="Times-Roman"/>
        </w:rPr>
        <w:t xml:space="preserve">. </w:t>
      </w:r>
      <w:r w:rsidRPr="00D24B3E">
        <w:rPr>
          <w:rFonts w:eastAsia="Times-Bold"/>
        </w:rPr>
        <w:t>Theoretical grounding</w:t>
      </w:r>
      <w:r w:rsidRPr="00D24B3E">
        <w:rPr>
          <w:rFonts w:eastAsia="Times-Roman"/>
        </w:rPr>
        <w:t xml:space="preserve"> is often limited to macro-level profitability studies, with insufficient focus on trade-specific income models and digital pricing strategies (Xie </w:t>
      </w:r>
      <w:r w:rsidR="009871AD" w:rsidRPr="00D24B3E">
        <w:rPr>
          <w:rFonts w:eastAsia="Times-Roman"/>
        </w:rPr>
        <w:t>&amp;</w:t>
      </w:r>
      <w:r w:rsidRPr="00D24B3E">
        <w:rPr>
          <w:rFonts w:eastAsia="Times-Roman"/>
        </w:rPr>
        <w:t xml:space="preserve"> Wang, 2023; Huang, 2023). </w:t>
      </w:r>
      <w:r w:rsidRPr="00D24B3E">
        <w:rPr>
          <w:rFonts w:eastAsia="Times-Bold"/>
        </w:rPr>
        <w:t>Platform ecosystems</w:t>
      </w:r>
      <w:r w:rsidR="009871AD" w:rsidRPr="00D24B3E">
        <w:rPr>
          <w:rFonts w:eastAsia="Times-Roman"/>
        </w:rPr>
        <w:t>, defined as collaborative infrastructures involving banks, fintech firms, and corporate clients,</w:t>
      </w:r>
      <w:r w:rsidRPr="00D24B3E">
        <w:rPr>
          <w:rFonts w:eastAsia="Times-Roman"/>
        </w:rPr>
        <w:t xml:space="preserve"> are increasingly central to digital service delivery. </w:t>
      </w:r>
      <w:r w:rsidR="009871AD" w:rsidRPr="00D24B3E">
        <w:rPr>
          <w:rFonts w:eastAsia="Times-Roman"/>
        </w:rPr>
        <w:t>However,</w:t>
      </w:r>
      <w:r w:rsidRPr="00D24B3E">
        <w:rPr>
          <w:rFonts w:eastAsia="Times-Roman"/>
        </w:rPr>
        <w:t xml:space="preserve"> their role in enabling monetization through pricing architecture, bundling, or advisory services is </w:t>
      </w:r>
      <w:r w:rsidR="002126DD">
        <w:rPr>
          <w:rFonts w:eastAsia="Times-Roman"/>
        </w:rPr>
        <w:t>poorly</w:t>
      </w:r>
      <w:r w:rsidRPr="00D24B3E">
        <w:rPr>
          <w:rFonts w:eastAsia="Times-Roman"/>
        </w:rPr>
        <w:t xml:space="preserve"> theorized (Tanveer et al., 2025; Hossain </w:t>
      </w:r>
      <w:r w:rsidR="009871AD" w:rsidRPr="00D24B3E">
        <w:rPr>
          <w:rFonts w:eastAsia="Times-Roman"/>
        </w:rPr>
        <w:t>&amp;</w:t>
      </w:r>
      <w:r w:rsidRPr="00D24B3E">
        <w:rPr>
          <w:rFonts w:eastAsia="Times-Roman"/>
        </w:rPr>
        <w:t xml:space="preserve"> Sultana, 2024). Finally, </w:t>
      </w:r>
      <w:r w:rsidR="0086388B">
        <w:rPr>
          <w:rFonts w:eastAsia="Times-Bold"/>
        </w:rPr>
        <w:t>market diversity</w:t>
      </w:r>
      <w:r w:rsidRPr="00D24B3E">
        <w:rPr>
          <w:rFonts w:eastAsia="Times-Roman"/>
        </w:rPr>
        <w:t xml:space="preserve"> in </w:t>
      </w:r>
      <w:r w:rsidR="0086388B">
        <w:rPr>
          <w:rFonts w:eastAsia="Times-Roman"/>
        </w:rPr>
        <w:t xml:space="preserve">different </w:t>
      </w:r>
      <w:r w:rsidRPr="00D24B3E">
        <w:rPr>
          <w:rFonts w:eastAsia="Times-Roman"/>
        </w:rPr>
        <w:t xml:space="preserve">regulatory </w:t>
      </w:r>
      <w:r w:rsidR="0086388B">
        <w:rPr>
          <w:rFonts w:eastAsia="Times-Roman"/>
        </w:rPr>
        <w:t>jurisdictions</w:t>
      </w:r>
      <w:r w:rsidRPr="00D24B3E">
        <w:rPr>
          <w:rFonts w:eastAsia="Times-Roman"/>
        </w:rPr>
        <w:t xml:space="preserve"> and client sophistication across North Asia</w:t>
      </w:r>
      <w:r w:rsidR="00071ECF">
        <w:rPr>
          <w:rFonts w:eastAsia="Times-Roman"/>
        </w:rPr>
        <w:t xml:space="preserve"> pose</w:t>
      </w:r>
      <w:r w:rsidRPr="00D24B3E">
        <w:rPr>
          <w:rFonts w:eastAsia="Times-Roman"/>
        </w:rPr>
        <w:t xml:space="preserve"> critical yet often overlooked challenges for generalizing platform strategies (Han et al., 2025; Kimura et al., 2021).</w:t>
      </w:r>
      <w:r w:rsidR="005E7B5E" w:rsidRPr="005E7B5E">
        <w:rPr>
          <w:rFonts w:ascii="Times-Roman" w:hAnsi="Times-Roman" w:cs="Times-Roman"/>
        </w:rPr>
        <w:t xml:space="preserve"> </w:t>
      </w:r>
      <w:r w:rsidR="005E7B5E">
        <w:rPr>
          <w:rFonts w:ascii="Times-Roman" w:hAnsi="Times-Roman" w:cs="Times-Roman"/>
        </w:rPr>
        <w:t>To explain the interplay between these themes, this study applies a tripartite theoretical lens that links internal capabilities, environmental contingencies, and client co-creation mechanisms to digital monetization outcomes.</w:t>
      </w:r>
    </w:p>
    <w:p w14:paraId="655D290D" w14:textId="0644A866" w:rsidR="00124EB2" w:rsidRPr="00D24B3E" w:rsidRDefault="009871AD" w:rsidP="0022152C">
      <w:pPr>
        <w:spacing w:after="240" w:line="276" w:lineRule="auto"/>
        <w:jc w:val="both"/>
      </w:pPr>
      <w:r w:rsidRPr="00D24B3E">
        <w:rPr>
          <w:rFonts w:eastAsia="Times-Roman"/>
        </w:rPr>
        <w:t xml:space="preserve">This study draws on three complementary theoretical frameworks to address these interconnected themes. </w:t>
      </w:r>
      <w:r w:rsidRPr="00D24B3E">
        <w:rPr>
          <w:rFonts w:eastAsia="Times-Bold"/>
        </w:rPr>
        <w:t>RBV</w:t>
      </w:r>
      <w:r w:rsidRPr="00D24B3E">
        <w:rPr>
          <w:rFonts w:eastAsia="Times-Roman"/>
        </w:rPr>
        <w:t xml:space="preserve"> emphasizes that internal resources such as IT agility, digital architecture, and executive alignment drive firm-level performance and monetization outcomes in digital trade (Liu, Chen, and Chou, 2011). </w:t>
      </w:r>
      <w:r w:rsidR="00071ECF">
        <w:rPr>
          <w:rFonts w:eastAsia="Times-Roman"/>
        </w:rPr>
        <w:t xml:space="preserve">The </w:t>
      </w:r>
      <w:r w:rsidRPr="00D24B3E">
        <w:rPr>
          <w:rFonts w:eastAsia="Times-Bold"/>
        </w:rPr>
        <w:t xml:space="preserve">TOE framework contextualizes adoption by accounting for external forces such as market readiness, institutional norms, and policy environments that are </w:t>
      </w:r>
      <w:r w:rsidRPr="00D24B3E">
        <w:rPr>
          <w:rFonts w:eastAsia="Times-Roman"/>
        </w:rPr>
        <w:t xml:space="preserve">particularly relevant for cross-market comparisons in North Asia (Duong &amp; Nguyen, 2025). </w:t>
      </w:r>
      <w:r w:rsidR="00F86EB4" w:rsidRPr="00D24B3E">
        <w:t>Lastly, SDL</w:t>
      </w:r>
      <w:r w:rsidR="00E614F6">
        <w:t xml:space="preserve"> </w:t>
      </w:r>
      <w:r w:rsidR="00F86EB4" w:rsidRPr="00D24B3E">
        <w:t>emphasizes value co-creation, linking monetization to client engagement, perceived value, and tailored service delivery</w:t>
      </w:r>
      <w:r w:rsidR="00F86EB4" w:rsidRPr="00D24B3E">
        <w:rPr>
          <w:rFonts w:eastAsia="Times-Roman"/>
        </w:rPr>
        <w:t xml:space="preserve"> </w:t>
      </w:r>
      <w:r w:rsidRPr="00D24B3E">
        <w:rPr>
          <w:rFonts w:eastAsia="Times-Roman"/>
        </w:rPr>
        <w:t xml:space="preserve">(Vargo &amp; Lusch, 2004; Liu et al., 2023). These frameworks offer a multidimensional perspective: RBV explains internal capabilities </w:t>
      </w:r>
      <w:r w:rsidR="00071ECF">
        <w:rPr>
          <w:rFonts w:eastAsia="Times-Roman"/>
        </w:rPr>
        <w:t xml:space="preserve">that </w:t>
      </w:r>
      <w:r w:rsidRPr="00D24B3E">
        <w:rPr>
          <w:rFonts w:eastAsia="Times-Roman"/>
        </w:rPr>
        <w:t>enable monetization; TOE situates these capabilities within external environments; and SDL highlights how client interaction transforms digital service delivery into sustainable</w:t>
      </w:r>
      <w:r w:rsidR="0086388B">
        <w:rPr>
          <w:rFonts w:eastAsia="Times-Roman"/>
        </w:rPr>
        <w:t xml:space="preserve"> </w:t>
      </w:r>
      <w:r w:rsidRPr="00D24B3E">
        <w:rPr>
          <w:rFonts w:eastAsia="Times-Roman"/>
        </w:rPr>
        <w:t>fe</w:t>
      </w:r>
      <w:r w:rsidR="0086388B">
        <w:rPr>
          <w:rFonts w:eastAsia="Times-Roman"/>
        </w:rPr>
        <w:t>e</w:t>
      </w:r>
      <w:r w:rsidRPr="00D24B3E">
        <w:rPr>
          <w:rFonts w:eastAsia="Times-Roman"/>
        </w:rPr>
        <w:t xml:space="preserve"> income. This integrated foundation informs the study’s exploration of how digital platforms generate commercial value in diverse, evolving trade finance ecosystems (see Fig. 1).</w:t>
      </w:r>
    </w:p>
    <w:p w14:paraId="52A8662F" w14:textId="77777777" w:rsidR="006B2458" w:rsidRDefault="006B2458">
      <w:pPr>
        <w:rPr>
          <w:b/>
          <w:bCs/>
        </w:rPr>
      </w:pPr>
      <w:r>
        <w:rPr>
          <w:b/>
          <w:bCs/>
        </w:rPr>
        <w:br w:type="page"/>
      </w:r>
    </w:p>
    <w:p w14:paraId="521EA11F" w14:textId="6788BF5E" w:rsidR="00F02E2D" w:rsidRPr="00D24B3E" w:rsidRDefault="00000000">
      <w:pPr>
        <w:jc w:val="center"/>
      </w:pPr>
      <w:r w:rsidRPr="00D24B3E">
        <w:rPr>
          <w:b/>
          <w:bCs/>
        </w:rPr>
        <w:lastRenderedPageBreak/>
        <w:t xml:space="preserve">Fig. 1 </w:t>
      </w:r>
      <w:r w:rsidR="00E614F6" w:rsidRPr="00E614F6">
        <w:rPr>
          <w:rFonts w:ascii="Times-Roman" w:hAnsi="Times-Roman" w:cs="Times-Roman"/>
          <w:b/>
          <w:bCs/>
        </w:rPr>
        <w:t>Integrated Theoretical Framework for Digital Trade Monetization</w:t>
      </w:r>
    </w:p>
    <w:p w14:paraId="7C17F67A" w14:textId="77777777" w:rsidR="00F02E2D" w:rsidRPr="00D24B3E" w:rsidRDefault="00F02E2D">
      <w:pPr>
        <w:jc w:val="center"/>
      </w:pPr>
    </w:p>
    <w:p w14:paraId="3E57ACD1" w14:textId="0F6AB860" w:rsidR="00F02E2D" w:rsidRPr="00D24B3E" w:rsidRDefault="00FE6CCB">
      <w:pPr>
        <w:spacing w:after="120"/>
        <w:jc w:val="both"/>
      </w:pPr>
      <w:r w:rsidRPr="00D24B3E">
        <w:rPr>
          <w:noProof/>
        </w:rPr>
        <w:drawing>
          <wp:inline distT="0" distB="0" distL="0" distR="0" wp14:anchorId="0C2FE703" wp14:editId="64EC15E5">
            <wp:extent cx="5943600" cy="1508149"/>
            <wp:effectExtent l="0" t="0" r="0" b="0"/>
            <wp:docPr id="1584441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41768" name=""/>
                    <pic:cNvPicPr/>
                  </pic:nvPicPr>
                  <pic:blipFill rotWithShape="1">
                    <a:blip r:embed="rId13"/>
                    <a:srcRect b="7921"/>
                    <a:stretch>
                      <a:fillRect/>
                    </a:stretch>
                  </pic:blipFill>
                  <pic:spPr bwMode="auto">
                    <a:xfrm>
                      <a:off x="0" y="0"/>
                      <a:ext cx="5943600" cy="1508149"/>
                    </a:xfrm>
                    <a:prstGeom prst="rect">
                      <a:avLst/>
                    </a:prstGeom>
                    <a:ln>
                      <a:noFill/>
                    </a:ln>
                    <a:extLst>
                      <a:ext uri="{53640926-AAD7-44D8-BBD7-CCE9431645EC}">
                        <a14:shadowObscured xmlns:a14="http://schemas.microsoft.com/office/drawing/2010/main"/>
                      </a:ext>
                    </a:extLst>
                  </pic:spPr>
                </pic:pic>
              </a:graphicData>
            </a:graphic>
          </wp:inline>
        </w:drawing>
      </w:r>
    </w:p>
    <w:p w14:paraId="448DA990" w14:textId="77777777" w:rsidR="00F02E2D" w:rsidRPr="00D24B3E" w:rsidRDefault="00000000">
      <w:pPr>
        <w:spacing w:after="120"/>
      </w:pPr>
      <w:r w:rsidRPr="00D24B3E">
        <w:t>Source: Maureen Chan</w:t>
      </w:r>
    </w:p>
    <w:p w14:paraId="281F6F53" w14:textId="77777777" w:rsidR="00C163AC" w:rsidRDefault="00000000" w:rsidP="00C163AC">
      <w:pPr>
        <w:pStyle w:val="Heading4"/>
        <w:keepLines/>
        <w:spacing w:before="200" w:after="0" w:line="276" w:lineRule="auto"/>
        <w:jc w:val="both"/>
      </w:pPr>
      <w:r w:rsidRPr="00D24B3E">
        <w:rPr>
          <w:rFonts w:eastAsia="Times-Roman"/>
          <w:b w:val="0"/>
          <w:bCs w:val="0"/>
        </w:rPr>
        <w:t xml:space="preserve">A research gap is a conceptual or empirical void that remains underexplored despite existing studies. The literature provides limited insight into how digital services are priced, adopted, and monetized at the transaction level. (Zhou and Li, 2023; Ismail, 2020; Duong and Nguyen, 2025). </w:t>
      </w:r>
      <w:r w:rsidR="00C163AC" w:rsidRPr="00C163AC">
        <w:rPr>
          <w:b w:val="0"/>
          <w:bCs w:val="0"/>
          <w:color w:val="000000"/>
        </w:rPr>
        <w:t>This study addresses the identified gap through a qualitative, case-based analysis of banks’ approaches to platform configuration, revenue model development, and client adoption strategies. It offers an integrated theoretical and empirical foundation for evaluating the income-generating potential of digital trade services. The subsequent section critically examines five thematic clusters to synthesize existing literature and identify areas requiring further empirical investigation into monetization mechanisms.</w:t>
      </w:r>
    </w:p>
    <w:p w14:paraId="13BEE725" w14:textId="6BAEB33F" w:rsidR="00F02E2D" w:rsidRPr="00C163AC" w:rsidRDefault="00F614B4" w:rsidP="00C163AC">
      <w:pPr>
        <w:pStyle w:val="Heading4"/>
        <w:keepLines/>
        <w:spacing w:before="200" w:after="0" w:line="276" w:lineRule="auto"/>
        <w:jc w:val="both"/>
        <w:rPr>
          <w:b w:val="0"/>
          <w:bCs w:val="0"/>
        </w:rPr>
      </w:pPr>
      <w:r w:rsidRPr="00D24B3E">
        <w:t>3.1.1  Problem Statement</w:t>
      </w:r>
    </w:p>
    <w:p w14:paraId="1DB6274C" w14:textId="77777777" w:rsidR="00F02E2D" w:rsidRPr="00D24B3E" w:rsidRDefault="00F02E2D" w:rsidP="0022152C">
      <w:pPr>
        <w:spacing w:line="276" w:lineRule="auto"/>
        <w:jc w:val="both"/>
      </w:pPr>
    </w:p>
    <w:p w14:paraId="6B4BE2CC" w14:textId="72E4F385" w:rsidR="0022152C" w:rsidRPr="0055656F" w:rsidRDefault="00000000" w:rsidP="0055656F">
      <w:pPr>
        <w:spacing w:line="276" w:lineRule="auto"/>
        <w:jc w:val="both"/>
      </w:pPr>
      <w:r w:rsidRPr="00D24B3E">
        <w:rPr>
          <w:rFonts w:eastAsia="Times-Roman"/>
        </w:rPr>
        <w:t>Despite significant progress in digitizing trade finance, the link between digital platforms and sustainable fee income remains underexplored. Operational efficiency marked by faster processing and improved compliance is well</w:t>
      </w:r>
      <w:r w:rsidR="00F86EB4" w:rsidRPr="00D24B3E">
        <w:rPr>
          <w:rFonts w:eastAsia="Times-Roman"/>
        </w:rPr>
        <w:t xml:space="preserve"> </w:t>
      </w:r>
      <w:r w:rsidRPr="00D24B3E">
        <w:rPr>
          <w:rFonts w:eastAsia="Times-Roman"/>
        </w:rPr>
        <w:t>documented (Diyan Lestari, Ma, and Jun, 2023; Khalil et al., 2025)</w:t>
      </w:r>
      <w:r w:rsidR="009871AD" w:rsidRPr="00D24B3E">
        <w:rPr>
          <w:rFonts w:eastAsia="Times-Roman"/>
        </w:rPr>
        <w:t>. However,</w:t>
      </w:r>
      <w:r w:rsidRPr="00D24B3E">
        <w:rPr>
          <w:rFonts w:eastAsia="Times-Roman"/>
        </w:rPr>
        <w:t xml:space="preserve"> </w:t>
      </w:r>
      <w:r w:rsidR="00073DAA" w:rsidRPr="00D24B3E">
        <w:t>limited empirical focus exists on revenue attribution mechanisms within digital trade ecosystems</w:t>
      </w:r>
      <w:r w:rsidRPr="00D24B3E">
        <w:rPr>
          <w:rFonts w:eastAsia="Times-Roman"/>
        </w:rPr>
        <w:t xml:space="preserve">, defined as revenue from services like issuance, advising, and discounting. Research rarely addresses how banks design digital pricing, encourage client adoption, or </w:t>
      </w:r>
      <w:r w:rsidR="005319C2" w:rsidRPr="00D24B3E">
        <w:rPr>
          <w:rFonts w:eastAsia="Times-Roman"/>
        </w:rPr>
        <w:t xml:space="preserve">uncover </w:t>
      </w:r>
      <w:r w:rsidRPr="00D24B3E">
        <w:rPr>
          <w:rFonts w:eastAsia="Times-Roman"/>
        </w:rPr>
        <w:t>financial returns across diverse North Asian regulatory environments (</w:t>
      </w:r>
      <w:proofErr w:type="spellStart"/>
      <w:r w:rsidRPr="00D24B3E">
        <w:rPr>
          <w:rFonts w:eastAsia="Times-Roman"/>
        </w:rPr>
        <w:t>Citterio</w:t>
      </w:r>
      <w:proofErr w:type="spellEnd"/>
      <w:r w:rsidRPr="00D24B3E">
        <w:rPr>
          <w:rFonts w:eastAsia="Times-Roman"/>
        </w:rPr>
        <w:t>, King, and Locatelli, 202</w:t>
      </w:r>
      <w:r w:rsidR="005319C2" w:rsidRPr="00D24B3E">
        <w:rPr>
          <w:rFonts w:eastAsia="Times-Roman"/>
        </w:rPr>
        <w:t>2)</w:t>
      </w:r>
    </w:p>
    <w:p w14:paraId="70827B36" w14:textId="5E5F25E0" w:rsidR="00F02E2D" w:rsidRDefault="00F614B4" w:rsidP="00D24B3E">
      <w:pPr>
        <w:pStyle w:val="Heading4"/>
      </w:pPr>
      <w:r w:rsidRPr="00D24B3E">
        <w:t>3.1.2</w:t>
      </w:r>
      <w:r w:rsidRPr="00D24B3E">
        <w:tab/>
        <w:t>Purpose</w:t>
      </w:r>
    </w:p>
    <w:p w14:paraId="1DDA74D5" w14:textId="77777777" w:rsidR="00D24B3E" w:rsidRPr="00D24B3E" w:rsidRDefault="00D24B3E" w:rsidP="00D24B3E"/>
    <w:p w14:paraId="58BDAE18" w14:textId="12FCFAB8" w:rsidR="00F02E2D" w:rsidRPr="00D24B3E" w:rsidRDefault="009871AD" w:rsidP="0022152C">
      <w:pPr>
        <w:spacing w:after="240" w:line="276" w:lineRule="auto"/>
        <w:jc w:val="both"/>
      </w:pPr>
      <w:r w:rsidRPr="00D24B3E">
        <w:rPr>
          <w:rFonts w:eastAsia="Times-Roman"/>
        </w:rPr>
        <w:t xml:space="preserve">This qualitative study </w:t>
      </w:r>
      <w:r w:rsidR="002126DD">
        <w:rPr>
          <w:rFonts w:eastAsia="Times-Roman"/>
        </w:rPr>
        <w:t>examines</w:t>
      </w:r>
      <w:r w:rsidRPr="00D24B3E">
        <w:rPr>
          <w:rFonts w:eastAsia="Times-Roman"/>
        </w:rPr>
        <w:t xml:space="preserve"> </w:t>
      </w:r>
      <w:r w:rsidR="00071ECF">
        <w:rPr>
          <w:rFonts w:eastAsia="Times-Roman"/>
        </w:rPr>
        <w:t xml:space="preserve">how </w:t>
      </w:r>
      <w:r w:rsidRPr="00D24B3E">
        <w:rPr>
          <w:rFonts w:eastAsia="Times-Roman"/>
        </w:rPr>
        <w:t xml:space="preserve">corporate banks operating in North Asia leverage digital trade finance platforms to generate sustainable </w:t>
      </w:r>
      <w:r w:rsidR="00C163AC">
        <w:rPr>
          <w:rFonts w:eastAsia="Times-Roman"/>
        </w:rPr>
        <w:t xml:space="preserve">fee </w:t>
      </w:r>
      <w:r w:rsidRPr="00D24B3E">
        <w:rPr>
          <w:rFonts w:eastAsia="Times-Roman"/>
        </w:rPr>
        <w:t xml:space="preserve">income growth. A digital trade finance platform is a technology-enabled infrastructure that facilitates the electronic execution, processing, and settlement of trade finance transactions. This research investigates how banks design platform architecture, structure pricing models, and align internal capabilities with external conditions, such as regulatory frameworks and client adoption behavior. </w:t>
      </w:r>
      <w:r w:rsidR="002126DD">
        <w:rPr>
          <w:rFonts w:eastAsia="Times-Roman"/>
        </w:rPr>
        <w:t>The study addresses a critical gap in the literature by analyzing the strategic and operational factors that enable or hinder monetization</w:t>
      </w:r>
      <w:r w:rsidRPr="00D24B3E">
        <w:rPr>
          <w:rFonts w:eastAsia="Times-Roman"/>
        </w:rPr>
        <w:t xml:space="preserve">. It </w:t>
      </w:r>
      <w:r w:rsidRPr="00D24B3E">
        <w:rPr>
          <w:rFonts w:eastAsia="Times-Roman"/>
        </w:rPr>
        <w:lastRenderedPageBreak/>
        <w:t>provides actionable insights for banking executives, fintech developers, and policymakers seeking to enhance revenue growth and ensure the long-term viability of digital trade finance solutions.</w:t>
      </w:r>
    </w:p>
    <w:p w14:paraId="7FCCA2B6" w14:textId="2FE9D59C" w:rsidR="00F02E2D" w:rsidRPr="00D24B3E" w:rsidRDefault="00F614B4" w:rsidP="00D24B3E">
      <w:pPr>
        <w:pStyle w:val="Heading4"/>
      </w:pPr>
      <w:r w:rsidRPr="00D24B3E">
        <w:t>3.1.3 Significance of the Study</w:t>
      </w:r>
    </w:p>
    <w:p w14:paraId="688B11B5" w14:textId="77777777" w:rsidR="00F02E2D" w:rsidRPr="00D24B3E" w:rsidRDefault="00F02E2D"/>
    <w:p w14:paraId="3A3334AE" w14:textId="6EBBC670" w:rsidR="00F02E2D" w:rsidRPr="00D24B3E" w:rsidRDefault="00000000" w:rsidP="0022152C">
      <w:pPr>
        <w:spacing w:line="276" w:lineRule="auto"/>
        <w:jc w:val="both"/>
      </w:pPr>
      <w:r w:rsidRPr="00D24B3E">
        <w:rPr>
          <w:rFonts w:eastAsia="Times-Roman"/>
        </w:rPr>
        <w:t>This research contributes to academic discourse by adopting an integrated, multidimensional analysis to examine how corporate banks in North Asia design and monetize digital trade platforms for fee</w:t>
      </w:r>
      <w:r w:rsidR="00C163AC">
        <w:rPr>
          <w:rFonts w:eastAsia="Times-Roman"/>
        </w:rPr>
        <w:t xml:space="preserve"> </w:t>
      </w:r>
      <w:r w:rsidRPr="00D24B3E">
        <w:rPr>
          <w:rFonts w:eastAsia="Times-Roman"/>
        </w:rPr>
        <w:t xml:space="preserve">income growth. Through a qualitative, case-based methodology, the study explores the interplay between internal capabilities (e.g., digital infrastructure), external conditions (e.g., regulation, market maturity), and client engagement strategies (e.g., onboarding, pricing, bundling). </w:t>
      </w:r>
      <w:r w:rsidR="00071ECF">
        <w:rPr>
          <w:rFonts w:eastAsia="Times-Roman"/>
        </w:rPr>
        <w:t>Combining</w:t>
      </w:r>
      <w:r w:rsidRPr="00D24B3E">
        <w:rPr>
          <w:rFonts w:eastAsia="Times-Roman"/>
        </w:rPr>
        <w:t xml:space="preserve"> </w:t>
      </w:r>
      <w:r w:rsidR="0086388B">
        <w:rPr>
          <w:rFonts w:eastAsia="Times-Roman"/>
        </w:rPr>
        <w:t xml:space="preserve">three theoretical frameworks, </w:t>
      </w:r>
      <w:r w:rsidRPr="00D24B3E">
        <w:rPr>
          <w:rFonts w:eastAsia="Times-Roman"/>
        </w:rPr>
        <w:t>RBV, TOE, and SDL</w:t>
      </w:r>
      <w:r w:rsidR="00071ECF">
        <w:rPr>
          <w:rFonts w:eastAsia="Times-Roman"/>
        </w:rPr>
        <w:t>,</w:t>
      </w:r>
      <w:r w:rsidRPr="00D24B3E">
        <w:rPr>
          <w:rFonts w:eastAsia="Times-Roman"/>
        </w:rPr>
        <w:t xml:space="preserve"> enables a comprehensive understanding of </w:t>
      </w:r>
      <w:r w:rsidR="009871AD" w:rsidRPr="00D24B3E">
        <w:rPr>
          <w:rFonts w:eastAsia="Times-Roman"/>
        </w:rPr>
        <w:t xml:space="preserve">organizational resources, environmental context, and value </w:t>
      </w:r>
      <w:r w:rsidR="0086388B">
        <w:rPr>
          <w:rFonts w:eastAsia="Times-Roman"/>
        </w:rPr>
        <w:t>combination</w:t>
      </w:r>
      <w:r w:rsidR="009871AD" w:rsidRPr="00D24B3E">
        <w:rPr>
          <w:rFonts w:eastAsia="Times-Roman"/>
        </w:rPr>
        <w:t xml:space="preserve"> </w:t>
      </w:r>
      <w:r w:rsidR="0086388B">
        <w:rPr>
          <w:rFonts w:eastAsia="Times-Roman"/>
        </w:rPr>
        <w:t>to create</w:t>
      </w:r>
      <w:r w:rsidR="009871AD" w:rsidRPr="00D24B3E">
        <w:rPr>
          <w:rFonts w:eastAsia="Times-Roman"/>
        </w:rPr>
        <w:t xml:space="preserve"> platform monetization</w:t>
      </w:r>
      <w:r w:rsidRPr="00D24B3E">
        <w:rPr>
          <w:rFonts w:eastAsia="Times-Roman"/>
        </w:rPr>
        <w:t xml:space="preserve">. This layered approach </w:t>
      </w:r>
      <w:r w:rsidR="009871AD" w:rsidRPr="00D24B3E">
        <w:rPr>
          <w:rFonts w:eastAsia="Times-Roman"/>
        </w:rPr>
        <w:t>advances theoretical insight and</w:t>
      </w:r>
      <w:r w:rsidRPr="00D24B3E">
        <w:rPr>
          <w:rFonts w:eastAsia="Times-Roman"/>
        </w:rPr>
        <w:t xml:space="preserve"> offers actionable guidance for banks, </w:t>
      </w:r>
      <w:proofErr w:type="spellStart"/>
      <w:r w:rsidRPr="00D24B3E">
        <w:rPr>
          <w:rFonts w:eastAsia="Times-Roman"/>
        </w:rPr>
        <w:t>fintechs</w:t>
      </w:r>
      <w:proofErr w:type="spellEnd"/>
      <w:r w:rsidRPr="00D24B3E">
        <w:rPr>
          <w:rFonts w:eastAsia="Times-Roman"/>
        </w:rPr>
        <w:t>, and regulators seeking to optimize digital trade finance performance.</w:t>
      </w:r>
    </w:p>
    <w:p w14:paraId="5978CE93" w14:textId="77777777" w:rsidR="00F02E2D" w:rsidRPr="00D24B3E" w:rsidRDefault="00F02E2D"/>
    <w:p w14:paraId="0A99D5AA" w14:textId="02D8CC9D" w:rsidR="00F02E2D" w:rsidRPr="00D24B3E" w:rsidRDefault="00F614B4" w:rsidP="00D24B3E">
      <w:pPr>
        <w:pStyle w:val="Heading2"/>
        <w:rPr>
          <w:sz w:val="24"/>
          <w:szCs w:val="24"/>
        </w:rPr>
      </w:pPr>
      <w:bookmarkStart w:id="4" w:name="_Toc204547899"/>
      <w:r w:rsidRPr="00D24B3E">
        <w:rPr>
          <w:sz w:val="24"/>
          <w:szCs w:val="24"/>
        </w:rPr>
        <w:t>3.2  Body of the Review</w:t>
      </w:r>
      <w:bookmarkEnd w:id="4"/>
    </w:p>
    <w:p w14:paraId="4AA6A2B0" w14:textId="77777777" w:rsidR="00F02E2D" w:rsidRPr="00D24B3E" w:rsidRDefault="00F02E2D"/>
    <w:p w14:paraId="7A626A20" w14:textId="5940A54B" w:rsidR="00F02E2D" w:rsidRPr="00D24B3E" w:rsidRDefault="00000000" w:rsidP="0022152C">
      <w:pPr>
        <w:spacing w:after="240" w:line="276" w:lineRule="auto"/>
        <w:jc w:val="both"/>
      </w:pPr>
      <w:r w:rsidRPr="00D24B3E">
        <w:rPr>
          <w:rFonts w:eastAsia="Times-Roman"/>
        </w:rPr>
        <w:t xml:space="preserve">Digital trade finance integrates advanced technologies into global commerce, transforming </w:t>
      </w:r>
      <w:r w:rsidR="00071ECF">
        <w:rPr>
          <w:rFonts w:eastAsia="Times-Roman"/>
        </w:rPr>
        <w:t xml:space="preserve">it </w:t>
      </w:r>
      <w:r w:rsidRPr="00D24B3E">
        <w:rPr>
          <w:rFonts w:eastAsia="Times-Roman"/>
        </w:rPr>
        <w:t>to the extent corporate banks facilitate international trade</w:t>
      </w:r>
      <w:r w:rsidR="002126DD">
        <w:rPr>
          <w:rFonts w:eastAsia="Times-Roman"/>
        </w:rPr>
        <w:t xml:space="preserve">. </w:t>
      </w:r>
      <w:r w:rsidRPr="00D24B3E">
        <w:rPr>
          <w:rFonts w:eastAsia="Times-Roman"/>
        </w:rPr>
        <w:t xml:space="preserve">A growing body of literature acknowledges that technologies such as blockchain-enabled documentation (Chang, Luo, and Chen, 2019), AI-powered document verification (Khalil et al., 2025), and end-to-end digital trade platforms </w:t>
      </w:r>
      <w:r w:rsidRPr="00D24B3E">
        <w:t>(Tanveer et al.</w:t>
      </w:r>
      <w:r w:rsidR="009871AD" w:rsidRPr="00D24B3E">
        <w:t xml:space="preserve">, </w:t>
      </w:r>
      <w:r w:rsidRPr="00D24B3E">
        <w:t xml:space="preserve">2025) </w:t>
      </w:r>
      <w:r w:rsidRPr="00D24B3E">
        <w:rPr>
          <w:rFonts w:eastAsia="Times-Roman"/>
        </w:rPr>
        <w:t>have redefined transaction processing, transparency, and efficiency across supply chains. However, despite these advancements, limited empirical clarity exists on whether and to what extent these digital innovations contribute to sustainable, trade-specific, fee income. This question is especially critical for corporate banks with narrowing interest margins and rising compliance expenditures (</w:t>
      </w:r>
      <w:proofErr w:type="spellStart"/>
      <w:r w:rsidRPr="00D24B3E">
        <w:rPr>
          <w:rFonts w:eastAsia="Times-Roman"/>
        </w:rPr>
        <w:t>Citterio</w:t>
      </w:r>
      <w:proofErr w:type="spellEnd"/>
      <w:r w:rsidRPr="00D24B3E">
        <w:rPr>
          <w:rFonts w:eastAsia="Times-Roman"/>
        </w:rPr>
        <w:t>, A., King, R., and Locatelli, A.</w:t>
      </w:r>
      <w:r w:rsidR="009871AD" w:rsidRPr="00D24B3E">
        <w:rPr>
          <w:rFonts w:eastAsia="Times-Roman"/>
        </w:rPr>
        <w:t xml:space="preserve">, </w:t>
      </w:r>
      <w:r w:rsidRPr="00D24B3E">
        <w:rPr>
          <w:rFonts w:eastAsia="Times-Roman"/>
        </w:rPr>
        <w:t>2024).</w:t>
      </w:r>
      <w:r w:rsidR="00124EB2" w:rsidRPr="00D24B3E">
        <w:t xml:space="preserve"> </w:t>
      </w:r>
      <w:r w:rsidRPr="00D24B3E">
        <w:rPr>
          <w:rFonts w:eastAsia="Times-Roman"/>
        </w:rPr>
        <w:t>To enable a concept-driven synthesis of diverse scholarly contributions, the literature is organized into five thematic clusters (See Fig. 2). In this study, clustering enables targeted analysis across monetization, efficiency, theory, ecosystems, and regulation to clarify how digital trade finance drives fee income in North Asia.</w:t>
      </w:r>
    </w:p>
    <w:p w14:paraId="3965E591" w14:textId="77777777" w:rsidR="006B2458" w:rsidRDefault="006B2458">
      <w:pPr>
        <w:rPr>
          <w:b/>
          <w:bCs/>
        </w:rPr>
      </w:pPr>
      <w:r>
        <w:rPr>
          <w:b/>
          <w:bCs/>
        </w:rPr>
        <w:br w:type="page"/>
      </w:r>
    </w:p>
    <w:p w14:paraId="67D70C02" w14:textId="61CD9C7A" w:rsidR="00F02E2D" w:rsidRPr="00D24B3E" w:rsidRDefault="00000000" w:rsidP="00E614F6">
      <w:pPr>
        <w:jc w:val="center"/>
      </w:pPr>
      <w:r w:rsidRPr="00E614F6">
        <w:rPr>
          <w:b/>
          <w:bCs/>
        </w:rPr>
        <w:lastRenderedPageBreak/>
        <w:t xml:space="preserve">Fig. 2 </w:t>
      </w:r>
      <w:r w:rsidR="00E614F6" w:rsidRPr="00E614F6">
        <w:rPr>
          <w:b/>
          <w:bCs/>
        </w:rPr>
        <w:t>Thematic Synthesis of Key Concepts in Digital Trade Finance Literature</w:t>
      </w:r>
      <w:r w:rsidR="00FE6CCB" w:rsidRPr="00D24B3E">
        <w:rPr>
          <w:b/>
          <w:bCs/>
          <w:noProof/>
        </w:rPr>
        <w:drawing>
          <wp:inline distT="0" distB="0" distL="0" distR="0" wp14:anchorId="6A1EE4DC" wp14:editId="22CCC838">
            <wp:extent cx="3077028" cy="1976258"/>
            <wp:effectExtent l="0" t="0" r="0" b="5080"/>
            <wp:docPr id="859743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43897" name=""/>
                    <pic:cNvPicPr/>
                  </pic:nvPicPr>
                  <pic:blipFill>
                    <a:blip r:embed="rId14"/>
                    <a:stretch>
                      <a:fillRect/>
                    </a:stretch>
                  </pic:blipFill>
                  <pic:spPr>
                    <a:xfrm>
                      <a:off x="0" y="0"/>
                      <a:ext cx="3171431" cy="2036889"/>
                    </a:xfrm>
                    <a:prstGeom prst="rect">
                      <a:avLst/>
                    </a:prstGeom>
                  </pic:spPr>
                </pic:pic>
              </a:graphicData>
            </a:graphic>
          </wp:inline>
        </w:drawing>
      </w:r>
    </w:p>
    <w:p w14:paraId="3FF49646" w14:textId="77777777" w:rsidR="00F02E2D" w:rsidRPr="00D24B3E" w:rsidRDefault="00000000">
      <w:pPr>
        <w:spacing w:after="120"/>
        <w:jc w:val="center"/>
      </w:pPr>
      <w:r w:rsidRPr="00D24B3E">
        <w:t>Source: Maureen Chan</w:t>
      </w:r>
    </w:p>
    <w:p w14:paraId="2535C456" w14:textId="370E977C" w:rsidR="00F02E2D" w:rsidRDefault="00F614B4" w:rsidP="00D24B3E">
      <w:pPr>
        <w:pStyle w:val="Heading4"/>
        <w:rPr>
          <w:rFonts w:eastAsia="Times-Bold"/>
        </w:rPr>
      </w:pPr>
      <w:r w:rsidRPr="00D24B3E">
        <w:rPr>
          <w:rFonts w:eastAsia="Times-Bold"/>
        </w:rPr>
        <w:t>3.2.1</w:t>
      </w:r>
      <w:r w:rsidRPr="00D24B3E">
        <w:rPr>
          <w:rFonts w:eastAsia="Times-Bold"/>
        </w:rPr>
        <w:tab/>
        <w:t>Conceptual Foundation – cluster 1</w:t>
      </w:r>
    </w:p>
    <w:p w14:paraId="3F300553" w14:textId="77777777" w:rsidR="006B2458" w:rsidRPr="006B2458" w:rsidRDefault="006B2458" w:rsidP="006B2458"/>
    <w:p w14:paraId="1AB9E6F8" w14:textId="504BF8F1" w:rsidR="00F02E2D" w:rsidRPr="00D24B3E" w:rsidRDefault="00000000" w:rsidP="0022152C">
      <w:pPr>
        <w:spacing w:after="240" w:line="276" w:lineRule="auto"/>
        <w:jc w:val="both"/>
      </w:pPr>
      <w:r w:rsidRPr="00D24B3E">
        <w:rPr>
          <w:rFonts w:eastAsia="Times-Roman"/>
        </w:rPr>
        <w:t xml:space="preserve">Trade finance is a banking segment characterized by high-value transactions, intricate compliance protocols, and operational complexity. While numerous studies affirm the positive impact of digitization on bank profitability and competitiveness (He et al., 2025; </w:t>
      </w:r>
      <w:proofErr w:type="spellStart"/>
      <w:r w:rsidRPr="00D24B3E">
        <w:rPr>
          <w:rFonts w:eastAsia="Times-Roman"/>
        </w:rPr>
        <w:t>Forcadell</w:t>
      </w:r>
      <w:proofErr w:type="spellEnd"/>
      <w:r w:rsidRPr="00D24B3E">
        <w:rPr>
          <w:rFonts w:eastAsia="Times-Roman"/>
        </w:rPr>
        <w:t xml:space="preserve">, </w:t>
      </w:r>
      <w:proofErr w:type="spellStart"/>
      <w:r w:rsidRPr="00D24B3E">
        <w:rPr>
          <w:rFonts w:eastAsia="Times-Roman"/>
        </w:rPr>
        <w:t>Aracil</w:t>
      </w:r>
      <w:proofErr w:type="spellEnd"/>
      <w:r w:rsidRPr="00D24B3E">
        <w:rPr>
          <w:rFonts w:eastAsia="Times-Roman"/>
        </w:rPr>
        <w:t>, and Ubeda, 2020), most emphasize retail banking or generalized financial outcomes. Digital services such as issuance, advising, and confirmation are financial functions that require distinct evaluation due to their direct link to fee income. Nguyen-</w:t>
      </w:r>
      <w:proofErr w:type="spellStart"/>
      <w:r w:rsidRPr="00D24B3E">
        <w:rPr>
          <w:rFonts w:eastAsia="Times-Roman"/>
        </w:rPr>
        <w:t>Thi</w:t>
      </w:r>
      <w:proofErr w:type="spellEnd"/>
      <w:r w:rsidRPr="00D24B3E">
        <w:rPr>
          <w:rFonts w:eastAsia="Times-Roman"/>
        </w:rPr>
        <w:t>-Huong et al. (2023) and Hossain and Sultana (2024) observe that although digitization provides scalability and transparency, its commercial benefits in trade finance are seldom quantified at the service level. This cluster identifies a conceptual gap: the insufficient examination of revenue attribution mechanisms within digital trade initiatives, especially in service-intensive areas such as documentary trade</w:t>
      </w:r>
      <w:r w:rsidR="007B1A88">
        <w:rPr>
          <w:rFonts w:eastAsia="Times-Roman"/>
        </w:rPr>
        <w:t xml:space="preserve"> finance</w:t>
      </w:r>
      <w:r w:rsidRPr="00D24B3E">
        <w:rPr>
          <w:rFonts w:eastAsia="Times-Roman"/>
        </w:rPr>
        <w:t>.</w:t>
      </w:r>
    </w:p>
    <w:p w14:paraId="68DE75C2" w14:textId="584BB110" w:rsidR="00F02E2D" w:rsidRDefault="00F614B4" w:rsidP="00D24B3E">
      <w:pPr>
        <w:pStyle w:val="Heading4"/>
        <w:rPr>
          <w:rFonts w:eastAsia="Times-Bold"/>
        </w:rPr>
      </w:pPr>
      <w:r w:rsidRPr="00D24B3E">
        <w:t xml:space="preserve">3.2.2  Theoretical Grounding </w:t>
      </w:r>
      <w:r w:rsidRPr="00D24B3E">
        <w:rPr>
          <w:rFonts w:eastAsia="Times-Bold"/>
        </w:rPr>
        <w:t>– cluster 2</w:t>
      </w:r>
    </w:p>
    <w:p w14:paraId="7D390F7D" w14:textId="77777777" w:rsidR="006B2458" w:rsidRPr="006B2458" w:rsidRDefault="006B2458" w:rsidP="006B2458"/>
    <w:p w14:paraId="39588020" w14:textId="5EC0788D" w:rsidR="00F02E2D" w:rsidRPr="00D24B3E" w:rsidRDefault="00000000" w:rsidP="0022152C">
      <w:pPr>
        <w:spacing w:after="240" w:line="276" w:lineRule="auto"/>
        <w:jc w:val="both"/>
      </w:pPr>
      <w:r w:rsidRPr="00D24B3E">
        <w:rPr>
          <w:rFonts w:eastAsia="Times-Roman"/>
        </w:rPr>
        <w:t xml:space="preserve">Digital trade finance </w:t>
      </w:r>
      <w:r w:rsidR="009871AD" w:rsidRPr="00D24B3E">
        <w:rPr>
          <w:rFonts w:eastAsia="Times-Roman"/>
        </w:rPr>
        <w:t xml:space="preserve">is </w:t>
      </w:r>
      <w:r w:rsidRPr="00D24B3E">
        <w:rPr>
          <w:rFonts w:eastAsia="Times-Roman"/>
        </w:rPr>
        <w:t>conceptualized through three strategic lenses: the Resource-Based View (RBV), the Technology-Organization-Environment (TOE) framework, and Service-Dominant Logic (SDL). These theories explain how banks can align internal capability, environmental readiness, and client-centric design to derive income from digital trade services.</w:t>
      </w:r>
    </w:p>
    <w:p w14:paraId="13380DA4" w14:textId="5DF16D2B" w:rsidR="00F02E2D" w:rsidRPr="00D24B3E" w:rsidRDefault="00FA3B2D" w:rsidP="0022152C">
      <w:pPr>
        <w:spacing w:after="240" w:line="276" w:lineRule="auto"/>
        <w:jc w:val="both"/>
      </w:pPr>
      <w:r w:rsidRPr="00D24B3E">
        <w:rPr>
          <w:rFonts w:eastAsia="Times-Roman"/>
        </w:rPr>
        <w:t xml:space="preserve">RBV defines competitive advantage as stemming from unique internal resources such as advanced digital architecture, skilled IT personnel, and strategic leadership that are valuable, rare, and difficult to imitate. While Liu, Chen, and Chou (2011) emphasize that misalignment between digital resources and strategic goals can limit return on investment, this view often overlooks the influence of external partnerships and evolving market dynamics. Although Yu, Zheng, and Liu (2025) demonstrate that agility in deploying IT capabilities is vital for </w:t>
      </w:r>
      <w:r w:rsidR="009871AD" w:rsidRPr="00D24B3E">
        <w:rPr>
          <w:rFonts w:eastAsia="Times-Roman"/>
        </w:rPr>
        <w:t>monetizing</w:t>
      </w:r>
      <w:r w:rsidRPr="00D24B3E">
        <w:rPr>
          <w:rFonts w:eastAsia="Times-Roman"/>
        </w:rPr>
        <w:t xml:space="preserve"> digital banking, RBV tends to assume a static environment and may underplay inter-organizational collaboration</w:t>
      </w:r>
      <w:r w:rsidR="002126DD">
        <w:rPr>
          <w:rFonts w:eastAsia="Times-Roman"/>
        </w:rPr>
        <w:t>, which is</w:t>
      </w:r>
      <w:r w:rsidRPr="00D24B3E">
        <w:rPr>
          <w:rFonts w:eastAsia="Times-Roman"/>
        </w:rPr>
        <w:t xml:space="preserve"> crucial in digital ecosystems. RBV emphasizes the value of internal resources; it inadequately addresses how platform success in digital trade often hinges on </w:t>
      </w:r>
      <w:r w:rsidRPr="00D24B3E">
        <w:rPr>
          <w:rFonts w:eastAsia="Times-Bold"/>
        </w:rPr>
        <w:t xml:space="preserve">external </w:t>
      </w:r>
      <w:r w:rsidRPr="00D24B3E">
        <w:rPr>
          <w:rFonts w:eastAsia="Times-Bold"/>
        </w:rPr>
        <w:lastRenderedPageBreak/>
        <w:t>collaboration</w:t>
      </w:r>
      <w:r w:rsidRPr="00D24B3E">
        <w:rPr>
          <w:rFonts w:eastAsia="Times-Roman"/>
        </w:rPr>
        <w:t xml:space="preserve">, such as fintech partnerships, regulatory engagement, and interoperability with client systems. In rapidly digitizing trade ecosystems, </w:t>
      </w:r>
      <w:r w:rsidRPr="00D24B3E">
        <w:rPr>
          <w:rFonts w:eastAsia="Times-Bold"/>
        </w:rPr>
        <w:t>value is co-created across institutional boundaries</w:t>
      </w:r>
      <w:r w:rsidRPr="00D24B3E">
        <w:rPr>
          <w:rFonts w:eastAsia="Times-Roman"/>
        </w:rPr>
        <w:t>, making the firm-centric RBV potentially too narrow for evaluating monetization strategies.</w:t>
      </w:r>
    </w:p>
    <w:p w14:paraId="68700107" w14:textId="22EFB5B9" w:rsidR="00F02E2D" w:rsidRPr="00D24B3E" w:rsidRDefault="00FA3B2D" w:rsidP="0022152C">
      <w:pPr>
        <w:spacing w:after="240" w:line="276" w:lineRule="auto"/>
        <w:jc w:val="both"/>
      </w:pPr>
      <w:r w:rsidRPr="00D24B3E">
        <w:rPr>
          <w:rFonts w:eastAsia="Times-Roman"/>
        </w:rPr>
        <w:t xml:space="preserve">TOE describes digital transformation as shaped by technological capability, organizational commitment, and external conditions such as policy frameworks and market maturity. Duong and Nguyen (2025) show that </w:t>
      </w:r>
      <w:r w:rsidR="009871AD" w:rsidRPr="00D24B3E">
        <w:rPr>
          <w:rFonts w:eastAsia="Times-Roman"/>
        </w:rPr>
        <w:t>regional regulatory infrastructure differences</w:t>
      </w:r>
      <w:r w:rsidRPr="00D24B3E">
        <w:rPr>
          <w:rFonts w:eastAsia="Times-Roman"/>
        </w:rPr>
        <w:t xml:space="preserve"> significantly affect platform effectiveness, reinforcing the model’s contextual relevance. TOE framework </w:t>
      </w:r>
      <w:r w:rsidR="009871AD" w:rsidRPr="00D24B3E">
        <w:rPr>
          <w:rFonts w:eastAsia="Times-Roman"/>
        </w:rPr>
        <w:t>treats</w:t>
      </w:r>
      <w:r w:rsidRPr="00D24B3E">
        <w:rPr>
          <w:rFonts w:eastAsia="Times-Roman"/>
        </w:rPr>
        <w:t xml:space="preserve"> organizations as </w:t>
      </w:r>
      <w:r w:rsidRPr="00D24B3E">
        <w:rPr>
          <w:rFonts w:eastAsia="Times-Bold"/>
        </w:rPr>
        <w:t>reactive agents</w:t>
      </w:r>
      <w:r w:rsidRPr="00D24B3E">
        <w:rPr>
          <w:rFonts w:eastAsia="Times-Roman"/>
        </w:rPr>
        <w:t xml:space="preserve"> shaped by external conditions like regulation and technology readiness. However, in digital trade finance, leading banks often </w:t>
      </w:r>
      <w:r w:rsidRPr="00D24B3E">
        <w:rPr>
          <w:rFonts w:eastAsia="Times-Bold"/>
        </w:rPr>
        <w:t>proactively shape their environments</w:t>
      </w:r>
      <w:r w:rsidRPr="00D24B3E">
        <w:rPr>
          <w:rFonts w:eastAsia="Times-Roman"/>
        </w:rPr>
        <w:t xml:space="preserve"> </w:t>
      </w:r>
      <w:r w:rsidR="009871AD" w:rsidRPr="00D24B3E">
        <w:rPr>
          <w:rFonts w:eastAsia="Times-Roman"/>
        </w:rPr>
        <w:t xml:space="preserve">by </w:t>
      </w:r>
      <w:r w:rsidRPr="00D24B3E">
        <w:rPr>
          <w:rFonts w:eastAsia="Times-Roman"/>
        </w:rPr>
        <w:t>lobbying regulators, co-developing standards, and orchestrating ecosystems.</w:t>
      </w:r>
    </w:p>
    <w:p w14:paraId="2BE44914" w14:textId="5108CA2B" w:rsidR="00F02E2D" w:rsidRPr="00D24B3E" w:rsidRDefault="00D74258" w:rsidP="0022152C">
      <w:pPr>
        <w:spacing w:after="240" w:line="276" w:lineRule="auto"/>
        <w:jc w:val="both"/>
      </w:pPr>
      <w:r w:rsidRPr="00D24B3E">
        <w:rPr>
          <w:rFonts w:eastAsia="Times-Roman"/>
        </w:rPr>
        <w:t xml:space="preserve">SDL reconceptualizes value as co-created through ongoing service exchange, not embedded into products. According to Vargo and Lusch (2004), this logic prioritizes client engagement, customization, and integration into the service lifecycle. </w:t>
      </w:r>
      <w:r w:rsidR="007B1A88">
        <w:rPr>
          <w:rFonts w:ascii="Times-Roman" w:hAnsi="Times-Roman" w:cs="Times-Roman"/>
        </w:rPr>
        <w:t xml:space="preserve">While Liu et al. (2023) emphasize that digital onboarding and value bundling play a critical role in enabling banks to convert digital interactions into revenue, the concept of co-creation remains difficult to quantify, particularly </w:t>
      </w:r>
      <w:r w:rsidR="00071ECF">
        <w:rPr>
          <w:rFonts w:ascii="Times-Roman" w:hAnsi="Times-Roman" w:cs="Times-Roman"/>
        </w:rPr>
        <w:t>regarding</w:t>
      </w:r>
      <w:r w:rsidR="007B1A88">
        <w:rPr>
          <w:rFonts w:ascii="Times-Roman" w:hAnsi="Times-Roman" w:cs="Times-Roman"/>
        </w:rPr>
        <w:t xml:space="preserve"> pricing strategies and the attribution of fee income, which are central to the monetization of digital trade platforms. </w:t>
      </w:r>
      <w:r w:rsidRPr="00D24B3E">
        <w:t>This limits SDL’s applicability in financial modeling or platform revenue analytics.</w:t>
      </w:r>
    </w:p>
    <w:p w14:paraId="73F23758" w14:textId="210AD552" w:rsidR="008A4322" w:rsidRPr="00D24B3E" w:rsidRDefault="008A4322" w:rsidP="0022152C">
      <w:pPr>
        <w:spacing w:after="240" w:line="276" w:lineRule="auto"/>
        <w:jc w:val="both"/>
        <w:rPr>
          <w:color w:val="000000"/>
        </w:rPr>
      </w:pPr>
      <w:r w:rsidRPr="00D24B3E">
        <w:rPr>
          <w:color w:val="000000"/>
        </w:rPr>
        <w:t xml:space="preserve">While RBV’s firm-centric lens, TOE’s descriptive nature, and SDL’s conceptual abstraction each present limitations, their combined application offers a more holistic and balanced framework to capture </w:t>
      </w:r>
      <w:r w:rsidR="009871AD" w:rsidRPr="00D24B3E">
        <w:rPr>
          <w:color w:val="000000"/>
        </w:rPr>
        <w:t>digital trade platform monetization's internal, contextual, and relational dimensions</w:t>
      </w:r>
      <w:r w:rsidRPr="00D24B3E">
        <w:rPr>
          <w:color w:val="000000"/>
        </w:rPr>
        <w:t>.</w:t>
      </w:r>
    </w:p>
    <w:p w14:paraId="6B7D9469" w14:textId="41C3E80C" w:rsidR="00113069" w:rsidRPr="00C163AC" w:rsidRDefault="00113069" w:rsidP="00C163AC">
      <w:pPr>
        <w:jc w:val="center"/>
        <w:rPr>
          <w:b/>
          <w:bCs/>
        </w:rPr>
      </w:pPr>
      <w:r w:rsidRPr="00D24B3E">
        <w:rPr>
          <w:b/>
          <w:bCs/>
        </w:rPr>
        <w:t xml:space="preserve">Fig. 3 </w:t>
      </w:r>
      <w:r w:rsidR="00E614F6">
        <w:rPr>
          <w:b/>
          <w:bCs/>
        </w:rPr>
        <w:t>Unified</w:t>
      </w:r>
      <w:r w:rsidRPr="00D24B3E">
        <w:rPr>
          <w:b/>
          <w:bCs/>
        </w:rPr>
        <w:t xml:space="preserve"> Theoretical </w:t>
      </w:r>
      <w:r w:rsidR="00E614F6">
        <w:rPr>
          <w:b/>
          <w:bCs/>
        </w:rPr>
        <w:t>Perspectives on</w:t>
      </w:r>
      <w:r w:rsidRPr="00D24B3E">
        <w:rPr>
          <w:b/>
          <w:bCs/>
        </w:rPr>
        <w:t xml:space="preserve"> Digital Trade </w:t>
      </w:r>
      <w:r w:rsidR="00E614F6">
        <w:rPr>
          <w:b/>
          <w:bCs/>
        </w:rPr>
        <w:t>Monetization</w:t>
      </w:r>
    </w:p>
    <w:p w14:paraId="2A00326B" w14:textId="56A03AA2" w:rsidR="00113069" w:rsidRPr="00D24B3E" w:rsidRDefault="00A763FC" w:rsidP="00A763FC">
      <w:pPr>
        <w:spacing w:after="240"/>
        <w:jc w:val="center"/>
        <w:rPr>
          <w:color w:val="000000"/>
        </w:rPr>
      </w:pPr>
      <w:r w:rsidRPr="00D24B3E">
        <w:rPr>
          <w:noProof/>
          <w:color w:val="000000"/>
        </w:rPr>
        <w:drawing>
          <wp:inline distT="0" distB="0" distL="0" distR="0" wp14:anchorId="1C0ECF5F" wp14:editId="13063548">
            <wp:extent cx="4396212" cy="1519361"/>
            <wp:effectExtent l="0" t="0" r="0" b="0"/>
            <wp:docPr id="2008425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25247" name=""/>
                    <pic:cNvPicPr/>
                  </pic:nvPicPr>
                  <pic:blipFill rotWithShape="1">
                    <a:blip r:embed="rId15"/>
                    <a:srcRect l="1099" t="24398" r="-1099" b="23677"/>
                    <a:stretch>
                      <a:fillRect/>
                    </a:stretch>
                  </pic:blipFill>
                  <pic:spPr bwMode="auto">
                    <a:xfrm>
                      <a:off x="0" y="0"/>
                      <a:ext cx="4396212" cy="1519361"/>
                    </a:xfrm>
                    <a:prstGeom prst="rect">
                      <a:avLst/>
                    </a:prstGeom>
                    <a:ln>
                      <a:noFill/>
                    </a:ln>
                    <a:extLst>
                      <a:ext uri="{53640926-AAD7-44D8-BBD7-CCE9431645EC}">
                        <a14:shadowObscured xmlns:a14="http://schemas.microsoft.com/office/drawing/2010/main"/>
                      </a:ext>
                    </a:extLst>
                  </pic:spPr>
                </pic:pic>
              </a:graphicData>
            </a:graphic>
          </wp:inline>
        </w:drawing>
      </w:r>
    </w:p>
    <w:p w14:paraId="7AE39211" w14:textId="77777777" w:rsidR="00F954AC" w:rsidRDefault="00113069" w:rsidP="00C163AC">
      <w:pPr>
        <w:spacing w:after="240"/>
        <w:jc w:val="center"/>
        <w:rPr>
          <w:b/>
          <w:bCs/>
        </w:rPr>
      </w:pPr>
      <w:r w:rsidRPr="00D24B3E">
        <w:t>Source: Maureen Cha</w:t>
      </w:r>
      <w:r w:rsidR="0055656F">
        <w:t>n</w:t>
      </w:r>
    </w:p>
    <w:p w14:paraId="0EC60D00" w14:textId="176BE987" w:rsidR="00A763FC" w:rsidRDefault="00F614B4" w:rsidP="00F954AC">
      <w:pPr>
        <w:pStyle w:val="Heading4"/>
        <w:rPr>
          <w:rFonts w:eastAsia="Times-Bold"/>
        </w:rPr>
      </w:pPr>
      <w:r w:rsidRPr="00D24B3E">
        <w:t xml:space="preserve">3.2.3 Operational Value vs. Revenue Realization </w:t>
      </w:r>
      <w:r w:rsidRPr="00D24B3E">
        <w:rPr>
          <w:rFonts w:eastAsia="Times-Bold"/>
        </w:rPr>
        <w:t>– clus</w:t>
      </w:r>
      <w:r w:rsidR="0055656F">
        <w:rPr>
          <w:rFonts w:eastAsia="Times-Bold"/>
        </w:rPr>
        <w:t>te</w:t>
      </w:r>
      <w:r w:rsidRPr="00D24B3E">
        <w:rPr>
          <w:rFonts w:eastAsia="Times-Bold"/>
        </w:rPr>
        <w:t>r 3</w:t>
      </w:r>
    </w:p>
    <w:p w14:paraId="3821F0E9" w14:textId="77777777" w:rsidR="00F954AC" w:rsidRPr="00F954AC" w:rsidRDefault="00F954AC" w:rsidP="00F954AC"/>
    <w:p w14:paraId="5DAC8133" w14:textId="50058D21" w:rsidR="007B1A88" w:rsidRDefault="00000000" w:rsidP="0022152C">
      <w:pPr>
        <w:spacing w:line="276" w:lineRule="auto"/>
        <w:jc w:val="both"/>
        <w:rPr>
          <w:rFonts w:eastAsia="Times-Roman"/>
        </w:rPr>
      </w:pPr>
      <w:r w:rsidRPr="00D24B3E">
        <w:rPr>
          <w:rFonts w:eastAsia="Times-Roman"/>
        </w:rPr>
        <w:t xml:space="preserve">Digital trade finance platforms </w:t>
      </w:r>
      <w:r w:rsidR="007B1A88">
        <w:rPr>
          <w:rFonts w:eastAsia="Times-Roman"/>
        </w:rPr>
        <w:t>improve</w:t>
      </w:r>
      <w:r w:rsidRPr="00D24B3E">
        <w:rPr>
          <w:rFonts w:eastAsia="Times-Roman"/>
        </w:rPr>
        <w:t xml:space="preserve"> operational efficiency through automation, </w:t>
      </w:r>
      <w:r w:rsidR="007B1A88">
        <w:rPr>
          <w:rFonts w:eastAsia="Times-Roman"/>
        </w:rPr>
        <w:t xml:space="preserve">enhanced </w:t>
      </w:r>
      <w:r w:rsidRPr="00D24B3E">
        <w:rPr>
          <w:rFonts w:eastAsia="Times-Roman"/>
        </w:rPr>
        <w:t xml:space="preserve">compliance, and </w:t>
      </w:r>
      <w:r w:rsidR="007B1A88">
        <w:rPr>
          <w:rFonts w:eastAsia="Times-Roman"/>
        </w:rPr>
        <w:t xml:space="preserve">expedited </w:t>
      </w:r>
      <w:r w:rsidRPr="00D24B3E">
        <w:rPr>
          <w:rFonts w:eastAsia="Times-Roman"/>
        </w:rPr>
        <w:t xml:space="preserve">document turnaround (Guo </w:t>
      </w:r>
      <w:r w:rsidR="002126DD">
        <w:rPr>
          <w:rFonts w:eastAsia="Times-Roman"/>
        </w:rPr>
        <w:t>&amp;</w:t>
      </w:r>
      <w:r w:rsidRPr="00D24B3E">
        <w:rPr>
          <w:rFonts w:eastAsia="Times-Roman"/>
        </w:rPr>
        <w:t xml:space="preserve"> Ma, 2025; Khalil et al., 2025). While these benefits are well documented, some scholars argue that operational efficiencies can </w:t>
      </w:r>
      <w:r w:rsidRPr="00D24B3E">
        <w:rPr>
          <w:rFonts w:eastAsia="Times-Bold"/>
        </w:rPr>
        <w:t>indirectly lead</w:t>
      </w:r>
      <w:r w:rsidRPr="00D24B3E">
        <w:rPr>
          <w:rFonts w:eastAsia="Times-Roman"/>
        </w:rPr>
        <w:t xml:space="preserve"> to income by enabling service scalability and freeing up relationship managers for value-</w:t>
      </w:r>
      <w:r w:rsidRPr="00D24B3E">
        <w:rPr>
          <w:rFonts w:eastAsia="Times-Roman"/>
        </w:rPr>
        <w:lastRenderedPageBreak/>
        <w:t xml:space="preserve">added tasks (He et al., 2025). </w:t>
      </w:r>
      <w:r w:rsidR="00F954AC">
        <w:rPr>
          <w:rFonts w:ascii="Times-Roman" w:hAnsi="Times-Roman" w:cs="Times-Roman"/>
        </w:rPr>
        <w:t>Although operational benefits are widely documented, scholars differ on their income impact. Some argue that automation enables service scalability and frees relationship managers for higher-value tasks (He et al., 2025). Others caution that without deliberate monetization structures, these efficiencies are often absorbed as cost savings rather than revenue drivers (</w:t>
      </w:r>
      <w:proofErr w:type="spellStart"/>
      <w:r w:rsidR="00F954AC">
        <w:rPr>
          <w:rFonts w:ascii="Times-Roman" w:hAnsi="Times-Roman" w:cs="Times-Roman"/>
        </w:rPr>
        <w:t>Citterio</w:t>
      </w:r>
      <w:proofErr w:type="spellEnd"/>
      <w:r w:rsidR="00F954AC">
        <w:rPr>
          <w:rFonts w:ascii="Times-Roman" w:hAnsi="Times-Roman" w:cs="Times-Roman"/>
        </w:rPr>
        <w:t>, King, and Locatelli, 2024).</w:t>
      </w:r>
    </w:p>
    <w:p w14:paraId="50972CF1" w14:textId="77777777" w:rsidR="007B1A88" w:rsidRDefault="007B1A88" w:rsidP="0022152C">
      <w:pPr>
        <w:spacing w:line="276" w:lineRule="auto"/>
        <w:jc w:val="both"/>
        <w:rPr>
          <w:rFonts w:eastAsia="Times-Roman"/>
        </w:rPr>
      </w:pPr>
    </w:p>
    <w:p w14:paraId="6AD49621" w14:textId="2B30B2E4" w:rsidR="00124EB2" w:rsidRPr="00D24B3E" w:rsidRDefault="008F679C" w:rsidP="007B1A88">
      <w:pPr>
        <w:spacing w:line="276" w:lineRule="auto"/>
        <w:jc w:val="both"/>
        <w:rPr>
          <w:b/>
          <w:bCs/>
        </w:rPr>
      </w:pPr>
      <w:r>
        <w:rPr>
          <w:rFonts w:ascii="Times-Roman" w:hAnsi="Times-Roman" w:cs="Times-Roman"/>
        </w:rPr>
        <w:t>The mixed evidence underscores the need to separate efficiency gains from actual monetization by tracking how digital enhancements translate into measurable, service-level income. This study proposes aligning operational KPIs with revenue metrics, such as marginal cost-to-serve and fee-per-service</w:t>
      </w:r>
      <w:r w:rsidR="006B2458">
        <w:rPr>
          <w:rStyle w:val="FootnoteReference"/>
          <w:rFonts w:ascii="Times-Roman" w:hAnsi="Times-Roman" w:cs="Times-Roman"/>
        </w:rPr>
        <w:footnoteReference w:id="6"/>
      </w:r>
      <w:r>
        <w:rPr>
          <w:rFonts w:ascii="Times-Roman" w:hAnsi="Times-Roman" w:cs="Times-Roman"/>
        </w:rPr>
        <w:t>to assess the commercial impact of digital trade platforms. While efficiency is a key outcome of digitization, it does not guarantee revenue growth. Therefore, analyzing embedded monetization strategies like pricing and bundling is essential to shift the focus from cost savings to income generation, aligning with academic and business priorities.</w:t>
      </w:r>
    </w:p>
    <w:p w14:paraId="11CE8FA0" w14:textId="37C3B22A" w:rsidR="00F02E2D" w:rsidRPr="00D24B3E" w:rsidRDefault="00F614B4" w:rsidP="00D24B3E">
      <w:pPr>
        <w:pStyle w:val="Heading4"/>
      </w:pPr>
      <w:r w:rsidRPr="00D24B3E">
        <w:t xml:space="preserve">3.2.4 Platform, Ecosystem Value and Monetization Models </w:t>
      </w:r>
      <w:r w:rsidRPr="00D24B3E">
        <w:rPr>
          <w:rFonts w:eastAsia="Times-Bold"/>
        </w:rPr>
        <w:t>– cluster 4</w:t>
      </w:r>
    </w:p>
    <w:p w14:paraId="3C689583" w14:textId="6457441F" w:rsidR="00F02E2D" w:rsidRPr="00D24B3E" w:rsidRDefault="00000000" w:rsidP="0022152C">
      <w:pPr>
        <w:spacing w:before="280" w:after="280" w:line="276" w:lineRule="auto"/>
        <w:jc w:val="both"/>
      </w:pPr>
      <w:r w:rsidRPr="00D24B3E">
        <w:t>A digital trade finance ecosystem is a collaborative infrastructure of banks, fintech firms, and corporate clients, enabled by technology to deliver integrated trade services. These ecosystems aim to improve coordination and unlock monetization opportunities through digital tools such as shared platforms, API-based services, and intelligent compliance layers (Tanveer et al., 2025; Han et al., 2025). Ecosystem effectiveness depends on commercial design. As Hossain and Sultana (2024) note, gaps often emerge between platform functionality and revenue realization, stemming from unclear pricing structures, inconsistent client onboarding, or misalignment between compliance and revenue teams.</w:t>
      </w:r>
    </w:p>
    <w:p w14:paraId="133C98C3" w14:textId="2ED3098F" w:rsidR="00F02E2D" w:rsidRPr="00D24B3E" w:rsidRDefault="00000000" w:rsidP="0022152C">
      <w:pPr>
        <w:spacing w:before="280" w:after="280" w:line="276" w:lineRule="auto"/>
        <w:jc w:val="both"/>
      </w:pPr>
      <w:r w:rsidRPr="00D24B3E">
        <w:t>Monetization models referring to structured revenue strategies like bundled offerings, usage-based fees, and premium advisory services are still underexplored in business-to-business (B2B) trade contexts. Sultana and Alam (2024) argue that transparency and frictionless customer experience are vital for sustainable</w:t>
      </w:r>
      <w:r w:rsidR="008F679C">
        <w:t xml:space="preserve"> fee</w:t>
      </w:r>
      <w:r w:rsidRPr="00D24B3E">
        <w:t xml:space="preserve"> income. Mishra and Maria (2023) support this, suggesting that banks must prioritize monetization logic early in the platform design phase to ensure revenue alignment.</w:t>
      </w:r>
    </w:p>
    <w:p w14:paraId="16BD1FF9" w14:textId="539890CD" w:rsidR="00F02E2D" w:rsidRPr="00D24B3E" w:rsidRDefault="00F614B4" w:rsidP="00D24B3E">
      <w:pPr>
        <w:pStyle w:val="Heading4"/>
      </w:pPr>
      <w:r w:rsidRPr="00D24B3E">
        <w:t xml:space="preserve">3.2.5 Market Diversity </w:t>
      </w:r>
      <w:r w:rsidRPr="00D24B3E">
        <w:rPr>
          <w:rFonts w:eastAsia="Times-Bold"/>
        </w:rPr>
        <w:t>– cluster 5</w:t>
      </w:r>
    </w:p>
    <w:p w14:paraId="70805099" w14:textId="1CD271D4" w:rsidR="00F02E2D" w:rsidRPr="00D24B3E" w:rsidRDefault="00071ECF" w:rsidP="0022152C">
      <w:pPr>
        <w:spacing w:after="240" w:line="276" w:lineRule="auto"/>
        <w:jc w:val="both"/>
      </w:pPr>
      <w:r>
        <w:rPr>
          <w:rFonts w:eastAsia="Times-Roman"/>
        </w:rPr>
        <w:t>Institutional maturity, policy alignment, and technological infrastructure shape market diversity in digital trade performance</w:t>
      </w:r>
      <w:r w:rsidR="007B1A88" w:rsidRPr="00D24B3E">
        <w:rPr>
          <w:rFonts w:eastAsia="Times-Roman"/>
        </w:rPr>
        <w:t>. Macro-level studies (Wu, Liu, and Yang, 2023) provide broad insights but often ignore North Asia’s fragmented regulatory context. Duong and Nguyen (2025) argue that digital policy maturity significantly affects platform scalability and commercial success. Ong et al. (2023) also highlight the tension between digital inclusion and monetization strategies.</w:t>
      </w:r>
    </w:p>
    <w:p w14:paraId="07B70D80" w14:textId="438A4F9B" w:rsidR="00F02E2D" w:rsidRPr="00D24B3E" w:rsidRDefault="00000000" w:rsidP="0022152C">
      <w:pPr>
        <w:spacing w:after="240" w:line="276" w:lineRule="auto"/>
        <w:jc w:val="both"/>
      </w:pPr>
      <w:r w:rsidRPr="00D24B3E">
        <w:rPr>
          <w:rFonts w:eastAsia="Times-Roman"/>
        </w:rPr>
        <w:lastRenderedPageBreak/>
        <w:t>Research by Ismail (2020), Kimura et al. (2021), and Zheng (2025) shows that jurisdiction-specific digital capabilities influence the pace and profitability of trade finance digitization. This thematic cluster confirms the importance of conducting comparative, context-aware analysis to understand how regulatory, cultural, and infrastructure differences shape income outcomes across North Asian markets.</w:t>
      </w:r>
    </w:p>
    <w:p w14:paraId="148DA04C" w14:textId="75561DA1" w:rsidR="00F02E2D" w:rsidRPr="00D24B3E" w:rsidRDefault="00F614B4" w:rsidP="00D24B3E">
      <w:pPr>
        <w:pStyle w:val="Heading2"/>
        <w:rPr>
          <w:sz w:val="24"/>
          <w:szCs w:val="24"/>
        </w:rPr>
      </w:pPr>
      <w:bookmarkStart w:id="5" w:name="_Toc204547900"/>
      <w:r w:rsidRPr="00D24B3E">
        <w:rPr>
          <w:sz w:val="24"/>
          <w:szCs w:val="24"/>
        </w:rPr>
        <w:t>3.3  Research Gaps</w:t>
      </w:r>
      <w:bookmarkEnd w:id="5"/>
    </w:p>
    <w:p w14:paraId="184B5150" w14:textId="70603CEF" w:rsidR="00F02E2D" w:rsidRPr="00D24B3E" w:rsidRDefault="00F614B4" w:rsidP="00D24B3E">
      <w:pPr>
        <w:pStyle w:val="Heading4"/>
      </w:pPr>
      <w:r w:rsidRPr="00D24B3E">
        <w:t>3.3.1</w:t>
      </w:r>
      <w:r w:rsidRPr="00D24B3E">
        <w:tab/>
        <w:t>Theme 1: Methodological Gaps – Lack of Qualitative Micro-Level Analysis</w:t>
      </w:r>
    </w:p>
    <w:p w14:paraId="49F4977E" w14:textId="506581AB" w:rsidR="007B1A88" w:rsidRDefault="00000000" w:rsidP="0022152C">
      <w:pPr>
        <w:spacing w:after="240" w:line="276" w:lineRule="auto"/>
        <w:jc w:val="both"/>
        <w:rPr>
          <w:rFonts w:eastAsia="Times-Roman"/>
        </w:rPr>
      </w:pPr>
      <w:r w:rsidRPr="00D24B3E">
        <w:rPr>
          <w:rFonts w:eastAsia="Times-Roman"/>
        </w:rPr>
        <w:t xml:space="preserve">Contemporary research on digital transformation in banking is predominantly macroeconomic and quantitative, which limits insights into institution-level dynamics of trade platform monetization. A methodological gap emerges from the dominance of econometric modeling that often generalizes sector-wide trends while overlooking the strategic logic within individual institutions. A </w:t>
      </w:r>
      <w:r w:rsidRPr="00D24B3E">
        <w:rPr>
          <w:rFonts w:eastAsia="Times-Bold"/>
        </w:rPr>
        <w:t>case-based study</w:t>
      </w:r>
      <w:r w:rsidRPr="00D24B3E">
        <w:rPr>
          <w:rFonts w:eastAsia="Times-Roman"/>
        </w:rPr>
        <w:t xml:space="preserve"> is a qualitative approach that investigates phenomena within real-world contexts by examining decisions, processes, and perspectives in depth. Rare contributions by </w:t>
      </w:r>
      <w:proofErr w:type="spellStart"/>
      <w:r w:rsidRPr="00D24B3E">
        <w:rPr>
          <w:rFonts w:eastAsia="Times-Roman"/>
        </w:rPr>
        <w:t>Kreitstshtein</w:t>
      </w:r>
      <w:proofErr w:type="spellEnd"/>
      <w:r w:rsidRPr="00D24B3E">
        <w:rPr>
          <w:rFonts w:eastAsia="Times-Roman"/>
        </w:rPr>
        <w:t xml:space="preserve"> (2017) and Liu et al. (2011) illustrate the value of such approaches in capturing organizational mechanisms underlying digital outcomes. </w:t>
      </w:r>
    </w:p>
    <w:p w14:paraId="1C7B2B67" w14:textId="612C6B0A" w:rsidR="00F02E2D" w:rsidRPr="007B1A88" w:rsidRDefault="00000000" w:rsidP="0022152C">
      <w:pPr>
        <w:spacing w:after="240" w:line="276" w:lineRule="auto"/>
        <w:jc w:val="both"/>
        <w:rPr>
          <w:rFonts w:eastAsia="Times-Roman"/>
        </w:rPr>
      </w:pPr>
      <w:r w:rsidRPr="00D24B3E">
        <w:rPr>
          <w:rFonts w:eastAsia="Times-Roman"/>
        </w:rPr>
        <w:t>This present study addresses this gap by adopting a qualitative case study methodology to explore the internal and external mechanisms through which commercial banks in North Asia monetize digital trade finance.</w:t>
      </w:r>
      <w:r w:rsidR="008A4322" w:rsidRPr="00D24B3E">
        <w:rPr>
          <w:color w:val="000000"/>
        </w:rPr>
        <w:t xml:space="preserve"> </w:t>
      </w:r>
      <w:r w:rsidR="007B1A88">
        <w:rPr>
          <w:rFonts w:ascii="Times-Roman" w:hAnsi="Times-Roman" w:cs="Times-Roman"/>
        </w:rPr>
        <w:t>Richer qualitative approaches enable the exploration of underlying pricing rationales, expose adoption challenges influenced by organizational norms and client dynamics, and elucidate internal decision-making processes typically concealed within aggregate-level quantitative analyses.</w:t>
      </w:r>
    </w:p>
    <w:p w14:paraId="3C3CD0E1" w14:textId="5B74B9F9" w:rsidR="00F02E2D" w:rsidRPr="00D24B3E" w:rsidRDefault="00F614B4" w:rsidP="00D24B3E">
      <w:pPr>
        <w:pStyle w:val="Heading4"/>
      </w:pPr>
      <w:r w:rsidRPr="00D24B3E">
        <w:t>3.3.2</w:t>
      </w:r>
      <w:r w:rsidRPr="00D24B3E">
        <w:tab/>
        <w:t>Theme 2: Income Attribution Gaps – Underdeveloped Trade Fee Revenue</w:t>
      </w:r>
    </w:p>
    <w:p w14:paraId="04262601" w14:textId="419811E1" w:rsidR="00F02E2D" w:rsidRPr="00D24B3E" w:rsidRDefault="00071ECF" w:rsidP="0022152C">
      <w:pPr>
        <w:spacing w:after="240" w:line="276" w:lineRule="auto"/>
        <w:jc w:val="both"/>
      </w:pPr>
      <w:r>
        <w:rPr>
          <w:rFonts w:eastAsia="Times-Roman"/>
        </w:rPr>
        <w:t>The study proposes a conceptual tool for disaggregating digital income streams to bridge the attribution gap</w:t>
      </w:r>
      <w:r w:rsidRPr="00D24B3E">
        <w:rPr>
          <w:rFonts w:eastAsia="Times-Roman"/>
        </w:rPr>
        <w:t>. A revenue stream is a distinct source of income linked to a specific financial product, customer action, or service component (Cai &amp; Chen, 2022). In digital trade finance, revenue streams such as advising, issuance, or confirmation are often aggregated, obscuring their contribution. A service-level monetization framework is a diagnostic model developed to trace income generation across three dimensions: platform-enabled delivery, client-perceived value, and embedded monetization logic (Nguyen-</w:t>
      </w:r>
      <w:proofErr w:type="spellStart"/>
      <w:r w:rsidRPr="00D24B3E">
        <w:rPr>
          <w:rFonts w:eastAsia="Times-Roman"/>
        </w:rPr>
        <w:t>Thi</w:t>
      </w:r>
      <w:proofErr w:type="spellEnd"/>
      <w:r w:rsidRPr="00D24B3E">
        <w:rPr>
          <w:rFonts w:eastAsia="Times-Roman"/>
        </w:rPr>
        <w:t xml:space="preserve">-Huong et al., 2023). </w:t>
      </w:r>
      <w:r>
        <w:rPr>
          <w:rFonts w:eastAsia="Times-Roman"/>
        </w:rPr>
        <w:t>Using</w:t>
      </w:r>
      <w:r w:rsidRPr="00D24B3E">
        <w:rPr>
          <w:rFonts w:eastAsia="Times-Roman"/>
        </w:rPr>
        <w:t xml:space="preserve"> this framework, the research provides a structured basis to evaluate how digital trade platforms generate non-interest income at the service level. </w:t>
      </w:r>
      <w:r w:rsidR="008F679C">
        <w:rPr>
          <w:rFonts w:ascii="Times-Roman" w:hAnsi="Times-Roman" w:cs="Times-Roman"/>
        </w:rPr>
        <w:t>This study addresses the attribution gap by evaluating how digital trade platforms generate service-level. Using a structured framework, the research examines how monetization mechanisms embedded in platform design translate into measurable financial outcomes at both the product and process levels.</w:t>
      </w:r>
    </w:p>
    <w:p w14:paraId="468C94CF" w14:textId="4BA4FBD3" w:rsidR="00F02E2D" w:rsidRPr="00D24B3E" w:rsidRDefault="00F614B4" w:rsidP="00D24B3E">
      <w:pPr>
        <w:pStyle w:val="Heading4"/>
      </w:pPr>
      <w:r w:rsidRPr="00D24B3E">
        <w:t>3.3.3</w:t>
      </w:r>
      <w:r w:rsidRPr="00D24B3E">
        <w:tab/>
        <w:t xml:space="preserve">Theme 3: </w:t>
      </w:r>
      <w:r w:rsidR="007B1A88">
        <w:t>Monies</w:t>
      </w:r>
      <w:r w:rsidRPr="00D24B3E">
        <w:t xml:space="preserve"> Model Gaps – Monetization Pathways Remain Underexplored</w:t>
      </w:r>
    </w:p>
    <w:p w14:paraId="1A3595A1" w14:textId="55ABE649" w:rsidR="00F02E2D" w:rsidRPr="00D24B3E" w:rsidRDefault="00000000" w:rsidP="0022152C">
      <w:pPr>
        <w:spacing w:after="240" w:line="276" w:lineRule="auto"/>
        <w:jc w:val="both"/>
      </w:pPr>
      <w:r w:rsidRPr="00D24B3E">
        <w:rPr>
          <w:rFonts w:eastAsia="Times-Roman"/>
        </w:rPr>
        <w:t xml:space="preserve">A monetization pathway </w:t>
      </w:r>
      <w:r w:rsidR="00071ECF">
        <w:rPr>
          <w:rFonts w:eastAsia="Times-Roman"/>
        </w:rPr>
        <w:t>is</w:t>
      </w:r>
      <w:r w:rsidRPr="00D24B3E">
        <w:rPr>
          <w:rFonts w:eastAsia="Times-Roman"/>
        </w:rPr>
        <w:t xml:space="preserve"> a strategic approach through which an institution converts capabilities, services, or interactions into sustained, measurable income. Despite significant investments in </w:t>
      </w:r>
      <w:r w:rsidRPr="00D24B3E">
        <w:rPr>
          <w:rFonts w:eastAsia="Times-Roman"/>
        </w:rPr>
        <w:lastRenderedPageBreak/>
        <w:t xml:space="preserve">digital infrastructure, existing research provides limited insight into banks' structure of commercial models around digital trade finance. Most studies emphasize operational improvements, such as enhanced speed, accuracy, or compliance (Guo </w:t>
      </w:r>
      <w:r w:rsidR="009871AD" w:rsidRPr="00D24B3E">
        <w:rPr>
          <w:rFonts w:eastAsia="Times-Roman"/>
        </w:rPr>
        <w:t>&amp;</w:t>
      </w:r>
      <w:r w:rsidRPr="00D24B3E">
        <w:rPr>
          <w:rFonts w:eastAsia="Times-Roman"/>
        </w:rPr>
        <w:t xml:space="preserve"> Ma, 2025; Khalil et al., 2025</w:t>
      </w:r>
      <w:proofErr w:type="gramStart"/>
      <w:r w:rsidRPr="00D24B3E">
        <w:rPr>
          <w:rFonts w:eastAsia="Times-Roman"/>
        </w:rPr>
        <w:t xml:space="preserve">), </w:t>
      </w:r>
      <w:r w:rsidR="009871AD" w:rsidRPr="00D24B3E">
        <w:rPr>
          <w:rFonts w:eastAsia="Times-Roman"/>
        </w:rPr>
        <w:t>but</w:t>
      </w:r>
      <w:proofErr w:type="gramEnd"/>
      <w:r w:rsidR="009871AD" w:rsidRPr="00D24B3E">
        <w:rPr>
          <w:rFonts w:eastAsia="Times-Roman"/>
        </w:rPr>
        <w:t xml:space="preserve"> </w:t>
      </w:r>
      <w:r w:rsidRPr="00D24B3E">
        <w:rPr>
          <w:rFonts w:eastAsia="Times-Roman"/>
        </w:rPr>
        <w:t>offer little explanation of the revenue-generation logic that supports platform sustainability (</w:t>
      </w:r>
      <w:proofErr w:type="spellStart"/>
      <w:r w:rsidRPr="00D24B3E">
        <w:rPr>
          <w:rFonts w:eastAsia="Times-Roman"/>
        </w:rPr>
        <w:t>Citterio</w:t>
      </w:r>
      <w:proofErr w:type="spellEnd"/>
      <w:r w:rsidRPr="00D24B3E">
        <w:rPr>
          <w:rFonts w:eastAsia="Times-Roman"/>
        </w:rPr>
        <w:t>, King, and Locatelli, 2024).</w:t>
      </w:r>
    </w:p>
    <w:p w14:paraId="14B9FF75" w14:textId="5C9E027D" w:rsidR="00F02E2D" w:rsidRPr="00D24B3E" w:rsidRDefault="00000000" w:rsidP="0022152C">
      <w:pPr>
        <w:spacing w:after="240" w:line="276" w:lineRule="auto"/>
        <w:jc w:val="both"/>
      </w:pPr>
      <w:r w:rsidRPr="00D24B3E">
        <w:rPr>
          <w:rFonts w:eastAsia="Times-Roman"/>
        </w:rPr>
        <w:t xml:space="preserve">There is a notable absence of empirical work detailing how banks price digital services, bundle value-added features, or calculate returns on digital trade investments. </w:t>
      </w:r>
      <w:r w:rsidR="002F3D7B">
        <w:rPr>
          <w:rFonts w:ascii="Times-Roman" w:hAnsi="Times-Roman" w:cs="Times-Roman"/>
        </w:rPr>
        <w:t xml:space="preserve">Hossain and Sultana (2024) emphasize pricing transparency, user-centric design, and onboarding strategies as key to commercial success across five North Asian markets, though their recommendations remain largely conceptual. </w:t>
      </w:r>
      <w:r w:rsidRPr="00D24B3E">
        <w:rPr>
          <w:rFonts w:eastAsia="Times-Roman"/>
        </w:rPr>
        <w:t xml:space="preserve">Similarly, </w:t>
      </w:r>
      <w:r w:rsidRPr="00D24B3E">
        <w:t>Tanveer et al.</w:t>
      </w:r>
      <w:r w:rsidRPr="00D24B3E">
        <w:rPr>
          <w:rFonts w:eastAsia="Times-Roman"/>
        </w:rPr>
        <w:t xml:space="preserve"> (2025) </w:t>
      </w:r>
      <w:r w:rsidR="002F3D7B">
        <w:rPr>
          <w:rFonts w:ascii="Times-Roman" w:hAnsi="Times-Roman" w:cs="Times-Roman"/>
        </w:rPr>
        <w:t>acknowledge the importance of platform ecosystems in contemporary trade services but offer limited analysis of the revenue models that sustain effective platform operations.</w:t>
      </w:r>
      <w:r w:rsidRPr="00D24B3E">
        <w:rPr>
          <w:rFonts w:eastAsia="Times-Roman"/>
        </w:rPr>
        <w:t xml:space="preserve">. This reflects a broader gap in the literature: while banks recognize digital trade as a new revenue source, </w:t>
      </w:r>
      <w:r w:rsidR="00073DAA" w:rsidRPr="00D24B3E">
        <w:rPr>
          <w:rFonts w:eastAsia="Times-Roman"/>
        </w:rPr>
        <w:t xml:space="preserve">limited research </w:t>
      </w:r>
      <w:r w:rsidRPr="00D24B3E">
        <w:rPr>
          <w:rFonts w:eastAsia="Times-Roman"/>
        </w:rPr>
        <w:t>investigate</w:t>
      </w:r>
      <w:r w:rsidR="00073DAA" w:rsidRPr="00D24B3E">
        <w:rPr>
          <w:rFonts w:eastAsia="Times-Roman"/>
        </w:rPr>
        <w:t>s</w:t>
      </w:r>
      <w:r w:rsidRPr="00D24B3E">
        <w:rPr>
          <w:rFonts w:eastAsia="Times-Roman"/>
        </w:rPr>
        <w:t xml:space="preserve"> how pricing strategies, service segmentation, or product differentiation are operationalized to ensure profitability (Nguyen-</w:t>
      </w:r>
      <w:proofErr w:type="spellStart"/>
      <w:r w:rsidRPr="00D24B3E">
        <w:rPr>
          <w:rFonts w:eastAsia="Times-Roman"/>
        </w:rPr>
        <w:t>Thi</w:t>
      </w:r>
      <w:proofErr w:type="spellEnd"/>
      <w:r w:rsidRPr="00D24B3E">
        <w:rPr>
          <w:rFonts w:eastAsia="Times-Roman"/>
        </w:rPr>
        <w:t>-Huong et al., 2023; Kimura et al., 2021).</w:t>
      </w:r>
    </w:p>
    <w:p w14:paraId="3E89E74C" w14:textId="62FE2F82" w:rsidR="00F02E2D" w:rsidRPr="00D24B3E" w:rsidRDefault="00000000" w:rsidP="0022152C">
      <w:pPr>
        <w:spacing w:after="240" w:line="276" w:lineRule="auto"/>
        <w:jc w:val="both"/>
        <w:rPr>
          <w:rFonts w:eastAsia="Times-Roman"/>
        </w:rPr>
      </w:pPr>
      <w:r w:rsidRPr="00D24B3E">
        <w:rPr>
          <w:rFonts w:eastAsia="Times-Roman"/>
        </w:rPr>
        <w:t xml:space="preserve">Many banks continue to apply traditional pricing models to digital trade finance services, overlooking the cost efficiencies and scalability potential inherent </w:t>
      </w:r>
      <w:r w:rsidR="00071ECF">
        <w:rPr>
          <w:rFonts w:eastAsia="Times-Roman"/>
        </w:rPr>
        <w:t>in</w:t>
      </w:r>
      <w:r w:rsidRPr="00D24B3E">
        <w:rPr>
          <w:rFonts w:eastAsia="Times-Roman"/>
        </w:rPr>
        <w:t xml:space="preserve"> these channels. Approaches such as</w:t>
      </w:r>
      <w:r w:rsidR="00560A7F" w:rsidRPr="00D24B3E">
        <w:rPr>
          <w:rFonts w:eastAsia="Times-Roman"/>
        </w:rPr>
        <w:t xml:space="preserve"> tier</w:t>
      </w:r>
      <w:r w:rsidRPr="00D24B3E">
        <w:rPr>
          <w:rFonts w:eastAsia="Times-Roman"/>
        </w:rPr>
        <w:t xml:space="preserve"> pricing</w:t>
      </w:r>
      <w:r w:rsidR="00560A7F" w:rsidRPr="00D24B3E">
        <w:rPr>
          <w:rFonts w:eastAsia="Times-Roman"/>
        </w:rPr>
        <w:t xml:space="preserve"> models</w:t>
      </w:r>
      <w:r w:rsidRPr="00D24B3E">
        <w:rPr>
          <w:rFonts w:eastAsia="Times-Roman"/>
        </w:rPr>
        <w:t xml:space="preserve">, usage-based fees, and subscription models are seldom implemented, limiting the commercial responsiveness of digital offerings (Sultana </w:t>
      </w:r>
      <w:r w:rsidR="00071ECF">
        <w:rPr>
          <w:rFonts w:eastAsia="Times-Roman"/>
        </w:rPr>
        <w:t>&amp;</w:t>
      </w:r>
      <w:r w:rsidRPr="00D24B3E">
        <w:rPr>
          <w:rFonts w:eastAsia="Times-Roman"/>
        </w:rPr>
        <w:t xml:space="preserve"> Alam, 2024; Cai </w:t>
      </w:r>
      <w:r w:rsidR="009871AD" w:rsidRPr="00D24B3E">
        <w:rPr>
          <w:rFonts w:eastAsia="Times-Roman"/>
        </w:rPr>
        <w:t>&amp;</w:t>
      </w:r>
      <w:r w:rsidRPr="00D24B3E">
        <w:rPr>
          <w:rFonts w:eastAsia="Times-Roman"/>
        </w:rPr>
        <w:t xml:space="preserve"> Chen, 2022). Moreover, financial metrics essential to digital monetization</w:t>
      </w:r>
      <w:r w:rsidR="002F3D7B">
        <w:rPr>
          <w:rFonts w:eastAsia="Times-Roman"/>
        </w:rPr>
        <w:t>,</w:t>
      </w:r>
      <w:r w:rsidRPr="00D24B3E">
        <w:rPr>
          <w:rFonts w:eastAsia="Times-Roman"/>
        </w:rPr>
        <w:t xml:space="preserve"> </w:t>
      </w:r>
      <w:r w:rsidR="002F3D7B">
        <w:rPr>
          <w:rFonts w:eastAsia="Times-Roman"/>
        </w:rPr>
        <w:t>for example,</w:t>
      </w:r>
      <w:r w:rsidRPr="00D24B3E">
        <w:rPr>
          <w:rFonts w:eastAsia="Times-Roman"/>
        </w:rPr>
        <w:t xml:space="preserve"> cost-to-serve, marginal revenue per service, and digital client lifetime value</w:t>
      </w:r>
      <w:r w:rsidR="002F3D7B">
        <w:rPr>
          <w:rFonts w:eastAsia="Times-Roman"/>
        </w:rPr>
        <w:t>,</w:t>
      </w:r>
      <w:r w:rsidRPr="00D24B3E">
        <w:rPr>
          <w:rFonts w:eastAsia="Times-Roman"/>
        </w:rPr>
        <w:t xml:space="preserve"> are rarely evaluated, particularly in business-to-business trade finance, where service complexity and client expectations vary widely (Mishra </w:t>
      </w:r>
      <w:r w:rsidR="00071ECF">
        <w:rPr>
          <w:rFonts w:eastAsia="Times-Roman"/>
        </w:rPr>
        <w:t>&amp;</w:t>
      </w:r>
      <w:r w:rsidRPr="00D24B3E">
        <w:rPr>
          <w:rFonts w:eastAsia="Times-Roman"/>
        </w:rPr>
        <w:t xml:space="preserve"> Maria, 2023; Xie and Wang, 2023).</w:t>
      </w:r>
    </w:p>
    <w:p w14:paraId="431C5D68" w14:textId="3883A563" w:rsidR="00F614B4" w:rsidRPr="00D24B3E" w:rsidRDefault="00000000" w:rsidP="0022152C">
      <w:pPr>
        <w:spacing w:after="240" w:line="276" w:lineRule="auto"/>
        <w:jc w:val="both"/>
      </w:pPr>
      <w:r w:rsidRPr="00D24B3E">
        <w:rPr>
          <w:rFonts w:eastAsia="Times-Roman"/>
        </w:rPr>
        <w:t xml:space="preserve">These deficiencies are often compounded by organizational fragmentation, including unclear ownership of digital initiatives and insufficient coordination between IT and commercial units. </w:t>
      </w:r>
      <w:r w:rsidR="002F3D7B">
        <w:rPr>
          <w:rFonts w:eastAsia="Times-Roman"/>
        </w:rPr>
        <w:t>Although</w:t>
      </w:r>
      <w:r w:rsidRPr="00D24B3E">
        <w:rPr>
          <w:rFonts w:eastAsia="Times-Roman"/>
        </w:rPr>
        <w:t xml:space="preserve"> many banks have adopted digital advisory tools, real-time analytics dashboards, and enterprise resource planning (ERP) integrations, the pricing of such services frequently lacks transparency and consistency (Duong </w:t>
      </w:r>
      <w:r w:rsidR="00071ECF">
        <w:rPr>
          <w:rFonts w:eastAsia="Times-Roman"/>
        </w:rPr>
        <w:t>&amp;</w:t>
      </w:r>
      <w:r w:rsidRPr="00D24B3E">
        <w:rPr>
          <w:rFonts w:eastAsia="Times-Roman"/>
        </w:rPr>
        <w:t xml:space="preserve"> Nguyen, 2025).</w:t>
      </w:r>
    </w:p>
    <w:p w14:paraId="4E80D8D0" w14:textId="02B404BE" w:rsidR="00F02E2D" w:rsidRDefault="00F614B4" w:rsidP="00D24B3E">
      <w:pPr>
        <w:pStyle w:val="Heading4"/>
      </w:pPr>
      <w:r w:rsidRPr="00D24B3E">
        <w:t>3.3.4</w:t>
      </w:r>
      <w:r w:rsidRPr="00D24B3E">
        <w:tab/>
        <w:t xml:space="preserve">Theme 4: Regional Comparison Gaps – Lack of Jurisdictional Perspective </w:t>
      </w:r>
    </w:p>
    <w:p w14:paraId="18C29659" w14:textId="77777777" w:rsidR="00FE5713" w:rsidRPr="00FE5713" w:rsidRDefault="00FE5713" w:rsidP="00FE5713"/>
    <w:p w14:paraId="400A7503" w14:textId="3B872ED4" w:rsidR="00F02E2D" w:rsidRPr="00D24B3E" w:rsidRDefault="00000000" w:rsidP="0022152C">
      <w:pPr>
        <w:spacing w:after="240" w:line="276" w:lineRule="auto"/>
        <w:jc w:val="both"/>
      </w:pPr>
      <w:r w:rsidRPr="00D24B3E">
        <w:rPr>
          <w:rFonts w:eastAsia="Times-Roman"/>
        </w:rPr>
        <w:t xml:space="preserve">A regional comparison gap </w:t>
      </w:r>
      <w:r w:rsidR="00071ECF">
        <w:rPr>
          <w:rFonts w:eastAsia="Times-Roman"/>
        </w:rPr>
        <w:t xml:space="preserve">is the absence of cross-market empirical studies that evaluate institutional, regulatory, and infrastructural variations that </w:t>
      </w:r>
      <w:r w:rsidRPr="00D24B3E">
        <w:rPr>
          <w:rFonts w:eastAsia="Times-Roman"/>
        </w:rPr>
        <w:t xml:space="preserve">influence </w:t>
      </w:r>
      <w:r w:rsidR="00BF2AD9">
        <w:rPr>
          <w:rFonts w:eastAsia="Times-Roman"/>
        </w:rPr>
        <w:t>digital trade finance platforms' design, adoption, and revenue performance</w:t>
      </w:r>
      <w:r w:rsidRPr="00D24B3E">
        <w:rPr>
          <w:rFonts w:eastAsia="Times-Roman"/>
        </w:rPr>
        <w:t>. This gap is particularly salient in North Asia, where economies such as Hong Kong, Japan, South Korea, Taiwan, and China exhibit distinct levels of digital maturity, client sophistication, and regulatory frameworks.</w:t>
      </w:r>
    </w:p>
    <w:p w14:paraId="6C37B892" w14:textId="7839817F" w:rsidR="00F02E2D" w:rsidRPr="00D24B3E" w:rsidRDefault="002F3D7B" w:rsidP="0022152C">
      <w:pPr>
        <w:spacing w:after="240" w:line="276" w:lineRule="auto"/>
        <w:jc w:val="both"/>
      </w:pPr>
      <w:r>
        <w:rPr>
          <w:rFonts w:eastAsia="Times-Roman"/>
        </w:rPr>
        <w:t>Despite</w:t>
      </w:r>
      <w:r w:rsidRPr="00D24B3E">
        <w:rPr>
          <w:rFonts w:eastAsia="Times-Roman"/>
        </w:rPr>
        <w:t xml:space="preserve"> existing literature </w:t>
      </w:r>
      <w:r w:rsidR="00071ECF">
        <w:rPr>
          <w:rFonts w:eastAsia="Times-Roman"/>
        </w:rPr>
        <w:t>providing</w:t>
      </w:r>
      <w:r w:rsidRPr="00D24B3E">
        <w:rPr>
          <w:rFonts w:eastAsia="Times-Roman"/>
        </w:rPr>
        <w:t xml:space="preserve"> valuable single-market insights, such as those of He et al. (2025) on China and Mishra and Maria (2023) on India, it rarely investigates the comparative </w:t>
      </w:r>
      <w:r w:rsidRPr="00D24B3E">
        <w:rPr>
          <w:rFonts w:eastAsia="Times-Roman"/>
        </w:rPr>
        <w:lastRenderedPageBreak/>
        <w:t xml:space="preserve">dynamics across jurisdictions. Regulatory diversity, defined as the variation in legal, compliance, and supervisory frameworks governing financial services, is especially influential in this context. </w:t>
      </w:r>
      <w:r>
        <w:rPr>
          <w:rFonts w:eastAsia="Times-Roman"/>
        </w:rPr>
        <w:t>L</w:t>
      </w:r>
      <w:r w:rsidR="00073DAA" w:rsidRPr="00D24B3E">
        <w:rPr>
          <w:rFonts w:eastAsia="Times-Roman"/>
        </w:rPr>
        <w:t xml:space="preserve">imited research </w:t>
      </w:r>
      <w:r w:rsidR="00071ECF">
        <w:rPr>
          <w:rFonts w:eastAsia="Times-Roman"/>
        </w:rPr>
        <w:t>systematically examines</w:t>
      </w:r>
      <w:r w:rsidRPr="00D24B3E">
        <w:rPr>
          <w:rFonts w:eastAsia="Times-Roman"/>
        </w:rPr>
        <w:t xml:space="preserve"> how such diversity shapes platform implementation or income generation outcomes in cross-border settings (Duong </w:t>
      </w:r>
      <w:r w:rsidR="009871AD" w:rsidRPr="00D24B3E">
        <w:rPr>
          <w:rFonts w:eastAsia="Times-Roman"/>
        </w:rPr>
        <w:t>&amp;</w:t>
      </w:r>
      <w:r w:rsidRPr="00D24B3E">
        <w:rPr>
          <w:rFonts w:eastAsia="Times-Roman"/>
        </w:rPr>
        <w:t xml:space="preserve"> Nguyen, 2025; Kimura et al., 2021).</w:t>
      </w:r>
    </w:p>
    <w:p w14:paraId="5569F2C5" w14:textId="77777777" w:rsidR="00E614F6" w:rsidRDefault="00000000" w:rsidP="00E614F6">
      <w:pPr>
        <w:spacing w:after="240" w:line="276" w:lineRule="auto"/>
        <w:jc w:val="both"/>
        <w:rPr>
          <w:rFonts w:eastAsia="Times-Roman"/>
        </w:rPr>
      </w:pPr>
      <w:r w:rsidRPr="00D24B3E">
        <w:rPr>
          <w:rFonts w:eastAsia="Times-Roman"/>
        </w:rPr>
        <w:t>Client sophistication</w:t>
      </w:r>
      <w:r w:rsidR="002F3D7B">
        <w:rPr>
          <w:rFonts w:eastAsia="Times-Roman"/>
        </w:rPr>
        <w:t>,</w:t>
      </w:r>
      <w:r w:rsidRPr="00D24B3E">
        <w:rPr>
          <w:rFonts w:eastAsia="Times-Roman"/>
        </w:rPr>
        <w:t xml:space="preserve"> which denotes the degree to which corporate clients are digitally literate, operationally integrated, and risk-aware, varies across the region. While high levels of digital readiness are reported in urban financial centers (Liu et al., 2023; Nguyen-</w:t>
      </w:r>
      <w:proofErr w:type="spellStart"/>
      <w:r w:rsidRPr="00D24B3E">
        <w:rPr>
          <w:rFonts w:eastAsia="Times-Roman"/>
        </w:rPr>
        <w:t>Thi</w:t>
      </w:r>
      <w:proofErr w:type="spellEnd"/>
      <w:r w:rsidRPr="00D24B3E">
        <w:rPr>
          <w:rFonts w:eastAsia="Times-Roman"/>
        </w:rPr>
        <w:t>-Huong et al., 2023), they do not uniformly extend to broader national markets, influencing adoption rates and pricing elasticity. As Sultana and Alam (2024) argue, monetization strategies must be adapted to local client behaviors and regulatory constraints, rather than assumed to be universally applicable.</w:t>
      </w:r>
      <w:bookmarkStart w:id="6" w:name="_Toc204466116"/>
    </w:p>
    <w:p w14:paraId="06DC0FFB" w14:textId="1B42314C" w:rsidR="00F02E2D" w:rsidRPr="00E614F6" w:rsidRDefault="00F614B4" w:rsidP="00E614F6">
      <w:pPr>
        <w:pStyle w:val="Heading4"/>
        <w:rPr>
          <w:rFonts w:eastAsia="Times-Roman"/>
        </w:rPr>
      </w:pPr>
      <w:r w:rsidRPr="00D24B3E">
        <w:t>3.3.5  Teamwork and Leadership in Ecosystem Design</w:t>
      </w:r>
      <w:bookmarkEnd w:id="6"/>
    </w:p>
    <w:p w14:paraId="435DC755" w14:textId="77777777" w:rsidR="00F02E2D" w:rsidRPr="00D24B3E" w:rsidRDefault="00F02E2D"/>
    <w:p w14:paraId="608D714D" w14:textId="101EB99D" w:rsidR="00F614B4" w:rsidRPr="00D24B3E" w:rsidRDefault="00000000" w:rsidP="0022152C">
      <w:pPr>
        <w:spacing w:line="276" w:lineRule="auto"/>
        <w:jc w:val="both"/>
        <w:rPr>
          <w:b/>
          <w:bCs/>
        </w:rPr>
      </w:pPr>
      <w:r w:rsidRPr="00D24B3E">
        <w:t xml:space="preserve">Banks act </w:t>
      </w:r>
      <w:r w:rsidR="009871AD" w:rsidRPr="00D24B3E">
        <w:t>as service providers and</w:t>
      </w:r>
      <w:r w:rsidRPr="00D24B3E">
        <w:t xml:space="preserve"> ecosystem </w:t>
      </w:r>
      <w:r w:rsidR="002F3D7B">
        <w:t>integrators</w:t>
      </w:r>
      <w:r w:rsidR="009871AD" w:rsidRPr="00D24B3E">
        <w:t>,</w:t>
      </w:r>
      <w:r w:rsidRPr="00D24B3E">
        <w:t xml:space="preserve"> establishing the digital infrastructure, governance standards, and collaborative frameworks necessary to engage clients, fintech partners, and regulators</w:t>
      </w:r>
      <w:r w:rsidRPr="00D24B3E">
        <w:rPr>
          <w:rFonts w:eastAsia="-webkit-standard"/>
        </w:rPr>
        <w:t xml:space="preserve"> </w:t>
      </w:r>
      <w:r w:rsidRPr="00D24B3E">
        <w:t>(Tanveer et al., 2025). This leadership role involves coordinating multi-party interests, balancing risk responsibilities, and shaping platform architecture to align with regulatory, operational, and commercial goals. A clearer understanding of this ecosystem leadership dynamic enhances the research’s relevance to industry decision-makers and supports future policy dialogue on cross-border trade innovation (Wolska, 2005).</w:t>
      </w:r>
    </w:p>
    <w:p w14:paraId="1FFA81C8" w14:textId="77777777" w:rsidR="00F614B4" w:rsidRPr="00D24B3E" w:rsidRDefault="00F614B4" w:rsidP="00F614B4">
      <w:pPr>
        <w:jc w:val="both"/>
        <w:rPr>
          <w:b/>
          <w:bCs/>
        </w:rPr>
      </w:pPr>
    </w:p>
    <w:p w14:paraId="39C46FD6" w14:textId="0BDF7685" w:rsidR="00F02E2D" w:rsidRPr="00D24B3E" w:rsidRDefault="00F614B4" w:rsidP="00D24B3E">
      <w:pPr>
        <w:pStyle w:val="Heading2"/>
        <w:rPr>
          <w:sz w:val="24"/>
          <w:szCs w:val="24"/>
        </w:rPr>
      </w:pPr>
      <w:bookmarkStart w:id="7" w:name="_Toc204547901"/>
      <w:r w:rsidRPr="00D24B3E">
        <w:rPr>
          <w:sz w:val="24"/>
          <w:szCs w:val="24"/>
        </w:rPr>
        <w:t>3.4  Conclusion of Literature Review</w:t>
      </w:r>
      <w:bookmarkEnd w:id="7"/>
    </w:p>
    <w:p w14:paraId="2735D83F" w14:textId="77777777" w:rsidR="00FE6CCB" w:rsidRPr="00D24B3E" w:rsidRDefault="00FE6CCB"/>
    <w:p w14:paraId="026AD212" w14:textId="5B58EED0" w:rsidR="003826A3" w:rsidRDefault="00014E52" w:rsidP="0022152C">
      <w:pPr>
        <w:autoSpaceDE w:val="0"/>
        <w:autoSpaceDN w:val="0"/>
        <w:adjustRightInd w:val="0"/>
        <w:spacing w:after="320" w:line="276" w:lineRule="auto"/>
        <w:jc w:val="both"/>
      </w:pPr>
      <w:r>
        <w:rPr>
          <w:rFonts w:ascii="Times-Roman" w:hAnsi="Times-Roman" w:cs="Times-Roman"/>
        </w:rPr>
        <w:t xml:space="preserve">This study contributes academically by examining how digital trade platforms generate value through service-level monetization. </w:t>
      </w:r>
      <w:r w:rsidR="00071ECF">
        <w:rPr>
          <w:rFonts w:ascii="Times-Roman" w:hAnsi="Times-Roman" w:cs="Times-Roman"/>
        </w:rPr>
        <w:t xml:space="preserve">It adopts a qualitative, ecosystem-oriented approach to address key theoretical and empirical gaps by framing digital ecosystems as coordinated models involving banks, </w:t>
      </w:r>
      <w:proofErr w:type="spellStart"/>
      <w:r w:rsidR="00071ECF">
        <w:rPr>
          <w:rFonts w:ascii="Times-Roman" w:hAnsi="Times-Roman" w:cs="Times-Roman"/>
        </w:rPr>
        <w:t>fintechs</w:t>
      </w:r>
      <w:proofErr w:type="spellEnd"/>
      <w:r w:rsidR="00071ECF">
        <w:rPr>
          <w:rFonts w:ascii="Times-Roman" w:hAnsi="Times-Roman" w:cs="Times-Roman"/>
        </w:rPr>
        <w:t>, clients, and regulators (Tanveer et al., 2025)</w:t>
      </w:r>
      <w:r>
        <w:rPr>
          <w:rFonts w:ascii="Times-Roman" w:hAnsi="Times-Roman" w:cs="Times-Roman"/>
        </w:rPr>
        <w:t xml:space="preserve">. </w:t>
      </w:r>
      <w:r w:rsidR="00071ECF">
        <w:rPr>
          <w:rFonts w:ascii="Times-Roman" w:hAnsi="Times-Roman" w:cs="Times-Roman"/>
        </w:rPr>
        <w:t>The study offers actionable insights into scalable, fee revenue models by positioning corporate banks as orchestrators, aligning platform design, capabilities, and regulatory context</w:t>
      </w:r>
      <w:r>
        <w:rPr>
          <w:rFonts w:ascii="Times-Roman" w:hAnsi="Times-Roman" w:cs="Times-Roman"/>
        </w:rPr>
        <w:t>. Grounded in comparative case studies across five North Asian markets, it explores how monetization mechanisms are embedded within digital trade platforms.</w:t>
      </w:r>
    </w:p>
    <w:p w14:paraId="749C01D5" w14:textId="1CFD253B" w:rsidR="00014E52" w:rsidRPr="00D24B3E" w:rsidRDefault="00014E52" w:rsidP="0022152C">
      <w:pPr>
        <w:autoSpaceDE w:val="0"/>
        <w:autoSpaceDN w:val="0"/>
        <w:adjustRightInd w:val="0"/>
        <w:spacing w:after="320" w:line="276" w:lineRule="auto"/>
        <w:jc w:val="both"/>
      </w:pPr>
      <w:r>
        <w:rPr>
          <w:rFonts w:ascii="Times-Roman" w:hAnsi="Times-Roman" w:cs="Times-Roman"/>
        </w:rPr>
        <w:t xml:space="preserve">These practical steps enable banks to move beyond delivering digital services and instead lead digital trade ecosystems that support long-term revenue growth. To strengthen practical relevance, this study introduces a visual model linking </w:t>
      </w:r>
      <w:r w:rsidRPr="00014E52">
        <w:rPr>
          <w:rFonts w:ascii="Times-Bold" w:hAnsi="Times-Bold" w:cs="Times-Bold"/>
        </w:rPr>
        <w:t>platform design to income realization,</w:t>
      </w:r>
      <w:r>
        <w:rPr>
          <w:rFonts w:ascii="Times-Bold" w:hAnsi="Times-Bold" w:cs="Times-Bold"/>
          <w:b/>
          <w:bCs/>
        </w:rPr>
        <w:t xml:space="preserve"> </w:t>
      </w:r>
      <w:r>
        <w:rPr>
          <w:rFonts w:ascii="Times-Roman" w:hAnsi="Times-Roman" w:cs="Times-Roman"/>
        </w:rPr>
        <w:t xml:space="preserve">from service configuration to pricing and revenue tracking. Embedding metrics such as the </w:t>
      </w:r>
      <w:r w:rsidRPr="00014E52">
        <w:rPr>
          <w:rFonts w:ascii="Times-Bold" w:hAnsi="Times-Bold" w:cs="Times-Bold"/>
        </w:rPr>
        <w:t>interval from platform launch to first revenue-generating transaction</w:t>
      </w:r>
      <w:r w:rsidRPr="00014E52">
        <w:rPr>
          <w:rFonts w:ascii="Times-Roman" w:hAnsi="Times-Roman" w:cs="Times-Roman"/>
        </w:rPr>
        <w:t xml:space="preserve"> </w:t>
      </w:r>
      <w:r>
        <w:rPr>
          <w:rFonts w:ascii="Times-Roman" w:hAnsi="Times-Roman" w:cs="Times-Roman"/>
        </w:rPr>
        <w:t xml:space="preserve">(e.g., 30 days) and </w:t>
      </w:r>
      <w:r w:rsidRPr="00014E52">
        <w:rPr>
          <w:rFonts w:ascii="Times-Bold" w:hAnsi="Times-Bold" w:cs="Times-Bold"/>
        </w:rPr>
        <w:t>digital client value</w:t>
      </w:r>
      <w:r>
        <w:rPr>
          <w:rFonts w:ascii="Times-Roman" w:hAnsi="Times-Roman" w:cs="Times-Roman"/>
        </w:rPr>
        <w:t xml:space="preserve"> (e.g., average annual revenue of USD 15,000 per client) offers concrete insights into the effectiveness </w:t>
      </w:r>
      <w:r>
        <w:rPr>
          <w:rFonts w:ascii="Times-Roman" w:hAnsi="Times-Roman" w:cs="Times-Roman"/>
        </w:rPr>
        <w:lastRenderedPageBreak/>
        <w:t>of monetization strategies. These indicators help assess how digital features like tiered pricing and automated onboarding translate into scalable fee income.</w:t>
      </w:r>
    </w:p>
    <w:p w14:paraId="5709B39C" w14:textId="7DCE8AFC" w:rsidR="003826A3" w:rsidRPr="00D24B3E" w:rsidRDefault="00014E52" w:rsidP="00014E52">
      <w:pPr>
        <w:autoSpaceDE w:val="0"/>
        <w:autoSpaceDN w:val="0"/>
        <w:adjustRightInd w:val="0"/>
        <w:spacing w:after="320" w:line="276" w:lineRule="auto"/>
        <w:jc w:val="both"/>
      </w:pPr>
      <w:r>
        <w:rPr>
          <w:rFonts w:ascii="Times-Roman" w:hAnsi="Times-Roman" w:cs="Times-Roman"/>
        </w:rPr>
        <w:t>The</w:t>
      </w:r>
      <w:r w:rsidR="00F954AC">
        <w:rPr>
          <w:rFonts w:ascii="Times-Roman" w:hAnsi="Times-Roman" w:cs="Times-Roman"/>
        </w:rPr>
        <w:t xml:space="preserve"> literature continues to highlight key challenges</w:t>
      </w:r>
      <w:r w:rsidR="00071ECF">
        <w:rPr>
          <w:rFonts w:ascii="Times-Roman" w:hAnsi="Times-Roman" w:cs="Times-Roman"/>
        </w:rPr>
        <w:t>, such as</w:t>
      </w:r>
      <w:r>
        <w:rPr>
          <w:rFonts w:ascii="Times-Roman" w:hAnsi="Times-Roman" w:cs="Times-Roman"/>
        </w:rPr>
        <w:t xml:space="preserve"> </w:t>
      </w:r>
      <w:r w:rsidR="00F954AC">
        <w:rPr>
          <w:rFonts w:ascii="Times-Roman" w:hAnsi="Times-Roman" w:cs="Times-Roman"/>
        </w:rPr>
        <w:t>fragmented pricing models, inconsistent onboarding, and weak internal revenue alignment. These gaps raise unresolved questions</w:t>
      </w:r>
      <w:r w:rsidR="003826A3" w:rsidRPr="00D24B3E">
        <w:t>:</w:t>
      </w:r>
    </w:p>
    <w:p w14:paraId="50BA3B51" w14:textId="457F4242" w:rsidR="00F02E2D" w:rsidRPr="00D24B3E" w:rsidRDefault="00000000" w:rsidP="0022152C">
      <w:pPr>
        <w:numPr>
          <w:ilvl w:val="0"/>
          <w:numId w:val="3"/>
        </w:numPr>
        <w:pBdr>
          <w:left w:val="none" w:sz="0" w:space="4" w:color="auto"/>
        </w:pBdr>
        <w:spacing w:before="240" w:after="240" w:line="276" w:lineRule="auto"/>
        <w:ind w:left="450" w:hanging="450"/>
        <w:rPr>
          <w:rFonts w:eastAsia="Times-Roman"/>
        </w:rPr>
      </w:pPr>
      <w:r w:rsidRPr="00D24B3E">
        <w:rPr>
          <w:rFonts w:eastAsia="Times-Roman"/>
        </w:rPr>
        <w:t>Which service-level strategies</w:t>
      </w:r>
      <w:r w:rsidR="009871AD" w:rsidRPr="00D24B3E">
        <w:rPr>
          <w:rFonts w:eastAsia="Times-Roman"/>
        </w:rPr>
        <w:t xml:space="preserve">, such as pricing or </w:t>
      </w:r>
      <w:r w:rsidR="00560A7F" w:rsidRPr="00D24B3E">
        <w:rPr>
          <w:rFonts w:eastAsia="Times-Roman"/>
        </w:rPr>
        <w:t>tiered pricing</w:t>
      </w:r>
      <w:r w:rsidR="009871AD" w:rsidRPr="00D24B3E">
        <w:rPr>
          <w:rFonts w:eastAsia="Times-Roman"/>
        </w:rPr>
        <w:t xml:space="preserve"> models, support monetization</w:t>
      </w:r>
      <w:r w:rsidRPr="00D24B3E">
        <w:rPr>
          <w:rFonts w:eastAsia="Times-Roman"/>
        </w:rPr>
        <w:t>?</w:t>
      </w:r>
    </w:p>
    <w:p w14:paraId="13827A81" w14:textId="77777777" w:rsidR="00F02E2D" w:rsidRPr="00D24B3E" w:rsidRDefault="00000000" w:rsidP="0022152C">
      <w:pPr>
        <w:numPr>
          <w:ilvl w:val="0"/>
          <w:numId w:val="3"/>
        </w:numPr>
        <w:pBdr>
          <w:left w:val="none" w:sz="0" w:space="4" w:color="auto"/>
        </w:pBdr>
        <w:spacing w:after="240" w:line="276" w:lineRule="auto"/>
        <w:ind w:left="450" w:hanging="450"/>
        <w:rPr>
          <w:rFonts w:eastAsia="Times-Roman"/>
        </w:rPr>
      </w:pPr>
      <w:r w:rsidRPr="00D24B3E">
        <w:rPr>
          <w:rFonts w:eastAsia="Times-Roman"/>
        </w:rPr>
        <w:t>How do contextual differences in regulation and client readiness shape digital income outcomes across North Asia?</w:t>
      </w:r>
    </w:p>
    <w:p w14:paraId="2CB7758E" w14:textId="77777777" w:rsidR="008F679C" w:rsidRDefault="00000000" w:rsidP="008F679C">
      <w:pPr>
        <w:numPr>
          <w:ilvl w:val="0"/>
          <w:numId w:val="3"/>
        </w:numPr>
        <w:pBdr>
          <w:left w:val="none" w:sz="0" w:space="4" w:color="auto"/>
        </w:pBdr>
        <w:spacing w:after="240" w:line="276" w:lineRule="auto"/>
        <w:ind w:left="450" w:hanging="450"/>
        <w:rPr>
          <w:rFonts w:eastAsia="Times-Roman"/>
        </w:rPr>
      </w:pPr>
      <w:r w:rsidRPr="00D24B3E">
        <w:rPr>
          <w:rFonts w:eastAsia="Times-Roman"/>
        </w:rPr>
        <w:t>How can alignment between internal infrastructure and client-facing services be evaluated to support adoption and revenue realization?</w:t>
      </w:r>
    </w:p>
    <w:p w14:paraId="4EE1DEA9" w14:textId="77777777" w:rsidR="003B44D2" w:rsidRDefault="003B44D2" w:rsidP="002F3D7B">
      <w:pPr>
        <w:autoSpaceDE w:val="0"/>
        <w:autoSpaceDN w:val="0"/>
        <w:adjustRightInd w:val="0"/>
        <w:spacing w:line="276" w:lineRule="auto"/>
        <w:jc w:val="both"/>
        <w:rPr>
          <w:rFonts w:ascii="Times-Roman" w:hAnsi="Times-Roman" w:cs="Times-Roman"/>
        </w:rPr>
      </w:pPr>
    </w:p>
    <w:p w14:paraId="6DE62182" w14:textId="6A9CBCC2" w:rsidR="003826A3" w:rsidRPr="003B44D2" w:rsidRDefault="003B44D2" w:rsidP="002F3D7B">
      <w:pPr>
        <w:autoSpaceDE w:val="0"/>
        <w:autoSpaceDN w:val="0"/>
        <w:adjustRightInd w:val="0"/>
        <w:spacing w:line="276" w:lineRule="auto"/>
        <w:jc w:val="both"/>
        <w:rPr>
          <w:rFonts w:ascii="Times-Roman" w:hAnsi="Times-Roman" w:cs="Times-Roman"/>
        </w:rPr>
      </w:pPr>
      <w:r>
        <w:rPr>
          <w:rFonts w:ascii="Times-Roman" w:hAnsi="Times-Roman" w:cs="Times-Roman"/>
        </w:rPr>
        <w:t xml:space="preserve">This requires integrating revenue-generating features into trade finance services. Banks should develop systems that measure income by service type and digital channel to understand which offerings contribute most to revenue. </w:t>
      </w:r>
      <w:r w:rsidR="008F679C">
        <w:rPr>
          <w:rFonts w:ascii="Times-Roman" w:hAnsi="Times-Roman" w:cs="Times-Roman"/>
        </w:rPr>
        <w:t>C</w:t>
      </w:r>
      <w:r>
        <w:rPr>
          <w:rFonts w:ascii="Times-Roman" w:hAnsi="Times-Roman" w:cs="Times-Roman"/>
        </w:rPr>
        <w:t xml:space="preserve">ollaboration between product development, technology, compliance, and client relationship teams is necessary to support this strategy. In addition, structured client onboarding and engagement programs are essential to increase usage of digital platforms and drive service value. Since regulatory conditions and digital readiness differ across markets, platform design and pricing models should be tailored to local needs. These practical steps enable banks to move beyond delivering digital services and lead digital trade ecosystems that support long-term revenue growth. </w:t>
      </w:r>
      <w:r w:rsidR="002F3D7B">
        <w:rPr>
          <w:rFonts w:ascii="Times-Roman" w:hAnsi="Times-Roman" w:cs="Times-Roman"/>
        </w:rPr>
        <w:t>Future research may build on these findings by expanding cross-regional comparisons, assessing monetization strategies over time, and exploring the evolving roles of fintech partnerships and policy frameworks in shaping commercially sustainable digital trade ecosystems.</w:t>
      </w:r>
    </w:p>
    <w:p w14:paraId="7AFDFF73" w14:textId="77777777" w:rsidR="00F02E2D" w:rsidRPr="00D24B3E" w:rsidRDefault="00000000">
      <w:pPr>
        <w:sectPr w:rsidR="00F02E2D" w:rsidRPr="00D24B3E">
          <w:footerReference w:type="even" r:id="rId16"/>
          <w:footerReference w:type="default" r:id="rId17"/>
          <w:pgSz w:w="12240" w:h="15840"/>
          <w:pgMar w:top="1440" w:right="1440" w:bottom="1440" w:left="1440" w:header="708" w:footer="708" w:gutter="0"/>
          <w:cols w:space="708"/>
        </w:sectPr>
      </w:pPr>
      <w:r w:rsidRPr="00D24B3E">
        <w:rPr>
          <w:vanish/>
        </w:rPr>
        <w:t> </w:t>
      </w:r>
    </w:p>
    <w:p w14:paraId="7D3DE652" w14:textId="77777777" w:rsidR="00F02E2D" w:rsidRPr="00D24B3E" w:rsidRDefault="00000000">
      <w:r w:rsidRPr="00D24B3E">
        <w:rPr>
          <w:b/>
          <w:bCs/>
        </w:rPr>
        <w:lastRenderedPageBreak/>
        <w:t>References</w:t>
      </w:r>
    </w:p>
    <w:p w14:paraId="5444582D" w14:textId="31116541" w:rsidR="00F02E2D" w:rsidRPr="00D24B3E" w:rsidRDefault="00000000" w:rsidP="00D24B3E">
      <w:pPr>
        <w:pStyle w:val="Heading1"/>
        <w:numPr>
          <w:ilvl w:val="0"/>
          <w:numId w:val="3"/>
        </w:numPr>
        <w:rPr>
          <w:sz w:val="24"/>
          <w:szCs w:val="24"/>
        </w:rPr>
      </w:pPr>
      <w:bookmarkStart w:id="8" w:name="_Toc204547902"/>
      <w:r w:rsidRPr="00D24B3E">
        <w:rPr>
          <w:sz w:val="24"/>
          <w:szCs w:val="24"/>
        </w:rPr>
        <w:t>Annotated Bibliography</w:t>
      </w:r>
      <w:bookmarkEnd w:id="8"/>
    </w:p>
    <w:p w14:paraId="5CF7AC22" w14:textId="77777777" w:rsidR="00F02E2D" w:rsidRPr="00D24B3E" w:rsidRDefault="00000000">
      <w:proofErr w:type="spellStart"/>
      <w:r w:rsidRPr="00D24B3E">
        <w:t>Administrare</w:t>
      </w:r>
      <w:proofErr w:type="spellEnd"/>
      <w:r w:rsidRPr="00D24B3E">
        <w:t xml:space="preserve">, J., </w:t>
      </w:r>
      <w:proofErr w:type="spellStart"/>
      <w:r w:rsidRPr="00D24B3E">
        <w:t>Jurnal</w:t>
      </w:r>
      <w:proofErr w:type="spellEnd"/>
      <w:r w:rsidRPr="00D24B3E">
        <w:t xml:space="preserve">, </w:t>
      </w:r>
      <w:proofErr w:type="spellStart"/>
      <w:r w:rsidRPr="00D24B3E">
        <w:t>Ilmiah</w:t>
      </w:r>
      <w:proofErr w:type="spellEnd"/>
      <w:r w:rsidRPr="00D24B3E">
        <w:t xml:space="preserve">, P., Pendidikan, D., </w:t>
      </w:r>
      <w:proofErr w:type="spellStart"/>
      <w:r w:rsidRPr="00D24B3E">
        <w:t>Perkantoran</w:t>
      </w:r>
      <w:proofErr w:type="spellEnd"/>
      <w:r w:rsidRPr="00D24B3E">
        <w:t xml:space="preserve">, A., Shanti, R., </w:t>
      </w:r>
      <w:proofErr w:type="spellStart"/>
      <w:r w:rsidRPr="00D24B3E">
        <w:t>Avianto</w:t>
      </w:r>
      <w:proofErr w:type="spellEnd"/>
      <w:r w:rsidRPr="00D24B3E">
        <w:t xml:space="preserve">, W., Wibowo, W., </w:t>
      </w:r>
      <w:proofErr w:type="spellStart"/>
      <w:r w:rsidRPr="00D24B3E">
        <w:t>Bisnis</w:t>
      </w:r>
      <w:proofErr w:type="spellEnd"/>
      <w:r w:rsidRPr="00D24B3E">
        <w:t>, S., and Bogor, P. (2022). A Systematic Review on Banking Digital Transformation. 9(2), 543–552. https://core.ac.uk/download/pdf/548771375.pdf</w:t>
      </w:r>
    </w:p>
    <w:p w14:paraId="249382DF" w14:textId="77777777" w:rsidR="00F02E2D" w:rsidRPr="00D24B3E" w:rsidRDefault="00F02E2D">
      <w:pPr>
        <w:ind w:left="720"/>
      </w:pPr>
    </w:p>
    <w:p w14:paraId="4A107BC7" w14:textId="0591FBD6" w:rsidR="00F02E2D" w:rsidRPr="00D24B3E" w:rsidRDefault="00000000">
      <w:pPr>
        <w:ind w:left="720"/>
      </w:pPr>
      <w:r w:rsidRPr="00D24B3E">
        <w:rPr>
          <w:rFonts w:eastAsia="Times-Roman"/>
        </w:rPr>
        <w:t xml:space="preserve">Explain </w:t>
      </w:r>
      <w:r w:rsidR="009871AD" w:rsidRPr="00D24B3E">
        <w:rPr>
          <w:rFonts w:eastAsia="Times-Roman"/>
        </w:rPr>
        <w:t xml:space="preserve">how </w:t>
      </w:r>
      <w:r w:rsidRPr="00D24B3E">
        <w:rPr>
          <w:rFonts w:eastAsia="Times-Roman"/>
        </w:rPr>
        <w:t>digital transformation drives strategic agility and service innovation in banking. Focus on operational enablers to examine trade-specific fee income strategies.</w:t>
      </w:r>
    </w:p>
    <w:p w14:paraId="7569682B" w14:textId="0808969A" w:rsidR="00F02E2D" w:rsidRPr="00D24B3E" w:rsidRDefault="00000000">
      <w:pPr>
        <w:ind w:left="720"/>
      </w:pPr>
      <w:r w:rsidRPr="00D24B3E">
        <w:rPr>
          <w:rFonts w:eastAsia="Times-Roman"/>
        </w:rPr>
        <w:t xml:space="preserve">Supports the link between digital innovation and profitability, highlighting gaps in trade-specific fee income analysis, reinforcing Cluster </w:t>
      </w:r>
      <w:r w:rsidR="009871AD" w:rsidRPr="00D24B3E">
        <w:rPr>
          <w:rFonts w:eastAsia="Times-Roman"/>
        </w:rPr>
        <w:t>1's</w:t>
      </w:r>
      <w:r w:rsidRPr="00D24B3E">
        <w:rPr>
          <w:rFonts w:eastAsia="Times-Roman"/>
        </w:rPr>
        <w:t xml:space="preserve"> focus on internal enablers and monetization</w:t>
      </w:r>
    </w:p>
    <w:p w14:paraId="67CE2285" w14:textId="77777777" w:rsidR="00F02E2D" w:rsidRPr="00D24B3E" w:rsidRDefault="00F02E2D"/>
    <w:p w14:paraId="60CBE9E5" w14:textId="1A220211" w:rsidR="00560A7F" w:rsidRPr="00D24B3E" w:rsidRDefault="00560A7F">
      <w:pPr>
        <w:rPr>
          <w:color w:val="000000" w:themeColor="text1"/>
        </w:rPr>
      </w:pPr>
      <w:r w:rsidRPr="00D24B3E">
        <w:rPr>
          <w:color w:val="000000" w:themeColor="text1"/>
        </w:rPr>
        <w:t>Barney, J. B. (1991).</w:t>
      </w:r>
      <w:r w:rsidRPr="00D24B3E">
        <w:rPr>
          <w:rStyle w:val="apple-converted-space"/>
          <w:color w:val="000000" w:themeColor="text1"/>
        </w:rPr>
        <w:t> </w:t>
      </w:r>
      <w:r w:rsidRPr="00D24B3E">
        <w:rPr>
          <w:rStyle w:val="Emphasis"/>
          <w:color w:val="000000" w:themeColor="text1"/>
        </w:rPr>
        <w:t>Firm resources and sustained competitive advantage</w:t>
      </w:r>
      <w:r w:rsidRPr="00D24B3E">
        <w:rPr>
          <w:color w:val="000000" w:themeColor="text1"/>
        </w:rPr>
        <w:t>. Journal of Management, 17(1), 99–120.</w:t>
      </w:r>
      <w:r w:rsidR="005E301C" w:rsidRPr="00D24B3E">
        <w:rPr>
          <w:color w:val="000000" w:themeColor="text1"/>
        </w:rPr>
        <w:t xml:space="preserve"> </w:t>
      </w:r>
      <w:hyperlink r:id="rId18" w:history="1">
        <w:r w:rsidR="00FA3B2D" w:rsidRPr="00D24B3E">
          <w:rPr>
            <w:rStyle w:val="Hyperlink"/>
            <w:color w:val="000000" w:themeColor="text1"/>
          </w:rPr>
          <w:t>https://josephmahoney.web.illinois.edu/BA545_Fall%202022/Barney%20(1991).pdf</w:t>
        </w:r>
      </w:hyperlink>
    </w:p>
    <w:p w14:paraId="60CACB8D" w14:textId="77777777" w:rsidR="00FA3B2D" w:rsidRPr="00D24B3E" w:rsidRDefault="00FA3B2D">
      <w:pPr>
        <w:rPr>
          <w:color w:val="EE0000"/>
        </w:rPr>
      </w:pPr>
    </w:p>
    <w:p w14:paraId="68A0E2EE" w14:textId="7E317941" w:rsidR="00FA3B2D" w:rsidRPr="00D24B3E" w:rsidRDefault="00FA3B2D" w:rsidP="00FA3B2D">
      <w:pPr>
        <w:pStyle w:val="NormalWeb"/>
        <w:spacing w:before="0" w:beforeAutospacing="0" w:after="0" w:afterAutospacing="0"/>
        <w:ind w:left="720"/>
        <w:rPr>
          <w:color w:val="000000"/>
        </w:rPr>
      </w:pPr>
      <w:r w:rsidRPr="00D24B3E">
        <w:rPr>
          <w:color w:val="000000"/>
        </w:rPr>
        <w:t xml:space="preserve">Explain </w:t>
      </w:r>
      <w:r w:rsidR="00BF2AD9">
        <w:rPr>
          <w:color w:val="000000"/>
        </w:rPr>
        <w:t xml:space="preserve">that firms can achieve sustained competitive advantage by possessing valuable, rare, inimitable, and non-replaceable </w:t>
      </w:r>
      <w:r w:rsidRPr="00D24B3E">
        <w:rPr>
          <w:color w:val="000000"/>
        </w:rPr>
        <w:t>resources, emphasizing the strategic importance of internal capabilities.</w:t>
      </w:r>
    </w:p>
    <w:p w14:paraId="3E97D250" w14:textId="4B05C121" w:rsidR="00FA3B2D" w:rsidRPr="00D24B3E" w:rsidRDefault="00FA3B2D" w:rsidP="00FA3B2D">
      <w:pPr>
        <w:pStyle w:val="NormalWeb"/>
        <w:spacing w:before="0" w:beforeAutospacing="0" w:after="0" w:afterAutospacing="0"/>
        <w:ind w:left="720"/>
        <w:rPr>
          <w:color w:val="000000"/>
        </w:rPr>
      </w:pPr>
      <w:r w:rsidRPr="00D24B3E">
        <w:rPr>
          <w:color w:val="000000"/>
        </w:rPr>
        <w:t>Directly related to one of the integrated theories, RBV</w:t>
      </w:r>
      <w:r w:rsidR="00BF2AD9">
        <w:rPr>
          <w:color w:val="000000"/>
        </w:rPr>
        <w:t>,</w:t>
      </w:r>
      <w:r w:rsidRPr="00D24B3E">
        <w:rPr>
          <w:color w:val="000000"/>
        </w:rPr>
        <w:t xml:space="preserve"> by positioning a bank’s digital infrastructure, human capital, and process expertise as critical enablers of monetizing trade finance platforms and generating fee-based income.</w:t>
      </w:r>
    </w:p>
    <w:p w14:paraId="50A1D410" w14:textId="77777777" w:rsidR="00FA3B2D" w:rsidRPr="00D24B3E" w:rsidRDefault="00FA3B2D">
      <w:pPr>
        <w:rPr>
          <w:color w:val="EE0000"/>
        </w:rPr>
      </w:pPr>
    </w:p>
    <w:p w14:paraId="5E5B2CF2" w14:textId="77777777" w:rsidR="00560A7F" w:rsidRPr="00D24B3E" w:rsidRDefault="00560A7F"/>
    <w:p w14:paraId="6A0F2D8B" w14:textId="09D8D474" w:rsidR="00F02E2D" w:rsidRPr="00D24B3E" w:rsidRDefault="00000000">
      <w:r w:rsidRPr="00D24B3E">
        <w:t xml:space="preserve">Begum, A., Mosa, </w:t>
      </w:r>
      <w:r w:rsidR="009871AD" w:rsidRPr="00D24B3E">
        <w:t>&amp;</w:t>
      </w:r>
      <w:r w:rsidRPr="00D24B3E">
        <w:t xml:space="preserve"> </w:t>
      </w:r>
      <w:proofErr w:type="spellStart"/>
      <w:r w:rsidRPr="00D24B3E">
        <w:t>Shaharima</w:t>
      </w:r>
      <w:proofErr w:type="spellEnd"/>
      <w:r w:rsidRPr="00D24B3E">
        <w:t xml:space="preserve"> </w:t>
      </w:r>
      <w:proofErr w:type="spellStart"/>
      <w:r w:rsidRPr="00D24B3E">
        <w:t>Juthi</w:t>
      </w:r>
      <w:proofErr w:type="spellEnd"/>
      <w:r w:rsidRPr="00D24B3E">
        <w:t>. (2022). Systematic Review of Blockchain Technology in Trade Finance and Banking Security. 25–52. https://www.researchgate.net/publication/389537218_SYSTEMATIC_REVIEW_OF_BLOCKCHAIN_TECHNOLOGY_IN_TRADE_FINANCE_and_BANKING_SECURITY</w:t>
      </w:r>
    </w:p>
    <w:p w14:paraId="6353168B" w14:textId="77777777" w:rsidR="00F02E2D" w:rsidRPr="00D24B3E" w:rsidRDefault="00F02E2D"/>
    <w:p w14:paraId="0594C5AA" w14:textId="13DA4BDF" w:rsidR="00F02E2D" w:rsidRPr="00D24B3E" w:rsidRDefault="00000000">
      <w:pPr>
        <w:ind w:left="720"/>
      </w:pPr>
      <w:r w:rsidRPr="00D24B3E">
        <w:rPr>
          <w:rFonts w:eastAsia="Times-Roman"/>
        </w:rPr>
        <w:t xml:space="preserve">This article analyzes 38 case studies to illustrate </w:t>
      </w:r>
      <w:r w:rsidR="009871AD" w:rsidRPr="00D24B3E">
        <w:rPr>
          <w:rFonts w:eastAsia="Times-Roman"/>
        </w:rPr>
        <w:t xml:space="preserve">that </w:t>
      </w:r>
      <w:r w:rsidRPr="00D24B3E">
        <w:rPr>
          <w:rFonts w:eastAsia="Times-Roman"/>
        </w:rPr>
        <w:t>blockchain enhances trade finance by reducing transaction times, fraud, and cyber risks.</w:t>
      </w:r>
    </w:p>
    <w:p w14:paraId="376FC534" w14:textId="77777777" w:rsidR="00F02E2D" w:rsidRPr="00D24B3E" w:rsidRDefault="00000000">
      <w:pPr>
        <w:ind w:left="720"/>
      </w:pPr>
      <w:r w:rsidRPr="00D24B3E">
        <w:rPr>
          <w:rFonts w:eastAsia="Times-Roman"/>
        </w:rPr>
        <w:t>It is relevant to the present study as it links operational efficiencies from blockchain adoption to potential monetization via trade-related fee income.</w:t>
      </w:r>
    </w:p>
    <w:p w14:paraId="55ED2971" w14:textId="77777777" w:rsidR="00F02E2D" w:rsidRPr="00D24B3E" w:rsidRDefault="00F02E2D">
      <w:pPr>
        <w:ind w:left="360" w:hanging="360"/>
      </w:pPr>
    </w:p>
    <w:p w14:paraId="065BADD2" w14:textId="77777777" w:rsidR="00F02E2D" w:rsidRPr="00D24B3E" w:rsidRDefault="00000000">
      <w:pPr>
        <w:ind w:left="360" w:hanging="360"/>
      </w:pPr>
      <w:r w:rsidRPr="00D24B3E">
        <w:t>Bowman, L. (2023, May). Digitalization brings new funding for trade. Ebsco.com; Euromoney.</w:t>
      </w:r>
    </w:p>
    <w:p w14:paraId="0627F5A2" w14:textId="77777777" w:rsidR="00F02E2D" w:rsidRPr="00D24B3E" w:rsidRDefault="00F02E2D">
      <w:pPr>
        <w:ind w:left="720"/>
      </w:pPr>
    </w:p>
    <w:p w14:paraId="4606FF00" w14:textId="389D6A87" w:rsidR="00F02E2D" w:rsidRPr="00D24B3E" w:rsidRDefault="00000000">
      <w:pPr>
        <w:ind w:left="720"/>
      </w:pPr>
      <w:r w:rsidRPr="00D24B3E">
        <w:t xml:space="preserve">The article highlights </w:t>
      </w:r>
      <w:r w:rsidR="009871AD" w:rsidRPr="00D24B3E">
        <w:t xml:space="preserve">that </w:t>
      </w:r>
      <w:r w:rsidRPr="00D24B3E">
        <w:t>digitalization facilitates access to new funding mechanisms in trade finance, including electronic trade documentation.</w:t>
      </w:r>
    </w:p>
    <w:p w14:paraId="157170DA" w14:textId="77777777" w:rsidR="00F02E2D" w:rsidRPr="00D24B3E" w:rsidRDefault="00000000">
      <w:pPr>
        <w:ind w:left="720"/>
      </w:pPr>
      <w:r w:rsidRPr="00D24B3E">
        <w:t>This source aligns with digital tools improving service offerings and income in corporate trade finance.</w:t>
      </w:r>
    </w:p>
    <w:p w14:paraId="125B4F5D" w14:textId="77777777" w:rsidR="008801AA" w:rsidRPr="00D24B3E" w:rsidRDefault="008801AA">
      <w:pPr>
        <w:ind w:left="720"/>
      </w:pPr>
    </w:p>
    <w:p w14:paraId="66508907" w14:textId="77777777" w:rsidR="00F84A1E" w:rsidRDefault="00F84A1E">
      <w:bookmarkStart w:id="9" w:name="_Toc204466117"/>
      <w:r>
        <w:br w:type="page"/>
      </w:r>
    </w:p>
    <w:p w14:paraId="3C032A78" w14:textId="32E71655" w:rsidR="00F02E2D" w:rsidRPr="00D24B3E" w:rsidRDefault="00000000" w:rsidP="008801AA">
      <w:pPr>
        <w:ind w:left="360" w:hanging="360"/>
      </w:pPr>
      <w:r w:rsidRPr="00D24B3E">
        <w:lastRenderedPageBreak/>
        <w:t xml:space="preserve">Cai, J., </w:t>
      </w:r>
      <w:r w:rsidR="009871AD" w:rsidRPr="00D24B3E">
        <w:t>&amp;</w:t>
      </w:r>
      <w:r w:rsidRPr="00D24B3E">
        <w:t xml:space="preserve"> Chen, M. A. (2022). Digital Transformation and Fee-Based Income: Evidence from Asian Banks. Asia-Pacific Financial Markets Review, 19(4), 211–230.</w:t>
      </w:r>
      <w:bookmarkEnd w:id="9"/>
    </w:p>
    <w:p w14:paraId="60811E2D" w14:textId="77777777" w:rsidR="00F02E2D" w:rsidRPr="00D24B3E" w:rsidRDefault="00F02E2D" w:rsidP="008801AA">
      <w:pPr>
        <w:ind w:left="360" w:hanging="360"/>
      </w:pPr>
    </w:p>
    <w:p w14:paraId="546F835B" w14:textId="47450471" w:rsidR="00F02E2D" w:rsidRPr="00D24B3E" w:rsidRDefault="00000000" w:rsidP="008801AA">
      <w:pPr>
        <w:ind w:left="720"/>
      </w:pPr>
      <w:r w:rsidRPr="00D24B3E">
        <w:t xml:space="preserve">Examine how digital transformation in trade finance directly contributes to </w:t>
      </w:r>
      <w:r w:rsidR="009871AD" w:rsidRPr="00D24B3E">
        <w:t>fee-based income growth</w:t>
      </w:r>
      <w:r w:rsidRPr="00D24B3E">
        <w:t xml:space="preserve"> among Asian commercial banks. Their findings validate the significance of regional institutional factors, particularly in North Asia, in shaping the monetization outcomes of digital banking services.</w:t>
      </w:r>
    </w:p>
    <w:p w14:paraId="550F202F" w14:textId="77777777" w:rsidR="00F02E2D" w:rsidRPr="00D24B3E" w:rsidRDefault="00F02E2D" w:rsidP="008801AA">
      <w:pPr>
        <w:ind w:left="360" w:hanging="360"/>
      </w:pPr>
    </w:p>
    <w:p w14:paraId="40529B04" w14:textId="18FB2D6F" w:rsidR="00F02E2D" w:rsidRPr="00D24B3E" w:rsidRDefault="00000000">
      <w:r w:rsidRPr="00D24B3E">
        <w:t xml:space="preserve">Chang, S. E., Luo, H. L., </w:t>
      </w:r>
      <w:r w:rsidR="009871AD" w:rsidRPr="00D24B3E">
        <w:t>&amp;</w:t>
      </w:r>
      <w:r w:rsidRPr="00D24B3E">
        <w:t xml:space="preserve"> Chen, Y. (2019). Blockchain-Enabled Trade Finance Innovation: A Potential Paradigm Shift </w:t>
      </w:r>
      <w:r w:rsidR="009871AD" w:rsidRPr="00D24B3E">
        <w:t>in</w:t>
      </w:r>
      <w:r w:rsidRPr="00D24B3E">
        <w:t xml:space="preserve"> Using Letter of Credit. Sustainability, 12(1), 188. https://www.mdpi.com/2071-1050/12/1/188</w:t>
      </w:r>
    </w:p>
    <w:p w14:paraId="3C11D087" w14:textId="77777777" w:rsidR="00F02E2D" w:rsidRPr="00D24B3E" w:rsidRDefault="00F02E2D"/>
    <w:p w14:paraId="1279B059" w14:textId="77777777" w:rsidR="00F02E2D" w:rsidRPr="00D24B3E" w:rsidRDefault="00000000">
      <w:pPr>
        <w:ind w:left="720"/>
      </w:pPr>
      <w:r w:rsidRPr="00D24B3E">
        <w:t>This study investigates the application of blockchain technology in trade finance, especially regarding Letters of Credit, and explores verification in processes.</w:t>
      </w:r>
    </w:p>
    <w:p w14:paraId="323FF30A" w14:textId="3B3F9942" w:rsidR="00F02E2D" w:rsidRPr="00D24B3E" w:rsidRDefault="00000000" w:rsidP="00FE6CCB">
      <w:pPr>
        <w:ind w:left="720"/>
      </w:pPr>
      <w:r w:rsidRPr="00D24B3E">
        <w:t>Relevant blockchain digital solutions may reduce cost and risk</w:t>
      </w:r>
      <w:r w:rsidR="00BF2AD9">
        <w:t xml:space="preserve"> while enhancing service quality, which are </w:t>
      </w:r>
      <w:r w:rsidRPr="00D24B3E">
        <w:t>key factors in evaluating fee income growth.</w:t>
      </w:r>
    </w:p>
    <w:p w14:paraId="05A7B4DC" w14:textId="77777777" w:rsidR="008801AA" w:rsidRPr="00D24B3E" w:rsidRDefault="008801AA" w:rsidP="00FE6CCB">
      <w:pPr>
        <w:ind w:left="720"/>
      </w:pPr>
    </w:p>
    <w:p w14:paraId="5A5B90BC" w14:textId="166C9170" w:rsidR="00F02E2D" w:rsidRPr="00D24B3E" w:rsidRDefault="00000000">
      <w:proofErr w:type="spellStart"/>
      <w:r w:rsidRPr="00D24B3E">
        <w:t>Citterio</w:t>
      </w:r>
      <w:proofErr w:type="spellEnd"/>
      <w:r w:rsidRPr="00D24B3E">
        <w:t xml:space="preserve">, A., King, T., </w:t>
      </w:r>
      <w:r w:rsidR="009871AD" w:rsidRPr="00D24B3E">
        <w:t>&amp;</w:t>
      </w:r>
      <w:r w:rsidRPr="00D24B3E">
        <w:t xml:space="preserve"> Locatelli, R. (2024). Is digital transformation profitable for banks? Evidence from Europe. Finance Research Letters, 70(106269), 106269–106269. https://osuva.uwasa.fi/bitstream/handle/10024/18175/Osuva_Citterio_King_Locatelli_2024.pdf;jsessionid=FC6667BB0F629FED1CB286C2A1BF4A61?sequence=2</w:t>
      </w:r>
    </w:p>
    <w:p w14:paraId="05CC6ECB" w14:textId="77777777" w:rsidR="00F02E2D" w:rsidRPr="00D24B3E" w:rsidRDefault="00F02E2D">
      <w:pPr>
        <w:ind w:left="720"/>
      </w:pPr>
    </w:p>
    <w:p w14:paraId="0EC303D8" w14:textId="77777777" w:rsidR="00F02E2D" w:rsidRPr="00D24B3E" w:rsidRDefault="00000000">
      <w:pPr>
        <w:ind w:left="720"/>
      </w:pPr>
      <w:r w:rsidRPr="00D24B3E">
        <w:t xml:space="preserve">The article finds that European banks achieve higher fee-based income when digital transformation is tied to service </w:t>
      </w:r>
      <w:proofErr w:type="spellStart"/>
      <w:r w:rsidRPr="00D24B3E">
        <w:t>innovation.n</w:t>
      </w:r>
      <w:proofErr w:type="spellEnd"/>
    </w:p>
    <w:p w14:paraId="6A771B61" w14:textId="65863CA3" w:rsidR="00F02E2D" w:rsidRPr="00D24B3E" w:rsidRDefault="00000000">
      <w:pPr>
        <w:ind w:left="720"/>
      </w:pPr>
      <w:r w:rsidRPr="00D24B3E">
        <w:t>Relevant to the thesis due to methodology and emphasis on monetization mechanisms</w:t>
      </w:r>
      <w:r w:rsidR="009871AD" w:rsidRPr="00D24B3E">
        <w:t>, which</w:t>
      </w:r>
      <w:r w:rsidRPr="00D24B3E">
        <w:t xml:space="preserve"> offer a comparative foundation for evaluating similar strategies that may translate in the context of North Asian corporate banking.</w:t>
      </w:r>
    </w:p>
    <w:p w14:paraId="766254FE" w14:textId="77777777" w:rsidR="00F02E2D" w:rsidRPr="00D24B3E" w:rsidRDefault="00F02E2D"/>
    <w:p w14:paraId="35637EAC" w14:textId="75C4A14C" w:rsidR="00F02E2D" w:rsidRPr="00D24B3E" w:rsidRDefault="00000000">
      <w:r w:rsidRPr="00D24B3E">
        <w:t xml:space="preserve">Diyan Lestari, Ma, S., </w:t>
      </w:r>
      <w:r w:rsidR="009871AD" w:rsidRPr="00D24B3E">
        <w:t>&amp;</w:t>
      </w:r>
      <w:r w:rsidRPr="00D24B3E">
        <w:t xml:space="preserve"> Jun, A. (2023). Enhancing bank stability from diversification and digitalization perspectives in ASEAN. Studies in Economics and Finance, 40(4), 606–624. https://ideas.repec.org/a/eme/sefpps/sef-12-2022-0554.html</w:t>
      </w:r>
    </w:p>
    <w:p w14:paraId="44FF63A0" w14:textId="77777777" w:rsidR="00F02E2D" w:rsidRPr="00D24B3E" w:rsidRDefault="00F02E2D">
      <w:pPr>
        <w:ind w:left="720"/>
      </w:pPr>
    </w:p>
    <w:p w14:paraId="149DD47C" w14:textId="4FA0C3D9" w:rsidR="00F02E2D" w:rsidRPr="00D24B3E" w:rsidRDefault="00000000">
      <w:pPr>
        <w:ind w:left="720"/>
      </w:pPr>
      <w:r w:rsidRPr="00D24B3E">
        <w:rPr>
          <w:rFonts w:eastAsia="Times-Roman"/>
        </w:rPr>
        <w:t xml:space="preserve">The article reinforces the focus on non-interest income as a strategic growth lever by showing that digitalization in ASEAN banks enhances income streams </w:t>
      </w:r>
      <w:r w:rsidR="009871AD" w:rsidRPr="00D24B3E">
        <w:rPr>
          <w:rFonts w:eastAsia="Times-Roman"/>
        </w:rPr>
        <w:t>and</w:t>
      </w:r>
      <w:r w:rsidRPr="00D24B3E">
        <w:rPr>
          <w:rFonts w:eastAsia="Times-Roman"/>
        </w:rPr>
        <w:t xml:space="preserve"> contributes to long-term stability.</w:t>
      </w:r>
    </w:p>
    <w:p w14:paraId="05ED46FB" w14:textId="674D0B4C" w:rsidR="00F02E2D" w:rsidRPr="00D24B3E" w:rsidRDefault="00000000">
      <w:pPr>
        <w:ind w:left="720"/>
      </w:pPr>
      <w:r w:rsidRPr="00D24B3E">
        <w:rPr>
          <w:rFonts w:eastAsia="Times-Roman"/>
        </w:rPr>
        <w:t>The findings support the argument that digital trade services</w:t>
      </w:r>
      <w:r w:rsidR="009871AD" w:rsidRPr="00D24B3E">
        <w:rPr>
          <w:rFonts w:eastAsia="Times-Roman"/>
        </w:rPr>
        <w:t xml:space="preserve"> can significantly improve profitability and financial resilience when integrated with diversification strategies</w:t>
      </w:r>
      <w:r w:rsidRPr="00D24B3E">
        <w:rPr>
          <w:rFonts w:eastAsia="Times-Roman"/>
        </w:rPr>
        <w:t>.</w:t>
      </w:r>
    </w:p>
    <w:p w14:paraId="7AC8CBEB" w14:textId="77777777" w:rsidR="00F02E2D" w:rsidRPr="00D24B3E" w:rsidRDefault="00F02E2D"/>
    <w:p w14:paraId="0443F42E" w14:textId="4920D32C" w:rsidR="00F02E2D" w:rsidRPr="00D24B3E" w:rsidRDefault="00000000">
      <w:r w:rsidRPr="00D24B3E">
        <w:t xml:space="preserve">Duong, H. K., </w:t>
      </w:r>
      <w:r w:rsidR="009871AD" w:rsidRPr="00D24B3E">
        <w:t>&amp;</w:t>
      </w:r>
      <w:r w:rsidRPr="00D24B3E">
        <w:t xml:space="preserve"> Nguyen, H. C. (2025). The impact of digitalization on firm value, financial performance, and green initiatives: evidence from Vietnam, an emerging economy. Journal of Applied Accounting Research. https://www.emerald.com/insight/content/doi/10.1108/jaar-01-2025-0015/full/html?skipTracking=true</w:t>
      </w:r>
    </w:p>
    <w:p w14:paraId="3DFB3B4A" w14:textId="77777777" w:rsidR="00F02E2D" w:rsidRPr="00D24B3E" w:rsidRDefault="00F02E2D">
      <w:pPr>
        <w:ind w:left="720"/>
      </w:pPr>
    </w:p>
    <w:p w14:paraId="6A1E50A9" w14:textId="77BE49F3" w:rsidR="00F02E2D" w:rsidRPr="00D24B3E" w:rsidRDefault="00000000">
      <w:pPr>
        <w:ind w:left="720"/>
      </w:pPr>
      <w:r w:rsidRPr="00D24B3E">
        <w:rPr>
          <w:rFonts w:eastAsia="Times-Roman"/>
        </w:rPr>
        <w:t>Examines how digitalization affects firm value and sustainability practices in Vietnam’s financial sector by digital tool adoption, revenue metrics, and ESG integration.</w:t>
      </w:r>
    </w:p>
    <w:p w14:paraId="280947E0" w14:textId="77777777" w:rsidR="00F02E2D" w:rsidRPr="00D24B3E" w:rsidRDefault="00000000">
      <w:pPr>
        <w:ind w:left="720"/>
      </w:pPr>
      <w:r w:rsidRPr="00D24B3E">
        <w:rPr>
          <w:rFonts w:eastAsia="Times-Roman"/>
        </w:rPr>
        <w:lastRenderedPageBreak/>
        <w:t>Relevant to the thesis as it highlights the need for alignment between digital trade service implementation, profitability objectives, and broader sustainability frameworks, supporting the case for multi-dimensional performance assessment.</w:t>
      </w:r>
    </w:p>
    <w:p w14:paraId="0717261C" w14:textId="77777777" w:rsidR="00F02E2D" w:rsidRPr="00D24B3E" w:rsidRDefault="00F02E2D"/>
    <w:p w14:paraId="1E1DA976" w14:textId="701BDB70" w:rsidR="00F02E2D" w:rsidRPr="00D24B3E" w:rsidRDefault="00000000">
      <w:proofErr w:type="spellStart"/>
      <w:r w:rsidRPr="00D24B3E">
        <w:t>Forcadell</w:t>
      </w:r>
      <w:proofErr w:type="spellEnd"/>
      <w:r w:rsidRPr="00D24B3E">
        <w:t xml:space="preserve">, F. J., </w:t>
      </w:r>
      <w:proofErr w:type="spellStart"/>
      <w:r w:rsidRPr="00D24B3E">
        <w:t>Aracil</w:t>
      </w:r>
      <w:proofErr w:type="spellEnd"/>
      <w:r w:rsidRPr="00D24B3E">
        <w:t xml:space="preserve">, E., </w:t>
      </w:r>
      <w:r w:rsidR="009871AD" w:rsidRPr="00D24B3E">
        <w:t>&amp;</w:t>
      </w:r>
      <w:r w:rsidRPr="00D24B3E">
        <w:t xml:space="preserve"> Ubeda, F. (2020). Using reputation for corporate sustainability to tackle banks' digitalization challenges. Business Strategy and the Environment, 29(6), 2181–2193. https://onlinelibrary.wiley.com/doi/abs/10.1002/bse.2494</w:t>
      </w:r>
    </w:p>
    <w:p w14:paraId="72FACA90" w14:textId="77777777" w:rsidR="00F02E2D" w:rsidRPr="00D24B3E" w:rsidRDefault="00F02E2D"/>
    <w:p w14:paraId="1A39E715" w14:textId="60738CB5" w:rsidR="00F02E2D" w:rsidRPr="00D24B3E" w:rsidRDefault="00000000">
      <w:pPr>
        <w:ind w:left="720"/>
      </w:pPr>
      <w:r w:rsidRPr="00D24B3E">
        <w:rPr>
          <w:rFonts w:eastAsia="Times-Roman"/>
        </w:rPr>
        <w:t xml:space="preserve">This study emphasizes </w:t>
      </w:r>
      <w:r w:rsidR="009871AD" w:rsidRPr="00D24B3E">
        <w:rPr>
          <w:rFonts w:eastAsia="Times-Roman"/>
        </w:rPr>
        <w:t>that banks should</w:t>
      </w:r>
      <w:r w:rsidRPr="00D24B3E">
        <w:rPr>
          <w:rFonts w:eastAsia="Times-Roman"/>
        </w:rPr>
        <w:t xml:space="preserve"> enhance client engagement and brand trust during digital transformation.</w:t>
      </w:r>
    </w:p>
    <w:p w14:paraId="3A62D257" w14:textId="6F5E9041" w:rsidR="00F02E2D" w:rsidRPr="00D24B3E" w:rsidRDefault="00000000">
      <w:pPr>
        <w:ind w:left="720"/>
      </w:pPr>
      <w:r w:rsidRPr="00D24B3E">
        <w:rPr>
          <w:rFonts w:eastAsia="Times-Roman"/>
        </w:rPr>
        <w:t>Directly related through value co-creation</w:t>
      </w:r>
      <w:r w:rsidR="009871AD" w:rsidRPr="00D24B3E">
        <w:rPr>
          <w:rFonts w:eastAsia="Times-Roman"/>
        </w:rPr>
        <w:t xml:space="preserve">, as the study investigates the </w:t>
      </w:r>
      <w:r w:rsidRPr="00D24B3E">
        <w:rPr>
          <w:rFonts w:eastAsia="Times-Roman"/>
        </w:rPr>
        <w:t xml:space="preserve">monetization of digital trade </w:t>
      </w:r>
      <w:r w:rsidR="00BF2AD9">
        <w:rPr>
          <w:rFonts w:eastAsia="Times-Roman"/>
        </w:rPr>
        <w:t>services</w:t>
      </w:r>
      <w:r w:rsidRPr="00D24B3E">
        <w:rPr>
          <w:rFonts w:eastAsia="Times-Roman"/>
        </w:rPr>
        <w:t>, it provides evidence that organizational capabilities and client perception are critical to income growth.</w:t>
      </w:r>
    </w:p>
    <w:p w14:paraId="7C2C38E8" w14:textId="77777777" w:rsidR="00F02E2D" w:rsidRPr="00D24B3E" w:rsidRDefault="00F02E2D"/>
    <w:p w14:paraId="47900C4D" w14:textId="1954E72E" w:rsidR="00F02E2D" w:rsidRPr="00D24B3E" w:rsidRDefault="00000000">
      <w:r w:rsidRPr="00D24B3E">
        <w:t xml:space="preserve">Gandhi, T. (2020). Asian Development Bank, Asia-Pacific Trade Facilitation Report 2019: Bridging Trade Finance Gaps Through Technology, Asian Development Bank (ADB). Journal of Asian Economic Integration, 2(1), 125–128. </w:t>
      </w:r>
      <w:hyperlink r:id="rId19" w:history="1">
        <w:r w:rsidR="00560A7F" w:rsidRPr="00D24B3E">
          <w:rPr>
            <w:rStyle w:val="Hyperlink"/>
          </w:rPr>
          <w:t>https://www.researchgate.net/publication/340864701_Asian_Development_Bank_Asia-Pacific_Trade_Facilitation_Report_2019_Bridging_Trade_Finance_Gaps_Through_Technology_Asian_Development_Bank_ADB</w:t>
        </w:r>
      </w:hyperlink>
    </w:p>
    <w:p w14:paraId="26EDBCAF" w14:textId="77777777" w:rsidR="00560A7F" w:rsidRPr="00D24B3E" w:rsidRDefault="00560A7F"/>
    <w:p w14:paraId="7C34AEBA" w14:textId="0C4B5B8E" w:rsidR="00F02E2D" w:rsidRPr="00D24B3E" w:rsidRDefault="00000000">
      <w:pPr>
        <w:ind w:left="720"/>
      </w:pPr>
      <w:r w:rsidRPr="00D24B3E">
        <w:t xml:space="preserve">The paper </w:t>
      </w:r>
      <w:r w:rsidR="009871AD" w:rsidRPr="00D24B3E">
        <w:t>discusses digital transformation to tackle manual processing and risk aversion that incur</w:t>
      </w:r>
      <w:r w:rsidRPr="00D24B3E">
        <w:t xml:space="preserve"> high transaction costs.</w:t>
      </w:r>
    </w:p>
    <w:p w14:paraId="0C1FFDB9" w14:textId="77777777" w:rsidR="00F02E2D" w:rsidRPr="00D24B3E" w:rsidRDefault="00000000">
      <w:pPr>
        <w:ind w:left="720"/>
      </w:pPr>
      <w:r w:rsidRPr="00D24B3E">
        <w:t>These studies fit the paper because they address how digital trade platforms influence fee income growth and highlight the organizational and policy conditions.</w:t>
      </w:r>
    </w:p>
    <w:p w14:paraId="4255681E" w14:textId="77777777" w:rsidR="00F02E2D" w:rsidRPr="00D24B3E" w:rsidRDefault="00F02E2D">
      <w:pPr>
        <w:ind w:left="720"/>
      </w:pPr>
    </w:p>
    <w:p w14:paraId="61880C6E" w14:textId="02C42B6B" w:rsidR="00F02E2D" w:rsidRPr="00D24B3E" w:rsidRDefault="00000000">
      <w:r w:rsidRPr="00D24B3E">
        <w:t xml:space="preserve">Guo, R., </w:t>
      </w:r>
      <w:r w:rsidR="009871AD" w:rsidRPr="00D24B3E">
        <w:t>&amp;</w:t>
      </w:r>
      <w:r w:rsidRPr="00D24B3E">
        <w:t xml:space="preserve"> Ma, B. (2025). Does </w:t>
      </w:r>
      <w:r w:rsidR="00BF2AD9">
        <w:t>digitally</w:t>
      </w:r>
      <w:r w:rsidRPr="00D24B3E">
        <w:t xml:space="preserve"> inclusive finance enhance the profitability of commercial banks?  Evidence from China. Applied Economics Letters, 1 </w:t>
      </w:r>
      <w:hyperlink r:id="rId20" w:history="1">
        <w:r w:rsidR="00F02E2D" w:rsidRPr="00D24B3E">
          <w:rPr>
            <w:color w:val="000000"/>
            <w:u w:val="single" w:color="000000"/>
          </w:rPr>
          <w:t>https://www.researchgate.net/publication/392107393_Does_digital_inclusive_finance_enhance_the_profitability_of_commercial_banks_-_Evidence_from_China</w:t>
        </w:r>
      </w:hyperlink>
    </w:p>
    <w:p w14:paraId="3B51C761" w14:textId="77777777" w:rsidR="00F02E2D" w:rsidRPr="00D24B3E" w:rsidRDefault="00F02E2D"/>
    <w:p w14:paraId="4B5AB1E6" w14:textId="4F9B7B76" w:rsidR="00F02E2D" w:rsidRPr="00D24B3E" w:rsidRDefault="00BF2AD9">
      <w:pPr>
        <w:ind w:left="720"/>
      </w:pPr>
      <w:r>
        <w:t>Investigate</w:t>
      </w:r>
      <w:r w:rsidRPr="00D24B3E">
        <w:t xml:space="preserve"> how digital financial inclusion initiatives affect profitability in Chinese banks.</w:t>
      </w:r>
    </w:p>
    <w:p w14:paraId="7167A057" w14:textId="77777777" w:rsidR="00F02E2D" w:rsidRPr="00D24B3E" w:rsidRDefault="00000000">
      <w:pPr>
        <w:ind w:left="720"/>
      </w:pPr>
      <w:r w:rsidRPr="00D24B3E">
        <w:t>Offers quantitative confirmation of the link between digital services and bank performance in China.</w:t>
      </w:r>
    </w:p>
    <w:p w14:paraId="2F7F1701" w14:textId="77777777" w:rsidR="00F02E2D" w:rsidRPr="00D24B3E" w:rsidRDefault="00F02E2D"/>
    <w:p w14:paraId="39A23C55" w14:textId="58673CB9" w:rsidR="00F02E2D" w:rsidRPr="00D24B3E" w:rsidRDefault="00000000">
      <w:r w:rsidRPr="00D24B3E">
        <w:t xml:space="preserve">Hakizimana, S., Wairimu, M.-M. C., </w:t>
      </w:r>
      <w:r w:rsidR="009871AD" w:rsidRPr="00D24B3E">
        <w:t>&amp;</w:t>
      </w:r>
      <w:r w:rsidRPr="00D24B3E">
        <w:t xml:space="preserve"> </w:t>
      </w:r>
      <w:proofErr w:type="spellStart"/>
      <w:r w:rsidRPr="00D24B3E">
        <w:t>Muathe</w:t>
      </w:r>
      <w:proofErr w:type="spellEnd"/>
      <w:r w:rsidRPr="00D24B3E">
        <w:t xml:space="preserve">, S. (2023). Digital Banking Transformation and Performance. Where Do We Stand? International Journal of Management Research and Emerging Sciences, 13(1). </w:t>
      </w:r>
      <w:hyperlink r:id="rId21" w:history="1">
        <w:r w:rsidR="00F02E2D" w:rsidRPr="00D24B3E">
          <w:rPr>
            <w:color w:val="000000"/>
            <w:u w:val="single" w:color="000000"/>
          </w:rPr>
          <w:t>https://ijmres.pk/index.php/IJMRES/article/view/404</w:t>
        </w:r>
      </w:hyperlink>
    </w:p>
    <w:p w14:paraId="1FF160D9" w14:textId="77777777" w:rsidR="00F02E2D" w:rsidRPr="00D24B3E" w:rsidRDefault="00F02E2D"/>
    <w:p w14:paraId="0A1D21C1" w14:textId="77777777" w:rsidR="00F02E2D" w:rsidRPr="00D24B3E" w:rsidRDefault="00000000">
      <w:pPr>
        <w:ind w:left="720"/>
      </w:pPr>
      <w:r w:rsidRPr="00D24B3E">
        <w:rPr>
          <w:rFonts w:eastAsia="Times-Roman"/>
        </w:rPr>
        <w:t>Provides a comprehensive scoping review outlining key drivers of digital banking transformation, such as technology adoption, regulatory frameworks, and organizational readiness.</w:t>
      </w:r>
    </w:p>
    <w:p w14:paraId="1AA49014" w14:textId="4A44E173" w:rsidR="00F02E2D" w:rsidRPr="00D24B3E" w:rsidRDefault="00000000">
      <w:pPr>
        <w:ind w:left="720"/>
      </w:pPr>
      <w:r w:rsidRPr="00D24B3E">
        <w:rPr>
          <w:rFonts w:eastAsia="Times-Roman"/>
        </w:rPr>
        <w:t xml:space="preserve">This source supports the conceptual foundation by mapping the broader digitalization landscape in banking, helping to contextualize platform-based trade finance strategies within </w:t>
      </w:r>
      <w:r w:rsidR="009871AD" w:rsidRPr="00D24B3E">
        <w:rPr>
          <w:rFonts w:eastAsia="Times-Roman"/>
        </w:rPr>
        <w:t>broader</w:t>
      </w:r>
      <w:r w:rsidRPr="00D24B3E">
        <w:rPr>
          <w:rFonts w:eastAsia="Times-Roman"/>
        </w:rPr>
        <w:t xml:space="preserve"> institutional trends.</w:t>
      </w:r>
    </w:p>
    <w:p w14:paraId="36381420" w14:textId="77777777" w:rsidR="00F02E2D" w:rsidRPr="00D24B3E" w:rsidRDefault="00F02E2D">
      <w:pPr>
        <w:ind w:left="720"/>
      </w:pPr>
    </w:p>
    <w:p w14:paraId="2068E6B2" w14:textId="1418F2D2" w:rsidR="00F02E2D" w:rsidRPr="00D24B3E" w:rsidRDefault="00000000">
      <w:r w:rsidRPr="00D24B3E">
        <w:lastRenderedPageBreak/>
        <w:t xml:space="preserve">Han, Q., Wang, F., Wang, Y., and Guo, F. (2025). How </w:t>
      </w:r>
      <w:r w:rsidR="009871AD" w:rsidRPr="00D24B3E">
        <w:t xml:space="preserve">are supply chain and digitalization </w:t>
      </w:r>
      <w:r w:rsidRPr="00D24B3E">
        <w:t xml:space="preserve">significant contributors to international trade? The role of renewable </w:t>
      </w:r>
      <w:r w:rsidR="009871AD" w:rsidRPr="00D24B3E">
        <w:t xml:space="preserve">energy </w:t>
      </w:r>
      <w:r w:rsidRPr="00D24B3E">
        <w:t xml:space="preserve">and energy intensity in global trade powerhouses’ economies. Energy Economics, 145, 108429. </w:t>
      </w:r>
      <w:hyperlink r:id="rId22" w:history="1">
        <w:r w:rsidR="00F02E2D" w:rsidRPr="00D24B3E">
          <w:rPr>
            <w:color w:val="000000"/>
            <w:u w:val="single" w:color="000000"/>
          </w:rPr>
          <w:t>https://www.researchgate.net/publication/390281260_How_supply_chain_and_digitalization_are_significant_contributors_to_international_trade_The_role_of_renewable_and_energy_intensity_in_global_trade_powerhouses'_economies</w:t>
        </w:r>
      </w:hyperlink>
    </w:p>
    <w:p w14:paraId="7366F0AF" w14:textId="77777777" w:rsidR="00F02E2D" w:rsidRPr="00D24B3E" w:rsidRDefault="00F02E2D">
      <w:pPr>
        <w:ind w:firstLine="720"/>
      </w:pPr>
    </w:p>
    <w:p w14:paraId="4F2C685A" w14:textId="77777777" w:rsidR="00F02E2D" w:rsidRPr="00D24B3E" w:rsidRDefault="00000000">
      <w:pPr>
        <w:ind w:firstLine="720"/>
      </w:pPr>
      <w:r w:rsidRPr="00D24B3E">
        <w:t>Examines digitalization and supply chain factors that influence international trade flows.</w:t>
      </w:r>
    </w:p>
    <w:p w14:paraId="75AC2B6B" w14:textId="5A44FF58" w:rsidR="00F02E2D" w:rsidRPr="00D24B3E" w:rsidRDefault="009871AD">
      <w:pPr>
        <w:ind w:left="720"/>
      </w:pPr>
      <w:r w:rsidRPr="00D24B3E">
        <w:t xml:space="preserve">It </w:t>
      </w:r>
      <w:r w:rsidR="00BF2AD9">
        <w:t>supports</w:t>
      </w:r>
      <w:r w:rsidRPr="00D24B3E">
        <w:t xml:space="preserve"> digital strategy, strengthening the rationale that digital structures in value chains can enhance trade volumes and potentially associated banking fees.</w:t>
      </w:r>
    </w:p>
    <w:p w14:paraId="690AA932" w14:textId="77777777" w:rsidR="00F02E2D" w:rsidRPr="00D24B3E" w:rsidRDefault="00F02E2D">
      <w:pPr>
        <w:ind w:left="720"/>
      </w:pPr>
    </w:p>
    <w:p w14:paraId="5909D0A2" w14:textId="77777777" w:rsidR="00F02E2D" w:rsidRDefault="00000000">
      <w:r w:rsidRPr="00D24B3E">
        <w:t xml:space="preserve">He, Q., Tong, Z., Mai, H., Shen, Y., and Jiang, J. (2025). Digital transformation and profitability in rural commercial banks. Finance Research Letters, 85, 107867. </w:t>
      </w:r>
      <w:hyperlink r:id="rId23" w:history="1">
        <w:r w:rsidR="00F02E2D" w:rsidRPr="00D24B3E">
          <w:rPr>
            <w:color w:val="000000"/>
            <w:u w:val="single" w:color="000000"/>
          </w:rPr>
          <w:t>https://www.researchgate.net/publication/393290473_Digital_Transformation_and_Profitability_in_Rural_Commercial_Banks</w:t>
        </w:r>
      </w:hyperlink>
    </w:p>
    <w:p w14:paraId="314FAA9E" w14:textId="77777777" w:rsidR="008E1E6C" w:rsidRPr="00D24B3E" w:rsidRDefault="008E1E6C"/>
    <w:p w14:paraId="6895BF26" w14:textId="77777777" w:rsidR="00F02E2D" w:rsidRPr="00D24B3E" w:rsidRDefault="00000000">
      <w:pPr>
        <w:ind w:left="720"/>
      </w:pPr>
      <w:r w:rsidRPr="00D24B3E">
        <w:t>Demonstrates that even rural banks benefit from digital transformation through improved profitability.</w:t>
      </w:r>
    </w:p>
    <w:p w14:paraId="53D30F03" w14:textId="77777777" w:rsidR="00F02E2D" w:rsidRPr="00D24B3E" w:rsidRDefault="00000000">
      <w:pPr>
        <w:ind w:left="720"/>
      </w:pPr>
      <w:r w:rsidRPr="00D24B3E">
        <w:rPr>
          <w:rFonts w:eastAsia="Times-Roman"/>
        </w:rPr>
        <w:t>Relate to the concept that digital adoption can drive profitability beyond major institutions, reinforcing the potential of digital trade platforms to generate fee-based income in diverse market contexts.</w:t>
      </w:r>
    </w:p>
    <w:p w14:paraId="62F3C9BE" w14:textId="77777777" w:rsidR="00F02E2D" w:rsidRPr="00D24B3E" w:rsidRDefault="00F02E2D">
      <w:pPr>
        <w:ind w:left="720"/>
      </w:pPr>
    </w:p>
    <w:p w14:paraId="3D8F6E31" w14:textId="77777777" w:rsidR="00F02E2D" w:rsidRPr="00D24B3E" w:rsidRDefault="00000000">
      <w:r w:rsidRPr="00D24B3E">
        <w:t>Huang, Z. (2023). Research on the Impact of Digital Transformation of Commercial Banks on Profitability. SHS Web of Conferences, 163, 02015. https://www.researchgate.net/publication/370364383_Research_on_the_Impact_of_Digital_Transformation_of_Commercial_Banks_on_Profitability</w:t>
      </w:r>
    </w:p>
    <w:p w14:paraId="4283246B" w14:textId="77777777" w:rsidR="00F02E2D" w:rsidRPr="00D24B3E" w:rsidRDefault="00F02E2D">
      <w:pPr>
        <w:ind w:left="720"/>
      </w:pPr>
    </w:p>
    <w:p w14:paraId="3C18F5D0" w14:textId="77777777" w:rsidR="00F02E2D" w:rsidRPr="00D24B3E" w:rsidRDefault="00000000">
      <w:pPr>
        <w:ind w:left="720"/>
      </w:pPr>
      <w:r w:rsidRPr="00D24B3E">
        <w:t>Study 16 Chinese commercial banks using a regression model and find a positive relationship between digital transformation and profitability.</w:t>
      </w:r>
    </w:p>
    <w:p w14:paraId="249AF758" w14:textId="77777777" w:rsidR="00F02E2D" w:rsidRPr="00D24B3E" w:rsidRDefault="00000000">
      <w:pPr>
        <w:ind w:left="720"/>
      </w:pPr>
      <w:r w:rsidRPr="00D24B3E">
        <w:t>Relating to digital trade enhances bank profitability.</w:t>
      </w:r>
    </w:p>
    <w:p w14:paraId="680FA915" w14:textId="77777777" w:rsidR="00F02E2D" w:rsidRPr="00D24B3E" w:rsidRDefault="00F02E2D">
      <w:pPr>
        <w:ind w:left="720"/>
      </w:pPr>
    </w:p>
    <w:p w14:paraId="3BD67AB9" w14:textId="77777777" w:rsidR="00F02E2D" w:rsidRPr="00D24B3E" w:rsidRDefault="00000000">
      <w:r w:rsidRPr="00D24B3E">
        <w:t xml:space="preserve">Huynh, J. (2025). Digital transformation and the bank lending channel. China Finance Review International. </w:t>
      </w:r>
      <w:hyperlink r:id="rId24" w:history="1">
        <w:r w:rsidR="00F02E2D" w:rsidRPr="00D24B3E">
          <w:rPr>
            <w:color w:val="000000"/>
            <w:u w:val="single" w:color="000000"/>
          </w:rPr>
          <w:t>https://www.emerald.com/insight/content/doi/10.1108/cfri-10-2024-0615/full/html?skipTracking=true</w:t>
        </w:r>
      </w:hyperlink>
    </w:p>
    <w:p w14:paraId="2E2EDADB" w14:textId="77777777" w:rsidR="00F02E2D" w:rsidRPr="00D24B3E" w:rsidRDefault="00F02E2D"/>
    <w:p w14:paraId="568EE09E" w14:textId="693986EB" w:rsidR="00F02E2D" w:rsidRPr="00D24B3E" w:rsidRDefault="009871AD">
      <w:pPr>
        <w:ind w:left="720"/>
      </w:pPr>
      <w:r w:rsidRPr="00D24B3E">
        <w:t>A study related to digital transformation weakens the traditional bank lending channel by reducing its sensitivity to monetary policy.</w:t>
      </w:r>
    </w:p>
    <w:p w14:paraId="424BFE2A" w14:textId="70625C5D" w:rsidR="00F02E2D" w:rsidRPr="00D24B3E" w:rsidRDefault="00000000">
      <w:pPr>
        <w:ind w:left="720"/>
      </w:pPr>
      <w:r w:rsidRPr="00D24B3E">
        <w:t>Relevant to the paper</w:t>
      </w:r>
      <w:r w:rsidR="009871AD" w:rsidRPr="00D24B3E">
        <w:t>,</w:t>
      </w:r>
      <w:r w:rsidRPr="00D24B3E">
        <w:t xml:space="preserve"> as mentioned, </w:t>
      </w:r>
      <w:r w:rsidR="009871AD" w:rsidRPr="00D24B3E">
        <w:t xml:space="preserve">is a </w:t>
      </w:r>
      <w:r w:rsidRPr="00D24B3E">
        <w:t>strategic shift toward fee-based income, such as digital trade services, as banks reduce reliance on interest-driven revenue models.</w:t>
      </w:r>
    </w:p>
    <w:p w14:paraId="78627941" w14:textId="77777777" w:rsidR="00F02E2D" w:rsidRPr="00D24B3E" w:rsidRDefault="00F02E2D">
      <w:pPr>
        <w:ind w:left="720"/>
      </w:pPr>
    </w:p>
    <w:p w14:paraId="74D2B74F" w14:textId="77777777" w:rsidR="00F02E2D" w:rsidRPr="00D24B3E" w:rsidRDefault="00000000">
      <w:r w:rsidRPr="00D24B3E">
        <w:t xml:space="preserve">Ismail, N. W. (2020). Digital trade facilitation and bilateral trade in selected Asian countries. Studies in Economics and Finance, ahead-of-print(ahead-of-print). </w:t>
      </w:r>
      <w:hyperlink r:id="rId25" w:history="1">
        <w:r w:rsidR="00F02E2D" w:rsidRPr="00D24B3E">
          <w:rPr>
            <w:color w:val="000000"/>
            <w:u w:val="single" w:color="000000"/>
          </w:rPr>
          <w:t>https://www.sci-hub.se/downloads/2020-07-26/5333/ismail2020.pdf</w:t>
        </w:r>
      </w:hyperlink>
    </w:p>
    <w:p w14:paraId="52CF45EA" w14:textId="77777777" w:rsidR="00F02E2D" w:rsidRPr="00D24B3E" w:rsidRDefault="00F02E2D"/>
    <w:p w14:paraId="74B9F15B" w14:textId="1FE9065D" w:rsidR="00F02E2D" w:rsidRPr="00D24B3E" w:rsidRDefault="009871AD">
      <w:pPr>
        <w:ind w:left="720"/>
      </w:pPr>
      <w:r w:rsidRPr="00D24B3E">
        <w:t>This paper uses gravity-model econometrics to evaluate how digital infrastructure, usage, and security influence bilateral trade flows across Asian nations.</w:t>
      </w:r>
    </w:p>
    <w:p w14:paraId="1C6D179D" w14:textId="77777777" w:rsidR="00F02E2D" w:rsidRPr="00D24B3E" w:rsidRDefault="00000000">
      <w:pPr>
        <w:ind w:left="720"/>
      </w:pPr>
      <w:r w:rsidRPr="00D24B3E">
        <w:lastRenderedPageBreak/>
        <w:t>Relate to foundational evidence that digital trade facilitation improves trade volumes in digitized trade ecosystems to benefit from increased fee-earning opportunities.</w:t>
      </w:r>
    </w:p>
    <w:p w14:paraId="202F9690" w14:textId="77777777" w:rsidR="00F02E2D" w:rsidRPr="00D24B3E" w:rsidRDefault="00F02E2D"/>
    <w:p w14:paraId="5CAFD273" w14:textId="77777777" w:rsidR="00F02E2D" w:rsidRPr="00D24B3E" w:rsidRDefault="00000000">
      <w:proofErr w:type="spellStart"/>
      <w:r w:rsidRPr="00D24B3E">
        <w:t>Jameaba</w:t>
      </w:r>
      <w:proofErr w:type="spellEnd"/>
      <w:r w:rsidRPr="00D24B3E">
        <w:t>, M. (2024). Digitalization, Emerging Technologies, and Financial Stability: Challenges and Opportunities for the Indonesian Banking Sector and Beyond. Social Science Research Network. https://papers.ssrn.com/sol3/papers.cfm?abstract_id=4808469</w:t>
      </w:r>
    </w:p>
    <w:p w14:paraId="60297232" w14:textId="77777777" w:rsidR="00F02E2D" w:rsidRPr="00D24B3E" w:rsidRDefault="00F02E2D">
      <w:pPr>
        <w:ind w:left="720"/>
      </w:pPr>
    </w:p>
    <w:p w14:paraId="310EE200" w14:textId="77777777" w:rsidR="00F02E2D" w:rsidRPr="00D24B3E" w:rsidRDefault="00000000">
      <w:pPr>
        <w:ind w:left="720"/>
      </w:pPr>
      <w:r w:rsidRPr="00D24B3E">
        <w:t>Explores the intersection of digitalization and financial stability in the banking sector, focusing on risks and innovations driven by emerging technologies.</w:t>
      </w:r>
    </w:p>
    <w:p w14:paraId="2300DAD1" w14:textId="34BFE853" w:rsidR="00F02E2D" w:rsidRPr="00D24B3E" w:rsidRDefault="00000000">
      <w:pPr>
        <w:ind w:left="720"/>
      </w:pPr>
      <w:r w:rsidRPr="00D24B3E">
        <w:rPr>
          <w:rFonts w:eastAsia="Times-Roman"/>
        </w:rPr>
        <w:t xml:space="preserve">It is related because it explores digitalization impacts </w:t>
      </w:r>
      <w:r w:rsidR="009871AD" w:rsidRPr="00D24B3E">
        <w:rPr>
          <w:rFonts w:eastAsia="Times-Roman"/>
        </w:rPr>
        <w:t xml:space="preserve">on </w:t>
      </w:r>
      <w:r w:rsidRPr="00D24B3E">
        <w:rPr>
          <w:rFonts w:eastAsia="Times-Roman"/>
        </w:rPr>
        <w:t>financial systems in emerging markets, aligning with this study’s focus on regulatory and institutional influences in digital trade finance.</w:t>
      </w:r>
    </w:p>
    <w:p w14:paraId="72D73BF8" w14:textId="77777777" w:rsidR="00F02E2D" w:rsidRPr="00D24B3E" w:rsidRDefault="00F02E2D">
      <w:pPr>
        <w:ind w:left="720"/>
      </w:pPr>
    </w:p>
    <w:p w14:paraId="46249433" w14:textId="77777777" w:rsidR="00F02E2D" w:rsidRPr="00D24B3E" w:rsidRDefault="00000000">
      <w:r w:rsidRPr="00D24B3E">
        <w:t xml:space="preserve">Johan Lazuardi, </w:t>
      </w:r>
      <w:proofErr w:type="spellStart"/>
      <w:r w:rsidRPr="00D24B3E">
        <w:t>Muktiyanto</w:t>
      </w:r>
      <w:proofErr w:type="spellEnd"/>
      <w:r w:rsidRPr="00D24B3E">
        <w:t xml:space="preserve">, A., and </w:t>
      </w:r>
      <w:proofErr w:type="spellStart"/>
      <w:r w:rsidRPr="00D24B3E">
        <w:t>Hety</w:t>
      </w:r>
      <w:proofErr w:type="spellEnd"/>
      <w:r w:rsidRPr="00D24B3E">
        <w:t xml:space="preserve"> Budiyanti. (2023). Analysis of the Influence of Digital Banks on Bank Profitability. </w:t>
      </w:r>
      <w:proofErr w:type="spellStart"/>
      <w:r w:rsidRPr="00D24B3E">
        <w:t>Jurnal</w:t>
      </w:r>
      <w:proofErr w:type="spellEnd"/>
      <w:r w:rsidRPr="00D24B3E">
        <w:t xml:space="preserve"> </w:t>
      </w:r>
      <w:proofErr w:type="spellStart"/>
      <w:r w:rsidRPr="00D24B3E">
        <w:t>Ilmu</w:t>
      </w:r>
      <w:proofErr w:type="spellEnd"/>
      <w:r w:rsidRPr="00D24B3E">
        <w:t xml:space="preserve"> </w:t>
      </w:r>
      <w:proofErr w:type="spellStart"/>
      <w:r w:rsidRPr="00D24B3E">
        <w:t>Keuangan</w:t>
      </w:r>
      <w:proofErr w:type="spellEnd"/>
      <w:r w:rsidRPr="00D24B3E">
        <w:t xml:space="preserve"> Dan </w:t>
      </w:r>
      <w:proofErr w:type="spellStart"/>
      <w:r w:rsidRPr="00D24B3E">
        <w:t>Perbankan</w:t>
      </w:r>
      <w:proofErr w:type="spellEnd"/>
      <w:r w:rsidRPr="00D24B3E">
        <w:t xml:space="preserve"> (JIKA), 12(2), 171–180. https://ojs.unikom.ac.id/index.php/jika/article/view/9517</w:t>
      </w:r>
    </w:p>
    <w:p w14:paraId="04565327" w14:textId="77777777" w:rsidR="00F02E2D" w:rsidRPr="00D24B3E" w:rsidRDefault="00F02E2D">
      <w:pPr>
        <w:ind w:left="720"/>
      </w:pPr>
    </w:p>
    <w:p w14:paraId="7EC0C4D9" w14:textId="0F76B248" w:rsidR="00F02E2D" w:rsidRPr="00D24B3E" w:rsidRDefault="00000000">
      <w:pPr>
        <w:ind w:left="720"/>
      </w:pPr>
      <w:r w:rsidRPr="00D24B3E">
        <w:t xml:space="preserve">Explores how </w:t>
      </w:r>
      <w:r w:rsidR="009871AD" w:rsidRPr="00D24B3E">
        <w:t xml:space="preserve">a </w:t>
      </w:r>
      <w:r w:rsidRPr="00D24B3E">
        <w:t xml:space="preserve">digital-focused bank outperforms traditional banks </w:t>
      </w:r>
      <w:r w:rsidR="00333704">
        <w:t>in terms of</w:t>
      </w:r>
      <w:r w:rsidRPr="00D24B3E">
        <w:t xml:space="preserve"> efficiency and profitability.</w:t>
      </w:r>
    </w:p>
    <w:p w14:paraId="444CB630" w14:textId="6BCB21DC" w:rsidR="00F02E2D" w:rsidRPr="00D24B3E" w:rsidRDefault="00000000">
      <w:pPr>
        <w:ind w:left="720"/>
      </w:pPr>
      <w:r w:rsidRPr="00D24B3E">
        <w:t xml:space="preserve">Relevant to </w:t>
      </w:r>
      <w:r w:rsidR="009871AD" w:rsidRPr="00D24B3E">
        <w:t>the digital shift, the revenue base is to gain more income from</w:t>
      </w:r>
      <w:r w:rsidRPr="00D24B3E">
        <w:t xml:space="preserve"> trade service fees.</w:t>
      </w:r>
    </w:p>
    <w:p w14:paraId="4DF624EE" w14:textId="77777777" w:rsidR="00F02E2D" w:rsidRPr="00D24B3E" w:rsidRDefault="00F02E2D">
      <w:pPr>
        <w:ind w:left="720"/>
      </w:pPr>
    </w:p>
    <w:p w14:paraId="76F3A1F6" w14:textId="6C2CB641" w:rsidR="00F02E2D" w:rsidRPr="00D24B3E" w:rsidRDefault="00000000">
      <w:r w:rsidRPr="00D24B3E">
        <w:t xml:space="preserve">Khalil, M. A., Padmanabhan, R., Hadid, M., Adel </w:t>
      </w:r>
      <w:proofErr w:type="spellStart"/>
      <w:r w:rsidRPr="00D24B3E">
        <w:t>Elomri</w:t>
      </w:r>
      <w:proofErr w:type="spellEnd"/>
      <w:r w:rsidRPr="00D24B3E">
        <w:t xml:space="preserve">, </w:t>
      </w:r>
      <w:r w:rsidR="009871AD" w:rsidRPr="00D24B3E">
        <w:t>&amp;</w:t>
      </w:r>
      <w:r w:rsidRPr="00D24B3E">
        <w:t xml:space="preserve"> </w:t>
      </w:r>
      <w:proofErr w:type="spellStart"/>
      <w:r w:rsidRPr="00D24B3E">
        <w:t>Laoucine</w:t>
      </w:r>
      <w:proofErr w:type="spellEnd"/>
      <w:r w:rsidRPr="00D24B3E">
        <w:t xml:space="preserve"> </w:t>
      </w:r>
      <w:proofErr w:type="spellStart"/>
      <w:r w:rsidRPr="00D24B3E">
        <w:t>Kerbache</w:t>
      </w:r>
      <w:proofErr w:type="spellEnd"/>
      <w:r w:rsidRPr="00D24B3E">
        <w:t>. (2025). AI-driven transformation in trade finance: A roadmap for automating letter of credit document examination. Digital Business, 100130–100130. https://www.sciencedirect.com/science/article/pii/S2666954425000250</w:t>
      </w:r>
    </w:p>
    <w:p w14:paraId="7B9962F5" w14:textId="77777777" w:rsidR="00F02E2D" w:rsidRPr="00D24B3E" w:rsidRDefault="00F02E2D">
      <w:pPr>
        <w:ind w:left="720"/>
      </w:pPr>
    </w:p>
    <w:p w14:paraId="4676564D" w14:textId="77777777" w:rsidR="00F02E2D" w:rsidRPr="00D24B3E" w:rsidRDefault="00000000">
      <w:pPr>
        <w:ind w:left="720"/>
      </w:pPr>
      <w:r w:rsidRPr="00D24B3E">
        <w:t>Explores the automation of LC processes using AI and its impact on trade finance efficiency.</w:t>
      </w:r>
    </w:p>
    <w:p w14:paraId="44D9A735" w14:textId="054CC734" w:rsidR="00F02E2D" w:rsidRPr="00D24B3E" w:rsidRDefault="00000000">
      <w:pPr>
        <w:ind w:left="720"/>
      </w:pPr>
      <w:r w:rsidRPr="00D24B3E">
        <w:t xml:space="preserve">Directly relevant to the bank, </w:t>
      </w:r>
      <w:r w:rsidR="009871AD" w:rsidRPr="00D24B3E">
        <w:t xml:space="preserve">a new trade product is needed </w:t>
      </w:r>
      <w:r w:rsidRPr="00D24B3E">
        <w:t xml:space="preserve">to optimize operational </w:t>
      </w:r>
      <w:r w:rsidR="00333704">
        <w:t>costs</w:t>
      </w:r>
      <w:r w:rsidRPr="00D24B3E">
        <w:t xml:space="preserve"> and unlock revenue by streamlining core trade processes.</w:t>
      </w:r>
    </w:p>
    <w:p w14:paraId="6CF070EC" w14:textId="77777777" w:rsidR="00F02E2D" w:rsidRPr="00D24B3E" w:rsidRDefault="00F02E2D"/>
    <w:p w14:paraId="5F28F150" w14:textId="501D2E2B" w:rsidR="00F02E2D" w:rsidRPr="00D24B3E" w:rsidRDefault="00000000">
      <w:r w:rsidRPr="00D24B3E">
        <w:t xml:space="preserve">Kong, N., Wang, B., Zhang, Y., </w:t>
      </w:r>
      <w:r w:rsidR="009871AD" w:rsidRPr="00D24B3E">
        <w:t>&amp;</w:t>
      </w:r>
      <w:r w:rsidRPr="00D24B3E">
        <w:t xml:space="preserve"> Zhou, N. (2024). How does digital technology affect </w:t>
      </w:r>
      <w:r w:rsidR="00333704">
        <w:t>service</w:t>
      </w:r>
      <w:r w:rsidR="009871AD" w:rsidRPr="00D24B3E">
        <w:t xml:space="preserve"> exports</w:t>
      </w:r>
      <w:r w:rsidRPr="00D24B3E">
        <w:t>? Journal of Asian Economics, 95, 101814. https://www.researchgate.net/publication/384378005_How_does_Digital_Technology_Affect_Export_in_Services</w:t>
      </w:r>
    </w:p>
    <w:p w14:paraId="40BE7356" w14:textId="77777777" w:rsidR="00F02E2D" w:rsidRPr="00D24B3E" w:rsidRDefault="00000000">
      <w:pPr>
        <w:ind w:left="720"/>
      </w:pPr>
      <w:r w:rsidRPr="00D24B3E">
        <w:t>The study uses econometric methods to link digital tech adoption with service export growth in Asia.</w:t>
      </w:r>
    </w:p>
    <w:p w14:paraId="655B8BF2" w14:textId="6B244076" w:rsidR="00F02E2D" w:rsidRPr="00D24B3E" w:rsidRDefault="00000000">
      <w:pPr>
        <w:ind w:left="720"/>
      </w:pPr>
      <w:r w:rsidRPr="00D24B3E">
        <w:t xml:space="preserve">Offers evidence supporting </w:t>
      </w:r>
      <w:r w:rsidR="009871AD" w:rsidRPr="00D24B3E">
        <w:t xml:space="preserve">an </w:t>
      </w:r>
      <w:r w:rsidRPr="00D24B3E">
        <w:t>investigation into how digitalization strengthens client engagement and monetization potential, especially in international trade contexts.</w:t>
      </w:r>
    </w:p>
    <w:p w14:paraId="0414BDBA" w14:textId="77777777" w:rsidR="00F02E2D" w:rsidRPr="00D24B3E" w:rsidRDefault="00F02E2D"/>
    <w:p w14:paraId="2ABF30E2" w14:textId="77777777" w:rsidR="00F02E2D" w:rsidRPr="00D24B3E" w:rsidRDefault="00000000">
      <w:proofErr w:type="spellStart"/>
      <w:r w:rsidRPr="00D24B3E">
        <w:t>Kreitstshtein</w:t>
      </w:r>
      <w:proofErr w:type="spellEnd"/>
      <w:r w:rsidRPr="00D24B3E">
        <w:t>, A. (2017). Digital transformation and its effects on the competency framework: a case study of digital banking. https://www.theseus.fi/handle/10024/122409</w:t>
      </w:r>
    </w:p>
    <w:p w14:paraId="03C31D4E" w14:textId="77777777" w:rsidR="00F02E2D" w:rsidRPr="00D24B3E" w:rsidRDefault="00F02E2D">
      <w:pPr>
        <w:ind w:left="720"/>
      </w:pPr>
    </w:p>
    <w:p w14:paraId="6F47EC96" w14:textId="77777777" w:rsidR="00F02E2D" w:rsidRPr="00D24B3E" w:rsidRDefault="00000000">
      <w:pPr>
        <w:ind w:left="720"/>
      </w:pPr>
      <w:r w:rsidRPr="00D24B3E">
        <w:t>Provides digital banking that transforms HR competencies and institutional capabilities.</w:t>
      </w:r>
    </w:p>
    <w:p w14:paraId="354C19A0" w14:textId="77777777" w:rsidR="00F02E2D" w:rsidRPr="00D24B3E" w:rsidRDefault="00000000">
      <w:pPr>
        <w:ind w:left="720"/>
      </w:pPr>
      <w:r w:rsidRPr="00D24B3E">
        <w:rPr>
          <w:rFonts w:eastAsia="Times-Roman"/>
        </w:rPr>
        <w:lastRenderedPageBreak/>
        <w:t>Provides case-based insights into how digital transformation reshapes banking competencies, supporting this study’s focus on institutional capabilities in platform monetization.</w:t>
      </w:r>
    </w:p>
    <w:p w14:paraId="437FCE97" w14:textId="77777777" w:rsidR="00F02E2D" w:rsidRPr="00D24B3E" w:rsidRDefault="00F02E2D">
      <w:pPr>
        <w:ind w:left="720"/>
      </w:pPr>
    </w:p>
    <w:p w14:paraId="19254AED" w14:textId="77777777" w:rsidR="00F02E2D" w:rsidRPr="00D24B3E" w:rsidRDefault="00000000">
      <w:r w:rsidRPr="00D24B3E">
        <w:t xml:space="preserve">Kriebel, J., and </w:t>
      </w:r>
      <w:proofErr w:type="spellStart"/>
      <w:r w:rsidRPr="00D24B3E">
        <w:t>Debener</w:t>
      </w:r>
      <w:proofErr w:type="spellEnd"/>
      <w:r w:rsidRPr="00D24B3E">
        <w:t xml:space="preserve">, J. (2019). Measuring the Effect of Digitalization Efforts on Bank Performance. SSRN Electronic Journal. </w:t>
      </w:r>
      <w:hyperlink r:id="rId26" w:history="1">
        <w:r w:rsidR="00F02E2D" w:rsidRPr="00D24B3E">
          <w:rPr>
            <w:color w:val="000000"/>
            <w:u w:val="single" w:color="000000"/>
          </w:rPr>
          <w:t>https://www.researchgate.net/publication/336457789_Measuring_the_Effect_of_Digitalization_Efforts_on_Bank_Performance</w:t>
        </w:r>
      </w:hyperlink>
    </w:p>
    <w:p w14:paraId="46B8384B" w14:textId="77777777" w:rsidR="00F02E2D" w:rsidRPr="00D24B3E" w:rsidRDefault="00F02E2D"/>
    <w:p w14:paraId="2454790D" w14:textId="4811A854" w:rsidR="00F02E2D" w:rsidRPr="00D24B3E" w:rsidRDefault="00000000">
      <w:pPr>
        <w:ind w:left="720"/>
      </w:pPr>
      <w:r w:rsidRPr="00D24B3E">
        <w:t xml:space="preserve">The paper provides a framework to measure </w:t>
      </w:r>
      <w:r w:rsidR="009871AD" w:rsidRPr="00D24B3E">
        <w:t xml:space="preserve">the impact of digitalization </w:t>
      </w:r>
      <w:r w:rsidRPr="00D24B3E">
        <w:t>using various bank performance metrics.</w:t>
      </w:r>
    </w:p>
    <w:p w14:paraId="57B4BF76" w14:textId="77777777" w:rsidR="00F02E2D" w:rsidRPr="00D24B3E" w:rsidRDefault="00000000">
      <w:pPr>
        <w:ind w:left="720"/>
      </w:pPr>
      <w:r w:rsidRPr="00D24B3E">
        <w:t>Provides theoretical underpinnings for developing KPIs that link trade service innovation to fee income growth.</w:t>
      </w:r>
    </w:p>
    <w:p w14:paraId="4C22069B" w14:textId="77777777" w:rsidR="00F02E2D" w:rsidRPr="00D24B3E" w:rsidRDefault="00F02E2D"/>
    <w:p w14:paraId="506441FF" w14:textId="1702CEAF" w:rsidR="00F02E2D" w:rsidRPr="00D24B3E" w:rsidRDefault="00000000">
      <w:r w:rsidRPr="00D24B3E">
        <w:t xml:space="preserve">Li, D., Liu, Y., Zhang, L., </w:t>
      </w:r>
      <w:r w:rsidR="009871AD" w:rsidRPr="00D24B3E">
        <w:t>&amp;</w:t>
      </w:r>
      <w:r w:rsidRPr="00D24B3E">
        <w:t xml:space="preserve"> Zheng, Z. (2025). Digital Economy Development and Trade Credit Supply: Evidence from Chinese A-Share Listed Firms. Research in International Business and Finance, 77, 102900. https://ideas.repec.org/a/eee/riibaf/v77y2025ipas0275531925001564.html</w:t>
      </w:r>
    </w:p>
    <w:p w14:paraId="3144BDBD" w14:textId="77777777" w:rsidR="00F02E2D" w:rsidRPr="00D24B3E" w:rsidRDefault="00F02E2D">
      <w:pPr>
        <w:ind w:left="720"/>
      </w:pPr>
    </w:p>
    <w:p w14:paraId="352FB6EE" w14:textId="77777777" w:rsidR="00F02E2D" w:rsidRPr="00D24B3E" w:rsidRDefault="00000000">
      <w:pPr>
        <w:ind w:left="720"/>
      </w:pPr>
      <w:r w:rsidRPr="00D24B3E">
        <w:rPr>
          <w:rFonts w:eastAsia="Times-Roman"/>
        </w:rPr>
        <w:t>Examines digital economy development influences trade credit supply among Chinese firms, highlighting the role of digitalization in enhancing financial access and operational efficiency.</w:t>
      </w:r>
    </w:p>
    <w:p w14:paraId="028995F1" w14:textId="775E922D" w:rsidR="00F02E2D" w:rsidRPr="00D24B3E" w:rsidRDefault="00000000">
      <w:pPr>
        <w:ind w:left="720"/>
      </w:pPr>
      <w:r w:rsidRPr="00D24B3E">
        <w:rPr>
          <w:rFonts w:eastAsia="Times-Roman"/>
        </w:rPr>
        <w:t xml:space="preserve">It supports </w:t>
      </w:r>
      <w:r w:rsidR="009871AD" w:rsidRPr="00D24B3E">
        <w:rPr>
          <w:rFonts w:eastAsia="Times-Roman"/>
        </w:rPr>
        <w:t xml:space="preserve">the </w:t>
      </w:r>
      <w:r w:rsidRPr="00D24B3E">
        <w:rPr>
          <w:rFonts w:eastAsia="Times-Roman"/>
        </w:rPr>
        <w:t xml:space="preserve">thesis by illustrating </w:t>
      </w:r>
      <w:r w:rsidR="009871AD" w:rsidRPr="00D24B3E">
        <w:rPr>
          <w:rFonts w:eastAsia="Times-Roman"/>
        </w:rPr>
        <w:t xml:space="preserve">the impact of digital infrastructure on </w:t>
      </w:r>
      <w:r w:rsidRPr="00D24B3E">
        <w:rPr>
          <w:rFonts w:eastAsia="Times-Roman"/>
        </w:rPr>
        <w:t>trade-related financial flows, especially in the Chinese market context.</w:t>
      </w:r>
    </w:p>
    <w:p w14:paraId="7349EAFB" w14:textId="77777777" w:rsidR="00F02E2D" w:rsidRPr="00D24B3E" w:rsidRDefault="00F02E2D">
      <w:pPr>
        <w:ind w:left="720"/>
      </w:pPr>
    </w:p>
    <w:p w14:paraId="75C8945F" w14:textId="173E53EB" w:rsidR="00F02E2D" w:rsidRPr="00D24B3E" w:rsidRDefault="00000000">
      <w:r w:rsidRPr="00D24B3E">
        <w:t>Li, H., Lin, X., and Zhang, Z. (2025). How does digital finance affect imports, exports, and trade balance?</w:t>
      </w:r>
      <w:r w:rsidR="008D286A">
        <w:t xml:space="preserve"> </w:t>
      </w:r>
      <w:r w:rsidRPr="00D24B3E">
        <w:t>Evidence from China. International Review of Economics and Finance, 99, 104054. https://doi.org/10.1016/j.iref.2025.104054</w:t>
      </w:r>
    </w:p>
    <w:p w14:paraId="2AF0F494" w14:textId="77777777" w:rsidR="00F02E2D" w:rsidRPr="00D24B3E" w:rsidRDefault="00F02E2D">
      <w:pPr>
        <w:ind w:left="720"/>
      </w:pPr>
    </w:p>
    <w:p w14:paraId="78E3932D" w14:textId="77777777" w:rsidR="00F02E2D" w:rsidRPr="00D24B3E" w:rsidRDefault="00000000">
      <w:pPr>
        <w:ind w:left="720"/>
      </w:pPr>
      <w:r w:rsidRPr="00D24B3E">
        <w:t>Analyzes how digital finance alters trade flows in China’s macroeconomic context</w:t>
      </w:r>
    </w:p>
    <w:p w14:paraId="4D921524" w14:textId="77777777" w:rsidR="00F02E2D" w:rsidRPr="00D24B3E" w:rsidRDefault="00000000">
      <w:pPr>
        <w:ind w:left="720"/>
      </w:pPr>
      <w:r w:rsidRPr="00D24B3E">
        <w:t>Contributes macro-level evidence that digital finance drives cross-border trade activity.</w:t>
      </w:r>
    </w:p>
    <w:p w14:paraId="7841E037" w14:textId="77777777" w:rsidR="00F02E2D" w:rsidRPr="00D24B3E" w:rsidRDefault="00F02E2D"/>
    <w:p w14:paraId="12438B87" w14:textId="1B83AAEE" w:rsidR="00F02E2D" w:rsidRPr="00D24B3E" w:rsidRDefault="00000000">
      <w:r w:rsidRPr="00D24B3E">
        <w:t xml:space="preserve">Lin, </w:t>
      </w:r>
      <w:r w:rsidR="00E7283B">
        <w:t>S.-H</w:t>
      </w:r>
      <w:r w:rsidRPr="00D24B3E">
        <w:t>. (2022). Discussion on Banking Efficiency and Determinants in the Digital Finance Environment - Evidence in Taiwan. Ebsco.com. https://research.ebsco.com/c/vdch4v/viewer/pdf/gbahkxygcj</w:t>
      </w:r>
    </w:p>
    <w:p w14:paraId="444C82F3" w14:textId="77777777" w:rsidR="00F02E2D" w:rsidRPr="00D24B3E" w:rsidRDefault="00F02E2D">
      <w:pPr>
        <w:ind w:left="720"/>
      </w:pPr>
    </w:p>
    <w:p w14:paraId="46487400" w14:textId="363552DF" w:rsidR="00F02E2D" w:rsidRPr="00D24B3E" w:rsidRDefault="00000000">
      <w:pPr>
        <w:ind w:left="720"/>
      </w:pPr>
      <w:r w:rsidRPr="00D24B3E">
        <w:t xml:space="preserve">Investigates how digital finance affects banking, focusing on structural determinants </w:t>
      </w:r>
      <w:r w:rsidR="009871AD" w:rsidRPr="00D24B3E">
        <w:t>influencing</w:t>
      </w:r>
      <w:r w:rsidRPr="00D24B3E">
        <w:t xml:space="preserve"> performance in a digitized environment.</w:t>
      </w:r>
    </w:p>
    <w:p w14:paraId="64970807" w14:textId="77777777" w:rsidR="00F02E2D" w:rsidRPr="00D24B3E" w:rsidRDefault="00000000">
      <w:pPr>
        <w:ind w:left="720"/>
      </w:pPr>
      <w:r w:rsidRPr="00D24B3E">
        <w:rPr>
          <w:rFonts w:eastAsia="Times-Roman"/>
        </w:rPr>
        <w:t>Provides empirical evidence from Taiwan on how digital finance affects banking efficiency, offering regional insights relevant to evaluating digital trade platform performance in North Asia</w:t>
      </w:r>
    </w:p>
    <w:p w14:paraId="111BE131" w14:textId="77777777" w:rsidR="00F02E2D" w:rsidRPr="00D24B3E" w:rsidRDefault="00F02E2D"/>
    <w:p w14:paraId="759AD6CF" w14:textId="53C85197" w:rsidR="00F02E2D" w:rsidRPr="00D24B3E" w:rsidRDefault="00000000">
      <w:r w:rsidRPr="00D24B3E">
        <w:t xml:space="preserve">Liu, D., Chen, S., </w:t>
      </w:r>
      <w:r w:rsidR="009871AD" w:rsidRPr="00D24B3E">
        <w:t>&amp;</w:t>
      </w:r>
      <w:r w:rsidRPr="00D24B3E">
        <w:t xml:space="preserve"> Chou, T. (2011). Resource fit in digital transformation: Lessons from the CBC Bank global e‐banking project. Management Decision, 49(10), 1728–1742. https://www.researchgate.net/publication/254187496_Resource_fit_in_digital_transformation_Lessons_learned_from_the_CBC_Bank_global_e-banking_project</w:t>
      </w:r>
    </w:p>
    <w:p w14:paraId="502FC460" w14:textId="77777777" w:rsidR="00F02E2D" w:rsidRPr="00D24B3E" w:rsidRDefault="00F02E2D">
      <w:pPr>
        <w:ind w:left="720"/>
      </w:pPr>
    </w:p>
    <w:p w14:paraId="538D7668" w14:textId="77777777" w:rsidR="00F02E2D" w:rsidRPr="00D24B3E" w:rsidRDefault="00000000">
      <w:pPr>
        <w:ind w:left="720"/>
      </w:pPr>
      <w:r w:rsidRPr="00D24B3E">
        <w:lastRenderedPageBreak/>
        <w:t>Analyzes digital banking transformation and aligning internal resources during digitization.</w:t>
      </w:r>
    </w:p>
    <w:p w14:paraId="75046452" w14:textId="7EB25FDB" w:rsidR="00F02E2D" w:rsidRPr="00D24B3E" w:rsidRDefault="00000000">
      <w:pPr>
        <w:ind w:left="720"/>
      </w:pPr>
      <w:r w:rsidRPr="00D24B3E">
        <w:t xml:space="preserve">Relevant to capability alignment </w:t>
      </w:r>
      <w:r w:rsidR="009871AD" w:rsidRPr="00D24B3E">
        <w:t>remains</w:t>
      </w:r>
      <w:r w:rsidRPr="00D24B3E">
        <w:t xml:space="preserve"> foundational, emphasizing strategic planning in digital initiatives for fee-based growth in trade services.</w:t>
      </w:r>
    </w:p>
    <w:p w14:paraId="4489973F" w14:textId="77777777" w:rsidR="00F02E2D" w:rsidRPr="00D24B3E" w:rsidRDefault="00F02E2D"/>
    <w:p w14:paraId="6D7C36A8" w14:textId="77777777" w:rsidR="00F02E2D" w:rsidRPr="00D24B3E" w:rsidRDefault="00000000">
      <w:r w:rsidRPr="00D24B3E">
        <w:t xml:space="preserve">Marini Astari </w:t>
      </w:r>
      <w:proofErr w:type="spellStart"/>
      <w:r w:rsidRPr="00D24B3E">
        <w:t>Indrianti</w:t>
      </w:r>
      <w:proofErr w:type="spellEnd"/>
      <w:r w:rsidRPr="00D24B3E">
        <w:t xml:space="preserve">, </w:t>
      </w:r>
      <w:proofErr w:type="spellStart"/>
      <w:r w:rsidRPr="00D24B3E">
        <w:t>Asep</w:t>
      </w:r>
      <w:proofErr w:type="spellEnd"/>
      <w:r w:rsidRPr="00D24B3E">
        <w:t xml:space="preserve"> Nurdin, and </w:t>
      </w:r>
      <w:proofErr w:type="spellStart"/>
      <w:r w:rsidRPr="00D24B3E">
        <w:t>Mirwan</w:t>
      </w:r>
      <w:proofErr w:type="spellEnd"/>
      <w:r w:rsidRPr="00D24B3E">
        <w:t xml:space="preserve"> Surya </w:t>
      </w:r>
      <w:proofErr w:type="spellStart"/>
      <w:r w:rsidRPr="00D24B3E">
        <w:t>Perdhana</w:t>
      </w:r>
      <w:proofErr w:type="spellEnd"/>
      <w:r w:rsidRPr="00D24B3E">
        <w:t>. (2025). Digital Trade Finance Transformation and Sustainable Marketing Strategies: A Literature Review. Economic and Business Horizon, 4(2), 137–146. https://journal.lifescifi.com/index.php/ebh/article/view/621</w:t>
      </w:r>
    </w:p>
    <w:p w14:paraId="5149C504" w14:textId="77777777" w:rsidR="00F02E2D" w:rsidRPr="00D24B3E" w:rsidRDefault="00F02E2D">
      <w:pPr>
        <w:ind w:left="720"/>
      </w:pPr>
    </w:p>
    <w:p w14:paraId="1617F935" w14:textId="77777777" w:rsidR="00F02E2D" w:rsidRPr="00D24B3E" w:rsidRDefault="00000000">
      <w:pPr>
        <w:ind w:left="720"/>
      </w:pPr>
      <w:r w:rsidRPr="00D24B3E">
        <w:t>Highlights key transformations in digital trade finance and its intersection with sustainable marketing strategies.</w:t>
      </w:r>
    </w:p>
    <w:p w14:paraId="30C0160F" w14:textId="26D4AB1A" w:rsidR="00F02E2D" w:rsidRPr="00D24B3E" w:rsidRDefault="00000000">
      <w:pPr>
        <w:ind w:left="720"/>
      </w:pPr>
      <w:r w:rsidRPr="00D24B3E">
        <w:t xml:space="preserve">Directly aligned with the research purpose, </w:t>
      </w:r>
      <w:r w:rsidR="009871AD" w:rsidRPr="00D24B3E">
        <w:t xml:space="preserve">a </w:t>
      </w:r>
      <w:r w:rsidRPr="00D24B3E">
        <w:t>synthesized foundation for digital trade solutions may drive revenue growth in corporate banking.</w:t>
      </w:r>
    </w:p>
    <w:p w14:paraId="541B12F1" w14:textId="77777777" w:rsidR="00F02E2D" w:rsidRPr="00D24B3E" w:rsidRDefault="00F02E2D"/>
    <w:p w14:paraId="2DB28B0F" w14:textId="40A5770B" w:rsidR="00F02E2D" w:rsidRPr="00D24B3E" w:rsidRDefault="00000000">
      <w:r w:rsidRPr="00D24B3E">
        <w:t xml:space="preserve">Mishra, N., </w:t>
      </w:r>
      <w:r w:rsidR="009871AD" w:rsidRPr="00D24B3E">
        <w:t>&amp;</w:t>
      </w:r>
      <w:r w:rsidRPr="00D24B3E">
        <w:t xml:space="preserve"> Maria, A. (2023). Digital services and digital trade in the Asia Pacific: an alternative model for digital integration? Asia Pacific Law Review, 31(2), 489–513. https://www.tandfonline.com/doi/full/10.1080/10192557.2023.2216058</w:t>
      </w:r>
    </w:p>
    <w:p w14:paraId="358D7A51" w14:textId="77777777" w:rsidR="00F02E2D" w:rsidRPr="00D24B3E" w:rsidRDefault="00F02E2D">
      <w:pPr>
        <w:ind w:left="720"/>
      </w:pPr>
    </w:p>
    <w:p w14:paraId="0F9A544A" w14:textId="0C98EDED" w:rsidR="00F02E2D" w:rsidRPr="00D24B3E" w:rsidRDefault="00000000">
      <w:pPr>
        <w:ind w:left="720"/>
      </w:pPr>
      <w:r w:rsidRPr="00D24B3E">
        <w:t xml:space="preserve">Proposes </w:t>
      </w:r>
      <w:r w:rsidR="009871AD" w:rsidRPr="00D24B3E">
        <w:t xml:space="preserve">a </w:t>
      </w:r>
      <w:r w:rsidRPr="00D24B3E">
        <w:t>legal and operational framework for digital trade integration in the Asia-Pacific region.</w:t>
      </w:r>
    </w:p>
    <w:p w14:paraId="2EA04CB6" w14:textId="6532FEB5" w:rsidR="00F02E2D" w:rsidRPr="00D24B3E" w:rsidRDefault="00000000">
      <w:pPr>
        <w:ind w:left="720"/>
      </w:pPr>
      <w:r w:rsidRPr="00D24B3E">
        <w:t xml:space="preserve">Relevant from a policy and infrastructure viewpoint, it supports </w:t>
      </w:r>
      <w:r w:rsidR="009871AD" w:rsidRPr="00D24B3E">
        <w:t>examining</w:t>
      </w:r>
      <w:r w:rsidRPr="00D24B3E">
        <w:t xml:space="preserve"> how legal structures influence digital trade adoption among </w:t>
      </w:r>
      <w:r w:rsidR="009871AD" w:rsidRPr="00D24B3E">
        <w:t>Asian banks</w:t>
      </w:r>
      <w:r w:rsidRPr="00D24B3E">
        <w:t>.</w:t>
      </w:r>
    </w:p>
    <w:p w14:paraId="56ABB3F0" w14:textId="77777777" w:rsidR="00F02E2D" w:rsidRPr="00D24B3E" w:rsidRDefault="00F02E2D"/>
    <w:p w14:paraId="1422E584" w14:textId="74195E17" w:rsidR="00F02E2D" w:rsidRPr="00D24B3E" w:rsidRDefault="00000000">
      <w:r w:rsidRPr="00D24B3E">
        <w:t xml:space="preserve">Mohammed Sawkat Hossain </w:t>
      </w:r>
      <w:r w:rsidR="009871AD" w:rsidRPr="00D24B3E">
        <w:t>&amp;</w:t>
      </w:r>
      <w:r w:rsidRPr="00D24B3E">
        <w:t xml:space="preserve"> Sultana, M. (2024). Digitalization of corporate finance and firm performance: global evidence and analysis. Journal of Financial Economic Policy. https://www.emerald.com/insight/content/doi/10.1108/jfep-04-2023-0109/full/html?skipTracking=true</w:t>
      </w:r>
    </w:p>
    <w:p w14:paraId="19CBBEF0" w14:textId="77777777" w:rsidR="00F02E2D" w:rsidRPr="00D24B3E" w:rsidRDefault="00F02E2D">
      <w:pPr>
        <w:ind w:left="720"/>
      </w:pPr>
    </w:p>
    <w:p w14:paraId="3868C9B1" w14:textId="05F16F6A" w:rsidR="00F02E2D" w:rsidRPr="00D24B3E" w:rsidRDefault="005319C2">
      <w:pPr>
        <w:ind w:left="720"/>
      </w:pPr>
      <w:r w:rsidRPr="00D24B3E">
        <w:t>Interrogate the effect of corporate digital finance tools on firm performance across various countries.</w:t>
      </w:r>
    </w:p>
    <w:p w14:paraId="270E503D" w14:textId="77777777" w:rsidR="00F02E2D" w:rsidRPr="00D24B3E" w:rsidRDefault="00000000">
      <w:pPr>
        <w:ind w:left="720"/>
      </w:pPr>
      <w:r w:rsidRPr="00D24B3E">
        <w:t>This evidence validates digital finance impacts performance, offering strong support for exploring this connection in trade fee income generation.</w:t>
      </w:r>
    </w:p>
    <w:p w14:paraId="6B28EBD4" w14:textId="77777777" w:rsidR="00F02E2D" w:rsidRPr="00D24B3E" w:rsidRDefault="00F02E2D"/>
    <w:p w14:paraId="1BEC22A6" w14:textId="77777777" w:rsidR="00F02E2D" w:rsidRPr="00D24B3E" w:rsidRDefault="00000000">
      <w:r w:rsidRPr="00D24B3E">
        <w:t xml:space="preserve">Mosa. (2025). Systematic Review of Blockchain Technology in Trade Finance and Banking Security. SSRN Electronic Journal. </w:t>
      </w:r>
      <w:hyperlink r:id="rId27" w:history="1">
        <w:r w:rsidR="00F02E2D" w:rsidRPr="00D24B3E">
          <w:rPr>
            <w:color w:val="000000"/>
            <w:u w:val="single" w:color="000000"/>
          </w:rPr>
          <w:t>https://papers.ssrn.com/sol3/papers.cfm?abstract_id=5161366</w:t>
        </w:r>
      </w:hyperlink>
    </w:p>
    <w:p w14:paraId="4CF9ECBB" w14:textId="77777777" w:rsidR="00F02E2D" w:rsidRPr="00D24B3E" w:rsidRDefault="00F02E2D"/>
    <w:p w14:paraId="2AFBA524" w14:textId="47162A19" w:rsidR="00F02E2D" w:rsidRPr="00D24B3E" w:rsidRDefault="00000000">
      <w:pPr>
        <w:ind w:left="720"/>
      </w:pPr>
      <w:r w:rsidRPr="00D24B3E">
        <w:t xml:space="preserve">Evaluates the role of blockchain in modernizing trade finance processes and enhancing </w:t>
      </w:r>
      <w:r w:rsidR="009871AD" w:rsidRPr="00D24B3E">
        <w:t>cybersecurity</w:t>
      </w:r>
      <w:r w:rsidRPr="00D24B3E">
        <w:t>.</w:t>
      </w:r>
    </w:p>
    <w:p w14:paraId="12FB1C70" w14:textId="77777777" w:rsidR="00F02E2D" w:rsidRPr="00D24B3E" w:rsidRDefault="00000000">
      <w:pPr>
        <w:ind w:left="720"/>
      </w:pPr>
      <w:r w:rsidRPr="00D24B3E">
        <w:t>Blockchain is a critical enabler in digital trade solutions, and this study provides robust insights for assessing innovative platforms influencing fee growth.</w:t>
      </w:r>
    </w:p>
    <w:p w14:paraId="467EBDAB" w14:textId="77777777" w:rsidR="00F02E2D" w:rsidRPr="00D24B3E" w:rsidRDefault="00F02E2D"/>
    <w:p w14:paraId="073F1FD1" w14:textId="2C2EA503" w:rsidR="00F02E2D" w:rsidRPr="00D24B3E" w:rsidRDefault="00000000">
      <w:r w:rsidRPr="00D24B3E">
        <w:t>Nguyen-</w:t>
      </w:r>
      <w:proofErr w:type="spellStart"/>
      <w:r w:rsidRPr="00D24B3E">
        <w:t>Thi</w:t>
      </w:r>
      <w:proofErr w:type="spellEnd"/>
      <w:r w:rsidRPr="00D24B3E">
        <w:t xml:space="preserve">-Huong, L., Nguyen-Viet, H., Nguyen-Phuong, A., </w:t>
      </w:r>
      <w:r w:rsidR="009871AD" w:rsidRPr="00D24B3E">
        <w:t>&amp;</w:t>
      </w:r>
      <w:r w:rsidRPr="00D24B3E">
        <w:t xml:space="preserve"> Nguyen, D. V. (2023). How does digital transformation impact bank performance? How Does Digital Transformation Impact Bank Performance?, 11(1). </w:t>
      </w:r>
      <w:r w:rsidRPr="00D24B3E">
        <w:lastRenderedPageBreak/>
        <w:t>https://www.researchgate.net/publication/371899748_How_does_digital_transformation_impact_bank_performance</w:t>
      </w:r>
    </w:p>
    <w:p w14:paraId="1BB44E79" w14:textId="77777777" w:rsidR="00F02E2D" w:rsidRPr="00D24B3E" w:rsidRDefault="00F02E2D">
      <w:pPr>
        <w:ind w:left="720"/>
      </w:pPr>
    </w:p>
    <w:p w14:paraId="6F333E9D" w14:textId="77777777" w:rsidR="00F02E2D" w:rsidRPr="00D24B3E" w:rsidRDefault="00000000">
      <w:pPr>
        <w:ind w:left="720"/>
      </w:pPr>
      <w:r w:rsidRPr="00D24B3E">
        <w:t>Focus on fee income as an outcome of using digital tools to support income diversification.</w:t>
      </w:r>
    </w:p>
    <w:p w14:paraId="1BF5F1E4" w14:textId="77777777" w:rsidR="00F02E2D" w:rsidRPr="00D24B3E" w:rsidRDefault="00000000">
      <w:pPr>
        <w:ind w:left="720"/>
      </w:pPr>
      <w:r w:rsidRPr="00D24B3E">
        <w:rPr>
          <w:rFonts w:eastAsia="Times-Roman"/>
        </w:rPr>
        <w:t>Relate by linking digital trade adoption to performance outcomes in corporate banking.</w:t>
      </w:r>
    </w:p>
    <w:p w14:paraId="454D7E09" w14:textId="77777777" w:rsidR="00F02E2D" w:rsidRPr="00D24B3E" w:rsidRDefault="00F02E2D"/>
    <w:p w14:paraId="48E900AD" w14:textId="4F7E5FD5" w:rsidR="00F02E2D" w:rsidRPr="00D24B3E" w:rsidRDefault="00000000">
      <w:r w:rsidRPr="00D24B3E">
        <w:t xml:space="preserve">Oh, </w:t>
      </w:r>
      <w:r w:rsidR="00E7283B">
        <w:t>K.-Y.</w:t>
      </w:r>
      <w:r w:rsidRPr="00D24B3E">
        <w:t xml:space="preserve">, Cruickshank, D., </w:t>
      </w:r>
      <w:r w:rsidR="009871AD" w:rsidRPr="00D24B3E">
        <w:t>&amp;</w:t>
      </w:r>
      <w:r w:rsidRPr="00D24B3E">
        <w:t xml:space="preserve"> Anderson, A. R. (2009). The adoption of e-trade innovations by Korean small and medium-sized firms. </w:t>
      </w:r>
      <w:proofErr w:type="spellStart"/>
      <w:r w:rsidRPr="00D24B3E">
        <w:t>Technovation</w:t>
      </w:r>
      <w:proofErr w:type="spellEnd"/>
      <w:r w:rsidRPr="00D24B3E">
        <w:t>, 29(2), 110–121. https://rgu-repository.worktribe.com/output/247833/the-adoption-of-e-trade-innovations-by-korean-small-and-medium-sized-firms</w:t>
      </w:r>
    </w:p>
    <w:p w14:paraId="2DCBCBC9" w14:textId="77777777" w:rsidR="00F02E2D" w:rsidRPr="00D24B3E" w:rsidRDefault="00F02E2D">
      <w:pPr>
        <w:ind w:left="720"/>
      </w:pPr>
    </w:p>
    <w:p w14:paraId="7E5596D0" w14:textId="77777777" w:rsidR="00F02E2D" w:rsidRPr="00D24B3E" w:rsidRDefault="00000000">
      <w:pPr>
        <w:ind w:left="720"/>
      </w:pPr>
      <w:r w:rsidRPr="00D24B3E">
        <w:t>Explores e-trade technologies among SMEs in Korea and perceived benefits.</w:t>
      </w:r>
    </w:p>
    <w:p w14:paraId="34879DA1" w14:textId="77777777" w:rsidR="00F02E2D" w:rsidRPr="00D24B3E" w:rsidRDefault="00000000">
      <w:pPr>
        <w:ind w:left="720"/>
      </w:pPr>
      <w:r w:rsidRPr="00D24B3E">
        <w:rPr>
          <w:rFonts w:eastAsia="Times-Roman"/>
        </w:rPr>
        <w:t>This article supports the thesis by highlighting early adoption patterns of digital trade tools, offering foundational insights into how banks evolve services in response to digital transformation.</w:t>
      </w:r>
    </w:p>
    <w:p w14:paraId="51B6EAE6" w14:textId="77777777" w:rsidR="00F02E2D" w:rsidRPr="00D24B3E" w:rsidRDefault="00F02E2D"/>
    <w:p w14:paraId="715E6958" w14:textId="2061147E" w:rsidR="00F02E2D" w:rsidRPr="00D24B3E" w:rsidRDefault="00000000">
      <w:r w:rsidRPr="00D24B3E">
        <w:t xml:space="preserve">Ong, </w:t>
      </w:r>
      <w:r w:rsidR="00E7283B">
        <w:t>H.-B.</w:t>
      </w:r>
      <w:r w:rsidRPr="00D24B3E">
        <w:t xml:space="preserve">, </w:t>
      </w:r>
      <w:proofErr w:type="spellStart"/>
      <w:r w:rsidRPr="00D24B3E">
        <w:t>Wasiuzzaman</w:t>
      </w:r>
      <w:proofErr w:type="spellEnd"/>
      <w:r w:rsidRPr="00D24B3E">
        <w:t xml:space="preserve">, S., Chong, </w:t>
      </w:r>
      <w:r w:rsidR="00E7283B">
        <w:t>L.-L.</w:t>
      </w:r>
      <w:r w:rsidRPr="00D24B3E">
        <w:t xml:space="preserve">, </w:t>
      </w:r>
      <w:r w:rsidR="009871AD" w:rsidRPr="00D24B3E">
        <w:t>&amp;</w:t>
      </w:r>
      <w:r w:rsidRPr="00D24B3E">
        <w:t xml:space="preserve"> Choon, S.-W. (2023). </w:t>
      </w:r>
      <w:proofErr w:type="spellStart"/>
      <w:r w:rsidRPr="00D24B3E">
        <w:t>Digitalisation</w:t>
      </w:r>
      <w:proofErr w:type="spellEnd"/>
      <w:r w:rsidRPr="00D24B3E">
        <w:t xml:space="preserve"> and financial inclusion of </w:t>
      </w:r>
      <w:r w:rsidR="009871AD" w:rsidRPr="00D24B3E">
        <w:t>lower-middle-income</w:t>
      </w:r>
      <w:r w:rsidRPr="00D24B3E">
        <w:t xml:space="preserve"> ASEAN. </w:t>
      </w:r>
      <w:proofErr w:type="spellStart"/>
      <w:r w:rsidRPr="00D24B3E">
        <w:t>Heliyon</w:t>
      </w:r>
      <w:proofErr w:type="spellEnd"/>
      <w:r w:rsidRPr="00D24B3E">
        <w:t>, 9(2), e13347. https://www.sciencedirect.com/science/article/pii/S2405844023005546</w:t>
      </w:r>
    </w:p>
    <w:p w14:paraId="4DFC5578" w14:textId="77777777" w:rsidR="00F02E2D" w:rsidRPr="00D24B3E" w:rsidRDefault="00F02E2D">
      <w:pPr>
        <w:ind w:left="720"/>
      </w:pPr>
    </w:p>
    <w:p w14:paraId="6467CA36" w14:textId="77777777" w:rsidR="00F02E2D" w:rsidRPr="00D24B3E" w:rsidRDefault="00000000">
      <w:pPr>
        <w:ind w:left="720"/>
      </w:pPr>
      <w:r w:rsidRPr="00D24B3E">
        <w:t>Investigating digitalization in ASEAN economies promotes financial inclusion by improving access to banking services and reducing operational constraints.</w:t>
      </w:r>
    </w:p>
    <w:p w14:paraId="7CC56FDA" w14:textId="77777777" w:rsidR="00F02E2D" w:rsidRPr="00D24B3E" w:rsidRDefault="00000000">
      <w:pPr>
        <w:ind w:left="720"/>
      </w:pPr>
      <w:r w:rsidRPr="00D24B3E">
        <w:t>This supports the thesis by digital platforms broadening client engagement and enabling fee-based income growth.</w:t>
      </w:r>
    </w:p>
    <w:p w14:paraId="3D60F029" w14:textId="77777777" w:rsidR="00F02E2D" w:rsidRPr="00D24B3E" w:rsidRDefault="00F02E2D"/>
    <w:p w14:paraId="4AEA395F" w14:textId="7346BEC0" w:rsidR="00F02E2D" w:rsidRPr="00D24B3E" w:rsidRDefault="00000000">
      <w:r w:rsidRPr="00D24B3E">
        <w:t xml:space="preserve">Osei, L. K., Cherkasova, Y., </w:t>
      </w:r>
      <w:r w:rsidR="009871AD" w:rsidRPr="00D24B3E">
        <w:t>&amp;</w:t>
      </w:r>
      <w:r w:rsidRPr="00D24B3E">
        <w:t xml:space="preserve"> </w:t>
      </w:r>
      <w:proofErr w:type="spellStart"/>
      <w:r w:rsidRPr="00D24B3E">
        <w:t>Oware</w:t>
      </w:r>
      <w:proofErr w:type="spellEnd"/>
      <w:r w:rsidRPr="00D24B3E">
        <w:t>, K. M. (2023). Unlocking the Full Potential of Digital Transformation in banking: a Bibliometric Review and Emerging Trend. Future Business Journal, 9(1), 1–18. https://fbj.springeropen.com/articles/10.1186/s43093-023-00207-2</w:t>
      </w:r>
    </w:p>
    <w:p w14:paraId="16A7E19B" w14:textId="77777777" w:rsidR="00F02E2D" w:rsidRPr="00D24B3E" w:rsidRDefault="00F02E2D">
      <w:pPr>
        <w:ind w:left="720"/>
      </w:pPr>
    </w:p>
    <w:p w14:paraId="4186C6F5" w14:textId="77777777" w:rsidR="00F02E2D" w:rsidRPr="00D24B3E" w:rsidRDefault="00000000">
      <w:pPr>
        <w:ind w:left="720"/>
      </w:pPr>
      <w:r w:rsidRPr="00D24B3E">
        <w:t>Provide a digital platform, customer-centric innovation, and blockchain for change.</w:t>
      </w:r>
    </w:p>
    <w:p w14:paraId="6A8B8210" w14:textId="77777777" w:rsidR="00F02E2D" w:rsidRPr="00D24B3E" w:rsidRDefault="00000000">
      <w:pPr>
        <w:ind w:left="720"/>
      </w:pPr>
      <w:r w:rsidRPr="00D24B3E">
        <w:t>Directly supporting the study’s focus on monetization models and platform design.</w:t>
      </w:r>
    </w:p>
    <w:p w14:paraId="05099095" w14:textId="77777777" w:rsidR="00F02E2D" w:rsidRPr="00D24B3E" w:rsidRDefault="00F02E2D"/>
    <w:p w14:paraId="5AFC65C4" w14:textId="77777777" w:rsidR="00F02E2D" w:rsidRPr="00D24B3E" w:rsidRDefault="00000000">
      <w:proofErr w:type="spellStart"/>
      <w:r w:rsidRPr="00D24B3E">
        <w:t>Ozili</w:t>
      </w:r>
      <w:proofErr w:type="spellEnd"/>
      <w:r w:rsidRPr="00D24B3E">
        <w:t xml:space="preserve">, P. K. (2023). Digital finance research and developments around the world: a literature review. International Journal of Business Forecasting and Marketing Intelligence, 8(1), 35. </w:t>
      </w:r>
      <w:hyperlink r:id="rId28" w:history="1">
        <w:r w:rsidR="00F02E2D" w:rsidRPr="00D24B3E">
          <w:rPr>
            <w:color w:val="000000"/>
            <w:u w:val="single" w:color="000000"/>
          </w:rPr>
          <w:t>https://papers.ssrn.com/sol3/papers.cfm?abstract_id=4149109</w:t>
        </w:r>
      </w:hyperlink>
    </w:p>
    <w:p w14:paraId="1FD8EE8A" w14:textId="77777777" w:rsidR="00F02E2D" w:rsidRPr="00D24B3E" w:rsidRDefault="00F02E2D"/>
    <w:p w14:paraId="6043F1E8" w14:textId="77777777" w:rsidR="00F02E2D" w:rsidRPr="00D24B3E" w:rsidRDefault="00000000">
      <w:pPr>
        <w:ind w:left="720"/>
      </w:pPr>
      <w:r w:rsidRPr="00D24B3E">
        <w:t>Underscore gaps in evidence connecting digital transactions to consistent profitability fee models.</w:t>
      </w:r>
    </w:p>
    <w:p w14:paraId="29A43FF4" w14:textId="2E8806A4" w:rsidR="00F02E2D" w:rsidRPr="00D24B3E" w:rsidRDefault="00000000">
      <w:pPr>
        <w:ind w:left="720"/>
      </w:pPr>
      <w:r w:rsidRPr="00D24B3E">
        <w:t xml:space="preserve">Relevant to acknowledge </w:t>
      </w:r>
      <w:r w:rsidR="009871AD" w:rsidRPr="00D24B3E">
        <w:t xml:space="preserve">that </w:t>
      </w:r>
      <w:r w:rsidRPr="00D24B3E">
        <w:t>profitability impacts remain underexplored.</w:t>
      </w:r>
    </w:p>
    <w:p w14:paraId="1D3631FC" w14:textId="77777777" w:rsidR="00F02E2D" w:rsidRPr="00D24B3E" w:rsidRDefault="00F02E2D"/>
    <w:p w14:paraId="432848D1" w14:textId="77777777" w:rsidR="00F02E2D" w:rsidRPr="00D24B3E" w:rsidRDefault="00000000">
      <w:r w:rsidRPr="00D24B3E">
        <w:t>Porfírio, J., Felício, J. A., and Carrilho, T. (2024). Factors affecting digital transformation in banking. Journal of Business Research, 171, 114393–114393. https://ideas.repec.org/a/eee/jbrese/v171y2024ics014829632300752x.html</w:t>
      </w:r>
    </w:p>
    <w:p w14:paraId="7B7E6392" w14:textId="77777777" w:rsidR="00F02E2D" w:rsidRPr="00D24B3E" w:rsidRDefault="00F02E2D">
      <w:pPr>
        <w:ind w:left="720"/>
      </w:pPr>
    </w:p>
    <w:p w14:paraId="3ABEDC96" w14:textId="43B915D9" w:rsidR="00F02E2D" w:rsidRPr="00D24B3E" w:rsidRDefault="00000000">
      <w:pPr>
        <w:ind w:left="720"/>
      </w:pPr>
      <w:r w:rsidRPr="00D24B3E">
        <w:lastRenderedPageBreak/>
        <w:t xml:space="preserve">Identifies leadership commitment, </w:t>
      </w:r>
      <w:r w:rsidR="009871AD" w:rsidRPr="00D24B3E">
        <w:t>organizational</w:t>
      </w:r>
      <w:r w:rsidRPr="00D24B3E">
        <w:t xml:space="preserve"> agility, technology readiness, customer expectation, and regulatory conditions.</w:t>
      </w:r>
    </w:p>
    <w:p w14:paraId="47214CC5" w14:textId="3805543C" w:rsidR="00F02E2D" w:rsidRPr="00D24B3E" w:rsidRDefault="00000000">
      <w:pPr>
        <w:ind w:left="720"/>
      </w:pPr>
      <w:r w:rsidRPr="00D24B3E">
        <w:t xml:space="preserve">Relevant to bridging strategic </w:t>
      </w:r>
      <w:r w:rsidR="009871AD" w:rsidRPr="00D24B3E">
        <w:t>operations and environmental</w:t>
      </w:r>
      <w:r w:rsidRPr="00D24B3E">
        <w:t xml:space="preserve"> considerations to bring income with digital.</w:t>
      </w:r>
    </w:p>
    <w:p w14:paraId="638AF915" w14:textId="77777777" w:rsidR="00F02E2D" w:rsidRPr="00D24B3E" w:rsidRDefault="00F02E2D">
      <w:pPr>
        <w:ind w:left="720"/>
      </w:pPr>
    </w:p>
    <w:p w14:paraId="65827A76" w14:textId="784BF15B" w:rsidR="00F02E2D" w:rsidRPr="00D24B3E" w:rsidRDefault="00000000">
      <w:proofErr w:type="spellStart"/>
      <w:r w:rsidRPr="00D24B3E">
        <w:t>Safeza</w:t>
      </w:r>
      <w:proofErr w:type="spellEnd"/>
      <w:r w:rsidRPr="00D24B3E">
        <w:t xml:space="preserve"> Mohd </w:t>
      </w:r>
      <w:proofErr w:type="spellStart"/>
      <w:r w:rsidRPr="00D24B3E">
        <w:t>Sapian</w:t>
      </w:r>
      <w:proofErr w:type="spellEnd"/>
      <w:r w:rsidRPr="00D24B3E">
        <w:t xml:space="preserve">, Nurudeen Abdulkadir, </w:t>
      </w:r>
      <w:r w:rsidR="009871AD" w:rsidRPr="00D24B3E">
        <w:t>&amp;</w:t>
      </w:r>
      <w:r w:rsidRPr="00D24B3E">
        <w:t xml:space="preserve"> </w:t>
      </w:r>
      <w:proofErr w:type="spellStart"/>
      <w:r w:rsidRPr="00D24B3E">
        <w:t>Norhazlina</w:t>
      </w:r>
      <w:proofErr w:type="spellEnd"/>
      <w:r w:rsidRPr="00D24B3E">
        <w:t xml:space="preserve"> Ibrahim. (2021). Trade Finance in </w:t>
      </w:r>
      <w:r w:rsidR="009871AD" w:rsidRPr="00D24B3E">
        <w:t xml:space="preserve">the </w:t>
      </w:r>
      <w:r w:rsidRPr="00D24B3E">
        <w:t xml:space="preserve">Digital Era: Can FinTech Harness the Current Risks and Challenges? The Journal of </w:t>
      </w:r>
      <w:proofErr w:type="spellStart"/>
      <w:r w:rsidRPr="00D24B3E">
        <w:t>Muamalat</w:t>
      </w:r>
      <w:proofErr w:type="spellEnd"/>
      <w:r w:rsidRPr="00D24B3E">
        <w:t xml:space="preserve"> and Islamic Finance Research, 78–89. https://www.researchgate.net/publication/352079832_Trade_Finance_in_Digital_Era_Can_FinTech_Harness_the_Current_Risks_and_Challenges</w:t>
      </w:r>
    </w:p>
    <w:p w14:paraId="59A0E6EB" w14:textId="77777777" w:rsidR="00F02E2D" w:rsidRPr="00D24B3E" w:rsidRDefault="00F02E2D">
      <w:pPr>
        <w:ind w:left="720"/>
      </w:pPr>
    </w:p>
    <w:p w14:paraId="0CC7AE59" w14:textId="770AC92D" w:rsidR="00F02E2D" w:rsidRPr="00D24B3E" w:rsidRDefault="00000000">
      <w:pPr>
        <w:ind w:left="720"/>
      </w:pPr>
      <w:r w:rsidRPr="00D24B3E">
        <w:t xml:space="preserve">Discuss FinTech impacts </w:t>
      </w:r>
      <w:r w:rsidR="009871AD" w:rsidRPr="00D24B3E">
        <w:t xml:space="preserve">on </w:t>
      </w:r>
      <w:r w:rsidRPr="00D24B3E">
        <w:t>trade finance by balancing innovation with emerging risks.</w:t>
      </w:r>
    </w:p>
    <w:p w14:paraId="6378522A" w14:textId="74130DE6" w:rsidR="00F02E2D" w:rsidRPr="00D24B3E" w:rsidRDefault="009871AD">
      <w:pPr>
        <w:ind w:left="720"/>
      </w:pPr>
      <w:r w:rsidRPr="00D24B3E">
        <w:t>It is highly relevant and examines the ecosystem challenges of digital trade tools, contributing nuance for risk-profitability analysis in fee income models.</w:t>
      </w:r>
    </w:p>
    <w:p w14:paraId="19F4FA30" w14:textId="77777777" w:rsidR="00F02E2D" w:rsidRPr="00D24B3E" w:rsidRDefault="00F02E2D"/>
    <w:p w14:paraId="662ED09D" w14:textId="77777777" w:rsidR="00F02E2D" w:rsidRPr="00D24B3E" w:rsidRDefault="00000000">
      <w:proofErr w:type="spellStart"/>
      <w:r w:rsidRPr="00D24B3E">
        <w:t>Starnawska</w:t>
      </w:r>
      <w:proofErr w:type="spellEnd"/>
      <w:r w:rsidRPr="00D24B3E">
        <w:t>, S. E. (2020). Sustainability in the Banking Industry Through Technological Transformation. The Palgrave Handbook of Corporate Sustainability in the Digital Era, 429–453. https://ideas.repec.org/h/spr/sprchp/978-3-030-42412-1_22.html</w:t>
      </w:r>
    </w:p>
    <w:p w14:paraId="2D05F453" w14:textId="77777777" w:rsidR="00F02E2D" w:rsidRPr="00D24B3E" w:rsidRDefault="00F02E2D">
      <w:pPr>
        <w:ind w:left="720"/>
      </w:pPr>
    </w:p>
    <w:p w14:paraId="587ACD19" w14:textId="5F506B64" w:rsidR="00F02E2D" w:rsidRPr="00D24B3E" w:rsidRDefault="00000000">
      <w:pPr>
        <w:ind w:left="720"/>
      </w:pPr>
      <w:r w:rsidRPr="00D24B3E">
        <w:t xml:space="preserve">This chapter explores </w:t>
      </w:r>
      <w:r w:rsidR="009871AD" w:rsidRPr="00D24B3E">
        <w:t xml:space="preserve">how </w:t>
      </w:r>
      <w:r w:rsidRPr="00D24B3E">
        <w:t>technological innovation drives sustainability in banking, emphasizing risk management, customer trust, and ESG goals through digital infrastructure.</w:t>
      </w:r>
    </w:p>
    <w:p w14:paraId="7A1B13B7" w14:textId="137A8BC3" w:rsidR="00F02E2D" w:rsidRPr="00D24B3E" w:rsidRDefault="00000000">
      <w:pPr>
        <w:ind w:left="720"/>
      </w:pPr>
      <w:r w:rsidRPr="00D24B3E">
        <w:t xml:space="preserve">Highly relevant to the digital transformation topic, especially </w:t>
      </w:r>
      <w:r w:rsidR="009871AD" w:rsidRPr="00D24B3E">
        <w:t xml:space="preserve">as </w:t>
      </w:r>
      <w:r w:rsidRPr="00D24B3E">
        <w:t>technology contributes to long-term financial sustainability within banks.</w:t>
      </w:r>
    </w:p>
    <w:p w14:paraId="7BD0594D" w14:textId="77777777" w:rsidR="00F02E2D" w:rsidRPr="00D24B3E" w:rsidRDefault="00F02E2D"/>
    <w:p w14:paraId="02FEC88D" w14:textId="2023AB97" w:rsidR="00F02E2D" w:rsidRPr="00D24B3E" w:rsidRDefault="00000000">
      <w:r w:rsidRPr="00D24B3E">
        <w:t xml:space="preserve">Sultana, A., </w:t>
      </w:r>
      <w:r w:rsidR="009871AD" w:rsidRPr="00D24B3E">
        <w:t>&amp;</w:t>
      </w:r>
      <w:r w:rsidRPr="00D24B3E">
        <w:t xml:space="preserve"> Alam, S. (2024). Adaptation of Blockchain Technology into the Letter of Credit (LC) Arrangement: An Overview of the Sustainable Business Practice in Asia. Green Management: A New Paradigm in the World of Business, 303–337. https://www.emerald.com/insight/content/doi/10.1108/978-1-83797-442-920241017/full/html?skipTracking=true</w:t>
      </w:r>
    </w:p>
    <w:p w14:paraId="03607A28" w14:textId="77777777" w:rsidR="00F02E2D" w:rsidRPr="00D24B3E" w:rsidRDefault="00F02E2D">
      <w:pPr>
        <w:ind w:left="720"/>
      </w:pPr>
    </w:p>
    <w:p w14:paraId="273AF51A" w14:textId="62DA89B7" w:rsidR="00F02E2D" w:rsidRPr="00D24B3E" w:rsidRDefault="00000000">
      <w:pPr>
        <w:ind w:left="720"/>
      </w:pPr>
      <w:r w:rsidRPr="00D24B3E">
        <w:t xml:space="preserve">This examines how blockchain is </w:t>
      </w:r>
      <w:r w:rsidR="009871AD" w:rsidRPr="00D24B3E">
        <w:t xml:space="preserve">adopted in LC processes, focusing on </w:t>
      </w:r>
      <w:r w:rsidRPr="00D24B3E">
        <w:t>sustainable business applications within Asian banking systems.</w:t>
      </w:r>
    </w:p>
    <w:p w14:paraId="1BD9A323" w14:textId="24CBAD31" w:rsidR="00F02E2D" w:rsidRPr="00D24B3E" w:rsidRDefault="00000000">
      <w:pPr>
        <w:ind w:left="720"/>
      </w:pPr>
      <w:r w:rsidRPr="00D24B3E">
        <w:t xml:space="preserve">Support cluster 4 by illustrating </w:t>
      </w:r>
      <w:r w:rsidR="009871AD" w:rsidRPr="00D24B3E">
        <w:t xml:space="preserve">a </w:t>
      </w:r>
      <w:r w:rsidRPr="00D24B3E">
        <w:t>blockchain-based LC streamline process and bringing more income.</w:t>
      </w:r>
    </w:p>
    <w:p w14:paraId="0754267F" w14:textId="77777777" w:rsidR="00F02E2D" w:rsidRPr="00D24B3E" w:rsidRDefault="00F02E2D"/>
    <w:p w14:paraId="42559321" w14:textId="10018157" w:rsidR="00F02E2D" w:rsidRPr="00D24B3E" w:rsidRDefault="00000000">
      <w:r w:rsidRPr="00D24B3E">
        <w:t xml:space="preserve">Tanveer, U., Hoang, T. G., </w:t>
      </w:r>
      <w:r w:rsidR="009871AD" w:rsidRPr="00D24B3E">
        <w:t>&amp;</w:t>
      </w:r>
      <w:r w:rsidRPr="00D24B3E">
        <w:t xml:space="preserve"> Ishaq, S. (2025). Reshaping Global Trade Finance and Supply Chains Through Digital Supply Chain Finance Platforms. Journal of Business Logistics, 46(3). https://onlinelibrary.wiley.com/doi/10.1111/jbl.70022</w:t>
      </w:r>
    </w:p>
    <w:p w14:paraId="67FA2D48" w14:textId="77777777" w:rsidR="00F02E2D" w:rsidRPr="00D24B3E" w:rsidRDefault="00000000">
      <w:pPr>
        <w:ind w:left="720"/>
      </w:pPr>
      <w:r w:rsidRPr="00D24B3E">
        <w:t>Explores digital platforms in supply chain finance to improve liquidity, transparency, and efficiency in trade finance ecosystems.</w:t>
      </w:r>
    </w:p>
    <w:p w14:paraId="03A80A43" w14:textId="0CB3C129" w:rsidR="00F02E2D" w:rsidRPr="00D24B3E" w:rsidRDefault="00000000">
      <w:pPr>
        <w:ind w:left="720"/>
      </w:pPr>
      <w:r w:rsidRPr="00D24B3E">
        <w:t>Relevant in providing platform performance and monetization strategies in digital trade ecosystems</w:t>
      </w:r>
      <w:r w:rsidR="009871AD" w:rsidRPr="00D24B3E">
        <w:t xml:space="preserve">, matching the </w:t>
      </w:r>
      <w:r w:rsidRPr="00D24B3E">
        <w:t>focus on income generation.</w:t>
      </w:r>
    </w:p>
    <w:p w14:paraId="609E5D6B" w14:textId="77777777" w:rsidR="00F02E2D" w:rsidRPr="00D24B3E" w:rsidRDefault="00F02E2D">
      <w:pPr>
        <w:ind w:left="720"/>
      </w:pPr>
    </w:p>
    <w:p w14:paraId="3672AABD" w14:textId="507EAA2E" w:rsidR="00F02E2D" w:rsidRPr="00D24B3E" w:rsidRDefault="00000000">
      <w:proofErr w:type="spellStart"/>
      <w:r w:rsidRPr="00D24B3E">
        <w:lastRenderedPageBreak/>
        <w:t>Tarawneh</w:t>
      </w:r>
      <w:proofErr w:type="spellEnd"/>
      <w:r w:rsidRPr="00D24B3E">
        <w:t xml:space="preserve">, A., Abdul-Rahman, A., Mohd, I., </w:t>
      </w:r>
      <w:r w:rsidR="009871AD" w:rsidRPr="00D24B3E">
        <w:t>&amp;</w:t>
      </w:r>
      <w:r w:rsidRPr="00D24B3E">
        <w:t xml:space="preserve"> Ghazali, M. F. (2024). A Systematic Review of Fintech and Banking Profitability. International Journal of Financial Studies, 12(1), 3–3. https://www.mdpi.com/2227-7072/12/1/3</w:t>
      </w:r>
    </w:p>
    <w:p w14:paraId="680CD878" w14:textId="77777777" w:rsidR="00F02E2D" w:rsidRPr="00D24B3E" w:rsidRDefault="00F02E2D">
      <w:pPr>
        <w:ind w:left="720"/>
      </w:pPr>
    </w:p>
    <w:p w14:paraId="4FD95C31" w14:textId="77777777" w:rsidR="00F02E2D" w:rsidRPr="00D24B3E" w:rsidRDefault="00000000">
      <w:pPr>
        <w:ind w:left="720"/>
      </w:pPr>
      <w:r w:rsidRPr="00D24B3E">
        <w:t>Provides a systematic review of how fintech innovations influence bank profitability, highlighting key drivers such as digital platforms, automation, and client engagement tools.</w:t>
      </w:r>
    </w:p>
    <w:p w14:paraId="60B2B384" w14:textId="23CE7399" w:rsidR="00F02E2D" w:rsidRPr="00D24B3E" w:rsidRDefault="00000000">
      <w:pPr>
        <w:ind w:left="720"/>
      </w:pPr>
      <w:r w:rsidRPr="00D24B3E">
        <w:t>Supports the research by offering foundational insights into how digital transformation</w:t>
      </w:r>
      <w:r w:rsidR="009871AD" w:rsidRPr="00D24B3E">
        <w:t xml:space="preserve"> can impact revenue generation, particularly in service delivery</w:t>
      </w:r>
      <w:r w:rsidRPr="00D24B3E">
        <w:t>.</w:t>
      </w:r>
    </w:p>
    <w:p w14:paraId="429DC87D" w14:textId="77777777" w:rsidR="00F02E2D" w:rsidRPr="00D24B3E" w:rsidRDefault="00F02E2D"/>
    <w:p w14:paraId="3A212EB7" w14:textId="77777777" w:rsidR="00F02E2D" w:rsidRPr="00D24B3E" w:rsidRDefault="00000000">
      <w:r w:rsidRPr="00D24B3E">
        <w:t>Tarik Kellaf. (2024). Blockchain in trade finance: The Good, the Bad and the Verdict. Modern Finance, 2(2), 136–160. https://mf-journal.com/article/view/206</w:t>
      </w:r>
    </w:p>
    <w:p w14:paraId="2609EB03" w14:textId="77777777" w:rsidR="00F02E2D" w:rsidRPr="00D24B3E" w:rsidRDefault="00F02E2D">
      <w:pPr>
        <w:ind w:left="720"/>
      </w:pPr>
    </w:p>
    <w:p w14:paraId="6589A555" w14:textId="77777777" w:rsidR="00F02E2D" w:rsidRPr="00D24B3E" w:rsidRDefault="00000000">
      <w:pPr>
        <w:ind w:left="720"/>
      </w:pPr>
      <w:r w:rsidRPr="00D24B3E">
        <w:t>Provides a balanced evaluation of blockchain adoption in trade finance, covering benefits, such as fraud reduction and efficiency gains, and challenges, including legal uncertainty, interoperability, and high integration costs.</w:t>
      </w:r>
    </w:p>
    <w:p w14:paraId="6C98A683" w14:textId="01F33AD2" w:rsidR="00F02E2D" w:rsidRPr="00D24B3E" w:rsidRDefault="00000000">
      <w:pPr>
        <w:ind w:left="720"/>
      </w:pPr>
      <w:r w:rsidRPr="00D24B3E">
        <w:rPr>
          <w:rFonts w:eastAsia="Times-Roman"/>
        </w:rPr>
        <w:t>This article reinforces Cluster 4 by showing how blockchain shapes platform design, client trust, and monetization strategies, highlighting revenue potential and structural challenges.</w:t>
      </w:r>
    </w:p>
    <w:p w14:paraId="3738DA5D" w14:textId="77777777" w:rsidR="00F02E2D" w:rsidRPr="00D24B3E" w:rsidRDefault="00F02E2D">
      <w:pPr>
        <w:ind w:left="720"/>
      </w:pPr>
    </w:p>
    <w:p w14:paraId="1B1DF57C" w14:textId="2888A425" w:rsidR="00F02E2D" w:rsidRPr="00D24B3E" w:rsidRDefault="00000000">
      <w:r w:rsidRPr="00D24B3E">
        <w:t xml:space="preserve">Tariq, W., Chen, Y., Tariq, A., </w:t>
      </w:r>
      <w:r w:rsidR="009871AD" w:rsidRPr="00D24B3E">
        <w:t>&amp;</w:t>
      </w:r>
      <w:r w:rsidRPr="00D24B3E">
        <w:t xml:space="preserve"> Muhammad Saleem Sumbal. (2025). Transforming financial sustainability: the serial mediation of digitalization and financial inclusion through digital governance in banks. </w:t>
      </w:r>
      <w:proofErr w:type="spellStart"/>
      <w:r w:rsidRPr="00D24B3E">
        <w:t>Kybernetes</w:t>
      </w:r>
      <w:proofErr w:type="spellEnd"/>
      <w:r w:rsidRPr="00D24B3E">
        <w:t>. https://research.polyu.edu.hk/en/publications/transforming-financial-sustainability-the-serial-mediation-of-dig</w:t>
      </w:r>
    </w:p>
    <w:p w14:paraId="675F4566" w14:textId="77777777" w:rsidR="00F02E2D" w:rsidRPr="00D24B3E" w:rsidRDefault="00F02E2D">
      <w:pPr>
        <w:ind w:left="720"/>
      </w:pPr>
    </w:p>
    <w:p w14:paraId="4CF65277" w14:textId="37920556" w:rsidR="00F02E2D" w:rsidRPr="00D24B3E" w:rsidRDefault="00000000">
      <w:pPr>
        <w:ind w:left="720"/>
      </w:pPr>
      <w:r w:rsidRPr="00D24B3E">
        <w:t>Constructs a serial mediation model showing how digitalization and financial inclusion</w:t>
      </w:r>
      <w:r w:rsidR="009871AD" w:rsidRPr="00D24B3E">
        <w:t xml:space="preserve"> enhance financial sustainability in banks when enabled by digital governance</w:t>
      </w:r>
      <w:r w:rsidRPr="00D24B3E">
        <w:t>.</w:t>
      </w:r>
    </w:p>
    <w:p w14:paraId="20C6751A" w14:textId="6D8427AE" w:rsidR="00F02E2D" w:rsidRPr="00D24B3E" w:rsidRDefault="00000000">
      <w:pPr>
        <w:ind w:left="720"/>
      </w:pPr>
      <w:r w:rsidRPr="00D24B3E">
        <w:t xml:space="preserve">Directly supports </w:t>
      </w:r>
      <w:r w:rsidR="009871AD" w:rsidRPr="00D24B3E">
        <w:t>Clusters</w:t>
      </w:r>
      <w:r w:rsidRPr="00D24B3E">
        <w:t xml:space="preserve"> 1 and 2 by validating the need for strong institutional structures to support digital trade innovation.</w:t>
      </w:r>
    </w:p>
    <w:p w14:paraId="78872010" w14:textId="77777777" w:rsidR="00F02E2D" w:rsidRPr="00D24B3E" w:rsidRDefault="00F02E2D"/>
    <w:p w14:paraId="72E5F9CC" w14:textId="14F837E8" w:rsidR="00F02E2D" w:rsidRPr="00D24B3E" w:rsidRDefault="00000000">
      <w:r w:rsidRPr="00D24B3E">
        <w:t xml:space="preserve">Thieu, T., Ho, L., </w:t>
      </w:r>
      <w:r w:rsidR="009871AD" w:rsidRPr="00D24B3E">
        <w:t>&amp;</w:t>
      </w:r>
      <w:r w:rsidRPr="00D24B3E">
        <w:t xml:space="preserve"> Nguyen, D. T. (2023). Digitalization and bank profitability: evidence from an emerging country. International Journal of Bank Marketing, 41(7). https://www.emerald.com/insight/content/doi/10.1108/ijbm-03-2023-0156/full/html?skipTracking=true</w:t>
      </w:r>
    </w:p>
    <w:p w14:paraId="7BAD0E34" w14:textId="77777777" w:rsidR="00F02E2D" w:rsidRPr="00D24B3E" w:rsidRDefault="00F02E2D">
      <w:pPr>
        <w:ind w:left="720"/>
      </w:pPr>
    </w:p>
    <w:p w14:paraId="3906CDE9" w14:textId="780FA37D" w:rsidR="00F02E2D" w:rsidRPr="00D24B3E" w:rsidRDefault="009871AD">
      <w:pPr>
        <w:ind w:left="720"/>
      </w:pPr>
      <w:r w:rsidRPr="00D24B3E">
        <w:t>Investing in digital channels, customer service platforms, and process automation significantly improves bank profitability and competitiveness.</w:t>
      </w:r>
    </w:p>
    <w:p w14:paraId="55164892" w14:textId="455328C7" w:rsidR="00F02E2D" w:rsidRPr="00D24B3E" w:rsidRDefault="00000000">
      <w:pPr>
        <w:ind w:left="720"/>
      </w:pPr>
      <w:r w:rsidRPr="00D24B3E">
        <w:t>Useful for Cluster 3</w:t>
      </w:r>
      <w:r w:rsidR="009871AD" w:rsidRPr="00D24B3E">
        <w:t>,</w:t>
      </w:r>
      <w:r w:rsidRPr="00D24B3E">
        <w:t xml:space="preserve"> validating the business case for digitizing trade finance.</w:t>
      </w:r>
    </w:p>
    <w:p w14:paraId="52EAFC94" w14:textId="77777777" w:rsidR="00F02E2D" w:rsidRPr="00D24B3E" w:rsidRDefault="00F02E2D">
      <w:pPr>
        <w:ind w:left="720"/>
      </w:pPr>
    </w:p>
    <w:p w14:paraId="7619D97F" w14:textId="685F9006" w:rsidR="00560A7F" w:rsidRPr="00D24B3E" w:rsidRDefault="00560A7F">
      <w:pPr>
        <w:spacing w:line="240" w:lineRule="atLeast"/>
        <w:rPr>
          <w:color w:val="000000" w:themeColor="text1"/>
        </w:rPr>
      </w:pPr>
      <w:proofErr w:type="spellStart"/>
      <w:r w:rsidRPr="00D24B3E">
        <w:rPr>
          <w:color w:val="000000" w:themeColor="text1"/>
        </w:rPr>
        <w:t>Tornatzky</w:t>
      </w:r>
      <w:proofErr w:type="spellEnd"/>
      <w:r w:rsidRPr="00D24B3E">
        <w:rPr>
          <w:color w:val="000000" w:themeColor="text1"/>
        </w:rPr>
        <w:t>, L. G., &amp; Fleischer, M. (1990).</w:t>
      </w:r>
      <w:r w:rsidRPr="00D24B3E">
        <w:rPr>
          <w:rStyle w:val="apple-converted-space"/>
          <w:color w:val="000000" w:themeColor="text1"/>
        </w:rPr>
        <w:t> </w:t>
      </w:r>
      <w:r w:rsidRPr="00D24B3E">
        <w:rPr>
          <w:rStyle w:val="Emphasis"/>
          <w:color w:val="000000" w:themeColor="text1"/>
        </w:rPr>
        <w:t>The processes of technological innovation</w:t>
      </w:r>
      <w:r w:rsidRPr="00D24B3E">
        <w:rPr>
          <w:color w:val="000000" w:themeColor="text1"/>
        </w:rPr>
        <w:t>. Lexington Books.</w:t>
      </w:r>
      <w:r w:rsidR="005E301C" w:rsidRPr="00D24B3E">
        <w:rPr>
          <w:color w:val="000000" w:themeColor="text1"/>
        </w:rPr>
        <w:t xml:space="preserve"> </w:t>
      </w:r>
      <w:hyperlink r:id="rId29" w:history="1">
        <w:r w:rsidR="005E301C" w:rsidRPr="00D24B3E">
          <w:rPr>
            <w:rStyle w:val="Hyperlink"/>
            <w:color w:val="000000" w:themeColor="text1"/>
          </w:rPr>
          <w:t>https://www.researchgate.net/publication/291824703_Technological_Innovation_as_a_Process</w:t>
        </w:r>
      </w:hyperlink>
    </w:p>
    <w:p w14:paraId="2788A698" w14:textId="77777777" w:rsidR="005E301C" w:rsidRPr="00D24B3E" w:rsidRDefault="005E301C">
      <w:pPr>
        <w:spacing w:line="240" w:lineRule="atLeast"/>
        <w:rPr>
          <w:color w:val="000000" w:themeColor="text1"/>
        </w:rPr>
      </w:pPr>
    </w:p>
    <w:p w14:paraId="2A56C391" w14:textId="4359B5F0" w:rsidR="005E301C" w:rsidRPr="00D24B3E" w:rsidRDefault="005E301C" w:rsidP="005E301C">
      <w:pPr>
        <w:spacing w:line="240" w:lineRule="atLeast"/>
        <w:ind w:left="720"/>
        <w:rPr>
          <w:color w:val="000000" w:themeColor="text1"/>
        </w:rPr>
      </w:pPr>
      <w:r w:rsidRPr="00D24B3E">
        <w:rPr>
          <w:color w:val="000000" w:themeColor="text1"/>
        </w:rPr>
        <w:t>Explains that the adoption of technological innovation in firms is shaped by three key contextual influences: technological capabilities, organizational readiness, and the external environment.</w:t>
      </w:r>
    </w:p>
    <w:p w14:paraId="691C7484" w14:textId="7E8E77E7" w:rsidR="005E301C" w:rsidRPr="00D24B3E" w:rsidRDefault="00FA3B2D" w:rsidP="005E301C">
      <w:pPr>
        <w:spacing w:line="240" w:lineRule="atLeast"/>
        <w:ind w:left="720"/>
        <w:rPr>
          <w:color w:val="000000" w:themeColor="text1"/>
        </w:rPr>
      </w:pPr>
      <w:r w:rsidRPr="00D24B3E">
        <w:rPr>
          <w:color w:val="000000"/>
        </w:rPr>
        <w:lastRenderedPageBreak/>
        <w:t xml:space="preserve">Directly related to one of the integrated theories, TOE </w:t>
      </w:r>
      <w:r w:rsidR="00333704">
        <w:rPr>
          <w:color w:val="000000" w:themeColor="text1"/>
        </w:rPr>
        <w:t>provides</w:t>
      </w:r>
      <w:r w:rsidR="005E301C" w:rsidRPr="00D24B3E">
        <w:rPr>
          <w:color w:val="000000" w:themeColor="text1"/>
        </w:rPr>
        <w:t xml:space="preserve"> a structured lens to examine how North Asian banks’ internal resources, organizational strategies, and regulatory environments collectively influence the adoption and monetization of digital trade finance platforms.</w:t>
      </w:r>
    </w:p>
    <w:p w14:paraId="75C61E3F" w14:textId="77777777" w:rsidR="005E301C" w:rsidRPr="00D24B3E" w:rsidRDefault="005E301C">
      <w:pPr>
        <w:spacing w:line="240" w:lineRule="atLeast"/>
      </w:pPr>
    </w:p>
    <w:p w14:paraId="6599E023" w14:textId="32E17C54" w:rsidR="005E301C" w:rsidRPr="00D24B3E" w:rsidRDefault="005E301C">
      <w:pPr>
        <w:spacing w:line="240" w:lineRule="atLeast"/>
        <w:rPr>
          <w:color w:val="000000"/>
        </w:rPr>
      </w:pPr>
      <w:r w:rsidRPr="00D24B3E">
        <w:rPr>
          <w:color w:val="000000"/>
        </w:rPr>
        <w:t>Vargo, S. L., &amp; Lusch, R. F. (2004).</w:t>
      </w:r>
      <w:r w:rsidRPr="00D24B3E">
        <w:rPr>
          <w:rStyle w:val="apple-converted-space"/>
          <w:color w:val="000000"/>
        </w:rPr>
        <w:t> </w:t>
      </w:r>
      <w:r w:rsidRPr="00D24B3E">
        <w:rPr>
          <w:rStyle w:val="Emphasis"/>
          <w:color w:val="000000"/>
        </w:rPr>
        <w:t>Evolving to a new dominant logic for marketing</w:t>
      </w:r>
      <w:r w:rsidRPr="00D24B3E">
        <w:rPr>
          <w:color w:val="000000"/>
        </w:rPr>
        <w:t>. Journal of Marketing, 68(1), 1–17. https://www.taylorfrancis.com/chapters/edit/10.4324/9781315699035-2/evolving-new-dominant-logic-marketing-stephen-vargo-robert-lusch</w:t>
      </w:r>
    </w:p>
    <w:p w14:paraId="70DF92A2" w14:textId="77777777" w:rsidR="005E301C" w:rsidRPr="00D24B3E" w:rsidRDefault="005E301C">
      <w:pPr>
        <w:spacing w:line="240" w:lineRule="atLeast"/>
      </w:pPr>
    </w:p>
    <w:p w14:paraId="79194263" w14:textId="77777777" w:rsidR="005E301C" w:rsidRPr="00D24B3E" w:rsidRDefault="005E301C" w:rsidP="005E301C">
      <w:pPr>
        <w:autoSpaceDE w:val="0"/>
        <w:autoSpaceDN w:val="0"/>
        <w:adjustRightInd w:val="0"/>
        <w:ind w:left="720"/>
      </w:pPr>
      <w:r w:rsidRPr="00D24B3E">
        <w:t>Provide a paradigm shift in marketing theory that emphasizes value co-creation through service exchange, where goods are viewed as distribution mechanisms for service provision.</w:t>
      </w:r>
    </w:p>
    <w:p w14:paraId="5E2BCF7E" w14:textId="112268A6" w:rsidR="005E301C" w:rsidRPr="00D24B3E" w:rsidRDefault="00FA3B2D" w:rsidP="005E301C">
      <w:pPr>
        <w:autoSpaceDE w:val="0"/>
        <w:autoSpaceDN w:val="0"/>
        <w:adjustRightInd w:val="0"/>
        <w:ind w:left="720"/>
      </w:pPr>
      <w:r w:rsidRPr="00D24B3E">
        <w:rPr>
          <w:color w:val="000000"/>
        </w:rPr>
        <w:t xml:space="preserve">Directly related to one of the integrated theories, </w:t>
      </w:r>
      <w:r w:rsidR="005E301C" w:rsidRPr="00D24B3E">
        <w:t xml:space="preserve">SDL </w:t>
      </w:r>
      <w:r w:rsidR="00333704">
        <w:t>frames digital trade finance as a set of technological tools and</w:t>
      </w:r>
      <w:r w:rsidR="005E301C" w:rsidRPr="00D24B3E">
        <w:t xml:space="preserve"> a service ecosystem, where value and revenue emerge through collaborative interactions among banks, clients, </w:t>
      </w:r>
      <w:proofErr w:type="spellStart"/>
      <w:r w:rsidR="005E301C" w:rsidRPr="00D24B3E">
        <w:t>fintechs</w:t>
      </w:r>
      <w:proofErr w:type="spellEnd"/>
      <w:r w:rsidR="005E301C" w:rsidRPr="00D24B3E">
        <w:t>, and regulators.</w:t>
      </w:r>
    </w:p>
    <w:p w14:paraId="1BB9A05F" w14:textId="77777777" w:rsidR="005E301C" w:rsidRPr="00D24B3E" w:rsidRDefault="005E301C">
      <w:pPr>
        <w:spacing w:line="240" w:lineRule="atLeast"/>
      </w:pPr>
    </w:p>
    <w:p w14:paraId="1BE8970E" w14:textId="4C094C1C" w:rsidR="00F02E2D" w:rsidRPr="00D24B3E" w:rsidRDefault="00000000">
      <w:pPr>
        <w:spacing w:line="240" w:lineRule="atLeast"/>
      </w:pPr>
      <w:r w:rsidRPr="00D24B3E">
        <w:t>Wolska, A. (2025). New Cooperation Models Between Banks and Fintech: A Path Toward Digital Transformation in the Emerging Financial Ecosystem. </w:t>
      </w:r>
      <w:r w:rsidRPr="00D24B3E">
        <w:rPr>
          <w:i/>
          <w:iCs/>
        </w:rPr>
        <w:t>Financial Innovation and Technology</w:t>
      </w:r>
      <w:r w:rsidRPr="00D24B3E">
        <w:t>, 391–407. https://link.springer.com/chapter/10.1007/978-3-031-83402-8_17</w:t>
      </w:r>
    </w:p>
    <w:p w14:paraId="44F7AD08" w14:textId="77777777" w:rsidR="00F02E2D" w:rsidRPr="00D24B3E" w:rsidRDefault="00F02E2D"/>
    <w:p w14:paraId="6CB5E78B" w14:textId="02768FB4" w:rsidR="00F02E2D" w:rsidRPr="00D24B3E" w:rsidRDefault="00000000">
      <w:pPr>
        <w:ind w:left="720"/>
      </w:pPr>
      <w:r w:rsidRPr="00D24B3E">
        <w:t xml:space="preserve">Recognize the expanded role of banks, positioning them as an ecosystem </w:t>
      </w:r>
      <w:r w:rsidR="009871AD" w:rsidRPr="00D24B3E">
        <w:t>that includes</w:t>
      </w:r>
      <w:r w:rsidRPr="00D24B3E">
        <w:t xml:space="preserve"> </w:t>
      </w:r>
      <w:proofErr w:type="spellStart"/>
      <w:r w:rsidRPr="00D24B3E">
        <w:t>fintechs</w:t>
      </w:r>
      <w:proofErr w:type="spellEnd"/>
      <w:r w:rsidRPr="00D24B3E">
        <w:t xml:space="preserve"> and regulators.</w:t>
      </w:r>
    </w:p>
    <w:p w14:paraId="19809EF5" w14:textId="0408167B" w:rsidR="00F02E2D" w:rsidRPr="00D24B3E" w:rsidRDefault="00000000">
      <w:pPr>
        <w:ind w:left="720"/>
      </w:pPr>
      <w:r w:rsidRPr="00D24B3E">
        <w:t xml:space="preserve">Support the docus on digital </w:t>
      </w:r>
      <w:r w:rsidR="009871AD" w:rsidRPr="00D24B3E">
        <w:t>platforms</w:t>
      </w:r>
      <w:r w:rsidRPr="00D24B3E">
        <w:t xml:space="preserve"> that </w:t>
      </w:r>
      <w:r w:rsidR="009871AD" w:rsidRPr="00D24B3E">
        <w:t xml:space="preserve">the </w:t>
      </w:r>
      <w:r w:rsidRPr="00D24B3E">
        <w:t>future path depends on technology</w:t>
      </w:r>
      <w:r w:rsidR="009871AD" w:rsidRPr="00D24B3E">
        <w:t>,</w:t>
      </w:r>
      <w:r w:rsidRPr="00D24B3E">
        <w:t xml:space="preserve"> governance, collaboration, and regulatory imperatives.</w:t>
      </w:r>
    </w:p>
    <w:p w14:paraId="765EE036" w14:textId="77777777" w:rsidR="00F02E2D" w:rsidRPr="00D24B3E" w:rsidRDefault="00F02E2D"/>
    <w:p w14:paraId="30CC7533" w14:textId="77777777" w:rsidR="00F02E2D" w:rsidRPr="00D24B3E" w:rsidRDefault="00000000">
      <w:r w:rsidRPr="00D24B3E">
        <w:t>Wu, C., Liu, T., and Yang, X. (2023). Assessing the Impact of Digital Finance on the Total Factor Productivity of Commercial Banks: An Empirical Analysis of China. Mathematics, 11(3), 665. https://www.mdpi.com/2227-7390/11/3/665</w:t>
      </w:r>
    </w:p>
    <w:p w14:paraId="2EB8E97D" w14:textId="77777777" w:rsidR="00F02E2D" w:rsidRPr="00D24B3E" w:rsidRDefault="00F02E2D">
      <w:pPr>
        <w:ind w:left="720"/>
      </w:pPr>
    </w:p>
    <w:p w14:paraId="06E23096" w14:textId="1E084854" w:rsidR="00F02E2D" w:rsidRPr="00D24B3E" w:rsidRDefault="00000000">
      <w:pPr>
        <w:ind w:left="720"/>
      </w:pPr>
      <w:r w:rsidRPr="00D24B3E">
        <w:t xml:space="preserve">Digital innovations, especially AI, mobile platforms, and big data, </w:t>
      </w:r>
      <w:r w:rsidR="009871AD" w:rsidRPr="00D24B3E">
        <w:t xml:space="preserve">positively impact </w:t>
      </w:r>
      <w:r w:rsidRPr="00D24B3E">
        <w:t>bank productivity by enhancing operational efficiency and scalability.</w:t>
      </w:r>
    </w:p>
    <w:p w14:paraId="2E6EAB9B" w14:textId="71B872AE" w:rsidR="00F02E2D" w:rsidRPr="00D24B3E" w:rsidRDefault="009871AD">
      <w:pPr>
        <w:ind w:left="720"/>
      </w:pPr>
      <w:r w:rsidRPr="00D24B3E">
        <w:t>Valid for Cluster 3, explore how platform investments in digital trade finance are monetized.</w:t>
      </w:r>
    </w:p>
    <w:p w14:paraId="66BA2D3A" w14:textId="77777777" w:rsidR="00F02E2D" w:rsidRPr="00D24B3E" w:rsidRDefault="00F02E2D"/>
    <w:p w14:paraId="0F65F4B2" w14:textId="5563D309" w:rsidR="00F02E2D" w:rsidRPr="00D24B3E" w:rsidRDefault="00000000">
      <w:r w:rsidRPr="00D24B3E">
        <w:t xml:space="preserve">Xiao, Z., Li, Y., </w:t>
      </w:r>
      <w:r w:rsidR="009871AD" w:rsidRPr="00D24B3E">
        <w:t>&amp;</w:t>
      </w:r>
      <w:r w:rsidRPr="00D24B3E">
        <w:t xml:space="preserve"> Xiang, C. (2025). Do suppliers value customer firms’ digital transformation? Evidence from trade credit provision. International Review of Financial Analysis, 103976. https://papers.ssrn.com/sol3/papers.cfm?abstract_id=4807348</w:t>
      </w:r>
    </w:p>
    <w:p w14:paraId="55691659" w14:textId="77777777" w:rsidR="00F02E2D" w:rsidRPr="00D24B3E" w:rsidRDefault="00000000">
      <w:pPr>
        <w:ind w:left="720"/>
      </w:pPr>
      <w:r w:rsidRPr="00D24B3E">
        <w:t>This article examines suppliers' responses to the digital transformation of customer firms, focusing on trade credit decisions.</w:t>
      </w:r>
    </w:p>
    <w:p w14:paraId="3B8B2B53" w14:textId="77777777" w:rsidR="00F02E2D" w:rsidRPr="00D24B3E" w:rsidRDefault="00000000">
      <w:pPr>
        <w:ind w:left="720"/>
      </w:pPr>
      <w:r w:rsidRPr="00D24B3E">
        <w:rPr>
          <w:rFonts w:eastAsia="Times-Roman"/>
        </w:rPr>
        <w:t>This source is relevant as it examines how perceived digital capabilities shape financial relationships, offering insights into client digital adoption behavior and monetization dynamics.</w:t>
      </w:r>
    </w:p>
    <w:p w14:paraId="6509E492" w14:textId="77777777" w:rsidR="00F02E2D" w:rsidRPr="00D24B3E" w:rsidRDefault="00F02E2D">
      <w:pPr>
        <w:ind w:left="720"/>
      </w:pPr>
    </w:p>
    <w:p w14:paraId="47929193" w14:textId="50FC4612" w:rsidR="00F02E2D" w:rsidRPr="00D24B3E" w:rsidRDefault="00000000">
      <w:r w:rsidRPr="00D24B3E">
        <w:t xml:space="preserve">Yu, S., Zheng, X., </w:t>
      </w:r>
      <w:r w:rsidR="009871AD" w:rsidRPr="00D24B3E">
        <w:t>&amp;</w:t>
      </w:r>
      <w:r w:rsidRPr="00D24B3E">
        <w:t xml:space="preserve"> Liu, M. J. (2025). Board digital expertise and digital innovation: Evidence from commercial banks in China. Research in International Business and Finance, 76, 102854. https://ideas.repec.org/a/eee/riibaf/v76y2025ics0275531925001102.html</w:t>
      </w:r>
    </w:p>
    <w:p w14:paraId="5CE79AC1" w14:textId="77777777" w:rsidR="00F02E2D" w:rsidRPr="00D24B3E" w:rsidRDefault="00F02E2D"/>
    <w:p w14:paraId="3C28BC99" w14:textId="77777777" w:rsidR="00F02E2D" w:rsidRPr="00D24B3E" w:rsidRDefault="00000000">
      <w:pPr>
        <w:ind w:left="720"/>
      </w:pPr>
      <w:r w:rsidRPr="00D24B3E">
        <w:t>This research highlights the role of board digital expertise in fostering digital innovation within commercial banks. Results indicate a positive correlation between digitally skilled leadership and successful transformation projects.</w:t>
      </w:r>
    </w:p>
    <w:p w14:paraId="01D8154C" w14:textId="77777777" w:rsidR="00F02E2D" w:rsidRPr="00D24B3E" w:rsidRDefault="00000000">
      <w:pPr>
        <w:ind w:left="720"/>
      </w:pPr>
      <w:r w:rsidRPr="00D24B3E">
        <w:t>Directly supports Cluster 2, particularly the Resource-Based View (RBV), by emphasizing that human capital and governance capabilities are critical digital resources.</w:t>
      </w:r>
    </w:p>
    <w:p w14:paraId="59B5C4AC" w14:textId="77777777" w:rsidR="00F02E2D" w:rsidRPr="00D24B3E" w:rsidRDefault="00F02E2D">
      <w:pPr>
        <w:ind w:left="720"/>
      </w:pPr>
    </w:p>
    <w:p w14:paraId="2D46DFF1" w14:textId="77777777" w:rsidR="00F02E2D" w:rsidRPr="00D24B3E" w:rsidRDefault="00000000">
      <w:r w:rsidRPr="00D24B3E">
        <w:t>Zheng, M. (2025). Digital finance, e-commerce development, and regional trade development. Finance Research Letters, 81, 107532. https://www.researchgate.net/publication/391478142_Digital_Finance_E-commerce_Development_and_Regional_Trade_Development</w:t>
      </w:r>
    </w:p>
    <w:p w14:paraId="1309E8C9" w14:textId="77777777" w:rsidR="00F02E2D" w:rsidRPr="00D24B3E" w:rsidRDefault="00F02E2D">
      <w:pPr>
        <w:ind w:left="720"/>
      </w:pPr>
    </w:p>
    <w:p w14:paraId="7E341E63" w14:textId="77777777" w:rsidR="00F02E2D" w:rsidRPr="00D24B3E" w:rsidRDefault="00000000">
      <w:pPr>
        <w:ind w:left="720"/>
      </w:pPr>
      <w:r w:rsidRPr="00D24B3E">
        <w:t>Digital financial infrastructure significantly facilitates trade by improving access, reducing costs, and increasing efficiency in cross-border transactions.</w:t>
      </w:r>
    </w:p>
    <w:p w14:paraId="307EC516" w14:textId="77777777" w:rsidR="00F02E2D" w:rsidRPr="00D24B3E" w:rsidRDefault="00000000">
      <w:pPr>
        <w:ind w:left="720"/>
      </w:pPr>
      <w:r w:rsidRPr="00D24B3E">
        <w:t>Relevant to digital ecosystems and infrastructure investments, create the conditions for banks to scale digital trade services.</w:t>
      </w:r>
    </w:p>
    <w:p w14:paraId="0A5B9FE8" w14:textId="77777777" w:rsidR="00F02E2D" w:rsidRPr="00D24B3E" w:rsidRDefault="00F02E2D"/>
    <w:p w14:paraId="7812429F" w14:textId="2200DA6A" w:rsidR="00F02E2D" w:rsidRPr="00D24B3E" w:rsidRDefault="00000000">
      <w:r w:rsidRPr="00D24B3E">
        <w:t xml:space="preserve">Zhou, Z., </w:t>
      </w:r>
      <w:r w:rsidR="009871AD" w:rsidRPr="00D24B3E">
        <w:t>&amp;</w:t>
      </w:r>
      <w:r w:rsidRPr="00D24B3E">
        <w:t xml:space="preserve"> Li, Z. (2023). Corporate digital transformation and trade credit financing. Journal of Business Research, 160, 113793. https://www.sciencedirect.com/science/article/abs/pii/S0148296323001510</w:t>
      </w:r>
    </w:p>
    <w:p w14:paraId="6F92C891" w14:textId="77777777" w:rsidR="00F02E2D" w:rsidRPr="00D24B3E" w:rsidRDefault="00F02E2D"/>
    <w:p w14:paraId="6D2557C9" w14:textId="668C20DC" w:rsidR="00F02E2D" w:rsidRPr="00D24B3E" w:rsidRDefault="00000000">
      <w:pPr>
        <w:ind w:left="720"/>
      </w:pPr>
      <w:r w:rsidRPr="00D24B3E">
        <w:t xml:space="preserve">Digital maturity indicates how advanced a firm’s digital capabilities </w:t>
      </w:r>
      <w:r w:rsidR="009871AD" w:rsidRPr="00D24B3E">
        <w:t>are, such as using data analytics, automation, and digital platforms, enhancing its processes</w:t>
      </w:r>
      <w:r w:rsidRPr="00D24B3E">
        <w:t xml:space="preserve">. </w:t>
      </w:r>
    </w:p>
    <w:p w14:paraId="4CA5B6A0" w14:textId="13F636C9" w:rsidR="00F02E2D" w:rsidRPr="00D24B3E" w:rsidRDefault="00000000">
      <w:pPr>
        <w:ind w:left="720"/>
      </w:pPr>
      <w:r w:rsidRPr="00D24B3E">
        <w:t xml:space="preserve">Relevant by </w:t>
      </w:r>
      <w:r w:rsidR="00333704">
        <w:t>supporting</w:t>
      </w:r>
      <w:r w:rsidRPr="00D24B3E">
        <w:t xml:space="preserve"> Cluster 5 by showing how digital maturity enhances trade outcomes, creating fee-based service opportunities for banks across diverse markets.</w:t>
      </w:r>
    </w:p>
    <w:p w14:paraId="0C5BF4AA" w14:textId="77777777" w:rsidR="00F02E2D" w:rsidRPr="00D24B3E" w:rsidRDefault="00000000">
      <w:pPr>
        <w:sectPr w:rsidR="00F02E2D" w:rsidRPr="00D24B3E">
          <w:pgSz w:w="12240" w:h="15840"/>
          <w:pgMar w:top="1440" w:right="1440" w:bottom="1440" w:left="1440" w:header="708" w:footer="708" w:gutter="0"/>
          <w:cols w:space="708"/>
        </w:sectPr>
      </w:pPr>
      <w:r w:rsidRPr="00D24B3E">
        <w:rPr>
          <w:vanish/>
        </w:rPr>
        <w:t> </w:t>
      </w:r>
    </w:p>
    <w:p w14:paraId="3EC5DDBF" w14:textId="579FA618" w:rsidR="00F02E2D" w:rsidRPr="00D24B3E" w:rsidRDefault="00D24B3E" w:rsidP="00D24B3E">
      <w:pPr>
        <w:pStyle w:val="Heading1"/>
        <w:numPr>
          <w:ilvl w:val="0"/>
          <w:numId w:val="3"/>
        </w:numPr>
        <w:rPr>
          <w:sz w:val="24"/>
          <w:szCs w:val="24"/>
        </w:rPr>
      </w:pPr>
      <w:r w:rsidRPr="00D24B3E">
        <w:rPr>
          <w:sz w:val="24"/>
          <w:szCs w:val="24"/>
        </w:rPr>
        <w:lastRenderedPageBreak/>
        <w:t xml:space="preserve"> </w:t>
      </w:r>
      <w:bookmarkStart w:id="10" w:name="_Toc204547903"/>
      <w:r w:rsidRPr="00D24B3E">
        <w:rPr>
          <w:sz w:val="24"/>
          <w:szCs w:val="24"/>
        </w:rPr>
        <w:t>Appendix:</w:t>
      </w:r>
      <w:bookmarkEnd w:id="10"/>
    </w:p>
    <w:p w14:paraId="47D8C6DF" w14:textId="578C5721" w:rsidR="00F02E2D" w:rsidRPr="00D24B3E" w:rsidRDefault="00000000" w:rsidP="00D24B3E">
      <w:pPr>
        <w:pBdr>
          <w:left w:val="none" w:sz="0" w:space="22" w:color="auto"/>
        </w:pBdr>
        <w:spacing w:before="240" w:after="240"/>
      </w:pPr>
      <w:r w:rsidRPr="00D24B3E">
        <w:rPr>
          <w:b/>
          <w:bCs/>
        </w:rPr>
        <w:t>Research Questions</w:t>
      </w:r>
    </w:p>
    <w:p w14:paraId="625234B9" w14:textId="77777777" w:rsidR="00F02E2D" w:rsidRPr="00D24B3E" w:rsidRDefault="00000000" w:rsidP="00FE6CCB">
      <w:pPr>
        <w:numPr>
          <w:ilvl w:val="0"/>
          <w:numId w:val="6"/>
        </w:numPr>
        <w:pBdr>
          <w:left w:val="none" w:sz="0" w:space="4" w:color="auto"/>
        </w:pBdr>
        <w:spacing w:before="240" w:after="120"/>
        <w:ind w:left="1170" w:hanging="450"/>
      </w:pPr>
      <w:r w:rsidRPr="00D24B3E">
        <w:t>How are digital trade platforms architected to support fee-based service offerings?</w:t>
      </w:r>
    </w:p>
    <w:p w14:paraId="06BD83A3" w14:textId="77777777" w:rsidR="00F02E2D" w:rsidRPr="00D24B3E" w:rsidRDefault="00000000" w:rsidP="00FE6CCB">
      <w:pPr>
        <w:numPr>
          <w:ilvl w:val="0"/>
          <w:numId w:val="6"/>
        </w:numPr>
        <w:pBdr>
          <w:left w:val="none" w:sz="0" w:space="4" w:color="auto"/>
        </w:pBdr>
        <w:spacing w:after="120"/>
        <w:ind w:left="1170" w:hanging="450"/>
      </w:pPr>
      <w:r w:rsidRPr="00D24B3E">
        <w:t>What monetization models (e.g., tiered pricing, value-added services) are deployed in digital trade services?</w:t>
      </w:r>
    </w:p>
    <w:p w14:paraId="2F6FC34E" w14:textId="20AFC850" w:rsidR="00F02E2D" w:rsidRPr="00D24B3E" w:rsidRDefault="00000000" w:rsidP="00FE6CCB">
      <w:pPr>
        <w:numPr>
          <w:ilvl w:val="0"/>
          <w:numId w:val="6"/>
        </w:numPr>
        <w:pBdr>
          <w:left w:val="none" w:sz="0" w:space="4" w:color="auto"/>
        </w:pBdr>
        <w:spacing w:after="120"/>
        <w:ind w:left="1170" w:hanging="450"/>
      </w:pPr>
      <w:r w:rsidRPr="00D24B3E">
        <w:t xml:space="preserve">What factors drive or hinder </w:t>
      </w:r>
      <w:r w:rsidR="009871AD" w:rsidRPr="00D24B3E">
        <w:t>corporate banking client adoption of digital trade services</w:t>
      </w:r>
      <w:r w:rsidRPr="00D24B3E">
        <w:t>?</w:t>
      </w:r>
    </w:p>
    <w:p w14:paraId="6DA45EED" w14:textId="77777777" w:rsidR="00F02E2D" w:rsidRPr="00D24B3E" w:rsidRDefault="00000000" w:rsidP="00FE6CCB">
      <w:pPr>
        <w:numPr>
          <w:ilvl w:val="0"/>
          <w:numId w:val="6"/>
        </w:numPr>
        <w:pBdr>
          <w:left w:val="none" w:sz="0" w:space="4" w:color="auto"/>
        </w:pBdr>
        <w:spacing w:after="120"/>
        <w:ind w:left="1170" w:hanging="450"/>
      </w:pPr>
      <w:r w:rsidRPr="00D24B3E">
        <w:t>What internal capabilities (e.g., digital talent, leadership support) enable digital trade monetization?</w:t>
      </w:r>
    </w:p>
    <w:p w14:paraId="55DA90E6" w14:textId="77777777" w:rsidR="00F02E2D" w:rsidRPr="00D24B3E" w:rsidRDefault="00000000" w:rsidP="00FE6CCB">
      <w:pPr>
        <w:numPr>
          <w:ilvl w:val="0"/>
          <w:numId w:val="6"/>
        </w:numPr>
        <w:pBdr>
          <w:left w:val="none" w:sz="0" w:space="4" w:color="auto"/>
        </w:pBdr>
        <w:spacing w:after="120"/>
        <w:ind w:left="1170" w:hanging="450"/>
      </w:pPr>
      <w:r w:rsidRPr="00D24B3E">
        <w:t>How do organizational structures and culture affect platform innovation and revenue generation?</w:t>
      </w:r>
    </w:p>
    <w:p w14:paraId="3CF5A97D" w14:textId="77777777" w:rsidR="00F02E2D" w:rsidRPr="00D24B3E" w:rsidRDefault="00000000" w:rsidP="00FE6CCB">
      <w:pPr>
        <w:numPr>
          <w:ilvl w:val="0"/>
          <w:numId w:val="6"/>
        </w:numPr>
        <w:pBdr>
          <w:left w:val="none" w:sz="0" w:space="4" w:color="auto"/>
        </w:pBdr>
        <w:spacing w:after="120"/>
        <w:ind w:left="1170" w:hanging="450"/>
      </w:pPr>
      <w:r w:rsidRPr="00D24B3E">
        <w:t>How are strategic goals and KPIs for digital trade income aligned across departments?</w:t>
      </w:r>
    </w:p>
    <w:p w14:paraId="3773E366" w14:textId="77777777" w:rsidR="00F02E2D" w:rsidRPr="00D24B3E" w:rsidRDefault="00000000" w:rsidP="00FE6CCB">
      <w:pPr>
        <w:numPr>
          <w:ilvl w:val="0"/>
          <w:numId w:val="6"/>
        </w:numPr>
        <w:pBdr>
          <w:left w:val="none" w:sz="0" w:space="4" w:color="auto"/>
        </w:pBdr>
        <w:spacing w:after="120"/>
        <w:ind w:left="1170" w:hanging="450"/>
      </w:pPr>
      <w:r w:rsidRPr="00D24B3E">
        <w:t>How do banks track the financial performance of digital trade platforms?</w:t>
      </w:r>
    </w:p>
    <w:p w14:paraId="73E7825D" w14:textId="2EFF52EC" w:rsidR="00F02E2D" w:rsidRPr="00D24B3E" w:rsidRDefault="00000000" w:rsidP="00FE6CCB">
      <w:pPr>
        <w:numPr>
          <w:ilvl w:val="0"/>
          <w:numId w:val="6"/>
        </w:numPr>
        <w:pBdr>
          <w:left w:val="none" w:sz="0" w:space="4" w:color="auto"/>
        </w:pBdr>
        <w:spacing w:after="120"/>
        <w:ind w:left="1170" w:hanging="450"/>
      </w:pPr>
      <w:r w:rsidRPr="00D24B3E">
        <w:t xml:space="preserve">What internal metrics are used to </w:t>
      </w:r>
      <w:r w:rsidR="005319C2" w:rsidRPr="00D24B3E">
        <w:t>evaluate</w:t>
      </w:r>
      <w:r w:rsidRPr="00D24B3E">
        <w:t xml:space="preserve"> the profitability of specific digital trade services?</w:t>
      </w:r>
    </w:p>
    <w:p w14:paraId="13812079" w14:textId="1FE1CE67" w:rsidR="00F02E2D" w:rsidRPr="00D24B3E" w:rsidRDefault="00000000" w:rsidP="00FE6CCB">
      <w:pPr>
        <w:numPr>
          <w:ilvl w:val="0"/>
          <w:numId w:val="6"/>
        </w:numPr>
        <w:pBdr>
          <w:left w:val="none" w:sz="0" w:space="4" w:color="auto"/>
        </w:pBdr>
        <w:spacing w:after="120"/>
        <w:ind w:left="1170" w:hanging="450"/>
      </w:pPr>
      <w:r w:rsidRPr="00D24B3E">
        <w:t xml:space="preserve">How do institutions evaluate the impact of digital platforms on </w:t>
      </w:r>
      <w:r w:rsidR="00333704">
        <w:t>cross-selling</w:t>
      </w:r>
      <w:r w:rsidRPr="00D24B3E">
        <w:t xml:space="preserve"> or upsell</w:t>
      </w:r>
      <w:r w:rsidR="005319C2" w:rsidRPr="00D24B3E">
        <w:t>ing</w:t>
      </w:r>
      <w:r w:rsidRPr="00D24B3E">
        <w:t xml:space="preserve"> opportunities?</w:t>
      </w:r>
    </w:p>
    <w:p w14:paraId="5BC79101" w14:textId="77777777" w:rsidR="00F02E2D" w:rsidRPr="00D24B3E" w:rsidRDefault="00000000" w:rsidP="00FE6CCB">
      <w:pPr>
        <w:numPr>
          <w:ilvl w:val="0"/>
          <w:numId w:val="6"/>
        </w:numPr>
        <w:spacing w:after="120"/>
        <w:ind w:left="1170" w:hanging="450"/>
      </w:pPr>
      <w:r w:rsidRPr="00D24B3E">
        <w:t>How do banks incorporate regulatory compliance into the design of digital trade platforms?</w:t>
      </w:r>
    </w:p>
    <w:p w14:paraId="1212C568" w14:textId="77777777" w:rsidR="00F02E2D" w:rsidRPr="00D24B3E" w:rsidRDefault="00000000" w:rsidP="00FE6CCB">
      <w:pPr>
        <w:numPr>
          <w:ilvl w:val="0"/>
          <w:numId w:val="6"/>
        </w:numPr>
        <w:spacing w:after="120"/>
        <w:ind w:left="1170" w:hanging="450"/>
      </w:pPr>
      <w:r w:rsidRPr="00D24B3E">
        <w:t>What role do third-party partnerships (e.g., fintech firms) play in platform strategy</w:t>
      </w:r>
    </w:p>
    <w:p w14:paraId="752BEBCA" w14:textId="77777777" w:rsidR="00F02E2D" w:rsidRPr="00D24B3E" w:rsidRDefault="00000000" w:rsidP="00FE6CCB">
      <w:pPr>
        <w:numPr>
          <w:ilvl w:val="0"/>
          <w:numId w:val="6"/>
        </w:numPr>
        <w:spacing w:after="120"/>
        <w:ind w:left="1170" w:hanging="450"/>
      </w:pPr>
      <w:r w:rsidRPr="00D24B3E">
        <w:t>How do banks educate, onboard, and retain clients on digital trade platforms?</w:t>
      </w:r>
    </w:p>
    <w:p w14:paraId="31018963" w14:textId="77777777" w:rsidR="00F02E2D" w:rsidRPr="00D24B3E" w:rsidRDefault="00000000" w:rsidP="00FE6CCB">
      <w:pPr>
        <w:numPr>
          <w:ilvl w:val="0"/>
          <w:numId w:val="6"/>
        </w:numPr>
        <w:spacing w:after="120"/>
        <w:ind w:left="1170" w:hanging="450"/>
      </w:pPr>
      <w:r w:rsidRPr="00D24B3E">
        <w:t>What feedback mechanisms exist for capturing client experience and improving offerings?</w:t>
      </w:r>
    </w:p>
    <w:p w14:paraId="23006F1D" w14:textId="61E40581" w:rsidR="00F02E2D" w:rsidRPr="00D24B3E" w:rsidRDefault="00000000" w:rsidP="00FE6CCB">
      <w:pPr>
        <w:numPr>
          <w:ilvl w:val="0"/>
          <w:numId w:val="6"/>
        </w:numPr>
        <w:spacing w:after="120"/>
        <w:ind w:left="1170" w:hanging="450"/>
      </w:pPr>
      <w:r w:rsidRPr="00D24B3E">
        <w:t xml:space="preserve">How do </w:t>
      </w:r>
      <w:r w:rsidR="009871AD" w:rsidRPr="00D24B3E">
        <w:t xml:space="preserve">national regulations and digital trade policy differences </w:t>
      </w:r>
      <w:r w:rsidRPr="00D24B3E">
        <w:t>affect platform viability?</w:t>
      </w:r>
    </w:p>
    <w:p w14:paraId="62B35E56" w14:textId="77777777" w:rsidR="00F02E2D" w:rsidRPr="00D24B3E" w:rsidRDefault="00000000" w:rsidP="00FE6CCB">
      <w:pPr>
        <w:numPr>
          <w:ilvl w:val="0"/>
          <w:numId w:val="6"/>
        </w:numPr>
        <w:spacing w:after="120"/>
        <w:ind w:left="1170" w:hanging="450"/>
      </w:pPr>
      <w:r w:rsidRPr="00D24B3E">
        <w:t>How do market expectations around digital transparency, speed, and cost affect income potential?</w:t>
      </w:r>
    </w:p>
    <w:p w14:paraId="1636E8EE" w14:textId="77777777" w:rsidR="00F02E2D" w:rsidRPr="00D24B3E" w:rsidRDefault="00000000" w:rsidP="00FE6CCB">
      <w:pPr>
        <w:numPr>
          <w:ilvl w:val="0"/>
          <w:numId w:val="6"/>
        </w:numPr>
        <w:spacing w:after="240"/>
        <w:ind w:left="1170" w:hanging="450"/>
      </w:pPr>
      <w:r w:rsidRPr="00D24B3E">
        <w:t>How do strategies differ across North Asian markets, and what lessons can be transferred and applied in broader trade ecosystems and cross-border collaboration?</w:t>
      </w:r>
    </w:p>
    <w:p w14:paraId="41792931" w14:textId="2BAD7A73" w:rsidR="00FE6CCB" w:rsidRPr="00D74258" w:rsidRDefault="00FE6CCB" w:rsidP="00D74258">
      <w:pPr>
        <w:rPr>
          <w:b/>
          <w:bCs/>
        </w:rPr>
      </w:pPr>
    </w:p>
    <w:sectPr w:rsidR="00FE6CCB" w:rsidRPr="00D74258">
      <w:footerReference w:type="default" r:id="rId30"/>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92492" w14:textId="77777777" w:rsidR="00F748E8" w:rsidRDefault="00F748E8">
      <w:r>
        <w:separator/>
      </w:r>
    </w:p>
  </w:endnote>
  <w:endnote w:type="continuationSeparator" w:id="0">
    <w:p w14:paraId="17EE2C8C" w14:textId="77777777" w:rsidR="00F748E8" w:rsidRDefault="00F74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Roman">
    <w:altName w:val="Times New Roman"/>
    <w:panose1 w:val="020B0604020202020204"/>
    <w:charset w:val="00"/>
    <w:family w:val="roman"/>
    <w:pitch w:val="default"/>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w:panose1 w:val="020B0004020202020204"/>
    <w:charset w:val="00"/>
    <w:family w:val="swiss"/>
    <w:pitch w:val="variable"/>
    <w:sig w:usb0="20000287" w:usb1="00000003" w:usb2="00000000" w:usb3="00000000" w:csb0="0000019F" w:csb1="00000000"/>
  </w:font>
  <w:font w:name="Times-Italic">
    <w:altName w:val="Times New Roman"/>
    <w:panose1 w:val="020B0604020202020204"/>
    <w:charset w:val="00"/>
    <w:family w:val="roman"/>
    <w:pitch w:val="default"/>
    <w:sig w:usb0="00000003" w:usb1="00000000" w:usb2="00000000" w:usb3="00000000" w:csb0="00000001" w:csb1="00000000"/>
  </w:font>
  <w:font w:name="Times-Bold">
    <w:altName w:val="Times New Roman"/>
    <w:panose1 w:val="020B0604020202020204"/>
    <w:charset w:val="00"/>
    <w:family w:val="roman"/>
    <w:pitch w:val="default"/>
    <w:sig w:usb0="00000003" w:usb1="00000000" w:usb2="00000000" w:usb3="00000000" w:csb0="00000001"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414319"/>
      <w:docPartObj>
        <w:docPartGallery w:val="Page Numbers (Bottom of Page)"/>
        <w:docPartUnique/>
      </w:docPartObj>
    </w:sdtPr>
    <w:sdtContent>
      <w:p w14:paraId="61059FA2" w14:textId="6F78ABBD" w:rsidR="00CD3B4A" w:rsidRDefault="00CD3B4A" w:rsidP="000E1E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03507257"/>
      <w:docPartObj>
        <w:docPartGallery w:val="Page Numbers (Bottom of Page)"/>
        <w:docPartUnique/>
      </w:docPartObj>
    </w:sdtPr>
    <w:sdtContent>
      <w:p w14:paraId="634D8490" w14:textId="440DA340" w:rsidR="00FE6CCB" w:rsidRDefault="00FE6CCB" w:rsidP="00CD3B4A">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02D90D" w14:textId="77777777" w:rsidR="00FE6CCB" w:rsidRDefault="00FE6C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3EC7D" w14:textId="1D223ABC" w:rsidR="00FE6CCB" w:rsidRPr="00A011E8" w:rsidRDefault="00FE6CCB" w:rsidP="00A011E8">
    <w:pPr>
      <w:pStyle w:val="Footer"/>
      <w:jc w:val="center"/>
      <w:rPr>
        <w:color w:val="000000" w:themeColor="text1"/>
      </w:rPr>
    </w:pPr>
    <w:r w:rsidRPr="00FE6CCB">
      <w:rPr>
        <w:color w:val="000000" w:themeColor="text1"/>
      </w:rPr>
      <w:t xml:space="preserve">Page </w:t>
    </w:r>
    <w:r w:rsidRPr="00FE6CCB">
      <w:rPr>
        <w:color w:val="000000" w:themeColor="text1"/>
      </w:rPr>
      <w:fldChar w:fldCharType="begin"/>
    </w:r>
    <w:r w:rsidRPr="00FE6CCB">
      <w:rPr>
        <w:color w:val="000000" w:themeColor="text1"/>
      </w:rPr>
      <w:instrText xml:space="preserve"> PAGE  \* Arabic  \* MERGEFORMAT </w:instrText>
    </w:r>
    <w:r w:rsidRPr="00FE6CCB">
      <w:rPr>
        <w:color w:val="000000" w:themeColor="text1"/>
      </w:rPr>
      <w:fldChar w:fldCharType="separate"/>
    </w:r>
    <w:r w:rsidRPr="00FE6CCB">
      <w:rPr>
        <w:noProof/>
        <w:color w:val="000000" w:themeColor="text1"/>
      </w:rPr>
      <w:t>2</w:t>
    </w:r>
    <w:r w:rsidRPr="00FE6CCB">
      <w:rPr>
        <w:color w:val="000000" w:themeColor="text1"/>
      </w:rPr>
      <w:fldChar w:fldCharType="end"/>
    </w:r>
    <w:r w:rsidRPr="00FE6CCB">
      <w:rPr>
        <w:color w:val="000000" w:themeColor="text1"/>
      </w:rPr>
      <w:t xml:space="preserve"> of </w:t>
    </w:r>
    <w:r w:rsidRPr="00FE6CCB">
      <w:rPr>
        <w:color w:val="000000" w:themeColor="text1"/>
      </w:rPr>
      <w:fldChar w:fldCharType="begin"/>
    </w:r>
    <w:r w:rsidRPr="00FE6CCB">
      <w:rPr>
        <w:color w:val="000000" w:themeColor="text1"/>
      </w:rPr>
      <w:instrText xml:space="preserve"> NUMPAGES  \* Arabic  \* MERGEFORMAT </w:instrText>
    </w:r>
    <w:r w:rsidRPr="00FE6CCB">
      <w:rPr>
        <w:color w:val="000000" w:themeColor="text1"/>
      </w:rPr>
      <w:fldChar w:fldCharType="separate"/>
    </w:r>
    <w:r w:rsidRPr="00FE6CCB">
      <w:rPr>
        <w:noProof/>
        <w:color w:val="000000" w:themeColor="text1"/>
      </w:rPr>
      <w:t>2</w:t>
    </w:r>
    <w:r w:rsidRPr="00FE6CCB">
      <w:rPr>
        <w:color w:val="000000" w:themeColor="text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2337411"/>
      <w:docPartObj>
        <w:docPartGallery w:val="Page Numbers (Bottom of Page)"/>
        <w:docPartUnique/>
      </w:docPartObj>
    </w:sdtPr>
    <w:sdtContent>
      <w:p w14:paraId="6B18716D" w14:textId="2C4F39F5" w:rsidR="00CD3B4A" w:rsidRDefault="00CD3B4A" w:rsidP="000E1E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sdtContent>
  </w:sdt>
  <w:p w14:paraId="5CC56372" w14:textId="77777777" w:rsidR="00F02E2D" w:rsidRDefault="00F02E2D" w:rsidP="00CD3B4A">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26EAD" w14:textId="77777777" w:rsidR="00F748E8" w:rsidRDefault="00F748E8">
      <w:r>
        <w:separator/>
      </w:r>
    </w:p>
  </w:footnote>
  <w:footnote w:type="continuationSeparator" w:id="0">
    <w:p w14:paraId="45069788" w14:textId="77777777" w:rsidR="00F748E8" w:rsidRDefault="00F748E8">
      <w:r>
        <w:continuationSeparator/>
      </w:r>
    </w:p>
  </w:footnote>
  <w:footnote w:id="1">
    <w:p w14:paraId="2F60284B" w14:textId="4BCCDB0B" w:rsidR="00A011E8" w:rsidRPr="00A011E8" w:rsidRDefault="00A011E8" w:rsidP="00A011E8">
      <w:pPr>
        <w:pStyle w:val="Footer"/>
        <w:rPr>
          <w:color w:val="000000" w:themeColor="text1"/>
          <w:sz w:val="16"/>
          <w:szCs w:val="16"/>
        </w:rPr>
      </w:pPr>
      <w:r>
        <w:rPr>
          <w:rStyle w:val="FootnoteReference"/>
        </w:rPr>
        <w:footnoteRef/>
      </w:r>
      <w:r>
        <w:t xml:space="preserve"> </w:t>
      </w:r>
      <w:r w:rsidRPr="00560A7F">
        <w:rPr>
          <w:rFonts w:ascii="Times-Roman" w:hAnsi="Times-Roman" w:cs="Times-Roman"/>
          <w:i/>
          <w:iCs/>
          <w:sz w:val="16"/>
          <w:szCs w:val="16"/>
        </w:rPr>
        <w:t>Digital maturit</w:t>
      </w:r>
      <w:r w:rsidR="00560A7F">
        <w:rPr>
          <w:rFonts w:ascii="Times-Roman" w:hAnsi="Times-Roman" w:cs="Times-Roman"/>
          <w:i/>
          <w:iCs/>
          <w:sz w:val="16"/>
          <w:szCs w:val="16"/>
        </w:rPr>
        <w:t>y</w:t>
      </w:r>
      <w:r w:rsidR="00560A7F">
        <w:rPr>
          <w:rFonts w:ascii="Times-Roman" w:hAnsi="Times-Roman" w:cs="Times-Roman"/>
          <w:sz w:val="16"/>
          <w:szCs w:val="16"/>
        </w:rPr>
        <w:t xml:space="preserve"> </w:t>
      </w:r>
      <w:r w:rsidRPr="00A011E8">
        <w:rPr>
          <w:rFonts w:ascii="Times-Roman" w:hAnsi="Times-Roman" w:cs="Times-Roman"/>
          <w:sz w:val="16"/>
          <w:szCs w:val="16"/>
        </w:rPr>
        <w:t>defined as the extent to which digital technologies are embedded into a firm’s operations and strategy (Zhou &amp; Li, 2023), influences how banks approach platform monetization.</w:t>
      </w:r>
    </w:p>
    <w:p w14:paraId="12F1253D" w14:textId="16F6999E" w:rsidR="00A011E8" w:rsidRDefault="00A011E8">
      <w:pPr>
        <w:pStyle w:val="FootnoteText"/>
      </w:pPr>
    </w:p>
  </w:footnote>
  <w:footnote w:id="2">
    <w:p w14:paraId="1D0E57CA" w14:textId="6A706B36" w:rsidR="008F679C" w:rsidRDefault="008F679C">
      <w:pPr>
        <w:pStyle w:val="FootnoteText"/>
      </w:pPr>
      <w:r>
        <w:rPr>
          <w:rStyle w:val="FootnoteReference"/>
        </w:rPr>
        <w:footnoteRef/>
      </w:r>
      <w:r>
        <w:t xml:space="preserve"> </w:t>
      </w:r>
      <w:r w:rsidR="006B2458" w:rsidRPr="006B2458">
        <w:rPr>
          <w:i/>
          <w:iCs/>
          <w:color w:val="000000"/>
          <w:sz w:val="16"/>
          <w:szCs w:val="16"/>
        </w:rPr>
        <w:t>Cost-to-serve</w:t>
      </w:r>
      <w:r w:rsidR="006B2458" w:rsidRPr="006B2458">
        <w:rPr>
          <w:color w:val="000000"/>
          <w:sz w:val="16"/>
          <w:szCs w:val="16"/>
        </w:rPr>
        <w:t xml:space="preserve"> captures the total expense of delivering a service, including processing, technology, and support (Cai &amp; Chen, 2022).</w:t>
      </w:r>
    </w:p>
  </w:footnote>
  <w:footnote w:id="3">
    <w:p w14:paraId="510386C6" w14:textId="79061EF5" w:rsidR="00560A7F" w:rsidRDefault="00560A7F">
      <w:pPr>
        <w:pStyle w:val="FootnoteText"/>
      </w:pPr>
      <w:r>
        <w:rPr>
          <w:rStyle w:val="FootnoteReference"/>
        </w:rPr>
        <w:footnoteRef/>
      </w:r>
      <w:r>
        <w:t xml:space="preserve"> </w:t>
      </w:r>
      <w:r w:rsidRPr="00560A7F">
        <w:rPr>
          <w:i/>
          <w:iCs/>
          <w:color w:val="000000"/>
          <w:sz w:val="16"/>
          <w:szCs w:val="16"/>
        </w:rPr>
        <w:t>RBV</w:t>
      </w:r>
      <w:r w:rsidRPr="00560A7F">
        <w:rPr>
          <w:color w:val="000000"/>
          <w:sz w:val="16"/>
          <w:szCs w:val="16"/>
        </w:rPr>
        <w:t>: Resource-Based View</w:t>
      </w:r>
      <w:r w:rsidR="005E301C">
        <w:rPr>
          <w:color w:val="000000"/>
          <w:sz w:val="16"/>
          <w:szCs w:val="16"/>
        </w:rPr>
        <w:t xml:space="preserve"> (Barney, J.B., 1991)</w:t>
      </w:r>
      <w:r w:rsidRPr="00560A7F">
        <w:rPr>
          <w:color w:val="000000"/>
          <w:sz w:val="16"/>
          <w:szCs w:val="16"/>
        </w:rPr>
        <w:t xml:space="preserve">; </w:t>
      </w:r>
      <w:r w:rsidRPr="00560A7F">
        <w:rPr>
          <w:i/>
          <w:iCs/>
          <w:color w:val="000000"/>
          <w:sz w:val="16"/>
          <w:szCs w:val="16"/>
        </w:rPr>
        <w:t>TOE:</w:t>
      </w:r>
      <w:r w:rsidRPr="00560A7F">
        <w:rPr>
          <w:color w:val="000000"/>
          <w:sz w:val="16"/>
          <w:szCs w:val="16"/>
        </w:rPr>
        <w:t xml:space="preserve"> Technology</w:t>
      </w:r>
      <w:r>
        <w:rPr>
          <w:color w:val="000000"/>
          <w:sz w:val="16"/>
          <w:szCs w:val="16"/>
        </w:rPr>
        <w:t xml:space="preserve"> </w:t>
      </w:r>
      <w:r w:rsidRPr="00560A7F">
        <w:rPr>
          <w:color w:val="000000"/>
          <w:sz w:val="16"/>
          <w:szCs w:val="16"/>
        </w:rPr>
        <w:t>Organization</w:t>
      </w:r>
      <w:r>
        <w:rPr>
          <w:color w:val="000000"/>
          <w:sz w:val="16"/>
          <w:szCs w:val="16"/>
        </w:rPr>
        <w:t xml:space="preserve"> </w:t>
      </w:r>
      <w:r w:rsidRPr="00560A7F">
        <w:rPr>
          <w:color w:val="000000"/>
          <w:sz w:val="16"/>
          <w:szCs w:val="16"/>
        </w:rPr>
        <w:t>Environment</w:t>
      </w:r>
      <w:r w:rsidR="005E301C">
        <w:rPr>
          <w:color w:val="000000"/>
          <w:sz w:val="16"/>
          <w:szCs w:val="16"/>
        </w:rPr>
        <w:t xml:space="preserve"> (Tornatzky &amp; Fleischer, 1990)</w:t>
      </w:r>
      <w:r w:rsidRPr="00560A7F">
        <w:rPr>
          <w:color w:val="000000"/>
          <w:sz w:val="16"/>
          <w:szCs w:val="16"/>
        </w:rPr>
        <w:t xml:space="preserve">; </w:t>
      </w:r>
      <w:r w:rsidRPr="00560A7F">
        <w:rPr>
          <w:i/>
          <w:iCs/>
          <w:color w:val="000000"/>
          <w:sz w:val="16"/>
          <w:szCs w:val="16"/>
        </w:rPr>
        <w:t>SDL</w:t>
      </w:r>
      <w:r w:rsidRPr="00560A7F">
        <w:rPr>
          <w:color w:val="000000"/>
          <w:sz w:val="16"/>
          <w:szCs w:val="16"/>
        </w:rPr>
        <w:t>: Service-Dominant Logic</w:t>
      </w:r>
      <w:r w:rsidR="005E301C">
        <w:rPr>
          <w:color w:val="000000"/>
          <w:sz w:val="16"/>
          <w:szCs w:val="16"/>
        </w:rPr>
        <w:t xml:space="preserve"> (Vargo &amp; Lusch, 2004)</w:t>
      </w:r>
      <w:r w:rsidRPr="00560A7F">
        <w:rPr>
          <w:color w:val="000000"/>
          <w:sz w:val="16"/>
          <w:szCs w:val="16"/>
        </w:rPr>
        <w:t>.</w:t>
      </w:r>
    </w:p>
  </w:footnote>
  <w:footnote w:id="4">
    <w:p w14:paraId="03009408" w14:textId="77777777" w:rsidR="005E7B5E" w:rsidRDefault="005E7B5E" w:rsidP="005E7B5E">
      <w:pPr>
        <w:pStyle w:val="FootnoteText"/>
      </w:pPr>
      <w:r>
        <w:rPr>
          <w:rStyle w:val="FootnoteReference"/>
        </w:rPr>
        <w:footnoteRef/>
      </w:r>
      <w:r>
        <w:t xml:space="preserve"> </w:t>
      </w:r>
      <w:r w:rsidRPr="00560A7F">
        <w:rPr>
          <w:rStyle w:val="Emphasis"/>
          <w:color w:val="000000"/>
          <w:sz w:val="16"/>
          <w:szCs w:val="16"/>
        </w:rPr>
        <w:t>Tiered pricing models</w:t>
      </w:r>
      <w:r w:rsidRPr="00560A7F">
        <w:rPr>
          <w:rStyle w:val="apple-converted-space"/>
          <w:color w:val="000000"/>
          <w:sz w:val="16"/>
          <w:szCs w:val="16"/>
        </w:rPr>
        <w:t> </w:t>
      </w:r>
      <w:r w:rsidRPr="00560A7F">
        <w:rPr>
          <w:color w:val="000000"/>
          <w:sz w:val="16"/>
          <w:szCs w:val="16"/>
        </w:rPr>
        <w:t>refer to structured fee arrangements in which clients are charged based on predefined usage levels, transaction volumes, or service packages. In digital trade finance, this often involves offering basic digital trade services at a lower cost, with premium features</w:t>
      </w:r>
      <w:r>
        <w:rPr>
          <w:color w:val="000000"/>
          <w:sz w:val="16"/>
          <w:szCs w:val="16"/>
        </w:rPr>
        <w:t xml:space="preserve"> </w:t>
      </w:r>
      <w:r w:rsidRPr="00560A7F">
        <w:rPr>
          <w:color w:val="000000"/>
          <w:sz w:val="16"/>
          <w:szCs w:val="16"/>
        </w:rPr>
        <w:t>such as real-time compliance support or custom integration</w:t>
      </w:r>
      <w:r>
        <w:rPr>
          <w:color w:val="000000"/>
          <w:sz w:val="16"/>
          <w:szCs w:val="16"/>
        </w:rPr>
        <w:t xml:space="preserve"> </w:t>
      </w:r>
      <w:r w:rsidRPr="00560A7F">
        <w:rPr>
          <w:color w:val="000000"/>
          <w:sz w:val="16"/>
          <w:szCs w:val="16"/>
        </w:rPr>
        <w:t>available at higher pricing tiers.</w:t>
      </w:r>
    </w:p>
  </w:footnote>
  <w:footnote w:id="5">
    <w:p w14:paraId="50E3D68A" w14:textId="05B7C7DE" w:rsidR="005E7B5E" w:rsidRPr="005E7B5E" w:rsidRDefault="005E7B5E">
      <w:pPr>
        <w:pStyle w:val="FootnoteText"/>
        <w:rPr>
          <w:sz w:val="16"/>
          <w:szCs w:val="16"/>
        </w:rPr>
      </w:pPr>
      <w:r w:rsidRPr="005E7B5E">
        <w:rPr>
          <w:rStyle w:val="FootnoteReference"/>
          <w:sz w:val="16"/>
          <w:szCs w:val="16"/>
        </w:rPr>
        <w:footnoteRef/>
      </w:r>
      <w:r w:rsidRPr="005E7B5E">
        <w:rPr>
          <w:sz w:val="16"/>
          <w:szCs w:val="16"/>
        </w:rPr>
        <w:t xml:space="preserve"> </w:t>
      </w:r>
      <w:r w:rsidRPr="005E7B5E">
        <w:rPr>
          <w:i/>
          <w:iCs/>
          <w:color w:val="000000"/>
          <w:sz w:val="16"/>
          <w:szCs w:val="16"/>
        </w:rPr>
        <w:t>Subscription-based advisory services</w:t>
      </w:r>
      <w:r w:rsidRPr="005E7B5E">
        <w:rPr>
          <w:color w:val="000000"/>
          <w:sz w:val="16"/>
          <w:szCs w:val="16"/>
        </w:rPr>
        <w:t xml:space="preserve"> offer recurring, bundled trade solutions that enhance revenue stability and client retention (Sultana &amp; Alam, 2024).</w:t>
      </w:r>
    </w:p>
  </w:footnote>
  <w:footnote w:id="6">
    <w:p w14:paraId="54CC47BA" w14:textId="6573FF36" w:rsidR="006B2458" w:rsidRDefault="006B2458">
      <w:pPr>
        <w:pStyle w:val="FootnoteText"/>
      </w:pPr>
      <w:r>
        <w:rPr>
          <w:rStyle w:val="FootnoteReference"/>
        </w:rPr>
        <w:footnoteRef/>
      </w:r>
      <w:r>
        <w:t xml:space="preserve"> </w:t>
      </w:r>
      <w:r w:rsidRPr="006B2458">
        <w:rPr>
          <w:i/>
          <w:iCs/>
          <w:color w:val="000000"/>
          <w:sz w:val="16"/>
          <w:szCs w:val="16"/>
        </w:rPr>
        <w:t>Fee-per-service</w:t>
      </w:r>
      <w:r w:rsidRPr="006B2458">
        <w:rPr>
          <w:color w:val="000000"/>
          <w:sz w:val="16"/>
          <w:szCs w:val="16"/>
        </w:rPr>
        <w:t xml:space="preserve"> refers to income earned from charging clients for individual trade transactions or value-added digital services (Sultana &amp; Alam,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ind w:left="4500" w:hanging="360"/>
      </w:pPr>
    </w:lvl>
    <w:lvl w:ilvl="1">
      <w:start w:val="1"/>
      <w:numFmt w:val="lowerLetter"/>
      <w:lvlText w:val="%2."/>
      <w:lvlJc w:val="left"/>
      <w:pPr>
        <w:tabs>
          <w:tab w:val="num" w:pos="5220"/>
        </w:tabs>
        <w:ind w:left="5220" w:hanging="360"/>
      </w:pPr>
    </w:lvl>
    <w:lvl w:ilvl="2">
      <w:start w:val="1"/>
      <w:numFmt w:val="lowerRoman"/>
      <w:lvlText w:val="%3."/>
      <w:lvlJc w:val="right"/>
      <w:pPr>
        <w:tabs>
          <w:tab w:val="num" w:pos="5940"/>
        </w:tabs>
        <w:ind w:left="5940" w:hanging="180"/>
      </w:pPr>
    </w:lvl>
    <w:lvl w:ilvl="3">
      <w:start w:val="1"/>
      <w:numFmt w:val="decimal"/>
      <w:lvlText w:val="%4."/>
      <w:lvlJc w:val="left"/>
      <w:pPr>
        <w:tabs>
          <w:tab w:val="num" w:pos="6660"/>
        </w:tabs>
        <w:ind w:left="6660" w:hanging="360"/>
      </w:pPr>
    </w:lvl>
    <w:lvl w:ilvl="4">
      <w:start w:val="1"/>
      <w:numFmt w:val="lowerLetter"/>
      <w:lvlText w:val="%5."/>
      <w:lvlJc w:val="left"/>
      <w:pPr>
        <w:tabs>
          <w:tab w:val="num" w:pos="7380"/>
        </w:tabs>
        <w:ind w:left="7380" w:hanging="360"/>
      </w:pPr>
    </w:lvl>
    <w:lvl w:ilvl="5">
      <w:start w:val="1"/>
      <w:numFmt w:val="lowerRoman"/>
      <w:lvlText w:val="%6."/>
      <w:lvlJc w:val="right"/>
      <w:pPr>
        <w:tabs>
          <w:tab w:val="num" w:pos="8100"/>
        </w:tabs>
        <w:ind w:left="8100" w:hanging="180"/>
      </w:pPr>
    </w:lvl>
    <w:lvl w:ilvl="6">
      <w:start w:val="1"/>
      <w:numFmt w:val="decimal"/>
      <w:lvlText w:val="%7."/>
      <w:lvlJc w:val="left"/>
      <w:pPr>
        <w:tabs>
          <w:tab w:val="num" w:pos="8820"/>
        </w:tabs>
        <w:ind w:left="8820" w:hanging="360"/>
      </w:pPr>
    </w:lvl>
    <w:lvl w:ilvl="7">
      <w:start w:val="1"/>
      <w:numFmt w:val="lowerLetter"/>
      <w:lvlText w:val="%8."/>
      <w:lvlJc w:val="left"/>
      <w:pPr>
        <w:tabs>
          <w:tab w:val="num" w:pos="9540"/>
        </w:tabs>
        <w:ind w:left="9540" w:hanging="360"/>
      </w:pPr>
    </w:lvl>
    <w:lvl w:ilvl="8">
      <w:start w:val="1"/>
      <w:numFmt w:val="lowerRoman"/>
      <w:lvlText w:val="%9."/>
      <w:lvlJc w:val="right"/>
      <w:pPr>
        <w:tabs>
          <w:tab w:val="num" w:pos="10260"/>
        </w:tabs>
        <w:ind w:left="10260" w:hanging="180"/>
      </w:pPr>
    </w:lvl>
  </w:abstractNum>
  <w:abstractNum w:abstractNumId="1" w15:restartNumberingAfterBreak="0">
    <w:nsid w:val="00000002"/>
    <w:multiLevelType w:val="multilevel"/>
    <w:tmpl w:val="00000002"/>
    <w:lvl w:ilvl="0">
      <w:start w:val="2"/>
      <w:numFmt w:val="decimal"/>
      <w:lvlText w:val="%1."/>
      <w:lvlJc w:val="left"/>
      <w:pPr>
        <w:ind w:left="0" w:hanging="360"/>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 w15:restartNumberingAfterBreak="0">
    <w:nsid w:val="00000003"/>
    <w:multiLevelType w:val="multilevel"/>
    <w:tmpl w:val="00000003"/>
    <w:lvl w:ilvl="0">
      <w:start w:val="1"/>
      <w:numFmt w:val="decimal"/>
      <w:lvlText w:val="%1."/>
      <w:lvlJc w:val="left"/>
      <w:pPr>
        <w:ind w:left="0" w:hanging="360"/>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15:restartNumberingAfterBreak="0">
    <w:nsid w:val="00000004"/>
    <w:multiLevelType w:val="multilevel"/>
    <w:tmpl w:val="00000004"/>
    <w:lvl w:ilvl="0">
      <w:start w:val="3"/>
      <w:numFmt w:val="decimal"/>
      <w:lvlText w:val="%1."/>
      <w:lvlJc w:val="left"/>
      <w:pPr>
        <w:ind w:left="-1440" w:hanging="360"/>
      </w:pPr>
    </w:lvl>
    <w:lvl w:ilvl="1">
      <w:start w:val="1"/>
      <w:numFmt w:val="lowerLetter"/>
      <w:lvlText w:val="%2."/>
      <w:lvlJc w:val="left"/>
      <w:pPr>
        <w:tabs>
          <w:tab w:val="num" w:pos="-720"/>
        </w:tabs>
        <w:ind w:left="-720" w:hanging="360"/>
      </w:pPr>
    </w:lvl>
    <w:lvl w:ilvl="2">
      <w:start w:val="1"/>
      <w:numFmt w:val="lowerRoman"/>
      <w:lvlText w:val="%3."/>
      <w:lvlJc w:val="right"/>
      <w:pPr>
        <w:tabs>
          <w:tab w:val="num" w:pos="0"/>
        </w:tabs>
        <w:ind w:left="0" w:hanging="180"/>
      </w:pPr>
    </w:lvl>
    <w:lvl w:ilvl="3">
      <w:start w:val="1"/>
      <w:numFmt w:val="decimal"/>
      <w:lvlText w:val="%4."/>
      <w:lvlJc w:val="left"/>
      <w:pPr>
        <w:tabs>
          <w:tab w:val="num" w:pos="720"/>
        </w:tabs>
        <w:ind w:left="720" w:hanging="360"/>
      </w:p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4" w15:restartNumberingAfterBreak="0">
    <w:nsid w:val="00000005"/>
    <w:multiLevelType w:val="multilevel"/>
    <w:tmpl w:val="00000005"/>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1"/>
      <w:numFmt w:val="decimal"/>
      <w:lvlText w:val="%1."/>
      <w:lvlJc w:val="left"/>
      <w:pPr>
        <w:ind w:left="3600" w:hanging="360"/>
      </w:pPr>
    </w:lvl>
    <w:lvl w:ilvl="1">
      <w:start w:val="1"/>
      <w:numFmt w:val="lowerLetter"/>
      <w:lvlText w:val="%2."/>
      <w:lvlJc w:val="left"/>
      <w:pPr>
        <w:tabs>
          <w:tab w:val="num" w:pos="4320"/>
        </w:tabs>
        <w:ind w:left="4320" w:hanging="360"/>
      </w:pPr>
    </w:lvl>
    <w:lvl w:ilvl="2">
      <w:start w:val="1"/>
      <w:numFmt w:val="lowerRoman"/>
      <w:lvlText w:val="%3."/>
      <w:lvlJc w:val="right"/>
      <w:pPr>
        <w:tabs>
          <w:tab w:val="num" w:pos="5040"/>
        </w:tabs>
        <w:ind w:left="5040" w:hanging="180"/>
      </w:pPr>
    </w:lvl>
    <w:lvl w:ilvl="3">
      <w:start w:val="1"/>
      <w:numFmt w:val="decimal"/>
      <w:lvlText w:val="%4."/>
      <w:lvlJc w:val="left"/>
      <w:pPr>
        <w:tabs>
          <w:tab w:val="num" w:pos="5760"/>
        </w:tabs>
        <w:ind w:left="5760" w:hanging="360"/>
      </w:pPr>
    </w:lvl>
    <w:lvl w:ilvl="4">
      <w:start w:val="1"/>
      <w:numFmt w:val="lowerLetter"/>
      <w:lvlText w:val="%5."/>
      <w:lvlJc w:val="left"/>
      <w:pPr>
        <w:tabs>
          <w:tab w:val="num" w:pos="6480"/>
        </w:tabs>
        <w:ind w:left="6480" w:hanging="360"/>
      </w:pPr>
    </w:lvl>
    <w:lvl w:ilvl="5">
      <w:start w:val="1"/>
      <w:numFmt w:val="lowerRoman"/>
      <w:lvlText w:val="%6."/>
      <w:lvlJc w:val="right"/>
      <w:pPr>
        <w:tabs>
          <w:tab w:val="num" w:pos="7200"/>
        </w:tabs>
        <w:ind w:left="7200" w:hanging="180"/>
      </w:pPr>
    </w:lvl>
    <w:lvl w:ilvl="6">
      <w:start w:val="1"/>
      <w:numFmt w:val="decimal"/>
      <w:lvlText w:val="%7."/>
      <w:lvlJc w:val="left"/>
      <w:pPr>
        <w:tabs>
          <w:tab w:val="num" w:pos="7920"/>
        </w:tabs>
        <w:ind w:left="7920" w:hanging="360"/>
      </w:pPr>
    </w:lvl>
    <w:lvl w:ilvl="7">
      <w:start w:val="1"/>
      <w:numFmt w:val="lowerLetter"/>
      <w:lvlText w:val="%8."/>
      <w:lvlJc w:val="left"/>
      <w:pPr>
        <w:tabs>
          <w:tab w:val="num" w:pos="8640"/>
        </w:tabs>
        <w:ind w:left="8640" w:hanging="360"/>
      </w:pPr>
    </w:lvl>
    <w:lvl w:ilvl="8">
      <w:start w:val="1"/>
      <w:numFmt w:val="lowerRoman"/>
      <w:lvlText w:val="%9."/>
      <w:lvlJc w:val="right"/>
      <w:pPr>
        <w:tabs>
          <w:tab w:val="num" w:pos="9360"/>
        </w:tabs>
        <w:ind w:left="9360" w:hanging="180"/>
      </w:pPr>
    </w:lvl>
  </w:abstractNum>
  <w:abstractNum w:abstractNumId="6" w15:restartNumberingAfterBreak="0">
    <w:nsid w:val="00000007"/>
    <w:multiLevelType w:val="multilevel"/>
    <w:tmpl w:val="00000007"/>
    <w:lvl w:ilvl="0">
      <w:start w:val="5"/>
      <w:numFmt w:val="decimal"/>
      <w:lvlText w:val="%1."/>
      <w:lvlJc w:val="left"/>
      <w:pPr>
        <w:ind w:left="0" w:hanging="360"/>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7" w15:restartNumberingAfterBreak="0">
    <w:nsid w:val="0ADB2EED"/>
    <w:multiLevelType w:val="hybridMultilevel"/>
    <w:tmpl w:val="F01A9B9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DB1BBA"/>
    <w:multiLevelType w:val="hybridMultilevel"/>
    <w:tmpl w:val="EE6A18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07F6F7F"/>
    <w:multiLevelType w:val="hybridMultilevel"/>
    <w:tmpl w:val="7D4E9A7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D313BC"/>
    <w:multiLevelType w:val="hybridMultilevel"/>
    <w:tmpl w:val="BD8AF470"/>
    <w:lvl w:ilvl="0" w:tplc="F7807728">
      <w:start w:val="1"/>
      <w:numFmt w:val="decimal"/>
      <w:lvlText w:val="%1."/>
      <w:lvlJc w:val="left"/>
      <w:pPr>
        <w:ind w:left="360" w:hanging="360"/>
      </w:pPr>
      <w:rPr>
        <w:rFonts w:ascii="Times-Roman" w:hAnsi="Times-Roman" w:cs="Times-Roma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40D58AB"/>
    <w:multiLevelType w:val="hybridMultilevel"/>
    <w:tmpl w:val="C3AAC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7145010">
    <w:abstractNumId w:val="0"/>
  </w:num>
  <w:num w:numId="2" w16cid:durableId="975525450">
    <w:abstractNumId w:val="1"/>
  </w:num>
  <w:num w:numId="3" w16cid:durableId="855266329">
    <w:abstractNumId w:val="2"/>
  </w:num>
  <w:num w:numId="4" w16cid:durableId="1143083897">
    <w:abstractNumId w:val="3"/>
  </w:num>
  <w:num w:numId="5" w16cid:durableId="1221361552">
    <w:abstractNumId w:val="4"/>
  </w:num>
  <w:num w:numId="6" w16cid:durableId="1314487246">
    <w:abstractNumId w:val="5"/>
  </w:num>
  <w:num w:numId="7" w16cid:durableId="1463380452">
    <w:abstractNumId w:val="6"/>
  </w:num>
  <w:num w:numId="8" w16cid:durableId="1477452412">
    <w:abstractNumId w:val="8"/>
  </w:num>
  <w:num w:numId="9" w16cid:durableId="1834567956">
    <w:abstractNumId w:val="9"/>
  </w:num>
  <w:num w:numId="10" w16cid:durableId="579020157">
    <w:abstractNumId w:val="7"/>
  </w:num>
  <w:num w:numId="11" w16cid:durableId="610206299">
    <w:abstractNumId w:val="10"/>
  </w:num>
  <w:num w:numId="12" w16cid:durableId="19175503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E2D"/>
    <w:rsid w:val="00014E52"/>
    <w:rsid w:val="00050524"/>
    <w:rsid w:val="0006282F"/>
    <w:rsid w:val="00071ECF"/>
    <w:rsid w:val="00073DAA"/>
    <w:rsid w:val="00085934"/>
    <w:rsid w:val="000B4273"/>
    <w:rsid w:val="000B708A"/>
    <w:rsid w:val="000C7472"/>
    <w:rsid w:val="000D6068"/>
    <w:rsid w:val="00113069"/>
    <w:rsid w:val="00117CEB"/>
    <w:rsid w:val="00124EB2"/>
    <w:rsid w:val="001647C2"/>
    <w:rsid w:val="00191535"/>
    <w:rsid w:val="001F7D9B"/>
    <w:rsid w:val="002126DD"/>
    <w:rsid w:val="0022152C"/>
    <w:rsid w:val="00276CE3"/>
    <w:rsid w:val="0028029D"/>
    <w:rsid w:val="002A290E"/>
    <w:rsid w:val="002A7E15"/>
    <w:rsid w:val="002E60A0"/>
    <w:rsid w:val="002F3D7B"/>
    <w:rsid w:val="00333704"/>
    <w:rsid w:val="00354E75"/>
    <w:rsid w:val="0038262E"/>
    <w:rsid w:val="003826A3"/>
    <w:rsid w:val="003A3B2E"/>
    <w:rsid w:val="003B44D2"/>
    <w:rsid w:val="00427037"/>
    <w:rsid w:val="004F12CF"/>
    <w:rsid w:val="005319C2"/>
    <w:rsid w:val="00532D88"/>
    <w:rsid w:val="0055656F"/>
    <w:rsid w:val="00560A7F"/>
    <w:rsid w:val="00592092"/>
    <w:rsid w:val="005A25C4"/>
    <w:rsid w:val="005B19AC"/>
    <w:rsid w:val="005B4B45"/>
    <w:rsid w:val="005E301C"/>
    <w:rsid w:val="005E7B5E"/>
    <w:rsid w:val="005F44D1"/>
    <w:rsid w:val="0060526B"/>
    <w:rsid w:val="00647657"/>
    <w:rsid w:val="006A684D"/>
    <w:rsid w:val="006B2458"/>
    <w:rsid w:val="006C2C4D"/>
    <w:rsid w:val="00731BAC"/>
    <w:rsid w:val="007B1A88"/>
    <w:rsid w:val="007B441D"/>
    <w:rsid w:val="007D408B"/>
    <w:rsid w:val="0086388B"/>
    <w:rsid w:val="008801AA"/>
    <w:rsid w:val="008A4322"/>
    <w:rsid w:val="008C2B13"/>
    <w:rsid w:val="008D286A"/>
    <w:rsid w:val="008E0032"/>
    <w:rsid w:val="008E1E6C"/>
    <w:rsid w:val="008F679C"/>
    <w:rsid w:val="009676A3"/>
    <w:rsid w:val="009871AD"/>
    <w:rsid w:val="00A011E8"/>
    <w:rsid w:val="00A02839"/>
    <w:rsid w:val="00A1009C"/>
    <w:rsid w:val="00A13E60"/>
    <w:rsid w:val="00A160F6"/>
    <w:rsid w:val="00A763FC"/>
    <w:rsid w:val="00AB79D2"/>
    <w:rsid w:val="00AE4D30"/>
    <w:rsid w:val="00B2055E"/>
    <w:rsid w:val="00B57159"/>
    <w:rsid w:val="00B671AF"/>
    <w:rsid w:val="00B84074"/>
    <w:rsid w:val="00BF2AD9"/>
    <w:rsid w:val="00C163AC"/>
    <w:rsid w:val="00C84DD6"/>
    <w:rsid w:val="00CB6463"/>
    <w:rsid w:val="00CD3B4A"/>
    <w:rsid w:val="00D24B3E"/>
    <w:rsid w:val="00D26B48"/>
    <w:rsid w:val="00D31413"/>
    <w:rsid w:val="00D612B2"/>
    <w:rsid w:val="00D74258"/>
    <w:rsid w:val="00D81885"/>
    <w:rsid w:val="00DE3FE5"/>
    <w:rsid w:val="00E11020"/>
    <w:rsid w:val="00E54653"/>
    <w:rsid w:val="00E614F6"/>
    <w:rsid w:val="00E7283B"/>
    <w:rsid w:val="00E926DC"/>
    <w:rsid w:val="00EA48C6"/>
    <w:rsid w:val="00F02E2D"/>
    <w:rsid w:val="00F34EC6"/>
    <w:rsid w:val="00F614B4"/>
    <w:rsid w:val="00F748E8"/>
    <w:rsid w:val="00F84A1E"/>
    <w:rsid w:val="00F86EB4"/>
    <w:rsid w:val="00F954AC"/>
    <w:rsid w:val="00FA3B2D"/>
    <w:rsid w:val="00FE5713"/>
    <w:rsid w:val="00FE6CCB"/>
    <w:rsid w:val="00FF44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011B34"/>
  <w15:docId w15:val="{83E3C5AD-35BB-274A-8A3F-F50C88625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01C"/>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link w:val="Heading3Char"/>
    <w:uiPriority w:val="9"/>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 w:type="paragraph" w:styleId="Footer">
    <w:name w:val="footer"/>
    <w:basedOn w:val="Normal"/>
    <w:link w:val="FooterChar"/>
    <w:uiPriority w:val="99"/>
    <w:unhideWhenUsed/>
    <w:rsid w:val="00FE6CCB"/>
    <w:pPr>
      <w:tabs>
        <w:tab w:val="center" w:pos="4680"/>
        <w:tab w:val="right" w:pos="9360"/>
      </w:tabs>
    </w:pPr>
  </w:style>
  <w:style w:type="character" w:customStyle="1" w:styleId="FooterChar">
    <w:name w:val="Footer Char"/>
    <w:basedOn w:val="DefaultParagraphFont"/>
    <w:link w:val="Footer"/>
    <w:uiPriority w:val="99"/>
    <w:rsid w:val="00FE6CCB"/>
    <w:rPr>
      <w:sz w:val="24"/>
      <w:szCs w:val="24"/>
    </w:rPr>
  </w:style>
  <w:style w:type="character" w:styleId="PageNumber">
    <w:name w:val="page number"/>
    <w:basedOn w:val="DefaultParagraphFont"/>
    <w:uiPriority w:val="99"/>
    <w:semiHidden/>
    <w:unhideWhenUsed/>
    <w:rsid w:val="00FE6CCB"/>
  </w:style>
  <w:style w:type="paragraph" w:styleId="Header">
    <w:name w:val="header"/>
    <w:basedOn w:val="Normal"/>
    <w:link w:val="HeaderChar"/>
    <w:uiPriority w:val="99"/>
    <w:unhideWhenUsed/>
    <w:rsid w:val="00FE6CCB"/>
    <w:pPr>
      <w:tabs>
        <w:tab w:val="center" w:pos="4680"/>
        <w:tab w:val="right" w:pos="9360"/>
      </w:tabs>
    </w:pPr>
  </w:style>
  <w:style w:type="character" w:customStyle="1" w:styleId="HeaderChar">
    <w:name w:val="Header Char"/>
    <w:basedOn w:val="DefaultParagraphFont"/>
    <w:link w:val="Header"/>
    <w:uiPriority w:val="99"/>
    <w:rsid w:val="00FE6CCB"/>
    <w:rPr>
      <w:sz w:val="24"/>
      <w:szCs w:val="24"/>
    </w:rPr>
  </w:style>
  <w:style w:type="paragraph" w:styleId="ListParagraph">
    <w:name w:val="List Paragraph"/>
    <w:basedOn w:val="Normal"/>
    <w:uiPriority w:val="34"/>
    <w:qFormat/>
    <w:rsid w:val="003826A3"/>
    <w:pPr>
      <w:ind w:left="720"/>
      <w:contextualSpacing/>
    </w:pPr>
  </w:style>
  <w:style w:type="character" w:customStyle="1" w:styleId="Heading3Char">
    <w:name w:val="Heading 3 Char"/>
    <w:basedOn w:val="DefaultParagraphFont"/>
    <w:link w:val="Heading3"/>
    <w:uiPriority w:val="9"/>
    <w:rsid w:val="000B708A"/>
    <w:rPr>
      <w:b/>
      <w:bCs/>
      <w:sz w:val="28"/>
      <w:szCs w:val="28"/>
    </w:rPr>
  </w:style>
  <w:style w:type="character" w:styleId="Strong">
    <w:name w:val="Strong"/>
    <w:basedOn w:val="DefaultParagraphFont"/>
    <w:uiPriority w:val="22"/>
    <w:qFormat/>
    <w:rsid w:val="000B708A"/>
    <w:rPr>
      <w:b/>
      <w:bCs/>
    </w:rPr>
  </w:style>
  <w:style w:type="paragraph" w:styleId="NormalWeb">
    <w:name w:val="Normal (Web)"/>
    <w:basedOn w:val="Normal"/>
    <w:uiPriority w:val="99"/>
    <w:unhideWhenUsed/>
    <w:rsid w:val="000B708A"/>
    <w:pPr>
      <w:spacing w:before="100" w:beforeAutospacing="1" w:after="100" w:afterAutospacing="1"/>
    </w:pPr>
  </w:style>
  <w:style w:type="character" w:customStyle="1" w:styleId="apple-converted-space">
    <w:name w:val="apple-converted-space"/>
    <w:basedOn w:val="DefaultParagraphFont"/>
    <w:rsid w:val="000B708A"/>
  </w:style>
  <w:style w:type="paragraph" w:styleId="FootnoteText">
    <w:name w:val="footnote text"/>
    <w:basedOn w:val="Normal"/>
    <w:link w:val="FootnoteTextChar"/>
    <w:uiPriority w:val="99"/>
    <w:semiHidden/>
    <w:unhideWhenUsed/>
    <w:rsid w:val="00A011E8"/>
    <w:rPr>
      <w:sz w:val="20"/>
      <w:szCs w:val="20"/>
    </w:rPr>
  </w:style>
  <w:style w:type="character" w:customStyle="1" w:styleId="FootnoteTextChar">
    <w:name w:val="Footnote Text Char"/>
    <w:basedOn w:val="DefaultParagraphFont"/>
    <w:link w:val="FootnoteText"/>
    <w:uiPriority w:val="99"/>
    <w:semiHidden/>
    <w:rsid w:val="00A011E8"/>
  </w:style>
  <w:style w:type="character" w:styleId="FootnoteReference">
    <w:name w:val="footnote reference"/>
    <w:basedOn w:val="DefaultParagraphFont"/>
    <w:uiPriority w:val="99"/>
    <w:semiHidden/>
    <w:unhideWhenUsed/>
    <w:rsid w:val="00A011E8"/>
    <w:rPr>
      <w:vertAlign w:val="superscript"/>
    </w:rPr>
  </w:style>
  <w:style w:type="character" w:styleId="Emphasis">
    <w:name w:val="Emphasis"/>
    <w:basedOn w:val="DefaultParagraphFont"/>
    <w:uiPriority w:val="20"/>
    <w:qFormat/>
    <w:rsid w:val="00560A7F"/>
    <w:rPr>
      <w:i/>
      <w:iCs/>
    </w:rPr>
  </w:style>
  <w:style w:type="character" w:styleId="Hyperlink">
    <w:name w:val="Hyperlink"/>
    <w:basedOn w:val="DefaultParagraphFont"/>
    <w:uiPriority w:val="99"/>
    <w:unhideWhenUsed/>
    <w:rsid w:val="00560A7F"/>
    <w:rPr>
      <w:color w:val="467886" w:themeColor="hyperlink"/>
      <w:u w:val="single"/>
    </w:rPr>
  </w:style>
  <w:style w:type="character" w:styleId="UnresolvedMention">
    <w:name w:val="Unresolved Mention"/>
    <w:basedOn w:val="DefaultParagraphFont"/>
    <w:uiPriority w:val="99"/>
    <w:semiHidden/>
    <w:unhideWhenUsed/>
    <w:rsid w:val="00560A7F"/>
    <w:rPr>
      <w:color w:val="605E5C"/>
      <w:shd w:val="clear" w:color="auto" w:fill="E1DFDD"/>
    </w:rPr>
  </w:style>
  <w:style w:type="paragraph" w:styleId="TOCHeading">
    <w:name w:val="TOC Heading"/>
    <w:basedOn w:val="Heading1"/>
    <w:next w:val="Normal"/>
    <w:uiPriority w:val="39"/>
    <w:unhideWhenUsed/>
    <w:qFormat/>
    <w:rsid w:val="00E54653"/>
    <w:pPr>
      <w:keepLines/>
      <w:spacing w:before="480" w:after="0" w:line="276" w:lineRule="auto"/>
      <w:outlineLvl w:val="9"/>
    </w:pPr>
    <w:rPr>
      <w:rFonts w:asciiTheme="majorHAnsi" w:eastAsiaTheme="majorEastAsia" w:hAnsiTheme="majorHAnsi" w:cstheme="majorBidi"/>
      <w:color w:val="0F4761" w:themeColor="accent1" w:themeShade="BF"/>
      <w:kern w:val="0"/>
      <w:sz w:val="28"/>
      <w:szCs w:val="28"/>
      <w:lang w:eastAsia="en-US"/>
    </w:rPr>
  </w:style>
  <w:style w:type="paragraph" w:styleId="TOC2">
    <w:name w:val="toc 2"/>
    <w:basedOn w:val="Normal"/>
    <w:next w:val="Normal"/>
    <w:autoRedefine/>
    <w:uiPriority w:val="39"/>
    <w:unhideWhenUsed/>
    <w:rsid w:val="00E54653"/>
    <w:rPr>
      <w:rFonts w:asciiTheme="minorHAnsi" w:hAnsiTheme="minorHAnsi"/>
      <w:b/>
      <w:bCs/>
      <w:smallCaps/>
      <w:sz w:val="22"/>
      <w:szCs w:val="22"/>
    </w:rPr>
  </w:style>
  <w:style w:type="paragraph" w:styleId="TOC1">
    <w:name w:val="toc 1"/>
    <w:basedOn w:val="Normal"/>
    <w:next w:val="Normal"/>
    <w:autoRedefine/>
    <w:uiPriority w:val="39"/>
    <w:unhideWhenUsed/>
    <w:rsid w:val="00D24B3E"/>
    <w:pPr>
      <w:spacing w:before="360" w:after="360"/>
    </w:pPr>
    <w:rPr>
      <w:rFonts w:asciiTheme="minorHAnsi" w:hAnsiTheme="minorHAnsi"/>
      <w:b/>
      <w:bCs/>
      <w:caps/>
      <w:sz w:val="22"/>
      <w:szCs w:val="22"/>
      <w:u w:val="single"/>
    </w:rPr>
  </w:style>
  <w:style w:type="paragraph" w:styleId="TOC3">
    <w:name w:val="toc 3"/>
    <w:basedOn w:val="Normal"/>
    <w:next w:val="Normal"/>
    <w:autoRedefine/>
    <w:uiPriority w:val="39"/>
    <w:semiHidden/>
    <w:unhideWhenUsed/>
    <w:rsid w:val="00E54653"/>
    <w:rPr>
      <w:rFonts w:asciiTheme="minorHAnsi" w:hAnsiTheme="minorHAnsi"/>
      <w:smallCaps/>
      <w:sz w:val="22"/>
      <w:szCs w:val="22"/>
    </w:rPr>
  </w:style>
  <w:style w:type="paragraph" w:styleId="TOC4">
    <w:name w:val="toc 4"/>
    <w:basedOn w:val="Normal"/>
    <w:next w:val="Normal"/>
    <w:autoRedefine/>
    <w:uiPriority w:val="39"/>
    <w:semiHidden/>
    <w:unhideWhenUsed/>
    <w:rsid w:val="00E54653"/>
    <w:rPr>
      <w:rFonts w:asciiTheme="minorHAnsi" w:hAnsiTheme="minorHAnsi"/>
      <w:sz w:val="22"/>
      <w:szCs w:val="22"/>
    </w:rPr>
  </w:style>
  <w:style w:type="paragraph" w:styleId="TOC5">
    <w:name w:val="toc 5"/>
    <w:basedOn w:val="Normal"/>
    <w:next w:val="Normal"/>
    <w:autoRedefine/>
    <w:uiPriority w:val="39"/>
    <w:semiHidden/>
    <w:unhideWhenUsed/>
    <w:rsid w:val="00E54653"/>
    <w:rPr>
      <w:rFonts w:asciiTheme="minorHAnsi" w:hAnsiTheme="minorHAnsi"/>
      <w:sz w:val="22"/>
      <w:szCs w:val="22"/>
    </w:rPr>
  </w:style>
  <w:style w:type="paragraph" w:styleId="TOC6">
    <w:name w:val="toc 6"/>
    <w:basedOn w:val="Normal"/>
    <w:next w:val="Normal"/>
    <w:autoRedefine/>
    <w:uiPriority w:val="39"/>
    <w:semiHidden/>
    <w:unhideWhenUsed/>
    <w:rsid w:val="00E54653"/>
    <w:rPr>
      <w:rFonts w:asciiTheme="minorHAnsi" w:hAnsiTheme="minorHAnsi"/>
      <w:sz w:val="22"/>
      <w:szCs w:val="22"/>
    </w:rPr>
  </w:style>
  <w:style w:type="paragraph" w:styleId="TOC7">
    <w:name w:val="toc 7"/>
    <w:basedOn w:val="Normal"/>
    <w:next w:val="Normal"/>
    <w:autoRedefine/>
    <w:uiPriority w:val="39"/>
    <w:semiHidden/>
    <w:unhideWhenUsed/>
    <w:rsid w:val="00E54653"/>
    <w:rPr>
      <w:rFonts w:asciiTheme="minorHAnsi" w:hAnsiTheme="minorHAnsi"/>
      <w:sz w:val="22"/>
      <w:szCs w:val="22"/>
    </w:rPr>
  </w:style>
  <w:style w:type="paragraph" w:styleId="TOC8">
    <w:name w:val="toc 8"/>
    <w:basedOn w:val="Normal"/>
    <w:next w:val="Normal"/>
    <w:autoRedefine/>
    <w:uiPriority w:val="39"/>
    <w:semiHidden/>
    <w:unhideWhenUsed/>
    <w:rsid w:val="00E54653"/>
    <w:rPr>
      <w:rFonts w:asciiTheme="minorHAnsi" w:hAnsiTheme="minorHAnsi"/>
      <w:sz w:val="22"/>
      <w:szCs w:val="22"/>
    </w:rPr>
  </w:style>
  <w:style w:type="paragraph" w:styleId="TOC9">
    <w:name w:val="toc 9"/>
    <w:basedOn w:val="Normal"/>
    <w:next w:val="Normal"/>
    <w:autoRedefine/>
    <w:uiPriority w:val="39"/>
    <w:semiHidden/>
    <w:unhideWhenUsed/>
    <w:rsid w:val="00E54653"/>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780413">
      <w:bodyDiv w:val="1"/>
      <w:marLeft w:val="0"/>
      <w:marRight w:val="0"/>
      <w:marTop w:val="0"/>
      <w:marBottom w:val="0"/>
      <w:divBdr>
        <w:top w:val="none" w:sz="0" w:space="0" w:color="auto"/>
        <w:left w:val="none" w:sz="0" w:space="0" w:color="auto"/>
        <w:bottom w:val="none" w:sz="0" w:space="0" w:color="auto"/>
        <w:right w:val="none" w:sz="0" w:space="0" w:color="auto"/>
      </w:divBdr>
    </w:div>
    <w:div w:id="507604075">
      <w:bodyDiv w:val="1"/>
      <w:marLeft w:val="0"/>
      <w:marRight w:val="0"/>
      <w:marTop w:val="0"/>
      <w:marBottom w:val="0"/>
      <w:divBdr>
        <w:top w:val="none" w:sz="0" w:space="0" w:color="auto"/>
        <w:left w:val="none" w:sz="0" w:space="0" w:color="auto"/>
        <w:bottom w:val="none" w:sz="0" w:space="0" w:color="auto"/>
        <w:right w:val="none" w:sz="0" w:space="0" w:color="auto"/>
      </w:divBdr>
    </w:div>
    <w:div w:id="723915223">
      <w:bodyDiv w:val="1"/>
      <w:marLeft w:val="0"/>
      <w:marRight w:val="0"/>
      <w:marTop w:val="0"/>
      <w:marBottom w:val="0"/>
      <w:divBdr>
        <w:top w:val="none" w:sz="0" w:space="0" w:color="auto"/>
        <w:left w:val="none" w:sz="0" w:space="0" w:color="auto"/>
        <w:bottom w:val="none" w:sz="0" w:space="0" w:color="auto"/>
        <w:right w:val="none" w:sz="0" w:space="0" w:color="auto"/>
      </w:divBdr>
    </w:div>
    <w:div w:id="1108499640">
      <w:bodyDiv w:val="1"/>
      <w:marLeft w:val="0"/>
      <w:marRight w:val="0"/>
      <w:marTop w:val="0"/>
      <w:marBottom w:val="0"/>
      <w:divBdr>
        <w:top w:val="none" w:sz="0" w:space="0" w:color="auto"/>
        <w:left w:val="none" w:sz="0" w:space="0" w:color="auto"/>
        <w:bottom w:val="none" w:sz="0" w:space="0" w:color="auto"/>
        <w:right w:val="none" w:sz="0" w:space="0" w:color="auto"/>
      </w:divBdr>
    </w:div>
    <w:div w:id="1365012879">
      <w:bodyDiv w:val="1"/>
      <w:marLeft w:val="0"/>
      <w:marRight w:val="0"/>
      <w:marTop w:val="0"/>
      <w:marBottom w:val="0"/>
      <w:divBdr>
        <w:top w:val="none" w:sz="0" w:space="0" w:color="auto"/>
        <w:left w:val="none" w:sz="0" w:space="0" w:color="auto"/>
        <w:bottom w:val="none" w:sz="0" w:space="0" w:color="auto"/>
        <w:right w:val="none" w:sz="0" w:space="0" w:color="auto"/>
      </w:divBdr>
    </w:div>
    <w:div w:id="1743719638">
      <w:bodyDiv w:val="1"/>
      <w:marLeft w:val="0"/>
      <w:marRight w:val="0"/>
      <w:marTop w:val="0"/>
      <w:marBottom w:val="0"/>
      <w:divBdr>
        <w:top w:val="none" w:sz="0" w:space="0" w:color="auto"/>
        <w:left w:val="none" w:sz="0" w:space="0" w:color="auto"/>
        <w:bottom w:val="none" w:sz="0" w:space="0" w:color="auto"/>
        <w:right w:val="none" w:sz="0" w:space="0" w:color="auto"/>
      </w:divBdr>
    </w:div>
    <w:div w:id="1898588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hyperlink" Target="https://josephmahoney.web.illinois.edu/BA545_Fall%202022/Barney%20(1991).pdf" TargetMode="External"/><Relationship Id="rId26" Type="http://schemas.openxmlformats.org/officeDocument/2006/relationships/hyperlink" Target="https://www.researchgate.net/publication/336457789_Measuring_the_Effect_of_Digitalization_Efforts_on_Bank_Performance" TargetMode="External"/><Relationship Id="rId3" Type="http://schemas.openxmlformats.org/officeDocument/2006/relationships/styles" Target="styles.xml"/><Relationship Id="rId21" Type="http://schemas.openxmlformats.org/officeDocument/2006/relationships/hyperlink" Target="https://ijmres.pk/index.php/IJMRES/article/view/404"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2.xml"/><Relationship Id="rId25" Type="http://schemas.openxmlformats.org/officeDocument/2006/relationships/hyperlink" Target="https://www.sci-hub.se/downloads/2020-07-26/5333/ismail2020.pdf"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researchgate.net/publication/392107393_Does_digital_inclusive_finance_enhance_the_profitability_of_commercial_banks_-_Evidence_from_China" TargetMode="External"/><Relationship Id="rId29" Type="http://schemas.openxmlformats.org/officeDocument/2006/relationships/hyperlink" Target="https://www.researchgate.net/publication/291824703_Technological_Innovation_as_a_Pro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24" Type="http://schemas.openxmlformats.org/officeDocument/2006/relationships/hyperlink" Target="https://www.emerald.com/insight/content/doi/10.1108/cfri-10-2024-0615/full/html?skipTracking=tru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researchgate.net/publication/393290473_Digital_Transformation_and_Profitability_in_Rural_Commercial_Banks" TargetMode="External"/><Relationship Id="rId28" Type="http://schemas.openxmlformats.org/officeDocument/2006/relationships/hyperlink" Target="https://papers.ssrn.com/sol3/papers.cfm?abstract_id=4149109" TargetMode="External"/><Relationship Id="rId10" Type="http://schemas.openxmlformats.org/officeDocument/2006/relationships/image" Target="media/image3.png"/><Relationship Id="rId19" Type="http://schemas.openxmlformats.org/officeDocument/2006/relationships/hyperlink" Target="https://www.researchgate.net/publication/340864701_Asian_Development_Bank_Asia-Pacific_Trade_Facilitation_Report_2019_Bridging_Trade_Finance_Gaps_Through_Technology_Asian_Development_Bank_ADB"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hyperlink" Target="https://www.researchgate.net/publication/390281260_How_supply_chain_and_digitalization_are_significant_contributors_to_international_trade_The_role_of_renewable_and_energy_intensity_in_global_trade_powerhouses'_economies" TargetMode="External"/><Relationship Id="rId27" Type="http://schemas.openxmlformats.org/officeDocument/2006/relationships/hyperlink" Target="https://papers.ssrn.com/sol3/papers.cfm?abstract_id=5161366" TargetMode="Externa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D3461-50FE-8D43-8FAD-6E605E8AD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10167</Words>
  <Characters>57956</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CHAU Ricky</dc:creator>
  <cp:lastModifiedBy>Maureen Chan</cp:lastModifiedBy>
  <cp:revision>2</cp:revision>
  <cp:lastPrinted>2025-07-26T17:19:00Z</cp:lastPrinted>
  <dcterms:created xsi:type="dcterms:W3CDTF">2025-07-27T14:36:00Z</dcterms:created>
  <dcterms:modified xsi:type="dcterms:W3CDTF">2025-07-27T14:36:00Z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5096954f-0b65-4f40-ba12-b5ad6800c968</vt:lpwstr>
  </property>
</Properties>
</file>