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EDADF" w:themeColor="text2" w:themeTint="33"/>
  <w:body>
    <w:p w14:paraId="5CF3ABAA" w14:textId="77777777" w:rsidR="00773CC7" w:rsidRDefault="00773CC7" w:rsidP="00773CC7">
      <w:pPr>
        <w:spacing w:line="360" w:lineRule="auto"/>
        <w:rPr>
          <w:rFonts w:ascii="Arial" w:hAnsi="Arial" w:cs="Arial"/>
          <w:b/>
          <w:bCs/>
          <w:color w:val="000000" w:themeColor="text1"/>
          <w:sz w:val="24"/>
          <w:szCs w:val="24"/>
        </w:rPr>
      </w:pPr>
    </w:p>
    <w:p w14:paraId="1F3F9A41" w14:textId="77777777" w:rsidR="00773CC7" w:rsidRDefault="00773CC7" w:rsidP="00773CC7">
      <w:pPr>
        <w:spacing w:line="360" w:lineRule="auto"/>
        <w:rPr>
          <w:rFonts w:ascii="Arial" w:hAnsi="Arial" w:cs="Arial"/>
          <w:b/>
          <w:bCs/>
          <w:color w:val="000000" w:themeColor="text1"/>
          <w:sz w:val="24"/>
          <w:szCs w:val="24"/>
        </w:rPr>
      </w:pPr>
    </w:p>
    <w:p w14:paraId="2DA7581C" w14:textId="77777777" w:rsidR="00773CC7" w:rsidRDefault="00773CC7" w:rsidP="00773CC7">
      <w:pPr>
        <w:spacing w:line="360" w:lineRule="auto"/>
        <w:rPr>
          <w:rFonts w:ascii="Arial" w:hAnsi="Arial" w:cs="Arial"/>
          <w:b/>
          <w:bCs/>
          <w:color w:val="000000" w:themeColor="text1"/>
          <w:sz w:val="24"/>
          <w:szCs w:val="24"/>
        </w:rPr>
      </w:pPr>
    </w:p>
    <w:p w14:paraId="044BB9CD" w14:textId="77777777" w:rsidR="00773CC7" w:rsidRDefault="00773CC7" w:rsidP="00773CC7">
      <w:pPr>
        <w:spacing w:line="360" w:lineRule="auto"/>
        <w:rPr>
          <w:rFonts w:ascii="Arial" w:hAnsi="Arial" w:cs="Arial"/>
          <w:b/>
          <w:bCs/>
          <w:color w:val="000000" w:themeColor="text1"/>
          <w:sz w:val="24"/>
          <w:szCs w:val="24"/>
        </w:rPr>
      </w:pPr>
    </w:p>
    <w:p w14:paraId="3902260A" w14:textId="77777777" w:rsidR="00773CC7" w:rsidRPr="00773CC7" w:rsidRDefault="00773CC7" w:rsidP="00773CC7">
      <w:pPr>
        <w:spacing w:line="360" w:lineRule="auto"/>
        <w:jc w:val="center"/>
        <w:rPr>
          <w:rFonts w:ascii="Arial" w:hAnsi="Arial" w:cs="Arial"/>
          <w:b/>
          <w:bCs/>
          <w:color w:val="000000" w:themeColor="text1"/>
          <w:sz w:val="36"/>
          <w:szCs w:val="36"/>
        </w:rPr>
      </w:pPr>
    </w:p>
    <w:p w14:paraId="4829E887" w14:textId="68239B1A" w:rsidR="00773CC7" w:rsidRPr="00773CC7" w:rsidRDefault="00773CC7" w:rsidP="00773CC7">
      <w:pPr>
        <w:spacing w:line="360" w:lineRule="auto"/>
        <w:jc w:val="center"/>
        <w:rPr>
          <w:rFonts w:ascii="Arial" w:hAnsi="Arial" w:cs="Arial"/>
          <w:b/>
          <w:bCs/>
          <w:color w:val="000000" w:themeColor="text1"/>
          <w:sz w:val="36"/>
          <w:szCs w:val="36"/>
        </w:rPr>
      </w:pPr>
      <w:r w:rsidRPr="00773CC7">
        <w:rPr>
          <w:rFonts w:ascii="Arial" w:hAnsi="Arial" w:cs="Arial"/>
          <w:b/>
          <w:bCs/>
          <w:color w:val="000000" w:themeColor="text1"/>
          <w:sz w:val="36"/>
          <w:szCs w:val="36"/>
        </w:rPr>
        <w:t>Student Name: Fateha Altafi</w:t>
      </w:r>
    </w:p>
    <w:p w14:paraId="0ACA5A57" w14:textId="77777777" w:rsidR="00773CC7" w:rsidRPr="00773CC7" w:rsidRDefault="00773CC7" w:rsidP="00773CC7">
      <w:pPr>
        <w:spacing w:line="360" w:lineRule="auto"/>
        <w:jc w:val="center"/>
        <w:rPr>
          <w:rFonts w:ascii="Arial" w:hAnsi="Arial" w:cs="Arial"/>
          <w:b/>
          <w:bCs/>
          <w:color w:val="000000" w:themeColor="text1"/>
          <w:sz w:val="36"/>
          <w:szCs w:val="36"/>
        </w:rPr>
      </w:pPr>
      <w:r w:rsidRPr="00773CC7">
        <w:rPr>
          <w:rFonts w:ascii="Arial" w:hAnsi="Arial" w:cs="Arial"/>
          <w:b/>
          <w:bCs/>
          <w:color w:val="000000" w:themeColor="text1"/>
          <w:sz w:val="36"/>
          <w:szCs w:val="36"/>
        </w:rPr>
        <w:t>Student ID : 2309157</w:t>
      </w:r>
    </w:p>
    <w:p w14:paraId="0FF8602C" w14:textId="227A0F32" w:rsidR="00773CC7" w:rsidRPr="00773CC7" w:rsidRDefault="00773CC7" w:rsidP="00773CC7">
      <w:pPr>
        <w:spacing w:line="360" w:lineRule="auto"/>
        <w:jc w:val="center"/>
        <w:rPr>
          <w:rFonts w:ascii="Arial" w:eastAsia="Arial" w:hAnsi="Arial" w:cs="Arial"/>
          <w:sz w:val="32"/>
          <w:szCs w:val="32"/>
        </w:rPr>
      </w:pPr>
      <w:r w:rsidRPr="00773CC7">
        <w:rPr>
          <w:rFonts w:ascii="Arial" w:hAnsi="Arial" w:cs="Arial"/>
          <w:b/>
          <w:sz w:val="32"/>
          <w:szCs w:val="32"/>
        </w:rPr>
        <w:t>Module:</w:t>
      </w:r>
      <w:r w:rsidRPr="00773CC7">
        <w:rPr>
          <w:rFonts w:ascii="Arial" w:eastAsia="Arial" w:hAnsi="Arial" w:cs="Arial"/>
          <w:b/>
          <w:bCs/>
          <w:sz w:val="32"/>
          <w:szCs w:val="32"/>
        </w:rPr>
        <w:t xml:space="preserve"> Community Care and Management of Longer-term Conditions</w:t>
      </w:r>
    </w:p>
    <w:p w14:paraId="468E4409" w14:textId="77777777" w:rsidR="00773CC7" w:rsidRPr="00773CC7" w:rsidRDefault="00773CC7" w:rsidP="00773CC7">
      <w:pPr>
        <w:spacing w:line="360" w:lineRule="auto"/>
        <w:jc w:val="center"/>
        <w:rPr>
          <w:rFonts w:ascii="Arial" w:hAnsi="Arial" w:cs="Arial"/>
          <w:b/>
          <w:bCs/>
          <w:sz w:val="32"/>
          <w:szCs w:val="32"/>
        </w:rPr>
      </w:pPr>
      <w:r w:rsidRPr="00773CC7">
        <w:rPr>
          <w:rFonts w:ascii="Arial" w:hAnsi="Arial" w:cs="Arial"/>
          <w:b/>
          <w:sz w:val="32"/>
          <w:szCs w:val="32"/>
        </w:rPr>
        <w:t>Module code:</w:t>
      </w:r>
      <w:r w:rsidRPr="00773CC7">
        <w:rPr>
          <w:rFonts w:ascii="Arial" w:hAnsi="Arial" w:cs="Arial"/>
          <w:b/>
          <w:bCs/>
          <w:sz w:val="32"/>
          <w:szCs w:val="32"/>
        </w:rPr>
        <w:t xml:space="preserve"> LCHS7003</w:t>
      </w:r>
    </w:p>
    <w:p w14:paraId="5AD4F51E" w14:textId="77777777" w:rsidR="00773CC7" w:rsidRPr="00773CC7" w:rsidRDefault="00773CC7" w:rsidP="00773CC7">
      <w:pPr>
        <w:spacing w:line="360" w:lineRule="auto"/>
        <w:jc w:val="center"/>
        <w:rPr>
          <w:rFonts w:ascii="Arial" w:hAnsi="Arial" w:cs="Arial"/>
          <w:b/>
          <w:bCs/>
          <w:sz w:val="32"/>
          <w:szCs w:val="32"/>
        </w:rPr>
      </w:pPr>
      <w:r w:rsidRPr="00773CC7">
        <w:rPr>
          <w:rFonts w:ascii="Arial" w:hAnsi="Arial" w:cs="Arial"/>
          <w:b/>
          <w:sz w:val="32"/>
          <w:szCs w:val="32"/>
        </w:rPr>
        <w:t xml:space="preserve">Lecturer: </w:t>
      </w:r>
      <w:r w:rsidRPr="00773CC7">
        <w:rPr>
          <w:rFonts w:ascii="Arial" w:hAnsi="Arial" w:cs="Arial"/>
          <w:b/>
          <w:bCs/>
          <w:sz w:val="32"/>
          <w:szCs w:val="32"/>
        </w:rPr>
        <w:t>Dr Aishat Bakre</w:t>
      </w:r>
    </w:p>
    <w:p w14:paraId="36CC76A9" w14:textId="77777777" w:rsidR="00773CC7" w:rsidRPr="00773CC7" w:rsidRDefault="00773CC7" w:rsidP="00773CC7">
      <w:pPr>
        <w:jc w:val="center"/>
        <w:rPr>
          <w:sz w:val="28"/>
          <w:szCs w:val="32"/>
        </w:rPr>
      </w:pPr>
      <w:r w:rsidRPr="00773CC7">
        <w:rPr>
          <w:rFonts w:ascii="Arial" w:hAnsi="Arial" w:cs="Arial"/>
          <w:b/>
          <w:sz w:val="32"/>
          <w:szCs w:val="32"/>
        </w:rPr>
        <w:t>Assignment Title:</w:t>
      </w:r>
      <w:r w:rsidRPr="00773CC7">
        <w:rPr>
          <w:rFonts w:ascii="Arial" w:eastAsia="Arial" w:hAnsi="Arial" w:cs="Arial"/>
          <w:b/>
          <w:bCs/>
          <w:sz w:val="32"/>
          <w:szCs w:val="32"/>
        </w:rPr>
        <w:t xml:space="preserve"> Component 1 </w:t>
      </w:r>
      <w:r w:rsidRPr="00773CC7">
        <w:rPr>
          <w:rFonts w:ascii="Arial" w:eastAsia="Arial" w:hAnsi="Arial" w:cs="Arial"/>
          <w:sz w:val="32"/>
          <w:szCs w:val="32"/>
        </w:rPr>
        <w:t xml:space="preserve"> </w:t>
      </w:r>
      <w:r w:rsidRPr="00773CC7">
        <w:rPr>
          <w:rFonts w:ascii="Arial" w:eastAsia="Arial" w:hAnsi="Arial" w:cs="Arial"/>
          <w:b/>
          <w:bCs/>
          <w:sz w:val="32"/>
          <w:szCs w:val="32"/>
        </w:rPr>
        <w:t>Information Booklet of Long- term Condition Management</w:t>
      </w:r>
    </w:p>
    <w:p w14:paraId="65AA7705" w14:textId="77777777" w:rsidR="003309F9" w:rsidRPr="00773CC7" w:rsidRDefault="003309F9" w:rsidP="00773CC7">
      <w:pPr>
        <w:spacing w:line="360" w:lineRule="auto"/>
        <w:jc w:val="center"/>
        <w:rPr>
          <w:rFonts w:ascii="Arial" w:hAnsi="Arial" w:cs="Arial"/>
          <w:b/>
          <w:color w:val="00B0F0"/>
          <w:sz w:val="72"/>
          <w:szCs w:val="72"/>
          <w14:glow w14:rad="101600">
            <w14:srgbClr w14:val="002060">
              <w14:alpha w14:val="40000"/>
            </w14:srgbClr>
          </w14:glow>
        </w:rPr>
      </w:pPr>
    </w:p>
    <w:p w14:paraId="3C6FD204" w14:textId="77777777" w:rsidR="00773CC7" w:rsidRDefault="00773CC7" w:rsidP="003309F9">
      <w:pPr>
        <w:spacing w:line="360" w:lineRule="auto"/>
        <w:jc w:val="center"/>
        <w:rPr>
          <w:rFonts w:ascii="Arial" w:hAnsi="Arial" w:cs="Arial"/>
          <w:b/>
          <w:color w:val="00B0F0"/>
          <w:sz w:val="48"/>
          <w:szCs w:val="48"/>
          <w14:glow w14:rad="101600">
            <w14:srgbClr w14:val="002060">
              <w14:alpha w14:val="40000"/>
            </w14:srgbClr>
          </w14:glow>
        </w:rPr>
      </w:pPr>
    </w:p>
    <w:p w14:paraId="1B7E7378" w14:textId="77777777" w:rsidR="00773CC7" w:rsidRDefault="00773CC7" w:rsidP="003309F9">
      <w:pPr>
        <w:spacing w:line="360" w:lineRule="auto"/>
        <w:jc w:val="center"/>
        <w:rPr>
          <w:rFonts w:ascii="Arial" w:hAnsi="Arial" w:cs="Arial"/>
          <w:b/>
          <w:color w:val="00B0F0"/>
          <w:sz w:val="48"/>
          <w:szCs w:val="48"/>
          <w14:glow w14:rad="101600">
            <w14:srgbClr w14:val="002060">
              <w14:alpha w14:val="40000"/>
            </w14:srgbClr>
          </w14:glow>
        </w:rPr>
      </w:pPr>
    </w:p>
    <w:p w14:paraId="409DCAE0" w14:textId="77777777" w:rsidR="00773CC7" w:rsidRDefault="00773CC7" w:rsidP="003309F9">
      <w:pPr>
        <w:spacing w:line="360" w:lineRule="auto"/>
        <w:jc w:val="center"/>
        <w:rPr>
          <w:rFonts w:ascii="Arial" w:hAnsi="Arial" w:cs="Arial"/>
          <w:b/>
          <w:color w:val="00B0F0"/>
          <w:sz w:val="48"/>
          <w:szCs w:val="48"/>
          <w14:glow w14:rad="101600">
            <w14:srgbClr w14:val="002060">
              <w14:alpha w14:val="40000"/>
            </w14:srgbClr>
          </w14:glow>
        </w:rPr>
      </w:pPr>
    </w:p>
    <w:p w14:paraId="05FE85A5" w14:textId="77777777" w:rsidR="00773CC7" w:rsidRDefault="00773CC7" w:rsidP="00773CC7">
      <w:pPr>
        <w:spacing w:line="360" w:lineRule="auto"/>
        <w:rPr>
          <w:rFonts w:ascii="Arial" w:hAnsi="Arial" w:cs="Arial"/>
          <w:b/>
          <w:color w:val="00B0F0"/>
          <w:sz w:val="48"/>
          <w:szCs w:val="48"/>
          <w14:glow w14:rad="101600">
            <w14:srgbClr w14:val="002060">
              <w14:alpha w14:val="40000"/>
            </w14:srgbClr>
          </w14:glow>
        </w:rPr>
      </w:pPr>
    </w:p>
    <w:p w14:paraId="6E51905B" w14:textId="77777777" w:rsidR="00773CC7" w:rsidRPr="00E325A2" w:rsidRDefault="00773CC7" w:rsidP="00773CC7">
      <w:pPr>
        <w:spacing w:line="360" w:lineRule="auto"/>
        <w:rPr>
          <w:rFonts w:ascii="Arial" w:hAnsi="Arial" w:cs="Arial"/>
          <w:b/>
          <w:color w:val="00B0F0"/>
          <w:sz w:val="48"/>
          <w:szCs w:val="48"/>
          <w14:glow w14:rad="101600">
            <w14:srgbClr w14:val="002060">
              <w14:alpha w14:val="40000"/>
            </w14:srgbClr>
          </w14:glow>
        </w:rPr>
      </w:pPr>
    </w:p>
    <w:p w14:paraId="4C0AB4E7" w14:textId="77777777" w:rsidR="00E325A2" w:rsidRPr="00C82C18" w:rsidRDefault="002A49F2" w:rsidP="003309F9">
      <w:pPr>
        <w:spacing w:line="360" w:lineRule="auto"/>
        <w:jc w:val="center"/>
        <w:rPr>
          <w:rFonts w:ascii="Arial" w:hAnsi="Arial" w:cs="Arial"/>
          <w:b/>
          <w:color w:val="00B0F0"/>
          <w:sz w:val="52"/>
          <w:szCs w:val="52"/>
          <w:u w:val="single"/>
          <w14:glow w14:rad="101600">
            <w14:srgbClr w14:val="002060">
              <w14:alpha w14:val="40000"/>
            </w14:srgbClr>
          </w14:glow>
        </w:rPr>
      </w:pPr>
      <w:r w:rsidRPr="00C82C18">
        <w:rPr>
          <w:rFonts w:ascii="Arial" w:hAnsi="Arial" w:cs="Arial"/>
          <w:b/>
          <w:color w:val="00B0F0"/>
          <w:sz w:val="52"/>
          <w:szCs w:val="52"/>
          <w:u w:val="single"/>
          <w14:glow w14:rad="101600">
            <w14:srgbClr w14:val="002060">
              <w14:alpha w14:val="40000"/>
            </w14:srgbClr>
          </w14:glow>
        </w:rPr>
        <w:t>LIVING WELL WITH</w:t>
      </w:r>
      <w:r w:rsidR="003309F9" w:rsidRPr="00C82C18">
        <w:rPr>
          <w:rFonts w:ascii="Arial" w:hAnsi="Arial" w:cs="Arial"/>
          <w:b/>
          <w:color w:val="00B0F0"/>
          <w:sz w:val="52"/>
          <w:szCs w:val="52"/>
          <w:u w:val="single"/>
          <w14:glow w14:rad="101600">
            <w14:srgbClr w14:val="002060">
              <w14:alpha w14:val="40000"/>
            </w14:srgbClr>
          </w14:glow>
        </w:rPr>
        <w:t xml:space="preserve"> </w:t>
      </w:r>
    </w:p>
    <w:p w14:paraId="57A4DD1F" w14:textId="55D4493E" w:rsidR="00034285" w:rsidRPr="00C82C18" w:rsidRDefault="002A49F2" w:rsidP="003309F9">
      <w:pPr>
        <w:spacing w:line="360" w:lineRule="auto"/>
        <w:jc w:val="center"/>
        <w:rPr>
          <w:rFonts w:ascii="Arial" w:hAnsi="Arial" w:cs="Arial"/>
          <w:noProof/>
          <w:color w:val="000000" w:themeColor="text1"/>
          <w:sz w:val="52"/>
          <w:szCs w:val="52"/>
          <w:u w:val="single"/>
        </w:rPr>
      </w:pPr>
      <w:r w:rsidRPr="00C82C18">
        <w:rPr>
          <w:rFonts w:ascii="Arial" w:hAnsi="Arial" w:cs="Arial"/>
          <w:b/>
          <w:color w:val="00B0F0"/>
          <w:sz w:val="52"/>
          <w:szCs w:val="52"/>
          <w:u w:val="single"/>
          <w14:glow w14:rad="101600">
            <w14:srgbClr w14:val="002060">
              <w14:alpha w14:val="40000"/>
            </w14:srgbClr>
          </w14:glow>
        </w:rPr>
        <w:t>DEMENTIA</w:t>
      </w:r>
    </w:p>
    <w:p w14:paraId="6AC3D416" w14:textId="77777777" w:rsidR="00F0516C" w:rsidRPr="00627B44" w:rsidRDefault="00034285" w:rsidP="00D556BE">
      <w:pPr>
        <w:spacing w:line="360" w:lineRule="auto"/>
        <w:jc w:val="center"/>
        <w:rPr>
          <w:rFonts w:ascii="Arial" w:hAnsi="Arial" w:cs="Arial"/>
          <w:color w:val="000000" w:themeColor="text1"/>
          <w:sz w:val="24"/>
          <w:szCs w:val="24"/>
        </w:rPr>
      </w:pPr>
      <w:r w:rsidRPr="00627B44">
        <w:rPr>
          <w:rFonts w:ascii="Arial" w:hAnsi="Arial" w:cs="Arial"/>
          <w:noProof/>
          <w:color w:val="000000" w:themeColor="text1"/>
          <w:sz w:val="24"/>
          <w:szCs w:val="24"/>
        </w:rPr>
        <w:drawing>
          <wp:inline distT="0" distB="0" distL="0" distR="0" wp14:anchorId="294669F5" wp14:editId="2840E13A">
            <wp:extent cx="4844511" cy="2498090"/>
            <wp:effectExtent l="76200" t="57150" r="127635" b="130810"/>
            <wp:docPr id="104935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56129" name="Picture 1049356129"/>
                    <pic:cNvPicPr/>
                  </pic:nvPicPr>
                  <pic:blipFill>
                    <a:blip r:embed="rId8"/>
                    <a:stretch>
                      <a:fillRect/>
                    </a:stretch>
                  </pic:blipFill>
                  <pic:spPr>
                    <a:xfrm>
                      <a:off x="0" y="0"/>
                      <a:ext cx="4891790" cy="2522470"/>
                    </a:xfrm>
                    <a:prstGeom prst="roundRect">
                      <a:avLst>
                        <a:gd name="adj" fmla="val 16667"/>
                      </a:avLst>
                    </a:prstGeom>
                    <a:ln>
                      <a:solidFill>
                        <a:srgbClr val="92D050"/>
                      </a:solidFill>
                    </a:ln>
                    <a:effectLst>
                      <a:outerShdw blurRad="50800" dist="38100" dir="2700000" algn="tl" rotWithShape="0">
                        <a:prstClr val="black">
                          <a:alpha val="40000"/>
                        </a:prst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5AC4A6C" w14:textId="77777777" w:rsidR="00F0516C" w:rsidRPr="00627B44" w:rsidRDefault="002A49F2" w:rsidP="00D556BE">
      <w:pPr>
        <w:spacing w:line="360" w:lineRule="auto"/>
        <w:jc w:val="center"/>
        <w:rPr>
          <w:rFonts w:ascii="Arial" w:hAnsi="Arial" w:cs="Arial"/>
          <w:color w:val="000000" w:themeColor="text1"/>
          <w:sz w:val="24"/>
          <w:szCs w:val="24"/>
          <w:u w:val="single"/>
        </w:rPr>
      </w:pPr>
      <w:r w:rsidRPr="00627B44">
        <w:rPr>
          <w:rFonts w:ascii="Arial" w:hAnsi="Arial" w:cs="Arial"/>
          <w:color w:val="000000" w:themeColor="text1"/>
          <w:sz w:val="24"/>
          <w:szCs w:val="24"/>
          <w:u w:val="single"/>
        </w:rPr>
        <w:t>A UK information booklet for people living with dementia and those who support them</w:t>
      </w:r>
    </w:p>
    <w:p w14:paraId="6DB009CB" w14:textId="0279CAF2" w:rsidR="00F0516C" w:rsidRPr="00627B44" w:rsidRDefault="002A49F2" w:rsidP="00D556BE">
      <w:pPr>
        <w:spacing w:line="360" w:lineRule="auto"/>
        <w:jc w:val="center"/>
        <w:rPr>
          <w:rFonts w:ascii="Arial" w:hAnsi="Arial" w:cs="Arial"/>
          <w:color w:val="000000" w:themeColor="text1"/>
          <w:sz w:val="24"/>
          <w:szCs w:val="24"/>
        </w:rPr>
      </w:pPr>
      <w:r w:rsidRPr="00627B44">
        <w:rPr>
          <w:rFonts w:ascii="Arial" w:hAnsi="Arial" w:cs="Arial"/>
          <w:i/>
          <w:color w:val="000000" w:themeColor="text1"/>
          <w:sz w:val="24"/>
          <w:szCs w:val="24"/>
        </w:rPr>
        <w:br/>
        <w:t>Understanding the condition  •  Evidence-based care  •  Person-</w:t>
      </w:r>
      <w:r w:rsidR="00196809" w:rsidRPr="00627B44">
        <w:rPr>
          <w:rFonts w:ascii="Arial" w:hAnsi="Arial" w:cs="Arial"/>
          <w:i/>
          <w:color w:val="000000" w:themeColor="text1"/>
          <w:sz w:val="24"/>
          <w:szCs w:val="24"/>
        </w:rPr>
        <w:t>centred</w:t>
      </w:r>
      <w:r w:rsidRPr="00627B44">
        <w:rPr>
          <w:rFonts w:ascii="Arial" w:hAnsi="Arial" w:cs="Arial"/>
          <w:i/>
          <w:color w:val="000000" w:themeColor="text1"/>
          <w:sz w:val="24"/>
          <w:szCs w:val="24"/>
        </w:rPr>
        <w:t xml:space="preserve"> support</w:t>
      </w:r>
      <w:r w:rsidRPr="00627B44">
        <w:rPr>
          <w:rFonts w:ascii="Arial" w:hAnsi="Arial" w:cs="Arial"/>
          <w:i/>
          <w:color w:val="000000" w:themeColor="text1"/>
          <w:sz w:val="24"/>
          <w:szCs w:val="24"/>
        </w:rPr>
        <w:br/>
      </w:r>
    </w:p>
    <w:p w14:paraId="157494A1" w14:textId="77777777" w:rsidR="00F0516C" w:rsidRDefault="002A49F2" w:rsidP="00D556BE">
      <w:pPr>
        <w:spacing w:line="360" w:lineRule="auto"/>
        <w:jc w:val="center"/>
        <w:rPr>
          <w:rFonts w:ascii="Arial" w:hAnsi="Arial" w:cs="Arial"/>
          <w:color w:val="000000" w:themeColor="text1"/>
          <w:sz w:val="24"/>
          <w:szCs w:val="24"/>
        </w:rPr>
      </w:pPr>
      <w:r w:rsidRPr="00627B44">
        <w:rPr>
          <w:rFonts w:ascii="Arial" w:hAnsi="Arial" w:cs="Arial"/>
          <w:color w:val="000000" w:themeColor="text1"/>
          <w:sz w:val="24"/>
          <w:szCs w:val="24"/>
        </w:rPr>
        <w:t>Prepared October 2026</w:t>
      </w:r>
    </w:p>
    <w:p w14:paraId="34769CE9" w14:textId="77777777" w:rsidR="00F0516C" w:rsidRPr="00627B44" w:rsidRDefault="002A49F2" w:rsidP="00773CC7">
      <w:pPr>
        <w:spacing w:line="360" w:lineRule="auto"/>
        <w:jc w:val="center"/>
        <w:rPr>
          <w:rFonts w:ascii="Arial" w:hAnsi="Arial" w:cs="Arial"/>
          <w:color w:val="000000" w:themeColor="text1"/>
          <w:sz w:val="24"/>
          <w:szCs w:val="24"/>
        </w:rPr>
      </w:pPr>
      <w:r w:rsidRPr="00627B44">
        <w:rPr>
          <w:rFonts w:ascii="Arial" w:hAnsi="Arial" w:cs="Arial"/>
          <w:color w:val="000000" w:themeColor="text1"/>
          <w:sz w:val="24"/>
          <w:szCs w:val="24"/>
        </w:rPr>
        <w:br w:type="page"/>
      </w:r>
    </w:p>
    <w:p w14:paraId="6F614AF9" w14:textId="2B677913"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lastRenderedPageBreak/>
        <w:t>Contents</w:t>
      </w:r>
      <w:r w:rsidRPr="00C70FCA">
        <w:rPr>
          <w:rFonts w:ascii="Arial" w:hAnsi="Arial" w:cs="Arial"/>
          <w:b/>
          <w:bCs/>
          <w:sz w:val="28"/>
          <w:szCs w:val="32"/>
        </w:rPr>
        <w:tab/>
      </w:r>
      <w:r w:rsidR="00773CC7">
        <w:rPr>
          <w:rFonts w:ascii="Arial" w:hAnsi="Arial" w:cs="Arial"/>
          <w:b/>
          <w:bCs/>
          <w:sz w:val="28"/>
          <w:szCs w:val="32"/>
        </w:rPr>
        <w:t>3</w:t>
      </w:r>
    </w:p>
    <w:p w14:paraId="028634FC" w14:textId="00977B55"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1. Understanding dementia</w:t>
      </w:r>
      <w:r w:rsidRPr="00C70FCA">
        <w:rPr>
          <w:rFonts w:ascii="Arial" w:hAnsi="Arial" w:cs="Arial"/>
          <w:b/>
          <w:bCs/>
          <w:sz w:val="28"/>
          <w:szCs w:val="32"/>
        </w:rPr>
        <w:tab/>
      </w:r>
      <w:r w:rsidR="00773CC7">
        <w:rPr>
          <w:rFonts w:ascii="Arial" w:hAnsi="Arial" w:cs="Arial"/>
          <w:b/>
          <w:bCs/>
          <w:sz w:val="28"/>
          <w:szCs w:val="32"/>
        </w:rPr>
        <w:t>4</w:t>
      </w:r>
    </w:p>
    <w:p w14:paraId="71AB6B34" w14:textId="4D23C74F"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2. Causes and risk factors</w:t>
      </w:r>
      <w:r w:rsidRPr="00C70FCA">
        <w:rPr>
          <w:rFonts w:ascii="Arial" w:hAnsi="Arial" w:cs="Arial"/>
          <w:b/>
          <w:bCs/>
          <w:sz w:val="28"/>
          <w:szCs w:val="32"/>
        </w:rPr>
        <w:tab/>
      </w:r>
      <w:r w:rsidR="00773CC7">
        <w:rPr>
          <w:rFonts w:ascii="Arial" w:hAnsi="Arial" w:cs="Arial"/>
          <w:b/>
          <w:bCs/>
          <w:sz w:val="28"/>
          <w:szCs w:val="32"/>
        </w:rPr>
        <w:t>4</w:t>
      </w:r>
    </w:p>
    <w:p w14:paraId="583CAAEB" w14:textId="0F308658"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Non-modifiable risk factors</w:t>
      </w:r>
      <w:r w:rsidRPr="00C70FCA">
        <w:rPr>
          <w:rFonts w:ascii="Arial" w:hAnsi="Arial" w:cs="Arial"/>
          <w:b/>
          <w:bCs/>
          <w:sz w:val="28"/>
          <w:szCs w:val="32"/>
        </w:rPr>
        <w:tab/>
      </w:r>
      <w:r w:rsidR="00773CC7">
        <w:rPr>
          <w:rFonts w:ascii="Arial" w:hAnsi="Arial" w:cs="Arial"/>
          <w:b/>
          <w:bCs/>
          <w:sz w:val="28"/>
          <w:szCs w:val="32"/>
        </w:rPr>
        <w:t>5</w:t>
      </w:r>
    </w:p>
    <w:p w14:paraId="2A75E20C" w14:textId="0857F065"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Modifiable risk factors</w:t>
      </w:r>
      <w:r w:rsidRPr="00C70FCA">
        <w:rPr>
          <w:rFonts w:ascii="Arial" w:hAnsi="Arial" w:cs="Arial"/>
          <w:b/>
          <w:bCs/>
          <w:sz w:val="28"/>
          <w:szCs w:val="32"/>
        </w:rPr>
        <w:tab/>
      </w:r>
      <w:r w:rsidR="00773CC7">
        <w:rPr>
          <w:rFonts w:ascii="Arial" w:hAnsi="Arial" w:cs="Arial"/>
          <w:b/>
          <w:bCs/>
          <w:sz w:val="28"/>
          <w:szCs w:val="32"/>
        </w:rPr>
        <w:t>5</w:t>
      </w:r>
    </w:p>
    <w:p w14:paraId="076DB6B0" w14:textId="21239ACB"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3. Physical, psychological and social impact</w:t>
      </w:r>
      <w:r w:rsidRPr="00C70FCA">
        <w:rPr>
          <w:rFonts w:ascii="Arial" w:hAnsi="Arial" w:cs="Arial"/>
          <w:b/>
          <w:bCs/>
          <w:sz w:val="28"/>
          <w:szCs w:val="32"/>
        </w:rPr>
        <w:tab/>
      </w:r>
      <w:r w:rsidR="00773CC7">
        <w:rPr>
          <w:rFonts w:ascii="Arial" w:hAnsi="Arial" w:cs="Arial"/>
          <w:b/>
          <w:bCs/>
          <w:sz w:val="28"/>
          <w:szCs w:val="32"/>
        </w:rPr>
        <w:t>6</w:t>
      </w:r>
    </w:p>
    <w:p w14:paraId="170626A0" w14:textId="15B475B9"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Physical and practical impact</w:t>
      </w:r>
      <w:r w:rsidRPr="00C70FCA">
        <w:rPr>
          <w:rFonts w:ascii="Arial" w:hAnsi="Arial" w:cs="Arial"/>
          <w:b/>
          <w:bCs/>
          <w:sz w:val="28"/>
          <w:szCs w:val="32"/>
        </w:rPr>
        <w:tab/>
      </w:r>
      <w:r w:rsidR="00773CC7">
        <w:rPr>
          <w:rFonts w:ascii="Arial" w:hAnsi="Arial" w:cs="Arial"/>
          <w:b/>
          <w:bCs/>
          <w:sz w:val="28"/>
          <w:szCs w:val="32"/>
        </w:rPr>
        <w:t>6</w:t>
      </w:r>
    </w:p>
    <w:p w14:paraId="620493CD" w14:textId="0CC07847"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Psychological impact</w:t>
      </w:r>
      <w:r w:rsidRPr="00C70FCA">
        <w:rPr>
          <w:rFonts w:ascii="Arial" w:hAnsi="Arial" w:cs="Arial"/>
          <w:b/>
          <w:bCs/>
          <w:sz w:val="28"/>
          <w:szCs w:val="32"/>
        </w:rPr>
        <w:tab/>
      </w:r>
      <w:r w:rsidR="00773CC7">
        <w:rPr>
          <w:rFonts w:ascii="Arial" w:hAnsi="Arial" w:cs="Arial"/>
          <w:b/>
          <w:bCs/>
          <w:sz w:val="28"/>
          <w:szCs w:val="32"/>
        </w:rPr>
        <w:t>6</w:t>
      </w:r>
    </w:p>
    <w:p w14:paraId="64A70AD8" w14:textId="0FDE1CF6"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Social impact</w:t>
      </w:r>
      <w:r w:rsidRPr="00C70FCA">
        <w:rPr>
          <w:rFonts w:ascii="Arial" w:hAnsi="Arial" w:cs="Arial"/>
          <w:b/>
          <w:bCs/>
          <w:sz w:val="28"/>
          <w:szCs w:val="32"/>
        </w:rPr>
        <w:tab/>
      </w:r>
      <w:r w:rsidR="00773CC7">
        <w:rPr>
          <w:rFonts w:ascii="Arial" w:hAnsi="Arial" w:cs="Arial"/>
          <w:b/>
          <w:bCs/>
          <w:sz w:val="28"/>
          <w:szCs w:val="32"/>
        </w:rPr>
        <w:t>7</w:t>
      </w:r>
    </w:p>
    <w:p w14:paraId="7757E578" w14:textId="2E0B6035"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Impact on families and carers</w:t>
      </w:r>
      <w:r w:rsidRPr="00C70FCA">
        <w:rPr>
          <w:rFonts w:ascii="Arial" w:hAnsi="Arial" w:cs="Arial"/>
          <w:b/>
          <w:bCs/>
          <w:sz w:val="28"/>
          <w:szCs w:val="32"/>
        </w:rPr>
        <w:tab/>
      </w:r>
      <w:r w:rsidR="00773CC7">
        <w:rPr>
          <w:rFonts w:ascii="Arial" w:hAnsi="Arial" w:cs="Arial"/>
          <w:b/>
          <w:bCs/>
          <w:sz w:val="28"/>
          <w:szCs w:val="32"/>
        </w:rPr>
        <w:t>7</w:t>
      </w:r>
    </w:p>
    <w:p w14:paraId="020B271B" w14:textId="3352579E"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4. Diagnosis and evidence-based NHS treatment</w:t>
      </w:r>
      <w:r w:rsidRPr="00C70FCA">
        <w:rPr>
          <w:rFonts w:ascii="Arial" w:hAnsi="Arial" w:cs="Arial"/>
          <w:b/>
          <w:bCs/>
          <w:sz w:val="28"/>
          <w:szCs w:val="32"/>
        </w:rPr>
        <w:tab/>
      </w:r>
      <w:r w:rsidR="00773CC7">
        <w:rPr>
          <w:rFonts w:ascii="Arial" w:hAnsi="Arial" w:cs="Arial"/>
          <w:b/>
          <w:bCs/>
          <w:sz w:val="28"/>
          <w:szCs w:val="32"/>
        </w:rPr>
        <w:t>7</w:t>
      </w:r>
    </w:p>
    <w:p w14:paraId="00E7E9B0" w14:textId="6126DCC3"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Medicines</w:t>
      </w:r>
      <w:r w:rsidRPr="00C70FCA">
        <w:rPr>
          <w:rFonts w:ascii="Arial" w:hAnsi="Arial" w:cs="Arial"/>
          <w:b/>
          <w:bCs/>
          <w:sz w:val="28"/>
          <w:szCs w:val="32"/>
        </w:rPr>
        <w:tab/>
      </w:r>
      <w:r w:rsidR="00773CC7">
        <w:rPr>
          <w:rFonts w:ascii="Arial" w:hAnsi="Arial" w:cs="Arial"/>
          <w:b/>
          <w:bCs/>
          <w:sz w:val="28"/>
          <w:szCs w:val="32"/>
        </w:rPr>
        <w:t>7</w:t>
      </w:r>
    </w:p>
    <w:p w14:paraId="5BFCC53A" w14:textId="5842FA41"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Non-drug support</w:t>
      </w:r>
      <w:r w:rsidRPr="00C70FCA">
        <w:rPr>
          <w:rFonts w:ascii="Arial" w:hAnsi="Arial" w:cs="Arial"/>
          <w:b/>
          <w:bCs/>
          <w:sz w:val="28"/>
          <w:szCs w:val="32"/>
        </w:rPr>
        <w:tab/>
      </w:r>
      <w:r w:rsidR="00773CC7">
        <w:rPr>
          <w:rFonts w:ascii="Arial" w:hAnsi="Arial" w:cs="Arial"/>
          <w:b/>
          <w:bCs/>
          <w:sz w:val="28"/>
          <w:szCs w:val="32"/>
        </w:rPr>
        <w:t>8</w:t>
      </w:r>
    </w:p>
    <w:p w14:paraId="0B272D11" w14:textId="1554F13E"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5. Person-centered care and supported self-management</w:t>
      </w:r>
      <w:r w:rsidRPr="00C70FCA">
        <w:rPr>
          <w:rFonts w:ascii="Arial" w:hAnsi="Arial" w:cs="Arial"/>
          <w:b/>
          <w:bCs/>
          <w:sz w:val="28"/>
          <w:szCs w:val="32"/>
        </w:rPr>
        <w:tab/>
      </w:r>
      <w:r w:rsidR="00773CC7">
        <w:rPr>
          <w:rFonts w:ascii="Arial" w:hAnsi="Arial" w:cs="Arial"/>
          <w:b/>
          <w:bCs/>
          <w:sz w:val="28"/>
          <w:szCs w:val="32"/>
        </w:rPr>
        <w:t>8</w:t>
      </w:r>
    </w:p>
    <w:p w14:paraId="78F8943A" w14:textId="7B08C8E9"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6. Models for improved long-term condition care</w:t>
      </w:r>
      <w:r w:rsidRPr="00C70FCA">
        <w:rPr>
          <w:rFonts w:ascii="Arial" w:hAnsi="Arial" w:cs="Arial"/>
          <w:b/>
          <w:bCs/>
          <w:sz w:val="28"/>
          <w:szCs w:val="32"/>
        </w:rPr>
        <w:tab/>
      </w:r>
      <w:r w:rsidR="00773CC7">
        <w:rPr>
          <w:rFonts w:ascii="Arial" w:hAnsi="Arial" w:cs="Arial"/>
          <w:b/>
          <w:bCs/>
          <w:sz w:val="28"/>
          <w:szCs w:val="32"/>
        </w:rPr>
        <w:t>9</w:t>
      </w:r>
    </w:p>
    <w:p w14:paraId="735B77F8" w14:textId="63437E95"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UK model: The House of Care</w:t>
      </w:r>
      <w:r w:rsidRPr="00C70FCA">
        <w:rPr>
          <w:rFonts w:ascii="Arial" w:hAnsi="Arial" w:cs="Arial"/>
          <w:b/>
          <w:bCs/>
          <w:sz w:val="28"/>
          <w:szCs w:val="32"/>
        </w:rPr>
        <w:tab/>
      </w:r>
      <w:r w:rsidR="00773CC7">
        <w:rPr>
          <w:rFonts w:ascii="Arial" w:hAnsi="Arial" w:cs="Arial"/>
          <w:b/>
          <w:bCs/>
          <w:sz w:val="28"/>
          <w:szCs w:val="32"/>
        </w:rPr>
        <w:t>9</w:t>
      </w:r>
    </w:p>
    <w:p w14:paraId="17164B86" w14:textId="051AA375"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International model: The Chronic Care Model</w:t>
      </w:r>
      <w:r w:rsidRPr="00C70FCA">
        <w:rPr>
          <w:rFonts w:ascii="Arial" w:hAnsi="Arial" w:cs="Arial"/>
          <w:b/>
          <w:bCs/>
          <w:sz w:val="28"/>
          <w:szCs w:val="32"/>
        </w:rPr>
        <w:tab/>
      </w:r>
      <w:r w:rsidR="00773CC7">
        <w:rPr>
          <w:rFonts w:ascii="Arial" w:hAnsi="Arial" w:cs="Arial"/>
          <w:b/>
          <w:bCs/>
          <w:sz w:val="28"/>
          <w:szCs w:val="32"/>
        </w:rPr>
        <w:t>10</w:t>
      </w:r>
    </w:p>
    <w:p w14:paraId="4D5C12D8" w14:textId="3C16CE83"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7. National and local health and social care policy</w:t>
      </w:r>
      <w:r w:rsidRPr="00C70FCA">
        <w:rPr>
          <w:rFonts w:ascii="Arial" w:hAnsi="Arial" w:cs="Arial"/>
          <w:b/>
          <w:bCs/>
          <w:sz w:val="28"/>
          <w:szCs w:val="32"/>
        </w:rPr>
        <w:tab/>
        <w:t>1</w:t>
      </w:r>
      <w:r w:rsidR="00773CC7">
        <w:rPr>
          <w:rFonts w:ascii="Arial" w:hAnsi="Arial" w:cs="Arial"/>
          <w:b/>
          <w:bCs/>
          <w:sz w:val="28"/>
          <w:szCs w:val="32"/>
        </w:rPr>
        <w:t>2</w:t>
      </w:r>
    </w:p>
    <w:p w14:paraId="604BC707" w14:textId="7AAEA2B8" w:rsidR="00C70FCA" w:rsidRPr="00C70FCA" w:rsidRDefault="00C70FCA" w:rsidP="00C70FCA">
      <w:pPr>
        <w:tabs>
          <w:tab w:val="right" w:leader="dot" w:pos="9288"/>
        </w:tabs>
        <w:spacing w:after="40" w:line="360" w:lineRule="auto"/>
        <w:ind w:left="403"/>
        <w:rPr>
          <w:rFonts w:ascii="Arial" w:hAnsi="Arial" w:cs="Arial"/>
          <w:b/>
          <w:bCs/>
          <w:sz w:val="28"/>
          <w:szCs w:val="32"/>
        </w:rPr>
      </w:pPr>
      <w:r w:rsidRPr="00C70FCA">
        <w:rPr>
          <w:rFonts w:ascii="Arial" w:hAnsi="Arial" w:cs="Arial"/>
          <w:b/>
          <w:bCs/>
          <w:sz w:val="28"/>
          <w:szCs w:val="32"/>
        </w:rPr>
        <w:t>Local agenda: Birmingham and Solihull</w:t>
      </w:r>
      <w:r w:rsidRPr="00C70FCA">
        <w:rPr>
          <w:rFonts w:ascii="Arial" w:hAnsi="Arial" w:cs="Arial"/>
          <w:b/>
          <w:bCs/>
          <w:sz w:val="28"/>
          <w:szCs w:val="32"/>
        </w:rPr>
        <w:tab/>
        <w:t>1</w:t>
      </w:r>
      <w:r w:rsidR="00773CC7">
        <w:rPr>
          <w:rFonts w:ascii="Arial" w:hAnsi="Arial" w:cs="Arial"/>
          <w:b/>
          <w:bCs/>
          <w:sz w:val="28"/>
          <w:szCs w:val="32"/>
        </w:rPr>
        <w:t>2</w:t>
      </w:r>
    </w:p>
    <w:p w14:paraId="561F3A39" w14:textId="56C84499"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8. Planning ahead and end-of-life care</w:t>
      </w:r>
      <w:r w:rsidRPr="00C70FCA">
        <w:rPr>
          <w:rFonts w:ascii="Arial" w:hAnsi="Arial" w:cs="Arial"/>
          <w:b/>
          <w:bCs/>
          <w:sz w:val="28"/>
          <w:szCs w:val="32"/>
        </w:rPr>
        <w:tab/>
        <w:t>1</w:t>
      </w:r>
      <w:r w:rsidR="00773CC7">
        <w:rPr>
          <w:rFonts w:ascii="Arial" w:hAnsi="Arial" w:cs="Arial"/>
          <w:b/>
          <w:bCs/>
          <w:sz w:val="28"/>
          <w:szCs w:val="32"/>
        </w:rPr>
        <w:t>3</w:t>
      </w:r>
    </w:p>
    <w:p w14:paraId="07097F04" w14:textId="55E284BC"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9. Recommendations for improving care</w:t>
      </w:r>
      <w:r w:rsidRPr="00C70FCA">
        <w:rPr>
          <w:rFonts w:ascii="Arial" w:hAnsi="Arial" w:cs="Arial"/>
          <w:b/>
          <w:bCs/>
          <w:sz w:val="28"/>
          <w:szCs w:val="32"/>
        </w:rPr>
        <w:tab/>
        <w:t>1</w:t>
      </w:r>
      <w:r w:rsidR="00773CC7">
        <w:rPr>
          <w:rFonts w:ascii="Arial" w:hAnsi="Arial" w:cs="Arial"/>
          <w:b/>
          <w:bCs/>
          <w:sz w:val="28"/>
          <w:szCs w:val="32"/>
        </w:rPr>
        <w:t>4</w:t>
      </w:r>
    </w:p>
    <w:p w14:paraId="125A7BEC" w14:textId="367E3EA3"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Conclusion</w:t>
      </w:r>
      <w:r w:rsidRPr="00C70FCA">
        <w:rPr>
          <w:rFonts w:ascii="Arial" w:hAnsi="Arial" w:cs="Arial"/>
          <w:b/>
          <w:bCs/>
          <w:sz w:val="28"/>
          <w:szCs w:val="32"/>
        </w:rPr>
        <w:tab/>
        <w:t>1</w:t>
      </w:r>
      <w:r w:rsidR="00773CC7">
        <w:rPr>
          <w:rFonts w:ascii="Arial" w:hAnsi="Arial" w:cs="Arial"/>
          <w:b/>
          <w:bCs/>
          <w:sz w:val="28"/>
          <w:szCs w:val="32"/>
        </w:rPr>
        <w:t>4</w:t>
      </w:r>
    </w:p>
    <w:p w14:paraId="3450BA71" w14:textId="3E506C09" w:rsidR="00C70FCA" w:rsidRPr="00C70FCA" w:rsidRDefault="00C70FCA" w:rsidP="00C70FCA">
      <w:pPr>
        <w:tabs>
          <w:tab w:val="right" w:leader="dot" w:pos="9288"/>
        </w:tabs>
        <w:spacing w:after="40" w:line="360" w:lineRule="auto"/>
        <w:rPr>
          <w:rFonts w:ascii="Arial" w:hAnsi="Arial" w:cs="Arial"/>
          <w:b/>
          <w:bCs/>
          <w:sz w:val="28"/>
          <w:szCs w:val="32"/>
        </w:rPr>
      </w:pPr>
      <w:r w:rsidRPr="00C70FCA">
        <w:rPr>
          <w:rFonts w:ascii="Arial" w:hAnsi="Arial" w:cs="Arial"/>
          <w:b/>
          <w:bCs/>
          <w:sz w:val="28"/>
          <w:szCs w:val="32"/>
        </w:rPr>
        <w:t>References</w:t>
      </w:r>
      <w:r w:rsidRPr="00C70FCA">
        <w:rPr>
          <w:rFonts w:ascii="Arial" w:hAnsi="Arial" w:cs="Arial"/>
          <w:b/>
          <w:bCs/>
          <w:sz w:val="28"/>
          <w:szCs w:val="32"/>
        </w:rPr>
        <w:tab/>
        <w:t>1</w:t>
      </w:r>
      <w:r w:rsidR="00773CC7">
        <w:rPr>
          <w:rFonts w:ascii="Arial" w:hAnsi="Arial" w:cs="Arial"/>
          <w:b/>
          <w:bCs/>
          <w:sz w:val="28"/>
          <w:szCs w:val="32"/>
        </w:rPr>
        <w:t>5</w:t>
      </w:r>
    </w:p>
    <w:p w14:paraId="33A5C310" w14:textId="77777777" w:rsidR="00627B44" w:rsidRPr="00627B44" w:rsidRDefault="002A49F2" w:rsidP="00627B44">
      <w:pPr>
        <w:spacing w:line="360" w:lineRule="auto"/>
        <w:rPr>
          <w:rFonts w:ascii="Arial" w:hAnsi="Arial" w:cs="Arial"/>
          <w:b/>
          <w:bCs/>
          <w:color w:val="000000" w:themeColor="text1"/>
          <w:sz w:val="24"/>
          <w:szCs w:val="24"/>
        </w:rPr>
      </w:pPr>
      <w:r w:rsidRPr="00627B44">
        <w:rPr>
          <w:rFonts w:ascii="Arial" w:hAnsi="Arial" w:cs="Arial"/>
          <w:color w:val="000000" w:themeColor="text1"/>
          <w:sz w:val="24"/>
          <w:szCs w:val="24"/>
        </w:rPr>
        <w:br w:type="page"/>
      </w:r>
      <w:bookmarkStart w:id="0" w:name="_Toc242729891"/>
      <w:r w:rsidR="003309F9" w:rsidRPr="00627B44">
        <w:rPr>
          <w:rFonts w:ascii="Arial" w:hAnsi="Arial" w:cs="Arial"/>
          <w:b/>
          <w:bCs/>
          <w:color w:val="000000" w:themeColor="text1"/>
          <w:sz w:val="24"/>
          <w:szCs w:val="24"/>
        </w:rPr>
        <w:lastRenderedPageBreak/>
        <w:t>1</w:t>
      </w:r>
      <w:r w:rsidRPr="00627B44">
        <w:rPr>
          <w:rFonts w:ascii="Arial" w:hAnsi="Arial" w:cs="Arial"/>
          <w:b/>
          <w:bCs/>
          <w:color w:val="000000" w:themeColor="text1"/>
          <w:sz w:val="24"/>
          <w:szCs w:val="24"/>
        </w:rPr>
        <w:t>. Understanding dementia</w:t>
      </w:r>
      <w:bookmarkStart w:id="1" w:name="_Toc242729892"/>
      <w:bookmarkEnd w:id="0"/>
      <w:r w:rsidR="00627B44" w:rsidRPr="00627B44">
        <w:rPr>
          <w:rFonts w:ascii="Arial" w:hAnsi="Arial" w:cs="Arial"/>
          <w:b/>
          <w:bCs/>
          <w:color w:val="000000" w:themeColor="text1"/>
          <w:sz w:val="24"/>
          <w:szCs w:val="24"/>
        </w:rPr>
        <w:t xml:space="preserve">  </w:t>
      </w:r>
    </w:p>
    <w:p w14:paraId="59D45663" w14:textId="3DD982AE" w:rsidR="008B75A1" w:rsidRPr="00627B44" w:rsidRDefault="008B75A1" w:rsidP="00627B44">
      <w:pPr>
        <w:spacing w:line="360" w:lineRule="auto"/>
        <w:rPr>
          <w:rFonts w:ascii="Arial" w:hAnsi="Arial" w:cs="Arial"/>
          <w:b/>
          <w:bCs/>
          <w:color w:val="000000" w:themeColor="text1"/>
          <w:sz w:val="24"/>
          <w:szCs w:val="24"/>
        </w:rPr>
      </w:pPr>
      <w:r w:rsidRPr="00627B44">
        <w:rPr>
          <w:rFonts w:ascii="Arial" w:hAnsi="Arial" w:cs="Arial"/>
          <w:sz w:val="24"/>
          <w:szCs w:val="24"/>
        </w:rPr>
        <w:t xml:space="preserve">Dementia describes symptoms caused by diseases that damage the brain, affecting memory, thinking, communication, judgement, mood and everyday activities. It is not one disease or an inevitable part of ageing. Symptoms and progression differ, so support must reflect each person’s needs and preferences (NICE, 2018). Alzheimer’s disease is the most common cause and often affects learning and recent memory. Vascular dementia is associated with impaired blood supply to the brain and may follow a stroke. Dementia with Lewy bodies can involve fluctuating attention, visual hallucinations and movement difficulties, while frontotemporal dementia may initially affect language, </w:t>
      </w:r>
      <w:r w:rsidR="00C82C18" w:rsidRPr="00627B44">
        <w:rPr>
          <w:rFonts w:ascii="Arial" w:hAnsi="Arial" w:cs="Arial"/>
          <w:sz w:val="24"/>
          <w:szCs w:val="24"/>
        </w:rPr>
        <w:t>behavior</w:t>
      </w:r>
      <w:r w:rsidRPr="00627B44">
        <w:rPr>
          <w:rFonts w:ascii="Arial" w:hAnsi="Arial" w:cs="Arial"/>
          <w:sz w:val="24"/>
          <w:szCs w:val="24"/>
        </w:rPr>
        <w:t xml:space="preserve"> or personality (WHO, 2026; NICE, 2018). The WHO estimated that 57 million people were living with dementia worldwide in 2021, with nearly 10 million new cases annually. In the UK, the Alzheimer’s Society estimated around 982,000 people were living with dementia; numbers are expected to rise as the population ages (WHO, 2026; Alzheimer’s Society, 2024). Estimates vary with methods, age profiles and diagnosis rates, so they indicate service demand rather than predict an individual’s experience. Dementia can affect independence, relationships, finances and community participation, while increasing demand for health and social care and unpaid family support.</w:t>
      </w:r>
    </w:p>
    <w:p w14:paraId="65851CA0" w14:textId="77777777" w:rsidR="00E325A2" w:rsidRDefault="00627B44" w:rsidP="00627B44">
      <w:pPr>
        <w:pStyle w:val="Heading1"/>
        <w:spacing w:line="360" w:lineRule="auto"/>
        <w:rPr>
          <w:rFonts w:ascii="Arial" w:hAnsi="Arial" w:cs="Arial"/>
          <w:color w:val="000000" w:themeColor="text1"/>
          <w:sz w:val="24"/>
          <w:szCs w:val="24"/>
        </w:rPr>
      </w:pPr>
      <w:bookmarkStart w:id="2" w:name="_Toc242729893"/>
      <w:bookmarkEnd w:id="1"/>
      <w:r w:rsidRPr="00627B44">
        <w:rPr>
          <w:rFonts w:ascii="Arial" w:hAnsi="Arial" w:cs="Arial"/>
          <w:color w:val="000000" w:themeColor="text1"/>
          <w:sz w:val="24"/>
          <w:szCs w:val="24"/>
        </w:rPr>
        <w:t>2. Causes and risk factors</w:t>
      </w:r>
      <w:r w:rsidR="00E325A2">
        <w:rPr>
          <w:rFonts w:ascii="Arial" w:hAnsi="Arial" w:cs="Arial"/>
          <w:color w:val="000000" w:themeColor="text1"/>
          <w:sz w:val="24"/>
          <w:szCs w:val="24"/>
        </w:rPr>
        <w:t xml:space="preserve"> </w:t>
      </w:r>
    </w:p>
    <w:p w14:paraId="76C134DF" w14:textId="5F2271EC" w:rsidR="005226B5" w:rsidRPr="00627B44" w:rsidRDefault="005226B5" w:rsidP="00627B44">
      <w:pPr>
        <w:pStyle w:val="Heading1"/>
        <w:spacing w:line="360" w:lineRule="auto"/>
        <w:rPr>
          <w:rFonts w:ascii="Arial" w:hAnsi="Arial" w:cs="Arial"/>
          <w:color w:val="000000" w:themeColor="text1"/>
          <w:sz w:val="24"/>
          <w:szCs w:val="24"/>
        </w:rPr>
      </w:pPr>
      <w:r w:rsidRPr="00627B44">
        <w:rPr>
          <w:rFonts w:ascii="Arial" w:eastAsiaTheme="minorEastAsia" w:hAnsi="Arial" w:cs="Arial"/>
          <w:b w:val="0"/>
          <w:bCs w:val="0"/>
          <w:color w:val="auto"/>
          <w:sz w:val="24"/>
          <w:szCs w:val="24"/>
        </w:rPr>
        <w:t>Dementia usually develops through complex interactions between biological processes, health conditions and social circumstances. Risk factors can increase probability but rarely explain an individual case. Distinguishing risk from cause is important</w:t>
      </w:r>
      <w:r w:rsidR="00C82C18">
        <w:rPr>
          <w:rFonts w:ascii="Arial" w:eastAsiaTheme="minorEastAsia" w:hAnsi="Arial" w:cs="Arial"/>
          <w:b w:val="0"/>
          <w:bCs w:val="0"/>
          <w:color w:val="auto"/>
          <w:sz w:val="24"/>
          <w:szCs w:val="24"/>
        </w:rPr>
        <w:t>,</w:t>
      </w:r>
      <w:r w:rsidRPr="00627B44">
        <w:rPr>
          <w:rFonts w:ascii="Arial" w:eastAsiaTheme="minorEastAsia" w:hAnsi="Arial" w:cs="Arial"/>
          <w:b w:val="0"/>
          <w:bCs w:val="0"/>
          <w:color w:val="auto"/>
          <w:sz w:val="24"/>
          <w:szCs w:val="24"/>
        </w:rPr>
        <w:t xml:space="preserve"> population-level associations do not mean a person’s choices </w:t>
      </w:r>
      <w:r w:rsidR="00196809" w:rsidRPr="00627B44">
        <w:rPr>
          <w:rFonts w:ascii="Arial" w:eastAsiaTheme="minorEastAsia" w:hAnsi="Arial" w:cs="Arial"/>
          <w:b w:val="0"/>
          <w:bCs w:val="0"/>
          <w:color w:val="auto"/>
          <w:sz w:val="24"/>
          <w:szCs w:val="24"/>
        </w:rPr>
        <w:t>cause</w:t>
      </w:r>
      <w:r w:rsidRPr="00627B44">
        <w:rPr>
          <w:rFonts w:ascii="Arial" w:eastAsiaTheme="minorEastAsia" w:hAnsi="Arial" w:cs="Arial"/>
          <w:b w:val="0"/>
          <w:bCs w:val="0"/>
          <w:color w:val="auto"/>
          <w:sz w:val="24"/>
          <w:szCs w:val="24"/>
        </w:rPr>
        <w:t xml:space="preserve"> their dementia, and risk reduction cannot guarantee prevention.</w:t>
      </w:r>
    </w:p>
    <w:p w14:paraId="55D65B9E" w14:textId="77777777" w:rsidR="005226B5" w:rsidRPr="00627B44" w:rsidRDefault="005226B5" w:rsidP="005226B5">
      <w:pPr>
        <w:rPr>
          <w:rFonts w:ascii="Arial" w:hAnsi="Arial" w:cs="Arial"/>
          <w:sz w:val="24"/>
          <w:szCs w:val="24"/>
        </w:rPr>
      </w:pPr>
    </w:p>
    <w:p w14:paraId="2C7694FB" w14:textId="77777777" w:rsidR="005226B5" w:rsidRPr="00627B44" w:rsidRDefault="002A49F2" w:rsidP="00D556BE">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lastRenderedPageBreak/>
        <w:t>Non-modifiable risk factors</w:t>
      </w:r>
      <w:bookmarkStart w:id="3" w:name="_Toc242729894"/>
      <w:bookmarkEnd w:id="2"/>
    </w:p>
    <w:p w14:paraId="5A7706AA" w14:textId="6DD33FFC" w:rsidR="005226B5" w:rsidRPr="00627B44" w:rsidRDefault="005226B5" w:rsidP="00D556BE">
      <w:pPr>
        <w:pStyle w:val="Heading2"/>
        <w:spacing w:line="360" w:lineRule="auto"/>
        <w:rPr>
          <w:rFonts w:ascii="Arial" w:hAnsi="Arial" w:cs="Arial"/>
          <w:color w:val="000000" w:themeColor="text1"/>
          <w:szCs w:val="24"/>
        </w:rPr>
      </w:pPr>
      <w:r w:rsidRPr="00627B44">
        <w:rPr>
          <w:rFonts w:ascii="Arial" w:eastAsiaTheme="minorEastAsia" w:hAnsi="Arial" w:cs="Arial"/>
          <w:b w:val="0"/>
          <w:bCs w:val="0"/>
          <w:color w:val="auto"/>
          <w:szCs w:val="24"/>
        </w:rPr>
        <w:t>Age is the strongest known risk factor because dementia becomes more common as people get older, although it is not an inevitable part of ageing. Family history and inherited genetic variants may increase risk; rare mutations can have a stronger effect, while common variants generally alter probability rather than determine outcomes. People with Down’s syndrome have a higher risk of Alzheimer’s disease because of genetic factors associated with chromosome 21. These factors show why dementia cannot be reduced to lifestyle choices alone (NHS, 2026; WHO, 2026).</w:t>
      </w:r>
    </w:p>
    <w:p w14:paraId="1471C582" w14:textId="77777777" w:rsidR="00627B44" w:rsidRPr="00627B44" w:rsidRDefault="002A49F2" w:rsidP="00627B44">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Modifiable risk factors</w:t>
      </w:r>
      <w:bookmarkStart w:id="4" w:name="_Toc242729895"/>
      <w:bookmarkEnd w:id="3"/>
      <w:r w:rsidR="00627B44" w:rsidRPr="00627B44">
        <w:rPr>
          <w:rFonts w:ascii="Arial" w:hAnsi="Arial" w:cs="Arial"/>
          <w:color w:val="000000" w:themeColor="text1"/>
          <w:szCs w:val="24"/>
        </w:rPr>
        <w:t xml:space="preserve"> </w:t>
      </w:r>
    </w:p>
    <w:p w14:paraId="0AEF9188" w14:textId="514CEAFB" w:rsidR="00627B44" w:rsidRPr="00627B44" w:rsidRDefault="005226B5" w:rsidP="00627B44">
      <w:pPr>
        <w:pStyle w:val="Heading2"/>
        <w:spacing w:line="360" w:lineRule="auto"/>
        <w:rPr>
          <w:rFonts w:ascii="Arial" w:eastAsiaTheme="minorEastAsia" w:hAnsi="Arial" w:cs="Arial"/>
          <w:b w:val="0"/>
          <w:bCs w:val="0"/>
          <w:color w:val="auto"/>
          <w:szCs w:val="24"/>
        </w:rPr>
      </w:pPr>
      <w:r w:rsidRPr="00627B44">
        <w:rPr>
          <w:rFonts w:ascii="Arial" w:eastAsiaTheme="minorEastAsia" w:hAnsi="Arial" w:cs="Arial"/>
          <w:b w:val="0"/>
          <w:bCs w:val="0"/>
          <w:color w:val="auto"/>
          <w:szCs w:val="24"/>
        </w:rPr>
        <w:t xml:space="preserve">High blood pressure, high LDL cholesterol and diabetes can damage blood vessels and increase vascular brain injury; identifying and managing them supports cardiovascular and brain health. Smoking, harmful alcohol use, obesity and physical inactivity are also associated with risk. Hearing loss, untreated vision loss, depression, social isolation, air pollution and limited educational opportunities have been identified as potentially modifiable factors (WHO, 2019; Livingston et al., 2024). Associations differ in strength and certainty, and some factors may interact across a lifetime. Access to healthy food, safe places to exercise, education and timely healthcare </w:t>
      </w:r>
      <w:r w:rsidR="00196809" w:rsidRPr="00627B44">
        <w:rPr>
          <w:rFonts w:ascii="Arial" w:eastAsiaTheme="minorEastAsia" w:hAnsi="Arial" w:cs="Arial"/>
          <w:b w:val="0"/>
          <w:bCs w:val="0"/>
          <w:color w:val="auto"/>
          <w:szCs w:val="24"/>
        </w:rPr>
        <w:t>are</w:t>
      </w:r>
      <w:r w:rsidRPr="00627B44">
        <w:rPr>
          <w:rFonts w:ascii="Arial" w:eastAsiaTheme="minorEastAsia" w:hAnsi="Arial" w:cs="Arial"/>
          <w:b w:val="0"/>
          <w:bCs w:val="0"/>
          <w:color w:val="auto"/>
          <w:szCs w:val="24"/>
        </w:rPr>
        <w:t xml:space="preserve"> unequal, so prevention advice alone can unfairly place responsibility on individuals. Services should combine practical support for vascular health, smoking cessation, sensory checks and social connection with action on barriers to access.</w:t>
      </w:r>
    </w:p>
    <w:p w14:paraId="53D8AACC" w14:textId="67A39DF4" w:rsidR="005226B5" w:rsidRPr="00627B44" w:rsidRDefault="005226B5" w:rsidP="00627B44">
      <w:pPr>
        <w:pStyle w:val="Heading2"/>
        <w:spacing w:line="360" w:lineRule="auto"/>
        <w:rPr>
          <w:rFonts w:ascii="Arial" w:hAnsi="Arial" w:cs="Arial"/>
          <w:color w:val="000000" w:themeColor="text1"/>
          <w:szCs w:val="24"/>
        </w:rPr>
      </w:pPr>
      <w:r w:rsidRPr="00627B44">
        <w:rPr>
          <w:rFonts w:ascii="Arial" w:eastAsiaTheme="minorEastAsia" w:hAnsi="Arial" w:cs="Arial"/>
          <w:b w:val="0"/>
          <w:bCs w:val="0"/>
          <w:color w:val="auto"/>
          <w:szCs w:val="24"/>
        </w:rPr>
        <w:t>The 2024 Lancet Commission estimated that addressing 14 potentially modifiable risk factors could prevent or delay around 45% of dementia cases at population level (Livingston et al., 2024). This estimate models potential effects across populations; it is not a prediction for an individual and does not mean all cases are preventable. Prevention should therefore be presented as risk reduction, not a guarantee or a reason to blame people who develop dementia.</w:t>
      </w:r>
    </w:p>
    <w:p w14:paraId="2CA05F5D" w14:textId="77777777" w:rsidR="005226B5" w:rsidRPr="00627B44" w:rsidRDefault="005226B5" w:rsidP="005226B5">
      <w:pPr>
        <w:rPr>
          <w:rFonts w:ascii="Arial" w:hAnsi="Arial" w:cs="Arial"/>
          <w:sz w:val="24"/>
          <w:szCs w:val="24"/>
        </w:rPr>
      </w:pPr>
    </w:p>
    <w:p w14:paraId="62CD81DB" w14:textId="577237EF" w:rsidR="00F0516C" w:rsidRPr="00627B44" w:rsidRDefault="002A49F2" w:rsidP="005226B5">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lastRenderedPageBreak/>
        <w:t>3. Physical, psychological and social impact</w:t>
      </w:r>
      <w:bookmarkEnd w:id="4"/>
    </w:p>
    <w:p w14:paraId="00FB9D88" w14:textId="77777777" w:rsidR="00F0516C" w:rsidRPr="00627B44" w:rsidRDefault="002A49F2" w:rsidP="00D556BE">
      <w:pPr>
        <w:pStyle w:val="Heading2"/>
        <w:spacing w:line="360" w:lineRule="auto"/>
        <w:rPr>
          <w:rFonts w:ascii="Arial" w:hAnsi="Arial" w:cs="Arial"/>
          <w:color w:val="000000" w:themeColor="text1"/>
          <w:szCs w:val="24"/>
        </w:rPr>
      </w:pPr>
      <w:bookmarkStart w:id="5" w:name="_Toc242729896"/>
      <w:r w:rsidRPr="00627B44">
        <w:rPr>
          <w:rFonts w:ascii="Arial" w:hAnsi="Arial" w:cs="Arial"/>
          <w:color w:val="000000" w:themeColor="text1"/>
          <w:szCs w:val="24"/>
        </w:rPr>
        <w:t>Physical and practical impact</w:t>
      </w:r>
      <w:bookmarkEnd w:id="5"/>
    </w:p>
    <w:p w14:paraId="11A18171" w14:textId="162280B8" w:rsidR="005226B5" w:rsidRPr="00081569" w:rsidRDefault="005226B5" w:rsidP="00D556BE">
      <w:pPr>
        <w:pStyle w:val="Heading2"/>
        <w:spacing w:line="360" w:lineRule="auto"/>
        <w:rPr>
          <w:rFonts w:ascii="Arial" w:eastAsiaTheme="minorEastAsia" w:hAnsi="Arial" w:cs="Arial"/>
          <w:b w:val="0"/>
          <w:bCs w:val="0"/>
          <w:color w:val="000000" w:themeColor="text1"/>
          <w:szCs w:val="24"/>
        </w:rPr>
      </w:pPr>
      <w:r w:rsidRPr="00081569">
        <w:rPr>
          <w:rFonts w:ascii="Arial" w:hAnsi="Arial" w:cs="Arial"/>
          <w:b w:val="0"/>
          <w:bCs w:val="0"/>
          <w:color w:val="000000" w:themeColor="text1"/>
        </w:rPr>
        <w:t xml:space="preserve">As dementia progresses, a person may need more support with eating, drinking, </w:t>
      </w:r>
      <w:r w:rsidR="00773CC7" w:rsidRPr="00081569">
        <w:rPr>
          <w:rFonts w:ascii="Arial" w:hAnsi="Arial" w:cs="Arial"/>
          <w:b w:val="0"/>
          <w:bCs w:val="0"/>
          <w:color w:val="000000" w:themeColor="text1"/>
        </w:rPr>
        <w:t>sleeping</w:t>
      </w:r>
      <w:r w:rsidRPr="00081569">
        <w:rPr>
          <w:rFonts w:ascii="Arial" w:hAnsi="Arial" w:cs="Arial"/>
          <w:b w:val="0"/>
          <w:bCs w:val="0"/>
          <w:color w:val="000000" w:themeColor="text1"/>
        </w:rPr>
        <w:t xml:space="preserve">, continence, mobility, medication and personal care. Some dementias also affect movement or swallowing, while pain may be difficult to communicate. Sudden confusion, reduced alertness, new walking problems or </w:t>
      </w:r>
      <w:r w:rsidR="00C82C18" w:rsidRPr="00081569">
        <w:rPr>
          <w:rFonts w:ascii="Arial" w:hAnsi="Arial" w:cs="Arial"/>
          <w:b w:val="0"/>
          <w:bCs w:val="0"/>
          <w:color w:val="000000" w:themeColor="text1"/>
        </w:rPr>
        <w:t>abrupt</w:t>
      </w:r>
      <w:r w:rsidRPr="00081569">
        <w:rPr>
          <w:rFonts w:ascii="Arial" w:hAnsi="Arial" w:cs="Arial"/>
          <w:b w:val="0"/>
          <w:bCs w:val="0"/>
          <w:color w:val="000000" w:themeColor="text1"/>
        </w:rPr>
        <w:t xml:space="preserve"> </w:t>
      </w:r>
      <w:r w:rsidR="008F6FF8" w:rsidRPr="00081569">
        <w:rPr>
          <w:rFonts w:ascii="Arial" w:hAnsi="Arial" w:cs="Arial"/>
          <w:b w:val="0"/>
          <w:bCs w:val="0"/>
          <w:color w:val="000000" w:themeColor="text1"/>
        </w:rPr>
        <w:t>behavioral</w:t>
      </w:r>
      <w:r w:rsidRPr="00081569">
        <w:rPr>
          <w:rFonts w:ascii="Arial" w:hAnsi="Arial" w:cs="Arial"/>
          <w:b w:val="0"/>
          <w:bCs w:val="0"/>
          <w:color w:val="000000" w:themeColor="text1"/>
        </w:rPr>
        <w:t xml:space="preserve"> change should not automatically be attributed to dementia: infection, dehydration, pain, medicine effects or delirium may need prompt assessment. Delirium during hospital admission is associated with poorer outcomes for people with dementia (Han et al., 2022; NICE, 2018). </w:t>
      </w:r>
    </w:p>
    <w:p w14:paraId="0AB09822" w14:textId="13752F3A" w:rsidR="00F0516C" w:rsidRPr="00627B44" w:rsidRDefault="002A49F2" w:rsidP="00D556BE">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Psychological impact</w:t>
      </w:r>
    </w:p>
    <w:p w14:paraId="37E9814D" w14:textId="4B1512A9" w:rsidR="005226B5" w:rsidRPr="00627B44" w:rsidRDefault="005226B5" w:rsidP="00D556BE">
      <w:pPr>
        <w:pStyle w:val="Heading2"/>
        <w:spacing w:line="360" w:lineRule="auto"/>
        <w:rPr>
          <w:rFonts w:ascii="Arial" w:eastAsiaTheme="minorEastAsia" w:hAnsi="Arial" w:cs="Arial"/>
          <w:b w:val="0"/>
          <w:bCs w:val="0"/>
          <w:color w:val="auto"/>
          <w:szCs w:val="24"/>
        </w:rPr>
      </w:pPr>
      <w:bookmarkStart w:id="6" w:name="_Toc242729898"/>
      <w:r w:rsidRPr="00627B44">
        <w:rPr>
          <w:rFonts w:ascii="Arial" w:eastAsiaTheme="minorEastAsia" w:hAnsi="Arial" w:cs="Arial"/>
          <w:b w:val="0"/>
          <w:bCs w:val="0"/>
          <w:color w:val="auto"/>
          <w:szCs w:val="24"/>
        </w:rPr>
        <w:t xml:space="preserve">A diagnosis can bring shock, sadness, fear, anger or relief. Some people experience anxiety, depression, hallucinations or distress as the condition changes. </w:t>
      </w:r>
      <w:r w:rsidR="008F6FF8" w:rsidRPr="00627B44">
        <w:rPr>
          <w:rFonts w:ascii="Arial" w:eastAsiaTheme="minorEastAsia" w:hAnsi="Arial" w:cs="Arial"/>
          <w:b w:val="0"/>
          <w:bCs w:val="0"/>
          <w:color w:val="auto"/>
          <w:szCs w:val="24"/>
        </w:rPr>
        <w:t>Behavior</w:t>
      </w:r>
      <w:r w:rsidRPr="00627B44">
        <w:rPr>
          <w:rFonts w:ascii="Arial" w:eastAsiaTheme="minorEastAsia" w:hAnsi="Arial" w:cs="Arial"/>
          <w:b w:val="0"/>
          <w:bCs w:val="0"/>
          <w:color w:val="auto"/>
          <w:szCs w:val="24"/>
        </w:rPr>
        <w:t xml:space="preserve"> described as ‘challenging’ may communicate an unmet need: agitation, for example, may reflect pain, fear, noise, boredom or tiredness. Staff should investigate causes and try calm communication, meaningful activity and environmental changes before medication, unless severe distress or immediate risk requires urgent action (NICE, 2018). Person-centred approaches may improve quality of life and some psychological or </w:t>
      </w:r>
      <w:r w:rsidR="008F6FF8" w:rsidRPr="00627B44">
        <w:rPr>
          <w:rFonts w:ascii="Arial" w:eastAsiaTheme="minorEastAsia" w:hAnsi="Arial" w:cs="Arial"/>
          <w:b w:val="0"/>
          <w:bCs w:val="0"/>
          <w:color w:val="auto"/>
          <w:szCs w:val="24"/>
        </w:rPr>
        <w:t>behavioral</w:t>
      </w:r>
      <w:r w:rsidRPr="00627B44">
        <w:rPr>
          <w:rFonts w:ascii="Arial" w:eastAsiaTheme="minorEastAsia" w:hAnsi="Arial" w:cs="Arial"/>
          <w:b w:val="0"/>
          <w:bCs w:val="0"/>
          <w:color w:val="auto"/>
          <w:szCs w:val="24"/>
        </w:rPr>
        <w:t xml:space="preserve"> outcomes, although studies differ in setting, intervention and outcome measures (Kim and Park, 2017; Lee et al., 2022). This uncertainty supports individual review rather than assuming one intervention will work for everyone.</w:t>
      </w:r>
    </w:p>
    <w:p w14:paraId="4034BE3E" w14:textId="384B32D2" w:rsidR="00F0516C" w:rsidRPr="00627B44" w:rsidRDefault="002A49F2" w:rsidP="00D556BE">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Social impact</w:t>
      </w:r>
      <w:bookmarkEnd w:id="6"/>
    </w:p>
    <w:p w14:paraId="3BDC7E0E" w14:textId="4EA5E00A" w:rsidR="005226B5" w:rsidRPr="00627B44" w:rsidRDefault="005226B5" w:rsidP="00D556BE">
      <w:pPr>
        <w:pStyle w:val="Heading2"/>
        <w:spacing w:line="360" w:lineRule="auto"/>
        <w:rPr>
          <w:rFonts w:ascii="Arial" w:eastAsiaTheme="minorEastAsia" w:hAnsi="Arial" w:cs="Arial"/>
          <w:b w:val="0"/>
          <w:bCs w:val="0"/>
          <w:color w:val="auto"/>
          <w:szCs w:val="24"/>
        </w:rPr>
      </w:pPr>
      <w:bookmarkStart w:id="7" w:name="_Toc242729899"/>
      <w:r w:rsidRPr="00627B44">
        <w:rPr>
          <w:rFonts w:ascii="Arial" w:eastAsiaTheme="minorEastAsia" w:hAnsi="Arial" w:cs="Arial"/>
          <w:b w:val="0"/>
          <w:bCs w:val="0"/>
          <w:color w:val="auto"/>
          <w:szCs w:val="24"/>
        </w:rPr>
        <w:t>Dementia may affect friendships, hobbies, driving, employment, money management and familiar social roles. Stigma, inaccessible services and communication difficulties can lead to isolation; busy social settings may become tiring. Familiar routines, meaningful activities, supportive relationships and dementia-friendly communities can help preserve identity and wellbeing. Care planning should consider culture, language, faith, housing, finances and relationships rather than treating everyone alike. Under the Mental Capacity Act 2005, capacity is decision-specific and time-specific: a diagnosis alone does not remove the right to decide, and people should receive practicable support to make their own choices.</w:t>
      </w:r>
    </w:p>
    <w:p w14:paraId="02509CA9" w14:textId="77777777" w:rsidR="005226B5" w:rsidRPr="00627B44" w:rsidRDefault="005226B5" w:rsidP="005226B5">
      <w:pPr>
        <w:rPr>
          <w:rFonts w:ascii="Arial" w:hAnsi="Arial" w:cs="Arial"/>
          <w:sz w:val="24"/>
          <w:szCs w:val="24"/>
        </w:rPr>
      </w:pPr>
    </w:p>
    <w:p w14:paraId="05464567" w14:textId="77777777" w:rsidR="007B5481" w:rsidRPr="00627B44" w:rsidRDefault="002A49F2" w:rsidP="007B5481">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lastRenderedPageBreak/>
        <w:t>Impact on families and carers</w:t>
      </w:r>
      <w:bookmarkStart w:id="8" w:name="_Toc242729900"/>
      <w:bookmarkEnd w:id="7"/>
    </w:p>
    <w:p w14:paraId="6217E1BF" w14:textId="232717DD" w:rsidR="005226B5" w:rsidRPr="00081569" w:rsidRDefault="005226B5" w:rsidP="00627B44">
      <w:pPr>
        <w:pStyle w:val="Heading2"/>
        <w:spacing w:line="360" w:lineRule="auto"/>
        <w:rPr>
          <w:rFonts w:ascii="Arial" w:hAnsi="Arial" w:cs="Arial"/>
          <w:b w:val="0"/>
          <w:bCs w:val="0"/>
          <w:color w:val="000000" w:themeColor="text1"/>
          <w:szCs w:val="24"/>
        </w:rPr>
      </w:pPr>
      <w:r w:rsidRPr="00081569">
        <w:rPr>
          <w:rFonts w:ascii="Arial" w:hAnsi="Arial" w:cs="Arial"/>
          <w:b w:val="0"/>
          <w:bCs w:val="0"/>
          <w:color w:val="000000" w:themeColor="text1"/>
        </w:rPr>
        <w:t>Relatives and friends may provide meals, personal care, transport, supervision, reassurance and advocacy. These responsibilities can affect sleep, employment, finances, relationships and carers’ own health. Research links carer quality of life with health, relationship quality and access to formal help; loneliness is also a concern (Oliveira, da Mata and Aubeeluck, 2024; Liao et al., 2024). Professionals should ask what support a carer is willing and able to provide, rather than treating family care as unlimited or cost-free. In England, a Care Act 2014 carer’s assessment can consider wellbeing, work, relationships and whether caring remains sustainable. Information, respite, peer support and attention to carers’ own health should be offered according to need. With consent, families can contribute valuable knowledge while confidentiality and the person’s wishes remain central (Care Act, 2014; NICE, 2019).</w:t>
      </w:r>
    </w:p>
    <w:p w14:paraId="7054942D" w14:textId="71443E53" w:rsidR="00F0516C" w:rsidRPr="00627B44" w:rsidRDefault="002A49F2" w:rsidP="005226B5">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t>4. Diagnosis and evidence-based NHS treatment</w:t>
      </w:r>
      <w:bookmarkEnd w:id="8"/>
    </w:p>
    <w:p w14:paraId="372723B6" w14:textId="57215103" w:rsidR="005226B5" w:rsidRPr="00627B44" w:rsidRDefault="007B5481" w:rsidP="00D556BE">
      <w:pPr>
        <w:pStyle w:val="Heading2"/>
        <w:spacing w:line="360" w:lineRule="auto"/>
        <w:rPr>
          <w:rFonts w:ascii="Arial" w:eastAsiaTheme="minorEastAsia" w:hAnsi="Arial" w:cs="Arial"/>
          <w:b w:val="0"/>
          <w:bCs w:val="0"/>
          <w:color w:val="auto"/>
          <w:szCs w:val="24"/>
        </w:rPr>
      </w:pPr>
      <w:bookmarkStart w:id="9" w:name="_Toc242729901"/>
      <w:r w:rsidRPr="00627B44">
        <w:rPr>
          <w:rFonts w:ascii="Arial" w:eastAsiaTheme="minorEastAsia" w:hAnsi="Arial" w:cs="Arial"/>
          <w:b w:val="0"/>
          <w:bCs w:val="0"/>
          <w:color w:val="auto"/>
          <w:szCs w:val="24"/>
        </w:rPr>
        <w:t>Anyone who is</w:t>
      </w:r>
      <w:r w:rsidR="005226B5" w:rsidRPr="00627B44">
        <w:rPr>
          <w:rFonts w:ascii="Arial" w:eastAsiaTheme="minorEastAsia" w:hAnsi="Arial" w:cs="Arial"/>
          <w:b w:val="0"/>
          <w:bCs w:val="0"/>
          <w:color w:val="auto"/>
          <w:szCs w:val="24"/>
        </w:rPr>
        <w:t xml:space="preserve"> worried about changes in memory or their ability to manage everyday tasks should contact their GP. An initial assessment may include discussing the changes, a physical examination, reviewing medicines, blood or urine tests and an assessment of thinking and memory. If dementia remains a possibility, the GP may refer the person to a memory clinic or another appropriate specialist. A diagnosis should lead to understandable information, an agreed plan and ongoing support, rather than leaving the person and their family to work out the system on their own (NICE, 2018).</w:t>
      </w:r>
    </w:p>
    <w:p w14:paraId="6EE9A6A4" w14:textId="26EFDE0C" w:rsidR="007B5481" w:rsidRPr="00627B44" w:rsidRDefault="002A49F2" w:rsidP="00D556BE">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Medicines</w:t>
      </w:r>
      <w:bookmarkStart w:id="10" w:name="_Toc242729902"/>
      <w:bookmarkEnd w:id="9"/>
    </w:p>
    <w:p w14:paraId="1A61D95C" w14:textId="77777777" w:rsidR="00D61487" w:rsidRDefault="007B5481" w:rsidP="00D556BE">
      <w:pPr>
        <w:pStyle w:val="Heading2"/>
        <w:spacing w:line="360" w:lineRule="auto"/>
        <w:rPr>
          <w:rFonts w:ascii="Arial" w:eastAsiaTheme="minorEastAsia" w:hAnsi="Arial" w:cs="Arial"/>
          <w:b w:val="0"/>
          <w:bCs w:val="0"/>
          <w:color w:val="auto"/>
          <w:szCs w:val="24"/>
        </w:rPr>
      </w:pPr>
      <w:r w:rsidRPr="00627B44">
        <w:rPr>
          <w:rFonts w:ascii="Arial" w:eastAsiaTheme="minorEastAsia" w:hAnsi="Arial" w:cs="Arial"/>
          <w:b w:val="0"/>
          <w:bCs w:val="0"/>
          <w:color w:val="auto"/>
          <w:szCs w:val="24"/>
        </w:rPr>
        <w:t xml:space="preserve">For those individuals with mild to moderate Alzheimer’s disease, NICE recommends that drugs such as donepezil, galantamine or rivastigmine might be considered. Memantine can be used in the case of moderate Alzheimer’s disease when these drugs cannot be employed, or in cases of severe Alzheimer’s disease. </w:t>
      </w:r>
    </w:p>
    <w:p w14:paraId="77BE494D" w14:textId="605E3D48" w:rsidR="007B5481" w:rsidRPr="00627B44" w:rsidRDefault="007B5481" w:rsidP="00D556BE">
      <w:pPr>
        <w:pStyle w:val="Heading2"/>
        <w:spacing w:line="360" w:lineRule="auto"/>
        <w:rPr>
          <w:rFonts w:ascii="Arial" w:eastAsiaTheme="minorEastAsia" w:hAnsi="Arial" w:cs="Arial"/>
          <w:b w:val="0"/>
          <w:bCs w:val="0"/>
          <w:color w:val="auto"/>
          <w:szCs w:val="24"/>
        </w:rPr>
      </w:pPr>
      <w:r w:rsidRPr="00627B44">
        <w:rPr>
          <w:rFonts w:ascii="Arial" w:eastAsiaTheme="minorEastAsia" w:hAnsi="Arial" w:cs="Arial"/>
          <w:b w:val="0"/>
          <w:bCs w:val="0"/>
          <w:color w:val="auto"/>
          <w:szCs w:val="24"/>
        </w:rPr>
        <w:lastRenderedPageBreak/>
        <w:t>Clinicians should discuss likely benefits, side effects, monitoring and the person’s priorities before treatment. These medicines may provide modest symptomatic benefit for some people, but they do not cure dementia or reverse brain damage. Suitability depends on dementia subtype, other conditions, interactions and the person’s response; treatment should be reviewed and stopped or changed when appropriate in line with guidance (NICE, 2011; NICE, 2018). The aim is a shared decision, not prescribing automatically because a diagnosis has been made.</w:t>
      </w:r>
    </w:p>
    <w:p w14:paraId="4945415B" w14:textId="77777777" w:rsidR="007B5481" w:rsidRPr="00627B44" w:rsidRDefault="002A49F2" w:rsidP="007B5481">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Non-drug support</w:t>
      </w:r>
      <w:bookmarkStart w:id="11" w:name="_Toc242729903"/>
      <w:bookmarkEnd w:id="10"/>
    </w:p>
    <w:p w14:paraId="72CA6675" w14:textId="4D86E005" w:rsidR="007B5481" w:rsidRPr="00627B44" w:rsidRDefault="007B5481" w:rsidP="00627B44">
      <w:pPr>
        <w:pStyle w:val="Heading2"/>
        <w:spacing w:line="360" w:lineRule="auto"/>
        <w:rPr>
          <w:rFonts w:ascii="Arial" w:hAnsi="Arial" w:cs="Arial"/>
          <w:color w:val="000000" w:themeColor="text1"/>
          <w:szCs w:val="24"/>
        </w:rPr>
      </w:pPr>
      <w:r w:rsidRPr="00627B44">
        <w:rPr>
          <w:rFonts w:ascii="Arial" w:eastAsiaTheme="minorEastAsia" w:hAnsi="Arial" w:cs="Arial"/>
          <w:b w:val="0"/>
          <w:bCs w:val="0"/>
          <w:color w:val="auto"/>
          <w:szCs w:val="24"/>
        </w:rPr>
        <w:t xml:space="preserve">Group cognitive stimulation therapy should be offered, where appropriate, to people with mild to moderate dementia. Themed activities and discussion can support cognition and social interaction. Cognitive rehabilitation and occupational therapy can help people </w:t>
      </w:r>
      <w:r w:rsidR="00C82C18" w:rsidRPr="00627B44">
        <w:rPr>
          <w:rFonts w:ascii="Arial" w:eastAsiaTheme="minorEastAsia" w:hAnsi="Arial" w:cs="Arial"/>
          <w:b w:val="0"/>
          <w:bCs w:val="0"/>
          <w:color w:val="auto"/>
          <w:szCs w:val="24"/>
        </w:rPr>
        <w:t>pursue</w:t>
      </w:r>
      <w:r w:rsidRPr="00627B44">
        <w:rPr>
          <w:rFonts w:ascii="Arial" w:eastAsiaTheme="minorEastAsia" w:hAnsi="Arial" w:cs="Arial"/>
          <w:b w:val="0"/>
          <w:bCs w:val="0"/>
          <w:color w:val="auto"/>
          <w:szCs w:val="24"/>
        </w:rPr>
        <w:t xml:space="preserve"> meaningful goals, adapt routines and continue daily activities. Physical activity, hobbies, communication support, hearing and vision care, pain management, sleep support and psychological treatment for anxiety or depression may also help. Reviews report benefits for some outcomes, but study quality, interventions and effects vary, so services should avoid promising a uniform result (NICE, 2018; Desai et al., 2024; Cao et al., 2023; Bennett et al., 2019; Ojagbemi and Akin-Ojagbemi, 2019). When distress occurs, staff should check for pain, infection, medicine effects, unmet needs and environmental triggers. Antipsychotics are not a routine response because they carry serious risks; they should be considered only for severe distress or risk of harm, with careful monitoring and review. Care should be reassessed as needs change, prioritising comfort, independence and quality of life.</w:t>
      </w:r>
    </w:p>
    <w:p w14:paraId="02B802D9" w14:textId="77777777" w:rsidR="00627B44" w:rsidRPr="00627B44" w:rsidRDefault="002A49F2" w:rsidP="007B5481">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t>5. Person-</w:t>
      </w:r>
      <w:r w:rsidR="007B5481" w:rsidRPr="00627B44">
        <w:rPr>
          <w:rFonts w:ascii="Arial" w:hAnsi="Arial" w:cs="Arial"/>
          <w:color w:val="000000" w:themeColor="text1"/>
          <w:sz w:val="24"/>
          <w:szCs w:val="24"/>
        </w:rPr>
        <w:t>centered</w:t>
      </w:r>
      <w:r w:rsidRPr="00627B44">
        <w:rPr>
          <w:rFonts w:ascii="Arial" w:hAnsi="Arial" w:cs="Arial"/>
          <w:color w:val="000000" w:themeColor="text1"/>
          <w:sz w:val="24"/>
          <w:szCs w:val="24"/>
        </w:rPr>
        <w:t xml:space="preserve"> care and supported self-management</w:t>
      </w:r>
      <w:bookmarkStart w:id="12" w:name="_Toc242729904"/>
      <w:bookmarkEnd w:id="11"/>
      <w:r w:rsidR="00627B44" w:rsidRPr="00627B44">
        <w:rPr>
          <w:rFonts w:ascii="Arial" w:hAnsi="Arial" w:cs="Arial"/>
          <w:color w:val="000000" w:themeColor="text1"/>
          <w:sz w:val="24"/>
          <w:szCs w:val="24"/>
        </w:rPr>
        <w:t xml:space="preserve">  </w:t>
      </w:r>
    </w:p>
    <w:p w14:paraId="4353DB68" w14:textId="04A32B12" w:rsidR="00627B44" w:rsidRPr="00627B44" w:rsidRDefault="007B5481" w:rsidP="007B5481">
      <w:pPr>
        <w:pStyle w:val="Heading1"/>
        <w:spacing w:line="360" w:lineRule="auto"/>
        <w:rPr>
          <w:rFonts w:ascii="Arial" w:hAnsi="Arial" w:cs="Arial"/>
          <w:color w:val="000000" w:themeColor="text1"/>
          <w:sz w:val="24"/>
          <w:szCs w:val="24"/>
        </w:rPr>
      </w:pPr>
      <w:r w:rsidRPr="00627B44">
        <w:rPr>
          <w:rFonts w:ascii="Arial" w:eastAsiaTheme="minorEastAsia" w:hAnsi="Arial" w:cs="Arial"/>
          <w:b w:val="0"/>
          <w:bCs w:val="0"/>
          <w:color w:val="auto"/>
          <w:sz w:val="24"/>
          <w:szCs w:val="24"/>
        </w:rPr>
        <w:t xml:space="preserve">Person-centered care recognises that everyone has a personal history, relationships, abilities, preferences and rights. The person should not be defined only by their symptoms. In practice, this means listening to their views, adjusting how information is shared, providing meaningful choices and involving relatives in ways that respect consent and confidentiality. This approach depends on the principle that the person must remain central to care, rather than being defined by dementia (Kitwood, 1997; Brooker, 2007). </w:t>
      </w:r>
    </w:p>
    <w:p w14:paraId="261953D9" w14:textId="1A1F718D" w:rsidR="007B5481" w:rsidRPr="00627B44" w:rsidRDefault="007B5481" w:rsidP="007B5481">
      <w:pPr>
        <w:pStyle w:val="Heading1"/>
        <w:spacing w:line="360" w:lineRule="auto"/>
        <w:rPr>
          <w:rFonts w:ascii="Arial" w:hAnsi="Arial" w:cs="Arial"/>
          <w:color w:val="000000" w:themeColor="text1"/>
          <w:sz w:val="24"/>
          <w:szCs w:val="24"/>
        </w:rPr>
      </w:pPr>
      <w:r w:rsidRPr="00627B44">
        <w:rPr>
          <w:rFonts w:ascii="Arial" w:eastAsiaTheme="minorEastAsia" w:hAnsi="Arial" w:cs="Arial"/>
          <w:b w:val="0"/>
          <w:bCs w:val="0"/>
          <w:color w:val="auto"/>
          <w:sz w:val="24"/>
          <w:szCs w:val="24"/>
        </w:rPr>
        <w:lastRenderedPageBreak/>
        <w:t xml:space="preserve">NICE advises services to support people to express their views and adapt information to their circumstances and stage of dementia (NICE, 2018; Serbser-Koal et al., 2024). Supported self-management aims to preserve choice and control; it does not mean leaving someone to cope alone. In earlier stages, calendars, reminders, routines and practical adaptations may help with everyday tasks. A trusted supporter can assist as needs change while continuing to ask what matters to the person. Evidence suggests self-management support may help autonomy and daily functioning, but the evidence base is </w:t>
      </w:r>
      <w:proofErr w:type="gramStart"/>
      <w:r w:rsidRPr="00627B44">
        <w:rPr>
          <w:rFonts w:ascii="Arial" w:eastAsiaTheme="minorEastAsia" w:hAnsi="Arial" w:cs="Arial"/>
          <w:b w:val="0"/>
          <w:bCs w:val="0"/>
          <w:color w:val="auto"/>
          <w:sz w:val="24"/>
          <w:szCs w:val="24"/>
        </w:rPr>
        <w:t>limited</w:t>
      </w:r>
      <w:proofErr w:type="gramEnd"/>
      <w:r w:rsidRPr="00627B44">
        <w:rPr>
          <w:rFonts w:ascii="Arial" w:eastAsiaTheme="minorEastAsia" w:hAnsi="Arial" w:cs="Arial"/>
          <w:b w:val="0"/>
          <w:bCs w:val="0"/>
          <w:color w:val="auto"/>
          <w:sz w:val="24"/>
          <w:szCs w:val="24"/>
        </w:rPr>
        <w:t xml:space="preserve"> and approaches must be adjusted to cognition, relationships and social circumstances (Huis in het Veld et al., 2020).</w:t>
      </w:r>
    </w:p>
    <w:p w14:paraId="2854BEA7" w14:textId="28067230" w:rsidR="007B5481" w:rsidRPr="00081569" w:rsidRDefault="007B5481" w:rsidP="007B5481">
      <w:pPr>
        <w:pStyle w:val="Heading1"/>
        <w:spacing w:line="360" w:lineRule="auto"/>
        <w:rPr>
          <w:rFonts w:ascii="Arial" w:hAnsi="Arial" w:cs="Arial"/>
          <w:b w:val="0"/>
          <w:bCs w:val="0"/>
          <w:color w:val="000000" w:themeColor="text1"/>
          <w:sz w:val="18"/>
          <w:szCs w:val="18"/>
        </w:rPr>
      </w:pPr>
      <w:r w:rsidRPr="00081569">
        <w:rPr>
          <w:rFonts w:ascii="Arial" w:hAnsi="Arial" w:cs="Arial"/>
          <w:b w:val="0"/>
          <w:bCs w:val="0"/>
          <w:color w:val="000000" w:themeColor="text1"/>
          <w:sz w:val="24"/>
          <w:szCs w:val="20"/>
        </w:rPr>
        <w:t>Communication can be supported by reducing background noise, using short sentences, allowing time to respond and offering one choice at a time. Music, gardening, cooking, walking and faith activities should be adapted rather than automatically stopped. Safety reviews can consider medication, cooking, falls, finances and getting lost while avoiding unnecessary restrictions. A ‘good day plan’ can record preferred routines, food, calming approaches and important relationships. Interpreters, accessible information and non-digital contact options help prevent language, disability, poverty or digital exclusion from blocking support. However, person-centred care can become an aspiration rather than practice when staff lack time, training or services to offer. Leadership, supervision, continuity and genuine involvement are therefore essential. Evidence supports person-centred approaches, but outcomes vary by setting and implementation (Chenoweth et al., 2019; Berkovic et al., 2024).</w:t>
      </w:r>
    </w:p>
    <w:p w14:paraId="6E9C2F24" w14:textId="65091418" w:rsidR="00F0516C" w:rsidRPr="00627B44" w:rsidRDefault="002A49F2" w:rsidP="007B5481">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t>6. Models for improved long-term condition care</w:t>
      </w:r>
      <w:bookmarkEnd w:id="12"/>
    </w:p>
    <w:p w14:paraId="78C95DFA" w14:textId="77777777" w:rsidR="00F0516C" w:rsidRPr="00627B44" w:rsidRDefault="002A49F2" w:rsidP="00D556BE">
      <w:pPr>
        <w:pStyle w:val="Heading2"/>
        <w:spacing w:line="360" w:lineRule="auto"/>
        <w:rPr>
          <w:rFonts w:ascii="Arial" w:hAnsi="Arial" w:cs="Arial"/>
          <w:color w:val="000000" w:themeColor="text1"/>
          <w:szCs w:val="24"/>
        </w:rPr>
      </w:pPr>
      <w:bookmarkStart w:id="13" w:name="_Toc242729905"/>
      <w:r w:rsidRPr="00627B44">
        <w:rPr>
          <w:rFonts w:ascii="Arial" w:hAnsi="Arial" w:cs="Arial"/>
          <w:color w:val="000000" w:themeColor="text1"/>
          <w:szCs w:val="24"/>
        </w:rPr>
        <w:t>UK model: The House of Care</w:t>
      </w:r>
      <w:bookmarkEnd w:id="13"/>
    </w:p>
    <w:p w14:paraId="46C5C007" w14:textId="3C1C0F85" w:rsidR="007B5481" w:rsidRPr="00627B44" w:rsidRDefault="007B5481" w:rsidP="007B5481">
      <w:pPr>
        <w:spacing w:line="360" w:lineRule="auto"/>
        <w:rPr>
          <w:rFonts w:ascii="Arial" w:hAnsi="Arial" w:cs="Arial"/>
          <w:sz w:val="24"/>
          <w:szCs w:val="24"/>
        </w:rPr>
      </w:pPr>
      <w:r w:rsidRPr="00627B44">
        <w:rPr>
          <w:rFonts w:ascii="Arial" w:hAnsi="Arial" w:cs="Arial"/>
          <w:sz w:val="24"/>
          <w:szCs w:val="24"/>
        </w:rPr>
        <w:t xml:space="preserve">The House of Care is a UK framework for </w:t>
      </w:r>
      <w:r w:rsidR="00C82C18" w:rsidRPr="00627B44">
        <w:rPr>
          <w:rFonts w:ascii="Arial" w:hAnsi="Arial" w:cs="Arial"/>
          <w:sz w:val="24"/>
          <w:szCs w:val="24"/>
        </w:rPr>
        <w:t>personalized</w:t>
      </w:r>
      <w:r w:rsidRPr="00627B44">
        <w:rPr>
          <w:rFonts w:ascii="Arial" w:hAnsi="Arial" w:cs="Arial"/>
          <w:sz w:val="24"/>
          <w:szCs w:val="24"/>
        </w:rPr>
        <w:t xml:space="preserve"> support for people with long-term conditions. It brings together an informed and engaged person and carer, professionals working in partnership, supportive </w:t>
      </w:r>
      <w:r w:rsidR="00C82C18" w:rsidRPr="00627B44">
        <w:rPr>
          <w:rFonts w:ascii="Arial" w:hAnsi="Arial" w:cs="Arial"/>
          <w:sz w:val="24"/>
          <w:szCs w:val="24"/>
        </w:rPr>
        <w:t>organizational</w:t>
      </w:r>
      <w:r w:rsidRPr="00627B44">
        <w:rPr>
          <w:rFonts w:ascii="Arial" w:hAnsi="Arial" w:cs="Arial"/>
          <w:sz w:val="24"/>
          <w:szCs w:val="24"/>
        </w:rPr>
        <w:t xml:space="preserve"> arrangements and effective commissioning. Its components aim to enable shared care and support planning and depend on leadership, resources and </w:t>
      </w:r>
      <w:r w:rsidR="00C82C18" w:rsidRPr="00627B44">
        <w:rPr>
          <w:rFonts w:ascii="Arial" w:hAnsi="Arial" w:cs="Arial"/>
          <w:sz w:val="24"/>
          <w:szCs w:val="24"/>
        </w:rPr>
        <w:t>collaborative</w:t>
      </w:r>
      <w:r w:rsidRPr="00627B44">
        <w:rPr>
          <w:rFonts w:ascii="Arial" w:hAnsi="Arial" w:cs="Arial"/>
          <w:sz w:val="24"/>
          <w:szCs w:val="24"/>
        </w:rPr>
        <w:t xml:space="preserve"> culture (NHS England, 2016). For dementia, this is useful because goals can include maintaining a valued activity, reducing distress during personal care or remaining safely at home. However, a plan alone cannot resolve shortages in home </w:t>
      </w:r>
      <w:r w:rsidRPr="00627B44">
        <w:rPr>
          <w:rFonts w:ascii="Arial" w:hAnsi="Arial" w:cs="Arial"/>
          <w:sz w:val="24"/>
          <w:szCs w:val="24"/>
        </w:rPr>
        <w:lastRenderedPageBreak/>
        <w:t>care, respite or specialist support; it must lead to funded actions and be reviewed as the person’s needs change.</w:t>
      </w:r>
    </w:p>
    <w:p w14:paraId="5CFDF5DB" w14:textId="75AE9CE4" w:rsidR="00F0516C" w:rsidRPr="00627B44" w:rsidRDefault="002A49F2" w:rsidP="00D556BE">
      <w:pPr>
        <w:spacing w:line="360" w:lineRule="auto"/>
        <w:jc w:val="center"/>
        <w:rPr>
          <w:rFonts w:ascii="Arial" w:hAnsi="Arial" w:cs="Arial"/>
          <w:color w:val="000000" w:themeColor="text1"/>
          <w:sz w:val="24"/>
          <w:szCs w:val="24"/>
        </w:rPr>
      </w:pPr>
      <w:r w:rsidRPr="00627B44">
        <w:rPr>
          <w:rFonts w:ascii="Arial" w:hAnsi="Arial" w:cs="Arial"/>
          <w:noProof/>
          <w:color w:val="000000" w:themeColor="text1"/>
          <w:sz w:val="24"/>
          <w:szCs w:val="24"/>
        </w:rPr>
        <w:drawing>
          <wp:inline distT="0" distB="0" distL="0" distR="0" wp14:anchorId="109155AE" wp14:editId="276081FA">
            <wp:extent cx="5760720" cy="3291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use_of_care.png"/>
                    <pic:cNvPicPr/>
                  </pic:nvPicPr>
                  <pic:blipFill>
                    <a:blip r:embed="rId9"/>
                    <a:stretch>
                      <a:fillRect/>
                    </a:stretch>
                  </pic:blipFill>
                  <pic:spPr>
                    <a:xfrm>
                      <a:off x="0" y="0"/>
                      <a:ext cx="5760720" cy="3291840"/>
                    </a:xfrm>
                    <a:prstGeom prst="rect">
                      <a:avLst/>
                    </a:prstGeom>
                  </pic:spPr>
                </pic:pic>
              </a:graphicData>
            </a:graphic>
          </wp:inline>
        </w:drawing>
      </w:r>
    </w:p>
    <w:p w14:paraId="15CDBDB5" w14:textId="77777777" w:rsidR="00F0516C" w:rsidRPr="00627B44" w:rsidRDefault="002A49F2" w:rsidP="00D556BE">
      <w:pPr>
        <w:pStyle w:val="Caption"/>
        <w:spacing w:line="360" w:lineRule="auto"/>
        <w:jc w:val="center"/>
        <w:rPr>
          <w:rFonts w:ascii="Arial" w:hAnsi="Arial" w:cs="Arial"/>
          <w:color w:val="000000" w:themeColor="text1"/>
          <w:sz w:val="24"/>
          <w:szCs w:val="24"/>
        </w:rPr>
      </w:pPr>
      <w:r w:rsidRPr="00627B44">
        <w:rPr>
          <w:rFonts w:ascii="Arial" w:hAnsi="Arial" w:cs="Arial"/>
          <w:color w:val="000000" w:themeColor="text1"/>
          <w:sz w:val="24"/>
          <w:szCs w:val="24"/>
        </w:rPr>
        <w:t>Figure 1. The House of Care adapted for dementia care. Source: adapted from NHS England (2016).</w:t>
      </w:r>
    </w:p>
    <w:p w14:paraId="47CD414E" w14:textId="6CE6094A" w:rsidR="007B5481" w:rsidRPr="00081569" w:rsidRDefault="007B5481" w:rsidP="00D556BE">
      <w:pPr>
        <w:pStyle w:val="Heading2"/>
        <w:spacing w:line="360" w:lineRule="auto"/>
        <w:rPr>
          <w:rFonts w:ascii="Arial" w:eastAsiaTheme="minorEastAsia" w:hAnsi="Arial" w:cs="Arial"/>
          <w:b w:val="0"/>
          <w:bCs w:val="0"/>
          <w:color w:val="000000" w:themeColor="text1"/>
          <w:szCs w:val="24"/>
        </w:rPr>
      </w:pPr>
      <w:r w:rsidRPr="00081569">
        <w:rPr>
          <w:rFonts w:ascii="Arial" w:hAnsi="Arial" w:cs="Arial"/>
          <w:b w:val="0"/>
          <w:bCs w:val="0"/>
          <w:color w:val="000000" w:themeColor="text1"/>
        </w:rPr>
        <w:t xml:space="preserve">GPs, memory services, social care and therapists should coordinate actions, while commissioners ensure appropriate services exist. Planning should include carer wellbeing, housing, finances and future needs. The model’s strength is its focus on partnership and the conditions needed to make </w:t>
      </w:r>
      <w:r w:rsidR="00C82C18" w:rsidRPr="00081569">
        <w:rPr>
          <w:rFonts w:ascii="Arial" w:hAnsi="Arial" w:cs="Arial"/>
          <w:b w:val="0"/>
          <w:bCs w:val="0"/>
          <w:color w:val="000000" w:themeColor="text1"/>
        </w:rPr>
        <w:t>personalized</w:t>
      </w:r>
      <w:r w:rsidRPr="00081569">
        <w:rPr>
          <w:rFonts w:ascii="Arial" w:hAnsi="Arial" w:cs="Arial"/>
          <w:b w:val="0"/>
          <w:bCs w:val="0"/>
          <w:color w:val="000000" w:themeColor="text1"/>
        </w:rPr>
        <w:t xml:space="preserve"> plans real. Its limitation is that local service capacity and fragmented commissioning can prevent agreed actions from being delivered. Success should therefore be judged by the person’s outcomes and experience, not by completed paperwork alone (NHS England, 2016; Chenoweth et al., 2019).</w:t>
      </w:r>
    </w:p>
    <w:p w14:paraId="6C3BC3B3" w14:textId="74C1BF1A" w:rsidR="00F0516C" w:rsidRPr="00627B44" w:rsidRDefault="002A49F2" w:rsidP="00D556BE">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International model: The Chronic Care Model</w:t>
      </w:r>
    </w:p>
    <w:p w14:paraId="24A04138" w14:textId="7D20F2E1" w:rsidR="007B5481" w:rsidRPr="00627B44" w:rsidRDefault="007B5481" w:rsidP="007B5481">
      <w:pPr>
        <w:spacing w:line="360" w:lineRule="auto"/>
        <w:rPr>
          <w:rFonts w:ascii="Arial" w:hAnsi="Arial" w:cs="Arial"/>
          <w:sz w:val="24"/>
          <w:szCs w:val="24"/>
          <w:lang w:val="en-GB"/>
        </w:rPr>
      </w:pPr>
      <w:r w:rsidRPr="00627B44">
        <w:rPr>
          <w:rFonts w:ascii="Arial" w:hAnsi="Arial" w:cs="Arial"/>
          <w:sz w:val="24"/>
          <w:szCs w:val="24"/>
          <w:lang w:val="en-GB"/>
        </w:rPr>
        <w:t xml:space="preserve">The Chronic Care Model was developed in the United States to improve care for long-term conditions. It connects community resources, self-management support, care-delivery organisation, decision support, clinical information systems and the wider health system. It proposes that outcomes improve when informed patients and prepared, proactive teams work together (Wagner et al., 2001). In dementia services, its system-wide perspective can support planned reviews, specialist advice, community groups and better information-sharing. However, its emphasis on an ‘active patient’ needs adaptation as cognition </w:t>
      </w:r>
      <w:r w:rsidRPr="00627B44">
        <w:rPr>
          <w:rFonts w:ascii="Arial" w:hAnsi="Arial" w:cs="Arial"/>
          <w:sz w:val="24"/>
          <w:szCs w:val="24"/>
          <w:lang w:val="en-GB"/>
        </w:rPr>
        <w:lastRenderedPageBreak/>
        <w:t>changes; responsibility must not be transferred from services to the person or family. Supported decision-making and proportionate carer involvement are essential.</w:t>
      </w:r>
    </w:p>
    <w:p w14:paraId="787D6E48" w14:textId="77777777" w:rsidR="00F0516C" w:rsidRPr="00627B44" w:rsidRDefault="002A49F2" w:rsidP="00D556BE">
      <w:pPr>
        <w:spacing w:line="360" w:lineRule="auto"/>
        <w:jc w:val="center"/>
        <w:rPr>
          <w:rFonts w:ascii="Arial" w:hAnsi="Arial" w:cs="Arial"/>
          <w:color w:val="000000" w:themeColor="text1"/>
          <w:sz w:val="24"/>
          <w:szCs w:val="24"/>
        </w:rPr>
      </w:pPr>
      <w:r w:rsidRPr="00627B44">
        <w:rPr>
          <w:rFonts w:ascii="Arial" w:hAnsi="Arial" w:cs="Arial"/>
          <w:noProof/>
          <w:color w:val="000000" w:themeColor="text1"/>
          <w:sz w:val="24"/>
          <w:szCs w:val="24"/>
        </w:rPr>
        <w:drawing>
          <wp:inline distT="0" distB="0" distL="0" distR="0" wp14:anchorId="7324A379" wp14:editId="26B034CB">
            <wp:extent cx="5760720" cy="3703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onic_care_model.png"/>
                    <pic:cNvPicPr/>
                  </pic:nvPicPr>
                  <pic:blipFill>
                    <a:blip r:embed="rId10"/>
                    <a:stretch>
                      <a:fillRect/>
                    </a:stretch>
                  </pic:blipFill>
                  <pic:spPr>
                    <a:xfrm>
                      <a:off x="0" y="0"/>
                      <a:ext cx="5760720" cy="3703320"/>
                    </a:xfrm>
                    <a:prstGeom prst="rect">
                      <a:avLst/>
                    </a:prstGeom>
                  </pic:spPr>
                </pic:pic>
              </a:graphicData>
            </a:graphic>
          </wp:inline>
        </w:drawing>
      </w:r>
    </w:p>
    <w:p w14:paraId="45BE9BED" w14:textId="77777777" w:rsidR="00627B44" w:rsidRPr="00627B44" w:rsidRDefault="002A49F2" w:rsidP="00627B44">
      <w:pPr>
        <w:pStyle w:val="Caption"/>
        <w:spacing w:line="360" w:lineRule="auto"/>
        <w:jc w:val="center"/>
        <w:rPr>
          <w:rFonts w:ascii="Arial" w:hAnsi="Arial" w:cs="Arial"/>
          <w:color w:val="000000" w:themeColor="text1"/>
          <w:sz w:val="24"/>
          <w:szCs w:val="24"/>
        </w:rPr>
      </w:pPr>
      <w:r w:rsidRPr="00627B44">
        <w:rPr>
          <w:rFonts w:ascii="Arial" w:hAnsi="Arial" w:cs="Arial"/>
          <w:color w:val="000000" w:themeColor="text1"/>
          <w:sz w:val="24"/>
          <w:szCs w:val="24"/>
        </w:rPr>
        <w:t>Figure 2. The Chronic Care Model adapted for dementia services. Source: adapted from Wagner et al. (2001).</w:t>
      </w:r>
      <w:bookmarkStart w:id="14" w:name="_Toc242729907"/>
      <w:r w:rsidR="00627B44" w:rsidRPr="00627B44">
        <w:rPr>
          <w:rFonts w:ascii="Arial" w:hAnsi="Arial" w:cs="Arial"/>
          <w:color w:val="000000" w:themeColor="text1"/>
          <w:sz w:val="24"/>
          <w:szCs w:val="24"/>
        </w:rPr>
        <w:t xml:space="preserve">  </w:t>
      </w:r>
    </w:p>
    <w:p w14:paraId="26678031" w14:textId="0ED933A5" w:rsidR="007B5481" w:rsidRPr="00627B44" w:rsidRDefault="007B5481" w:rsidP="00627B44">
      <w:pPr>
        <w:pStyle w:val="Caption"/>
        <w:spacing w:line="360" w:lineRule="auto"/>
        <w:rPr>
          <w:rFonts w:ascii="Arial" w:hAnsi="Arial" w:cs="Arial"/>
          <w:i w:val="0"/>
          <w:iCs/>
          <w:color w:val="000000" w:themeColor="text1"/>
          <w:sz w:val="24"/>
          <w:szCs w:val="24"/>
        </w:rPr>
      </w:pPr>
      <w:r w:rsidRPr="00627B44">
        <w:rPr>
          <w:rFonts w:ascii="Arial" w:hAnsi="Arial" w:cs="Arial"/>
          <w:b w:val="0"/>
          <w:bCs w:val="0"/>
          <w:i w:val="0"/>
          <w:iCs/>
          <w:color w:val="auto"/>
          <w:sz w:val="24"/>
          <w:szCs w:val="24"/>
        </w:rPr>
        <w:t xml:space="preserve">Community resources may include dementia-friendly groups; self-management support may involve routines and carer education. Care delivery can include a named professional and planned reviews. Decision support draws on current guidance and specialist advice, while shared records may improve communication. As cognition changes, teams must adapt the model by supporting decision-making, involving carers appropriately and coordinating NHS and social care (Wagner et al., 2001; Huis in het Veld et al., 2020). Compared with the House of Care, the Chronic Care Model gives greater attention to information systems, clinical decision support and the wider service infrastructure; the House of Care more explicitly foregrounds </w:t>
      </w:r>
      <w:r w:rsidR="00C82C18" w:rsidRPr="00627B44">
        <w:rPr>
          <w:rFonts w:ascii="Arial" w:hAnsi="Arial" w:cs="Arial"/>
          <w:b w:val="0"/>
          <w:bCs w:val="0"/>
          <w:i w:val="0"/>
          <w:iCs/>
          <w:color w:val="auto"/>
          <w:sz w:val="24"/>
          <w:szCs w:val="24"/>
        </w:rPr>
        <w:t>personalized</w:t>
      </w:r>
      <w:r w:rsidRPr="00627B44">
        <w:rPr>
          <w:rFonts w:ascii="Arial" w:hAnsi="Arial" w:cs="Arial"/>
          <w:b w:val="0"/>
          <w:bCs w:val="0"/>
          <w:i w:val="0"/>
          <w:iCs/>
          <w:color w:val="auto"/>
          <w:sz w:val="24"/>
          <w:szCs w:val="24"/>
        </w:rPr>
        <w:t xml:space="preserve"> conversations and commissioning. Together they offer complementary perspectives, but neither is a dementia-specific intervention and neither guarantees better outcomes without resources, workforce skills and accountability. Services should evaluate continuity, quality of life, access and carer experience rather than count completed plans alone.</w:t>
      </w:r>
    </w:p>
    <w:p w14:paraId="565426E4" w14:textId="204C33AF" w:rsidR="00F0516C" w:rsidRPr="00627B44" w:rsidRDefault="002A49F2" w:rsidP="007B5481">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lastRenderedPageBreak/>
        <w:t>7. National and local health and social care policy</w:t>
      </w:r>
      <w:bookmarkEnd w:id="14"/>
    </w:p>
    <w:p w14:paraId="76A0EA3C" w14:textId="49FD80FB" w:rsidR="007B5481" w:rsidRPr="00627B44" w:rsidRDefault="007B5481" w:rsidP="007B5481">
      <w:pPr>
        <w:pStyle w:val="Heading2"/>
        <w:spacing w:line="360" w:lineRule="auto"/>
        <w:rPr>
          <w:rFonts w:ascii="Arial" w:hAnsi="Arial" w:cs="Arial"/>
          <w:b w:val="0"/>
          <w:bCs w:val="0"/>
          <w:color w:val="000000" w:themeColor="text1"/>
          <w:szCs w:val="24"/>
          <w:lang w:val="en-GB"/>
        </w:rPr>
      </w:pPr>
      <w:bookmarkStart w:id="15" w:name="_Toc242729908"/>
      <w:r w:rsidRPr="00627B44">
        <w:rPr>
          <w:rFonts w:ascii="Arial" w:hAnsi="Arial" w:cs="Arial"/>
          <w:b w:val="0"/>
          <w:bCs w:val="0"/>
          <w:color w:val="000000" w:themeColor="text1"/>
          <w:szCs w:val="24"/>
          <w:lang w:val="en-GB"/>
        </w:rPr>
        <w:t>In England, the Care Act 2014 places duties on wellbeing, prevention and carer assessment within adult social care. These principles support intervention before crisis, but legal duties do not guarantee that home care or respite will be available. Eligibility thresholds, local budgets and workforce capacity shape what people receive. Implementation should therefore be assessed through timely access, continuity and outcomes, not simply the number of assessments completed (Care Act, 2014). NICE guideline NG97 covers assessment and diagnosis, coordination, medicines, non-drug interventions, carer support, staff training and future planning. It recommends a named professional to coordinate care and reviews when needs change. Guidance can reduce unwarranted variation, but impact depends on training, commissioning and accessible services. Recommendations should be applied with clinical judgement and attention to individual circumstances, rather than mechanically (NICE, 2018).</w:t>
      </w:r>
    </w:p>
    <w:p w14:paraId="16470240" w14:textId="15EE203A" w:rsidR="007B5481" w:rsidRPr="00081569" w:rsidRDefault="007B5481" w:rsidP="007B5481">
      <w:pPr>
        <w:pStyle w:val="Heading2"/>
        <w:spacing w:line="360" w:lineRule="auto"/>
        <w:rPr>
          <w:rFonts w:ascii="Arial" w:hAnsi="Arial" w:cs="Arial"/>
          <w:b w:val="0"/>
          <w:bCs w:val="0"/>
          <w:color w:val="000000" w:themeColor="text1"/>
          <w:szCs w:val="24"/>
          <w:lang w:val="en-GB"/>
        </w:rPr>
      </w:pPr>
      <w:r w:rsidRPr="00081569">
        <w:rPr>
          <w:rFonts w:ascii="Arial" w:hAnsi="Arial" w:cs="Arial"/>
          <w:b w:val="0"/>
          <w:bCs w:val="0"/>
          <w:color w:val="000000" w:themeColor="text1"/>
        </w:rPr>
        <w:t xml:space="preserve">The Department of Health and Social Care’s 2025 10 Year Health Plan for England emphasises prevention, care closer to home, </w:t>
      </w:r>
      <w:r w:rsidR="00C82C18" w:rsidRPr="00081569">
        <w:rPr>
          <w:rFonts w:ascii="Arial" w:hAnsi="Arial" w:cs="Arial"/>
          <w:b w:val="0"/>
          <w:bCs w:val="0"/>
          <w:color w:val="000000" w:themeColor="text1"/>
        </w:rPr>
        <w:t>neighborhood</w:t>
      </w:r>
      <w:r w:rsidRPr="00081569">
        <w:rPr>
          <w:rFonts w:ascii="Arial" w:hAnsi="Arial" w:cs="Arial"/>
          <w:b w:val="0"/>
          <w:bCs w:val="0"/>
          <w:color w:val="000000" w:themeColor="text1"/>
        </w:rPr>
        <w:t xml:space="preserve"> teams and digital services. Digital tools may improve coordination, but digital-first services can disadvantage people with cognitive or sensory impairment, language barriers or limited internet access. Telephone, face-to-face and accessible non-digital options should remain available. The plan’s real effect will depend on workforce, funding, local readiness and transparent evaluation; broad policy commitments alone do not demonstrate improved dementia outcomes.</w:t>
      </w:r>
    </w:p>
    <w:p w14:paraId="314A76BB" w14:textId="77777777" w:rsidR="007B5481" w:rsidRPr="00627B44" w:rsidRDefault="002A49F2" w:rsidP="007B5481">
      <w:pPr>
        <w:pStyle w:val="Heading2"/>
        <w:spacing w:line="360" w:lineRule="auto"/>
        <w:rPr>
          <w:rFonts w:ascii="Arial" w:hAnsi="Arial" w:cs="Arial"/>
          <w:color w:val="000000" w:themeColor="text1"/>
          <w:szCs w:val="24"/>
        </w:rPr>
      </w:pPr>
      <w:r w:rsidRPr="00627B44">
        <w:rPr>
          <w:rFonts w:ascii="Arial" w:hAnsi="Arial" w:cs="Arial"/>
          <w:color w:val="000000" w:themeColor="text1"/>
          <w:szCs w:val="24"/>
        </w:rPr>
        <w:t xml:space="preserve">Local </w:t>
      </w:r>
      <w:r w:rsidR="003309F9" w:rsidRPr="00627B44">
        <w:rPr>
          <w:rFonts w:ascii="Arial" w:hAnsi="Arial" w:cs="Arial"/>
          <w:color w:val="000000" w:themeColor="text1"/>
          <w:szCs w:val="24"/>
        </w:rPr>
        <w:t>agendas</w:t>
      </w:r>
      <w:r w:rsidRPr="00627B44">
        <w:rPr>
          <w:rFonts w:ascii="Arial" w:hAnsi="Arial" w:cs="Arial"/>
          <w:color w:val="000000" w:themeColor="text1"/>
          <w:szCs w:val="24"/>
        </w:rPr>
        <w:t>: Birmingham and Solihull</w:t>
      </w:r>
      <w:bookmarkStart w:id="16" w:name="_Toc242729909"/>
      <w:bookmarkEnd w:id="15"/>
    </w:p>
    <w:p w14:paraId="731C6689" w14:textId="419A040C" w:rsidR="007B5481" w:rsidRPr="00627B44" w:rsidRDefault="007B5481" w:rsidP="007B5481">
      <w:pPr>
        <w:pStyle w:val="Heading2"/>
        <w:spacing w:line="360" w:lineRule="auto"/>
        <w:rPr>
          <w:rFonts w:ascii="Arial" w:hAnsi="Arial" w:cs="Arial"/>
          <w:color w:val="000000" w:themeColor="text1"/>
          <w:szCs w:val="24"/>
        </w:rPr>
      </w:pPr>
      <w:r w:rsidRPr="00627B44">
        <w:rPr>
          <w:rFonts w:ascii="Arial" w:hAnsi="Arial" w:cs="Arial"/>
          <w:b w:val="0"/>
          <w:bCs w:val="0"/>
          <w:color w:val="000000" w:themeColor="text1"/>
          <w:szCs w:val="24"/>
          <w:lang w:val="en-GB"/>
        </w:rPr>
        <w:t>The Birmingham and Solihull Dementia Strategy 2023–2028 identifies priorities including prevention and information, timely diagnosis and support, crisis avoidance and personalised planning, including end-of-life care (Birmingham and Solihull Integrated Care Board, 2023). These priorities align with both care models through early intervention, coordination, carer support and future planning. Their value, however, depends on delivery across health, social care and voluntary organisations, with clear responsibility for people who move between services.</w:t>
      </w:r>
    </w:p>
    <w:p w14:paraId="23967C80" w14:textId="77777777" w:rsidR="007B5481" w:rsidRPr="00081569" w:rsidRDefault="007B5481" w:rsidP="007B5481">
      <w:pPr>
        <w:pStyle w:val="Heading1"/>
        <w:spacing w:line="360" w:lineRule="auto"/>
        <w:rPr>
          <w:rFonts w:ascii="Arial" w:hAnsi="Arial" w:cs="Arial"/>
          <w:b w:val="0"/>
          <w:bCs w:val="0"/>
          <w:color w:val="000000" w:themeColor="text1"/>
          <w:sz w:val="18"/>
          <w:szCs w:val="18"/>
          <w:lang w:val="en-GB"/>
        </w:rPr>
      </w:pPr>
      <w:r w:rsidRPr="00081569">
        <w:rPr>
          <w:rFonts w:ascii="Arial" w:hAnsi="Arial" w:cs="Arial"/>
          <w:b w:val="0"/>
          <w:bCs w:val="0"/>
          <w:color w:val="000000" w:themeColor="text1"/>
          <w:sz w:val="24"/>
          <w:szCs w:val="20"/>
        </w:rPr>
        <w:lastRenderedPageBreak/>
        <w:t xml:space="preserve">A published strategy does not prove that care has improved. Local services should monitor waiting times for diagnosis and post-diagnostic follow-up, access to carer assessments and respite, whether care plans lead to action, crisis admissions and feedback from people with dementia and carers. Results should be compared across communities to identify barriers related to language, culture, disability, income or transport. </w:t>
      </w:r>
    </w:p>
    <w:p w14:paraId="40301B1D" w14:textId="77777777" w:rsidR="00627B44" w:rsidRPr="00627B44" w:rsidRDefault="002A49F2" w:rsidP="007B5481">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t>8. Planning ahead and end-of-life care</w:t>
      </w:r>
      <w:bookmarkStart w:id="17" w:name="_Toc242729910"/>
      <w:bookmarkEnd w:id="16"/>
      <w:r w:rsidR="00627B44" w:rsidRPr="00627B44">
        <w:rPr>
          <w:rFonts w:ascii="Arial" w:hAnsi="Arial" w:cs="Arial"/>
          <w:color w:val="000000" w:themeColor="text1"/>
          <w:sz w:val="24"/>
          <w:szCs w:val="24"/>
        </w:rPr>
        <w:t xml:space="preserve">  </w:t>
      </w:r>
    </w:p>
    <w:p w14:paraId="773BFA18" w14:textId="5825F755" w:rsidR="00627B44" w:rsidRDefault="007B5481" w:rsidP="007B5481">
      <w:pPr>
        <w:pStyle w:val="Heading1"/>
        <w:spacing w:line="360" w:lineRule="auto"/>
        <w:rPr>
          <w:rFonts w:ascii="Arial" w:eastAsiaTheme="minorEastAsia" w:hAnsi="Arial" w:cs="Arial"/>
          <w:b w:val="0"/>
          <w:bCs w:val="0"/>
          <w:color w:val="auto"/>
          <w:sz w:val="24"/>
          <w:szCs w:val="24"/>
        </w:rPr>
      </w:pPr>
      <w:r w:rsidRPr="00627B44">
        <w:rPr>
          <w:rFonts w:ascii="Arial" w:eastAsiaTheme="minorEastAsia" w:hAnsi="Arial" w:cs="Arial"/>
          <w:b w:val="0"/>
          <w:bCs w:val="0"/>
          <w:color w:val="auto"/>
          <w:sz w:val="24"/>
          <w:szCs w:val="24"/>
        </w:rPr>
        <w:t xml:space="preserve">Dementia can shorten life, but its course is difficult to predict. Palliative care should respond to the person’s needs, promote comfort and dignity, relieve symptoms, support relationships and respect preferences. NICE advises considering palliative needs from diagnosis because it can be difficult to identify when someone has reached the final stage (NICE, 2018). Early conversations can record trusted contacts, preferred place of care, cultural or spiritual needs, sources of comfort and views about future treatment. Where appropriate, discuss a health and welfare Lasting Power of Attorney, an advance statement and an advance decision to refuse treatment; these have different legal effects, so accessible advice may be needed. Planning is especially valuable while the person can participate, but preferences should be revisited because people may change their minds while they have capacity (Dening et al., 2012). Plans should be shared, with consent, and reviewed after hospital admission or major changes. If a person lacks capacity for a specific decision, the Mental Capacity Act 2005 requires </w:t>
      </w:r>
      <w:r w:rsidR="00C82C18" w:rsidRPr="00627B44">
        <w:rPr>
          <w:rFonts w:ascii="Arial" w:eastAsiaTheme="minorEastAsia" w:hAnsi="Arial" w:cs="Arial"/>
          <w:b w:val="0"/>
          <w:bCs w:val="0"/>
          <w:color w:val="auto"/>
          <w:sz w:val="24"/>
          <w:szCs w:val="24"/>
        </w:rPr>
        <w:t>the best</w:t>
      </w:r>
      <w:r w:rsidRPr="00627B44">
        <w:rPr>
          <w:rFonts w:ascii="Arial" w:eastAsiaTheme="minorEastAsia" w:hAnsi="Arial" w:cs="Arial"/>
          <w:b w:val="0"/>
          <w:bCs w:val="0"/>
          <w:color w:val="auto"/>
          <w:sz w:val="24"/>
          <w:szCs w:val="24"/>
        </w:rPr>
        <w:t>-interests decision with appropriate consultation. Planning should cover pain, swallowing difficulties, comfort and whether hospital transfer would meet the person’s goals. Families also need emotional and practical support. These conversations require time, clear language and opportunities to revisit decisions.</w:t>
      </w:r>
    </w:p>
    <w:p w14:paraId="5053C2AD" w14:textId="77777777" w:rsidR="00081569" w:rsidRPr="00081569" w:rsidRDefault="00081569" w:rsidP="00081569"/>
    <w:p w14:paraId="133BBCC8" w14:textId="77777777" w:rsidR="00627B44" w:rsidRPr="00627B44" w:rsidRDefault="002A49F2" w:rsidP="00627B44">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lastRenderedPageBreak/>
        <w:t>9. Recommendations for improving care</w:t>
      </w:r>
      <w:bookmarkStart w:id="18" w:name="_Toc242729911"/>
      <w:bookmarkEnd w:id="17"/>
      <w:r w:rsidR="00627B44" w:rsidRPr="00627B44">
        <w:rPr>
          <w:rFonts w:ascii="Arial" w:hAnsi="Arial" w:cs="Arial"/>
          <w:color w:val="000000" w:themeColor="text1"/>
          <w:sz w:val="24"/>
          <w:szCs w:val="24"/>
        </w:rPr>
        <w:t xml:space="preserve"> </w:t>
      </w:r>
    </w:p>
    <w:p w14:paraId="192C73CE" w14:textId="1ED8624C" w:rsidR="00627B44" w:rsidRPr="00627B44" w:rsidRDefault="00627B44" w:rsidP="00627B44">
      <w:pPr>
        <w:pStyle w:val="Heading1"/>
        <w:spacing w:line="360" w:lineRule="auto"/>
        <w:rPr>
          <w:rFonts w:ascii="Arial" w:hAnsi="Arial" w:cs="Arial"/>
          <w:color w:val="000000" w:themeColor="text1"/>
          <w:sz w:val="24"/>
          <w:szCs w:val="24"/>
        </w:rPr>
      </w:pPr>
      <w:r w:rsidRPr="00627B44">
        <w:rPr>
          <w:rFonts w:ascii="Arial" w:eastAsiaTheme="minorEastAsia" w:hAnsi="Arial" w:cs="Arial"/>
          <w:b w:val="0"/>
          <w:bCs w:val="0"/>
          <w:color w:val="auto"/>
          <w:sz w:val="24"/>
          <w:szCs w:val="24"/>
        </w:rPr>
        <w:t xml:space="preserve">First, offer every person a named contact after diagnosis, with clear instructions for reaching them, to coordinate GP, memory, social care and community support. Second, review care plans against goals that matter to the person; record who will act, by when and how progress will be assessed (NICE, 2018). Third, treat carers as people with their own needs: ask about sleep, health, employment and finances, and offer assessment, education, respite information and peer support. Fourth, make services inclusive through interpreters, accessible formats, sensory adjustments, outreach and non-digital contact. Monitor who misses diagnosis or follow-up and </w:t>
      </w:r>
      <w:r w:rsidR="00C82C18" w:rsidRPr="00627B44">
        <w:rPr>
          <w:rFonts w:ascii="Arial" w:eastAsiaTheme="minorEastAsia" w:hAnsi="Arial" w:cs="Arial"/>
          <w:b w:val="0"/>
          <w:bCs w:val="0"/>
          <w:color w:val="auto"/>
          <w:sz w:val="24"/>
          <w:szCs w:val="24"/>
        </w:rPr>
        <w:t>work</w:t>
      </w:r>
      <w:r w:rsidR="00C82C18">
        <w:rPr>
          <w:rFonts w:ascii="Arial" w:eastAsiaTheme="minorEastAsia" w:hAnsi="Arial" w:cs="Arial"/>
          <w:b w:val="0"/>
          <w:bCs w:val="0"/>
          <w:color w:val="auto"/>
          <w:sz w:val="24"/>
          <w:szCs w:val="24"/>
        </w:rPr>
        <w:t xml:space="preserve"> </w:t>
      </w:r>
      <w:r w:rsidRPr="00627B44">
        <w:rPr>
          <w:rFonts w:ascii="Arial" w:eastAsiaTheme="minorEastAsia" w:hAnsi="Arial" w:cs="Arial"/>
          <w:b w:val="0"/>
          <w:bCs w:val="0"/>
          <w:color w:val="auto"/>
          <w:sz w:val="24"/>
          <w:szCs w:val="24"/>
        </w:rPr>
        <w:t>with communities to address barriers. Fifth, make advance care planning an ongoing conversation and connect palliative care with routine dementia services. Finally, publish measures of quality of life, continuity, post-diagnostic support, carer wellbeing, avoidable crises and inequalities. These actions combine the House of Care’s partnership focus with the Chronic Care Model’s attention to teams and community resources. They require staff, time, training and services, so commissioners should identify who is accountable and review progress with people living with dementia and carers.</w:t>
      </w:r>
    </w:p>
    <w:p w14:paraId="1EFB66B5" w14:textId="77777777" w:rsidR="00627B44" w:rsidRPr="00627B44" w:rsidRDefault="002A49F2" w:rsidP="00D556BE">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t>Conclusion</w:t>
      </w:r>
      <w:bookmarkStart w:id="19" w:name="_Toc242729912"/>
      <w:bookmarkEnd w:id="18"/>
      <w:r w:rsidR="00627B44" w:rsidRPr="00627B44">
        <w:rPr>
          <w:rFonts w:ascii="Arial" w:hAnsi="Arial" w:cs="Arial"/>
          <w:color w:val="000000" w:themeColor="text1"/>
          <w:sz w:val="24"/>
          <w:szCs w:val="24"/>
        </w:rPr>
        <w:t xml:space="preserve"> </w:t>
      </w:r>
    </w:p>
    <w:p w14:paraId="23999BA5" w14:textId="1EFA6DD4" w:rsidR="00D556BE" w:rsidRPr="00627B44" w:rsidRDefault="00627B44" w:rsidP="00D556BE">
      <w:pPr>
        <w:pStyle w:val="Heading1"/>
        <w:spacing w:line="360" w:lineRule="auto"/>
        <w:rPr>
          <w:rFonts w:ascii="Arial" w:hAnsi="Arial" w:cs="Arial"/>
          <w:color w:val="000000" w:themeColor="text1"/>
          <w:sz w:val="24"/>
          <w:szCs w:val="24"/>
        </w:rPr>
      </w:pPr>
      <w:r w:rsidRPr="00627B44">
        <w:rPr>
          <w:rFonts w:ascii="Arial" w:eastAsiaTheme="minorEastAsia" w:hAnsi="Arial" w:cs="Arial"/>
          <w:b w:val="0"/>
          <w:bCs w:val="0"/>
          <w:color w:val="auto"/>
          <w:sz w:val="24"/>
          <w:szCs w:val="24"/>
        </w:rPr>
        <w:t xml:space="preserve">Dementia can affect health, emotions, relationships and social participation, but it does not remove a person’s identity or right to be involved in decisions. Medicines and non-drug approaches may help with some symptoms, while coordinated care, carer support and accessible community services remain essential. The House of Care and Chronic Care Model offer complementary ways to </w:t>
      </w:r>
      <w:r w:rsidR="00C82C18" w:rsidRPr="00627B44">
        <w:rPr>
          <w:rFonts w:ascii="Arial" w:eastAsiaTheme="minorEastAsia" w:hAnsi="Arial" w:cs="Arial"/>
          <w:b w:val="0"/>
          <w:bCs w:val="0"/>
          <w:color w:val="auto"/>
          <w:sz w:val="24"/>
          <w:szCs w:val="24"/>
        </w:rPr>
        <w:t>organize</w:t>
      </w:r>
      <w:r w:rsidRPr="00627B44">
        <w:rPr>
          <w:rFonts w:ascii="Arial" w:eastAsiaTheme="minorEastAsia" w:hAnsi="Arial" w:cs="Arial"/>
          <w:b w:val="0"/>
          <w:bCs w:val="0"/>
          <w:color w:val="auto"/>
          <w:sz w:val="24"/>
          <w:szCs w:val="24"/>
        </w:rPr>
        <w:t xml:space="preserve"> support, but their value depends on implementation and evaluation. Care should remain person-centred throughout the condition, including at the end of life.</w:t>
      </w:r>
    </w:p>
    <w:p w14:paraId="56F4C2DC" w14:textId="77777777" w:rsidR="00D556BE" w:rsidRPr="00627B44" w:rsidRDefault="00D556BE" w:rsidP="00D556BE">
      <w:pPr>
        <w:pStyle w:val="Heading1"/>
        <w:spacing w:line="360" w:lineRule="auto"/>
        <w:rPr>
          <w:rFonts w:ascii="Arial" w:hAnsi="Arial" w:cs="Arial"/>
          <w:color w:val="000000" w:themeColor="text1"/>
          <w:sz w:val="24"/>
          <w:szCs w:val="24"/>
        </w:rPr>
      </w:pPr>
    </w:p>
    <w:p w14:paraId="06E45B6D" w14:textId="77777777" w:rsidR="00D556BE" w:rsidRPr="00627B44" w:rsidRDefault="00D556BE" w:rsidP="00D556BE">
      <w:pPr>
        <w:rPr>
          <w:rFonts w:ascii="Arial" w:hAnsi="Arial" w:cs="Arial"/>
          <w:sz w:val="24"/>
          <w:szCs w:val="24"/>
        </w:rPr>
      </w:pPr>
    </w:p>
    <w:p w14:paraId="01940E7D" w14:textId="77777777" w:rsidR="00F0516C" w:rsidRPr="00627B44" w:rsidRDefault="002A49F2" w:rsidP="00D556BE">
      <w:pPr>
        <w:pStyle w:val="Heading1"/>
        <w:spacing w:line="360" w:lineRule="auto"/>
        <w:rPr>
          <w:rFonts w:ascii="Arial" w:hAnsi="Arial" w:cs="Arial"/>
          <w:color w:val="000000" w:themeColor="text1"/>
          <w:sz w:val="24"/>
          <w:szCs w:val="24"/>
        </w:rPr>
      </w:pPr>
      <w:r w:rsidRPr="00627B44">
        <w:rPr>
          <w:rFonts w:ascii="Arial" w:hAnsi="Arial" w:cs="Arial"/>
          <w:color w:val="000000" w:themeColor="text1"/>
          <w:sz w:val="24"/>
          <w:szCs w:val="24"/>
        </w:rPr>
        <w:lastRenderedPageBreak/>
        <w:t>References</w:t>
      </w:r>
      <w:bookmarkEnd w:id="19"/>
    </w:p>
    <w:p w14:paraId="27FC7321" w14:textId="77777777" w:rsidR="00215C8B" w:rsidRPr="00627B44" w:rsidRDefault="002A49F2" w:rsidP="00CD7465">
      <w:pPr>
        <w:rPr>
          <w:rFonts w:ascii="Arial" w:hAnsi="Arial" w:cs="Arial"/>
          <w:sz w:val="24"/>
          <w:szCs w:val="24"/>
        </w:rPr>
      </w:pPr>
      <w:r w:rsidRPr="00627B44">
        <w:rPr>
          <w:rFonts w:ascii="Arial" w:hAnsi="Arial" w:cs="Arial"/>
          <w:sz w:val="24"/>
          <w:szCs w:val="24"/>
        </w:rPr>
        <w:t>Alzheimer’s Disease International (2024) World Alzheimer Report 2024: Global changes in attitudes to dementia. London: Alzheimer’s Disease International. Available at: https://www.alzint.org/resource/world-alzheimer-report-2024/ (Accessed: 15 October 2026).</w:t>
      </w:r>
    </w:p>
    <w:p w14:paraId="1AD988CA" w14:textId="77777777" w:rsidR="00215C8B" w:rsidRPr="00627B44" w:rsidRDefault="002A49F2" w:rsidP="00CD7465">
      <w:pPr>
        <w:rPr>
          <w:rFonts w:ascii="Arial" w:hAnsi="Arial" w:cs="Arial"/>
          <w:sz w:val="24"/>
          <w:szCs w:val="24"/>
        </w:rPr>
      </w:pPr>
      <w:r w:rsidRPr="00627B44">
        <w:rPr>
          <w:rFonts w:ascii="Arial" w:hAnsi="Arial" w:cs="Arial"/>
          <w:sz w:val="24"/>
          <w:szCs w:val="24"/>
        </w:rPr>
        <w:t>Alzheimer’s Society (2024) ‘Dementia scale and impact numbers’. Available at: https://www.alzheimers.org.uk/about-dementia/dementia-statistics-and-facts/dementia-scale-and-impact-numbers (Accessed: 4 October 2026).</w:t>
      </w:r>
    </w:p>
    <w:p w14:paraId="26617D85" w14:textId="1C639E1F" w:rsidR="00215C8B" w:rsidRPr="00627B44" w:rsidRDefault="002A49F2" w:rsidP="00CD7465">
      <w:pPr>
        <w:rPr>
          <w:rFonts w:ascii="Arial" w:hAnsi="Arial" w:cs="Arial"/>
          <w:sz w:val="24"/>
          <w:szCs w:val="24"/>
        </w:rPr>
      </w:pPr>
      <w:r w:rsidRPr="00627B44">
        <w:rPr>
          <w:rFonts w:ascii="Arial" w:hAnsi="Arial" w:cs="Arial"/>
          <w:sz w:val="24"/>
          <w:szCs w:val="24"/>
        </w:rPr>
        <w:t xml:space="preserve">Bennett, S., Laver, K., Voigt-Radloff, S. et al. (2019) ‘Occupational therapy for people with dementia and their family carers provided at home: a systematic review and meta-analysis’, BMJ Open, 9(11), e026308. </w:t>
      </w:r>
      <w:r w:rsidR="00C82C18" w:rsidRPr="00627B44">
        <w:rPr>
          <w:rFonts w:ascii="Arial" w:hAnsi="Arial" w:cs="Arial"/>
          <w:sz w:val="24"/>
          <w:szCs w:val="24"/>
        </w:rPr>
        <w:t>Doi</w:t>
      </w:r>
      <w:r w:rsidRPr="00627B44">
        <w:rPr>
          <w:rFonts w:ascii="Arial" w:hAnsi="Arial" w:cs="Arial"/>
          <w:sz w:val="24"/>
          <w:szCs w:val="24"/>
        </w:rPr>
        <w:t>: 10.1136/bmjopen-2018-026308.</w:t>
      </w:r>
    </w:p>
    <w:p w14:paraId="05192821" w14:textId="3BB3A6B6" w:rsidR="00215C8B" w:rsidRPr="00627B44" w:rsidRDefault="002A49F2" w:rsidP="00CD7465">
      <w:pPr>
        <w:rPr>
          <w:rFonts w:ascii="Arial" w:hAnsi="Arial" w:cs="Arial"/>
          <w:sz w:val="24"/>
          <w:szCs w:val="24"/>
        </w:rPr>
      </w:pPr>
      <w:r w:rsidRPr="00627B44">
        <w:rPr>
          <w:rFonts w:ascii="Arial" w:hAnsi="Arial" w:cs="Arial"/>
          <w:sz w:val="24"/>
          <w:szCs w:val="24"/>
        </w:rPr>
        <w:t xml:space="preserve">Berkovic, D., Macrae, A., Gulline, H. et al. (2024) ‘The delivery of person-centered care for people living with dementia in residential aged care: a systematic review and meta-analysis’, The Gerontologist, 64(5), gnad052. </w:t>
      </w:r>
      <w:r w:rsidR="00C82C18" w:rsidRPr="00627B44">
        <w:rPr>
          <w:rFonts w:ascii="Arial" w:hAnsi="Arial" w:cs="Arial"/>
          <w:sz w:val="24"/>
          <w:szCs w:val="24"/>
        </w:rPr>
        <w:t>Doi</w:t>
      </w:r>
      <w:r w:rsidRPr="00627B44">
        <w:rPr>
          <w:rFonts w:ascii="Arial" w:hAnsi="Arial" w:cs="Arial"/>
          <w:sz w:val="24"/>
          <w:szCs w:val="24"/>
        </w:rPr>
        <w:t>: 10.1093/geront/gnad052.</w:t>
      </w:r>
    </w:p>
    <w:p w14:paraId="31253CCA" w14:textId="77777777" w:rsidR="00215C8B" w:rsidRPr="00627B44" w:rsidRDefault="002A49F2" w:rsidP="00CD7465">
      <w:pPr>
        <w:rPr>
          <w:rFonts w:ascii="Arial" w:hAnsi="Arial" w:cs="Arial"/>
          <w:sz w:val="24"/>
          <w:szCs w:val="24"/>
        </w:rPr>
      </w:pPr>
      <w:r w:rsidRPr="00627B44">
        <w:rPr>
          <w:rFonts w:ascii="Arial" w:hAnsi="Arial" w:cs="Arial"/>
          <w:sz w:val="24"/>
          <w:szCs w:val="24"/>
        </w:rPr>
        <w:t>Birmingham and Solihull Integrated Care Board (2023) Our dementia strategy 2023 to 2028. Available at: https://www.birminghamsolihull.icb.nhs.uk/health-information/dementia/our-dementia-strategy (Accessed: 4 October 2026).</w:t>
      </w:r>
    </w:p>
    <w:p w14:paraId="7C99D574" w14:textId="77777777" w:rsidR="00215C8B" w:rsidRPr="00627B44" w:rsidRDefault="002A49F2" w:rsidP="00CD7465">
      <w:pPr>
        <w:rPr>
          <w:rFonts w:ascii="Arial" w:hAnsi="Arial" w:cs="Arial"/>
          <w:sz w:val="24"/>
          <w:szCs w:val="24"/>
        </w:rPr>
      </w:pPr>
      <w:r w:rsidRPr="00627B44">
        <w:rPr>
          <w:rFonts w:ascii="Arial" w:hAnsi="Arial" w:cs="Arial"/>
          <w:sz w:val="24"/>
          <w:szCs w:val="24"/>
        </w:rPr>
        <w:t>Brooker, D. (2007) Person-centred dementia care: making services better. London: Jessica Kingsley Publishers.</w:t>
      </w:r>
    </w:p>
    <w:p w14:paraId="349EB0F3" w14:textId="48DD62F8" w:rsidR="00215C8B" w:rsidRPr="00627B44" w:rsidRDefault="002A49F2" w:rsidP="00CD7465">
      <w:pPr>
        <w:rPr>
          <w:rFonts w:ascii="Arial" w:hAnsi="Arial" w:cs="Arial"/>
          <w:sz w:val="24"/>
          <w:szCs w:val="24"/>
        </w:rPr>
      </w:pPr>
      <w:r w:rsidRPr="00627B44">
        <w:rPr>
          <w:rFonts w:ascii="Arial" w:hAnsi="Arial" w:cs="Arial"/>
          <w:sz w:val="24"/>
          <w:szCs w:val="24"/>
        </w:rPr>
        <w:t xml:space="preserve">Cao, Y., Wang, N., Wang, Q. et al. (2023) ‘Effects of cognitive stimulation therapy on patients with dementia: an umbrella review of systematic reviews and meta-analyses’, Experimental Gerontology, 177, 112197. </w:t>
      </w:r>
      <w:r w:rsidR="00C82C18" w:rsidRPr="00627B44">
        <w:rPr>
          <w:rFonts w:ascii="Arial" w:hAnsi="Arial" w:cs="Arial"/>
          <w:sz w:val="24"/>
          <w:szCs w:val="24"/>
        </w:rPr>
        <w:t>Doi</w:t>
      </w:r>
      <w:r w:rsidRPr="00627B44">
        <w:rPr>
          <w:rFonts w:ascii="Arial" w:hAnsi="Arial" w:cs="Arial"/>
          <w:sz w:val="24"/>
          <w:szCs w:val="24"/>
        </w:rPr>
        <w:t>: 10.1016/j.exger.2023.112197.</w:t>
      </w:r>
    </w:p>
    <w:p w14:paraId="46F7286D" w14:textId="77777777" w:rsidR="00215C8B" w:rsidRPr="00627B44" w:rsidRDefault="002A49F2" w:rsidP="00CD7465">
      <w:pPr>
        <w:rPr>
          <w:rFonts w:ascii="Arial" w:hAnsi="Arial" w:cs="Arial"/>
          <w:sz w:val="24"/>
          <w:szCs w:val="24"/>
        </w:rPr>
      </w:pPr>
      <w:r w:rsidRPr="00627B44">
        <w:rPr>
          <w:rFonts w:ascii="Arial" w:hAnsi="Arial" w:cs="Arial"/>
          <w:sz w:val="24"/>
          <w:szCs w:val="24"/>
        </w:rPr>
        <w:t>Care Act 2014, c.23. Available at: https://www.legislation.gov.uk/ukpga/2014/23/contents (Accessed: 4 October 2026).</w:t>
      </w:r>
    </w:p>
    <w:p w14:paraId="12D6C8C0" w14:textId="4296DCF0" w:rsidR="00215C8B" w:rsidRPr="00627B44" w:rsidRDefault="002A49F2" w:rsidP="00CD7465">
      <w:pPr>
        <w:rPr>
          <w:rFonts w:ascii="Arial" w:hAnsi="Arial" w:cs="Arial"/>
          <w:sz w:val="24"/>
          <w:szCs w:val="24"/>
        </w:rPr>
      </w:pPr>
      <w:r w:rsidRPr="00627B44">
        <w:rPr>
          <w:rFonts w:ascii="Arial" w:hAnsi="Arial" w:cs="Arial"/>
          <w:sz w:val="24"/>
          <w:szCs w:val="24"/>
        </w:rPr>
        <w:t xml:space="preserve">Chenoweth, L., Stein-Parbury, J., Lapkin, S. et al. (2019) ‘Effects of person-centered care at the </w:t>
      </w:r>
      <w:r w:rsidR="00C82C18" w:rsidRPr="00627B44">
        <w:rPr>
          <w:rFonts w:ascii="Arial" w:hAnsi="Arial" w:cs="Arial"/>
          <w:sz w:val="24"/>
          <w:szCs w:val="24"/>
        </w:rPr>
        <w:t>organizational</w:t>
      </w:r>
      <w:r w:rsidRPr="00627B44">
        <w:rPr>
          <w:rFonts w:ascii="Arial" w:hAnsi="Arial" w:cs="Arial"/>
          <w:sz w:val="24"/>
          <w:szCs w:val="24"/>
        </w:rPr>
        <w:t xml:space="preserve">-level for people with dementia: a systematic review’, PLOS ONE, 14(2), e0212686. </w:t>
      </w:r>
      <w:r w:rsidR="00C82C18" w:rsidRPr="00627B44">
        <w:rPr>
          <w:rFonts w:ascii="Arial" w:hAnsi="Arial" w:cs="Arial"/>
          <w:sz w:val="24"/>
          <w:szCs w:val="24"/>
        </w:rPr>
        <w:t>Doi</w:t>
      </w:r>
      <w:r w:rsidRPr="00627B44">
        <w:rPr>
          <w:rFonts w:ascii="Arial" w:hAnsi="Arial" w:cs="Arial"/>
          <w:sz w:val="24"/>
          <w:szCs w:val="24"/>
        </w:rPr>
        <w:t>: 10.1371/journal.pone.0212686.</w:t>
      </w:r>
    </w:p>
    <w:p w14:paraId="54E0177C" w14:textId="2E55A75C" w:rsidR="00215C8B" w:rsidRPr="00627B44" w:rsidRDefault="002A49F2" w:rsidP="00CD7465">
      <w:pPr>
        <w:rPr>
          <w:rFonts w:ascii="Arial" w:hAnsi="Arial" w:cs="Arial"/>
          <w:sz w:val="24"/>
          <w:szCs w:val="24"/>
        </w:rPr>
      </w:pPr>
      <w:r w:rsidRPr="00627B44">
        <w:rPr>
          <w:rFonts w:ascii="Arial" w:hAnsi="Arial" w:cs="Arial"/>
          <w:sz w:val="24"/>
          <w:szCs w:val="24"/>
        </w:rPr>
        <w:t xml:space="preserve">Dening, K.H., King, M., Jones, L. and Sampson, E.L. (2012) ‘Advance care planning in dementia: do family carers know the treatment preferences of people with early dementia?’, PLOS ONE, 7(7), e40854. </w:t>
      </w:r>
      <w:r w:rsidR="00C82C18" w:rsidRPr="00627B44">
        <w:rPr>
          <w:rFonts w:ascii="Arial" w:hAnsi="Arial" w:cs="Arial"/>
          <w:sz w:val="24"/>
          <w:szCs w:val="24"/>
        </w:rPr>
        <w:t>Doi</w:t>
      </w:r>
      <w:r w:rsidRPr="00627B44">
        <w:rPr>
          <w:rFonts w:ascii="Arial" w:hAnsi="Arial" w:cs="Arial"/>
          <w:sz w:val="24"/>
          <w:szCs w:val="24"/>
        </w:rPr>
        <w:t>: 10.1371/journal.pone.0040854.</w:t>
      </w:r>
    </w:p>
    <w:p w14:paraId="33F1D08E" w14:textId="77777777" w:rsidR="00215C8B" w:rsidRPr="00627B44" w:rsidRDefault="002A49F2" w:rsidP="00CD7465">
      <w:pPr>
        <w:rPr>
          <w:rFonts w:ascii="Arial" w:hAnsi="Arial" w:cs="Arial"/>
          <w:sz w:val="24"/>
          <w:szCs w:val="24"/>
        </w:rPr>
      </w:pPr>
      <w:r w:rsidRPr="00627B44">
        <w:rPr>
          <w:rFonts w:ascii="Arial" w:hAnsi="Arial" w:cs="Arial"/>
          <w:sz w:val="24"/>
          <w:szCs w:val="24"/>
        </w:rPr>
        <w:t>Department of Health (2009) Living well with dementia: a National Dementia Strategy. London: Department of Health. Available at: https://www.gov.uk/government/publications/living-well-with-dementia-a-national-dementia-strategy (Accessed: 15 October 2026).</w:t>
      </w:r>
    </w:p>
    <w:p w14:paraId="5EDAAFA0" w14:textId="656E065D" w:rsidR="00215C8B" w:rsidRPr="00627B44" w:rsidRDefault="002A49F2" w:rsidP="00CD7465">
      <w:pPr>
        <w:rPr>
          <w:rFonts w:ascii="Arial" w:hAnsi="Arial" w:cs="Arial"/>
          <w:sz w:val="24"/>
          <w:szCs w:val="24"/>
        </w:rPr>
      </w:pPr>
      <w:r w:rsidRPr="00627B44">
        <w:rPr>
          <w:rFonts w:ascii="Arial" w:hAnsi="Arial" w:cs="Arial"/>
          <w:sz w:val="24"/>
          <w:szCs w:val="24"/>
        </w:rPr>
        <w:t xml:space="preserve">Department of Health and Social Care (2025) Fit for the future: </w:t>
      </w:r>
      <w:r w:rsidR="00C82C18" w:rsidRPr="00627B44">
        <w:rPr>
          <w:rFonts w:ascii="Arial" w:hAnsi="Arial" w:cs="Arial"/>
          <w:sz w:val="24"/>
          <w:szCs w:val="24"/>
        </w:rPr>
        <w:t>10-year</w:t>
      </w:r>
      <w:r w:rsidRPr="00627B44">
        <w:rPr>
          <w:rFonts w:ascii="Arial" w:hAnsi="Arial" w:cs="Arial"/>
          <w:sz w:val="24"/>
          <w:szCs w:val="24"/>
        </w:rPr>
        <w:t xml:space="preserve"> health plan for England. Available at: https://www.gov.uk/government/publications/10-year-health-plan-for-england-fit-for-the-future (Accessed: 4 October 2026).</w:t>
      </w:r>
    </w:p>
    <w:p w14:paraId="06907761" w14:textId="1B9EACAE" w:rsidR="00215C8B" w:rsidRPr="00627B44" w:rsidRDefault="002A49F2" w:rsidP="00CD7465">
      <w:pPr>
        <w:rPr>
          <w:rFonts w:ascii="Arial" w:hAnsi="Arial" w:cs="Arial"/>
          <w:sz w:val="24"/>
          <w:szCs w:val="24"/>
        </w:rPr>
      </w:pPr>
      <w:r w:rsidRPr="00627B44">
        <w:rPr>
          <w:rFonts w:ascii="Arial" w:hAnsi="Arial" w:cs="Arial"/>
          <w:sz w:val="24"/>
          <w:szCs w:val="24"/>
        </w:rPr>
        <w:t xml:space="preserve">Desai, R., Leung, W.G., Fearn, C. et al. (2024) ‘Effectiveness of Cognitive Stimulation Therapy (CST) for mild to moderate dementia: a systematic literature review and meta-analysis of </w:t>
      </w:r>
      <w:r w:rsidR="00C82C18" w:rsidRPr="00627B44">
        <w:rPr>
          <w:rFonts w:ascii="Arial" w:hAnsi="Arial" w:cs="Arial"/>
          <w:sz w:val="24"/>
          <w:szCs w:val="24"/>
        </w:rPr>
        <w:t>randomized</w:t>
      </w:r>
      <w:r w:rsidRPr="00627B44">
        <w:rPr>
          <w:rFonts w:ascii="Arial" w:hAnsi="Arial" w:cs="Arial"/>
          <w:sz w:val="24"/>
          <w:szCs w:val="24"/>
        </w:rPr>
        <w:t xml:space="preserve"> control trials using the original CST protocol’, Ageing Research Reviews, 97, 102312. </w:t>
      </w:r>
      <w:r w:rsidR="00C82C18" w:rsidRPr="00627B44">
        <w:rPr>
          <w:rFonts w:ascii="Arial" w:hAnsi="Arial" w:cs="Arial"/>
          <w:sz w:val="24"/>
          <w:szCs w:val="24"/>
        </w:rPr>
        <w:t>Doi</w:t>
      </w:r>
      <w:r w:rsidRPr="00627B44">
        <w:rPr>
          <w:rFonts w:ascii="Arial" w:hAnsi="Arial" w:cs="Arial"/>
          <w:sz w:val="24"/>
          <w:szCs w:val="24"/>
        </w:rPr>
        <w:t>: 10.1016/j.arr.2024.102312.</w:t>
      </w:r>
    </w:p>
    <w:p w14:paraId="6F406714" w14:textId="45D1436F" w:rsidR="00215C8B" w:rsidRPr="00627B44" w:rsidRDefault="002A49F2" w:rsidP="00CD7465">
      <w:pPr>
        <w:rPr>
          <w:rFonts w:ascii="Arial" w:hAnsi="Arial" w:cs="Arial"/>
          <w:sz w:val="24"/>
          <w:szCs w:val="24"/>
        </w:rPr>
      </w:pPr>
      <w:r w:rsidRPr="00627B44">
        <w:rPr>
          <w:rFonts w:ascii="Arial" w:hAnsi="Arial" w:cs="Arial"/>
          <w:sz w:val="24"/>
          <w:szCs w:val="24"/>
        </w:rPr>
        <w:lastRenderedPageBreak/>
        <w:t xml:space="preserve">Han, Q.Y.C. et al. (2022) ‘Prevalence, risk factors, and impact of delirium on hospitalized older adults with dementia: a systematic review and meta-analysis’, Journal of the American Medical Directors Association, 23(1), pp. 1–11. </w:t>
      </w:r>
      <w:r w:rsidR="00C82C18" w:rsidRPr="00627B44">
        <w:rPr>
          <w:rFonts w:ascii="Arial" w:hAnsi="Arial" w:cs="Arial"/>
          <w:sz w:val="24"/>
          <w:szCs w:val="24"/>
        </w:rPr>
        <w:t>Doi</w:t>
      </w:r>
      <w:r w:rsidRPr="00627B44">
        <w:rPr>
          <w:rFonts w:ascii="Arial" w:hAnsi="Arial" w:cs="Arial"/>
          <w:sz w:val="24"/>
          <w:szCs w:val="24"/>
        </w:rPr>
        <w:t>: 10.1016/j.jamda.2021.09.008.</w:t>
      </w:r>
    </w:p>
    <w:p w14:paraId="14BF55DE" w14:textId="23153700" w:rsidR="00215C8B" w:rsidRPr="00627B44" w:rsidRDefault="002A49F2" w:rsidP="00CD7465">
      <w:pPr>
        <w:rPr>
          <w:rFonts w:ascii="Arial" w:hAnsi="Arial" w:cs="Arial"/>
          <w:sz w:val="24"/>
          <w:szCs w:val="24"/>
        </w:rPr>
      </w:pPr>
      <w:r w:rsidRPr="00627B44">
        <w:rPr>
          <w:rFonts w:ascii="Arial" w:hAnsi="Arial" w:cs="Arial"/>
          <w:sz w:val="24"/>
          <w:szCs w:val="24"/>
        </w:rPr>
        <w:t xml:space="preserve">Huis in het Veld, J.G., Verkaik, R., van Meijel, B. and Francke, A.L. (2020) ‘A systematic meta-review of self-management support for people with dementia’, Dementia, 19(2), pp. 253–269. </w:t>
      </w:r>
      <w:r w:rsidR="00C82C18" w:rsidRPr="00627B44">
        <w:rPr>
          <w:rFonts w:ascii="Arial" w:hAnsi="Arial" w:cs="Arial"/>
          <w:sz w:val="24"/>
          <w:szCs w:val="24"/>
        </w:rPr>
        <w:t>Doi</w:t>
      </w:r>
      <w:r w:rsidRPr="00627B44">
        <w:rPr>
          <w:rFonts w:ascii="Arial" w:hAnsi="Arial" w:cs="Arial"/>
          <w:sz w:val="24"/>
          <w:szCs w:val="24"/>
        </w:rPr>
        <w:t>: 10.1177/1471301218772894.</w:t>
      </w:r>
    </w:p>
    <w:p w14:paraId="0B4DD2D5" w14:textId="10FB7FB3" w:rsidR="00215C8B" w:rsidRPr="00627B44" w:rsidRDefault="002A49F2" w:rsidP="00CD7465">
      <w:pPr>
        <w:rPr>
          <w:rFonts w:ascii="Arial" w:hAnsi="Arial" w:cs="Arial"/>
          <w:sz w:val="24"/>
          <w:szCs w:val="24"/>
        </w:rPr>
      </w:pPr>
      <w:r w:rsidRPr="00627B44">
        <w:rPr>
          <w:rFonts w:ascii="Arial" w:hAnsi="Arial" w:cs="Arial"/>
          <w:sz w:val="24"/>
          <w:szCs w:val="24"/>
        </w:rPr>
        <w:t xml:space="preserve">Kim, S.K. and Park, M. (2017) ‘Effectiveness of person-centered care on people with dementia: a systematic review and meta-analysis’, Clinical Interventions in Aging, 12, pp. 381–397. </w:t>
      </w:r>
      <w:r w:rsidR="00C82C18" w:rsidRPr="00627B44">
        <w:rPr>
          <w:rFonts w:ascii="Arial" w:hAnsi="Arial" w:cs="Arial"/>
          <w:sz w:val="24"/>
          <w:szCs w:val="24"/>
        </w:rPr>
        <w:t>Doi</w:t>
      </w:r>
      <w:r w:rsidRPr="00627B44">
        <w:rPr>
          <w:rFonts w:ascii="Arial" w:hAnsi="Arial" w:cs="Arial"/>
          <w:sz w:val="24"/>
          <w:szCs w:val="24"/>
        </w:rPr>
        <w:t>: 10.2147/CIA.S117637.</w:t>
      </w:r>
    </w:p>
    <w:p w14:paraId="439DFD29" w14:textId="77777777" w:rsidR="00215C8B" w:rsidRPr="00627B44" w:rsidRDefault="002A49F2" w:rsidP="00CD7465">
      <w:pPr>
        <w:rPr>
          <w:rFonts w:ascii="Arial" w:hAnsi="Arial" w:cs="Arial"/>
          <w:sz w:val="24"/>
          <w:szCs w:val="24"/>
        </w:rPr>
      </w:pPr>
      <w:r w:rsidRPr="00627B44">
        <w:rPr>
          <w:rFonts w:ascii="Arial" w:hAnsi="Arial" w:cs="Arial"/>
          <w:sz w:val="24"/>
          <w:szCs w:val="24"/>
        </w:rPr>
        <w:t>Kitwood, T. (1997) Dementia reconsidered: the person comes first. Buckingham: Open University Press.</w:t>
      </w:r>
    </w:p>
    <w:p w14:paraId="1F05E82F" w14:textId="1C346D89" w:rsidR="00215C8B" w:rsidRPr="00627B44" w:rsidRDefault="002A49F2" w:rsidP="00CD7465">
      <w:pPr>
        <w:rPr>
          <w:rFonts w:ascii="Arial" w:hAnsi="Arial" w:cs="Arial"/>
          <w:sz w:val="24"/>
          <w:szCs w:val="24"/>
        </w:rPr>
      </w:pPr>
      <w:r w:rsidRPr="00627B44">
        <w:rPr>
          <w:rFonts w:ascii="Arial" w:hAnsi="Arial" w:cs="Arial"/>
          <w:sz w:val="24"/>
          <w:szCs w:val="24"/>
        </w:rPr>
        <w:t xml:space="preserve">Lee, K.H., Lee, J.Y. and Kim, B. (2022) ‘Person-centered care in persons living with dementia: a systematic review and meta-analysis’, The Gerontologist, 62(4), pp. e253–e264. </w:t>
      </w:r>
      <w:r w:rsidR="00C82C18" w:rsidRPr="00627B44">
        <w:rPr>
          <w:rFonts w:ascii="Arial" w:hAnsi="Arial" w:cs="Arial"/>
          <w:sz w:val="24"/>
          <w:szCs w:val="24"/>
        </w:rPr>
        <w:t>Doi</w:t>
      </w:r>
      <w:r w:rsidRPr="00627B44">
        <w:rPr>
          <w:rFonts w:ascii="Arial" w:hAnsi="Arial" w:cs="Arial"/>
          <w:sz w:val="24"/>
          <w:szCs w:val="24"/>
        </w:rPr>
        <w:t>: 10.1093/geront/gnaa207.</w:t>
      </w:r>
    </w:p>
    <w:p w14:paraId="40A92831" w14:textId="11EF022A" w:rsidR="00215C8B" w:rsidRPr="00627B44" w:rsidRDefault="002A49F2" w:rsidP="00CD7465">
      <w:pPr>
        <w:rPr>
          <w:rFonts w:ascii="Arial" w:hAnsi="Arial" w:cs="Arial"/>
          <w:sz w:val="24"/>
          <w:szCs w:val="24"/>
        </w:rPr>
      </w:pPr>
      <w:r w:rsidRPr="00627B44">
        <w:rPr>
          <w:rFonts w:ascii="Arial" w:hAnsi="Arial" w:cs="Arial"/>
          <w:sz w:val="24"/>
          <w:szCs w:val="24"/>
        </w:rPr>
        <w:t xml:space="preserve">Liao, X., Wang, Z., Zeng, Q. and Zeng, Y. (2024) ‘Loneliness and social isolation among informal carers of individuals with dementia: a systematic review and meta-analysis’, International Journal of Geriatric Psychiatry, 39(5), e6101. </w:t>
      </w:r>
      <w:r w:rsidR="00C82C18" w:rsidRPr="00627B44">
        <w:rPr>
          <w:rFonts w:ascii="Arial" w:hAnsi="Arial" w:cs="Arial"/>
          <w:sz w:val="24"/>
          <w:szCs w:val="24"/>
        </w:rPr>
        <w:t>Doi</w:t>
      </w:r>
      <w:r w:rsidRPr="00627B44">
        <w:rPr>
          <w:rFonts w:ascii="Arial" w:hAnsi="Arial" w:cs="Arial"/>
          <w:sz w:val="24"/>
          <w:szCs w:val="24"/>
        </w:rPr>
        <w:t>: 10.1002/gps.6101.</w:t>
      </w:r>
    </w:p>
    <w:p w14:paraId="3477C6D4" w14:textId="4BD43FB9" w:rsidR="00215C8B" w:rsidRPr="00627B44" w:rsidRDefault="002A49F2" w:rsidP="00CD7465">
      <w:pPr>
        <w:rPr>
          <w:rFonts w:ascii="Arial" w:hAnsi="Arial" w:cs="Arial"/>
          <w:sz w:val="24"/>
          <w:szCs w:val="24"/>
        </w:rPr>
      </w:pPr>
      <w:r w:rsidRPr="00627B44">
        <w:rPr>
          <w:rFonts w:ascii="Arial" w:hAnsi="Arial" w:cs="Arial"/>
          <w:sz w:val="24"/>
          <w:szCs w:val="24"/>
        </w:rPr>
        <w:t xml:space="preserve">Livingston, G., Huntley, J., Liu, K.Y. et al. (2024) ‘Dementia prevention, intervention, and care: 2024 report of the Lancet standing Commission’, The Lancet, 404(10452), pp. 572–628. </w:t>
      </w:r>
      <w:r w:rsidR="00C82C18" w:rsidRPr="00627B44">
        <w:rPr>
          <w:rFonts w:ascii="Arial" w:hAnsi="Arial" w:cs="Arial"/>
          <w:sz w:val="24"/>
          <w:szCs w:val="24"/>
        </w:rPr>
        <w:t>Doi</w:t>
      </w:r>
      <w:r w:rsidRPr="00627B44">
        <w:rPr>
          <w:rFonts w:ascii="Arial" w:hAnsi="Arial" w:cs="Arial"/>
          <w:sz w:val="24"/>
          <w:szCs w:val="24"/>
        </w:rPr>
        <w:t>: 10.1016/S0140-6736(24)01296-0.</w:t>
      </w:r>
    </w:p>
    <w:p w14:paraId="7213837C" w14:textId="77777777" w:rsidR="00215C8B" w:rsidRPr="00627B44" w:rsidRDefault="002A49F2" w:rsidP="00CD7465">
      <w:pPr>
        <w:rPr>
          <w:rFonts w:ascii="Arial" w:hAnsi="Arial" w:cs="Arial"/>
          <w:sz w:val="24"/>
          <w:szCs w:val="24"/>
        </w:rPr>
      </w:pPr>
      <w:r w:rsidRPr="00627B44">
        <w:rPr>
          <w:rFonts w:ascii="Arial" w:hAnsi="Arial" w:cs="Arial"/>
          <w:sz w:val="24"/>
          <w:szCs w:val="24"/>
        </w:rPr>
        <w:t>Mental Capacity Act 2005, c.9. Available at: https://www.legislation.gov.uk/ukpga/2005/9/contents (Accessed: 4 October 2026).</w:t>
      </w:r>
    </w:p>
    <w:p w14:paraId="71A82F65" w14:textId="77777777" w:rsidR="00215C8B" w:rsidRPr="00627B44" w:rsidRDefault="002A49F2" w:rsidP="00CD7465">
      <w:pPr>
        <w:rPr>
          <w:rFonts w:ascii="Arial" w:hAnsi="Arial" w:cs="Arial"/>
          <w:sz w:val="24"/>
          <w:szCs w:val="24"/>
        </w:rPr>
      </w:pPr>
      <w:r w:rsidRPr="00627B44">
        <w:rPr>
          <w:rFonts w:ascii="Arial" w:hAnsi="Arial" w:cs="Arial"/>
          <w:sz w:val="24"/>
          <w:szCs w:val="24"/>
        </w:rPr>
        <w:t>National Institute for Health and Care Excellence (2011) Donepezil, galantamine, rivastigmine and memantine for the treatment of Alzheimer’s disease (TA217). Available at: https://www.nice.org.uk/guidance/ta217 (Accessed: 4 October 2026).</w:t>
      </w:r>
    </w:p>
    <w:p w14:paraId="5C2F1F90" w14:textId="77777777" w:rsidR="00215C8B" w:rsidRPr="00627B44" w:rsidRDefault="002A49F2" w:rsidP="00CD7465">
      <w:pPr>
        <w:rPr>
          <w:rFonts w:ascii="Arial" w:hAnsi="Arial" w:cs="Arial"/>
          <w:sz w:val="24"/>
          <w:szCs w:val="24"/>
        </w:rPr>
      </w:pPr>
      <w:r w:rsidRPr="00627B44">
        <w:rPr>
          <w:rFonts w:ascii="Arial" w:hAnsi="Arial" w:cs="Arial"/>
          <w:sz w:val="24"/>
          <w:szCs w:val="24"/>
        </w:rPr>
        <w:t>National Institute for Health and Care Excellence (2018) Dementia: assessment, management and support for people living with dementia and their carers (NG97). Available at: https://www.nice.org.uk/guidance/ng97 (Accessed: 4 October 2026).</w:t>
      </w:r>
    </w:p>
    <w:p w14:paraId="16DACA7B" w14:textId="77777777" w:rsidR="00215C8B" w:rsidRPr="00627B44" w:rsidRDefault="002A49F2" w:rsidP="00CD7465">
      <w:pPr>
        <w:rPr>
          <w:rFonts w:ascii="Arial" w:hAnsi="Arial" w:cs="Arial"/>
          <w:sz w:val="24"/>
          <w:szCs w:val="24"/>
        </w:rPr>
      </w:pPr>
      <w:r w:rsidRPr="00627B44">
        <w:rPr>
          <w:rFonts w:ascii="Arial" w:hAnsi="Arial" w:cs="Arial"/>
          <w:sz w:val="24"/>
          <w:szCs w:val="24"/>
        </w:rPr>
        <w:t>National Institute for Health and Care Excellence (2019) Dementia: quality standard (QS184). Available at: https://www.nice.org.uk/guidance/qs184 (Accessed: 4 October 2026).</w:t>
      </w:r>
    </w:p>
    <w:p w14:paraId="62968B20" w14:textId="77777777" w:rsidR="00215C8B" w:rsidRPr="00627B44" w:rsidRDefault="002A49F2" w:rsidP="00CD7465">
      <w:pPr>
        <w:rPr>
          <w:rFonts w:ascii="Arial" w:hAnsi="Arial" w:cs="Arial"/>
          <w:sz w:val="24"/>
          <w:szCs w:val="24"/>
        </w:rPr>
      </w:pPr>
      <w:r w:rsidRPr="00627B44">
        <w:rPr>
          <w:rFonts w:ascii="Arial" w:hAnsi="Arial" w:cs="Arial"/>
          <w:sz w:val="24"/>
          <w:szCs w:val="24"/>
        </w:rPr>
        <w:t>National Institute for Health and Care Excellence (2020) Supporting adult carers (NG150). Available at: https://www.nice.org.uk/guidance/ng150 (Accessed: 15 October 2026).</w:t>
      </w:r>
    </w:p>
    <w:p w14:paraId="44643E8A" w14:textId="77777777" w:rsidR="00215C8B" w:rsidRPr="00627B44" w:rsidRDefault="002A49F2" w:rsidP="00CD7465">
      <w:pPr>
        <w:rPr>
          <w:rFonts w:ascii="Arial" w:hAnsi="Arial" w:cs="Arial"/>
          <w:sz w:val="24"/>
          <w:szCs w:val="24"/>
        </w:rPr>
      </w:pPr>
      <w:r w:rsidRPr="00627B44">
        <w:rPr>
          <w:rFonts w:ascii="Arial" w:hAnsi="Arial" w:cs="Arial"/>
          <w:sz w:val="24"/>
          <w:szCs w:val="24"/>
        </w:rPr>
        <w:t>NHS (2026) Dementia. Available at: https://www.nhs.uk/conditions/dementia/ (Accessed: 4 October 2026).</w:t>
      </w:r>
    </w:p>
    <w:p w14:paraId="54C00DE5" w14:textId="3EB79A26" w:rsidR="00215C8B" w:rsidRPr="00627B44" w:rsidRDefault="002A49F2" w:rsidP="00CD7465">
      <w:pPr>
        <w:rPr>
          <w:rFonts w:ascii="Arial" w:hAnsi="Arial" w:cs="Arial"/>
          <w:sz w:val="24"/>
          <w:szCs w:val="24"/>
        </w:rPr>
      </w:pPr>
      <w:r w:rsidRPr="00627B44">
        <w:rPr>
          <w:rFonts w:ascii="Arial" w:hAnsi="Arial" w:cs="Arial"/>
          <w:sz w:val="24"/>
          <w:szCs w:val="24"/>
        </w:rPr>
        <w:t xml:space="preserve">NHS England (2016) </w:t>
      </w:r>
      <w:r w:rsidR="00C82C18" w:rsidRPr="00627B44">
        <w:rPr>
          <w:rFonts w:ascii="Arial" w:hAnsi="Arial" w:cs="Arial"/>
          <w:sz w:val="24"/>
          <w:szCs w:val="24"/>
        </w:rPr>
        <w:t>Personalized</w:t>
      </w:r>
      <w:r w:rsidRPr="00627B44">
        <w:rPr>
          <w:rFonts w:ascii="Arial" w:hAnsi="Arial" w:cs="Arial"/>
          <w:sz w:val="24"/>
          <w:szCs w:val="24"/>
        </w:rPr>
        <w:t xml:space="preserve"> care and support planning handbook: the Year of Care approach. Available at: https://www.england.nhs.uk/wp-content/uploads/2017/02/ltc-yoc-handbook.pdf (Accessed: 4 October 2026).</w:t>
      </w:r>
    </w:p>
    <w:p w14:paraId="66E1FB42" w14:textId="6177FEF5" w:rsidR="00215C8B" w:rsidRPr="00627B44" w:rsidRDefault="002A49F2" w:rsidP="00CD7465">
      <w:pPr>
        <w:rPr>
          <w:rFonts w:ascii="Arial" w:hAnsi="Arial" w:cs="Arial"/>
          <w:sz w:val="24"/>
          <w:szCs w:val="24"/>
        </w:rPr>
      </w:pPr>
      <w:r w:rsidRPr="00627B44">
        <w:rPr>
          <w:rFonts w:ascii="Arial" w:hAnsi="Arial" w:cs="Arial"/>
          <w:sz w:val="24"/>
          <w:szCs w:val="24"/>
        </w:rPr>
        <w:t xml:space="preserve">Ojagbemi, A. and Akin-Ojagbemi, N. (2019) ‘Exercise and quality of life in dementia: a systematic review and meta-analysis of randomized controlled trials’, Journal of Applied Gerontology, 38(1), pp. 27–48. </w:t>
      </w:r>
      <w:r w:rsidR="00C82C18" w:rsidRPr="00627B44">
        <w:rPr>
          <w:rFonts w:ascii="Arial" w:hAnsi="Arial" w:cs="Arial"/>
          <w:sz w:val="24"/>
          <w:szCs w:val="24"/>
        </w:rPr>
        <w:t>Doi</w:t>
      </w:r>
      <w:r w:rsidRPr="00627B44">
        <w:rPr>
          <w:rFonts w:ascii="Arial" w:hAnsi="Arial" w:cs="Arial"/>
          <w:sz w:val="24"/>
          <w:szCs w:val="24"/>
        </w:rPr>
        <w:t>: 10.1177/0733464817693374.</w:t>
      </w:r>
    </w:p>
    <w:p w14:paraId="0670F07E" w14:textId="7AA38799" w:rsidR="00215C8B" w:rsidRPr="00627B44" w:rsidRDefault="002A49F2" w:rsidP="00CD7465">
      <w:pPr>
        <w:rPr>
          <w:rFonts w:ascii="Arial" w:hAnsi="Arial" w:cs="Arial"/>
          <w:sz w:val="24"/>
          <w:szCs w:val="24"/>
        </w:rPr>
      </w:pPr>
      <w:r w:rsidRPr="00627B44">
        <w:rPr>
          <w:rFonts w:ascii="Arial" w:hAnsi="Arial" w:cs="Arial"/>
          <w:sz w:val="24"/>
          <w:szCs w:val="24"/>
        </w:rPr>
        <w:lastRenderedPageBreak/>
        <w:t xml:space="preserve">Oliveira, D., da Mata, F.A.F. and Aubeeluck, A. (2024) ‘Quality of life of family carers of people living with dementia: review of systematic reviews of observational and intervention studies’, British Medical Bulletin, 149(1), pp. 1–12. </w:t>
      </w:r>
      <w:r w:rsidR="00C82C18" w:rsidRPr="00627B44">
        <w:rPr>
          <w:rFonts w:ascii="Arial" w:hAnsi="Arial" w:cs="Arial"/>
          <w:sz w:val="24"/>
          <w:szCs w:val="24"/>
        </w:rPr>
        <w:t>Doi</w:t>
      </w:r>
      <w:r w:rsidRPr="00627B44">
        <w:rPr>
          <w:rFonts w:ascii="Arial" w:hAnsi="Arial" w:cs="Arial"/>
          <w:sz w:val="24"/>
          <w:szCs w:val="24"/>
        </w:rPr>
        <w:t>: 10.1093/bmb/ldad029.</w:t>
      </w:r>
    </w:p>
    <w:p w14:paraId="35C6B943" w14:textId="0A538A52" w:rsidR="00215C8B" w:rsidRPr="00627B44" w:rsidRDefault="002A49F2" w:rsidP="00CD7465">
      <w:pPr>
        <w:rPr>
          <w:rFonts w:ascii="Arial" w:hAnsi="Arial" w:cs="Arial"/>
          <w:sz w:val="24"/>
          <w:szCs w:val="24"/>
        </w:rPr>
      </w:pPr>
      <w:r w:rsidRPr="00627B44">
        <w:rPr>
          <w:rFonts w:ascii="Arial" w:hAnsi="Arial" w:cs="Arial"/>
          <w:sz w:val="24"/>
          <w:szCs w:val="24"/>
        </w:rPr>
        <w:t xml:space="preserve">Serbser-Koal, J., Rommerskirch-Manietta, M., Purwins, D. and Roes, M. (2024) ‘Person-centredness in dementia care: an integrative review of theoretical approaches’, BMJ Open, 14(6), e085051. </w:t>
      </w:r>
      <w:r w:rsidR="00C82C18" w:rsidRPr="00627B44">
        <w:rPr>
          <w:rFonts w:ascii="Arial" w:hAnsi="Arial" w:cs="Arial"/>
          <w:sz w:val="24"/>
          <w:szCs w:val="24"/>
        </w:rPr>
        <w:t>Doi</w:t>
      </w:r>
      <w:r w:rsidRPr="00627B44">
        <w:rPr>
          <w:rFonts w:ascii="Arial" w:hAnsi="Arial" w:cs="Arial"/>
          <w:sz w:val="24"/>
          <w:szCs w:val="24"/>
        </w:rPr>
        <w:t>: 10.1136/bmjopen-2024-085051.</w:t>
      </w:r>
    </w:p>
    <w:p w14:paraId="23BE0E9E" w14:textId="69D8A6DA" w:rsidR="00215C8B" w:rsidRPr="00627B44" w:rsidRDefault="002A49F2" w:rsidP="00CD7465">
      <w:pPr>
        <w:rPr>
          <w:rFonts w:ascii="Arial" w:hAnsi="Arial" w:cs="Arial"/>
          <w:sz w:val="24"/>
          <w:szCs w:val="24"/>
        </w:rPr>
      </w:pPr>
      <w:r w:rsidRPr="00627B44">
        <w:rPr>
          <w:rFonts w:ascii="Arial" w:hAnsi="Arial" w:cs="Arial"/>
          <w:sz w:val="24"/>
          <w:szCs w:val="24"/>
        </w:rPr>
        <w:t xml:space="preserve">Wagner, E.H., Austin, B.T., Davis, C., Hindmarsh, M., Schaefer, J. and Bonomi, A. (2001) ‘Improving chronic illness care: translating evidence into action’, Health Affairs, 20(6), pp. 64–78. </w:t>
      </w:r>
      <w:r w:rsidR="00C82C18" w:rsidRPr="00627B44">
        <w:rPr>
          <w:rFonts w:ascii="Arial" w:hAnsi="Arial" w:cs="Arial"/>
          <w:sz w:val="24"/>
          <w:szCs w:val="24"/>
        </w:rPr>
        <w:t>Doi</w:t>
      </w:r>
      <w:r w:rsidRPr="00627B44">
        <w:rPr>
          <w:rFonts w:ascii="Arial" w:hAnsi="Arial" w:cs="Arial"/>
          <w:sz w:val="24"/>
          <w:szCs w:val="24"/>
        </w:rPr>
        <w:t>: 10.1377/hlthaff.20.6.64.</w:t>
      </w:r>
    </w:p>
    <w:p w14:paraId="4D437D9E" w14:textId="084284E2" w:rsidR="00215C8B" w:rsidRPr="00627B44" w:rsidRDefault="002A49F2" w:rsidP="00CD7465">
      <w:pPr>
        <w:rPr>
          <w:rFonts w:ascii="Arial" w:hAnsi="Arial" w:cs="Arial"/>
          <w:sz w:val="24"/>
          <w:szCs w:val="24"/>
        </w:rPr>
      </w:pPr>
      <w:r w:rsidRPr="00627B44">
        <w:rPr>
          <w:rFonts w:ascii="Arial" w:hAnsi="Arial" w:cs="Arial"/>
          <w:sz w:val="24"/>
          <w:szCs w:val="24"/>
        </w:rPr>
        <w:t xml:space="preserve">Waheed, W., Mirza, N., Waheed, M.W. et al. (2020) ‘Recruitment and methodological issues in conducting dementia research in British ethnic minorities: a qualitative systematic review’, International Journal of Methods in Psychiatric Research, 29(1), e1806. </w:t>
      </w:r>
      <w:r w:rsidR="00C82C18" w:rsidRPr="00627B44">
        <w:rPr>
          <w:rFonts w:ascii="Arial" w:hAnsi="Arial" w:cs="Arial"/>
          <w:sz w:val="24"/>
          <w:szCs w:val="24"/>
        </w:rPr>
        <w:t>Doi</w:t>
      </w:r>
      <w:r w:rsidRPr="00627B44">
        <w:rPr>
          <w:rFonts w:ascii="Arial" w:hAnsi="Arial" w:cs="Arial"/>
          <w:sz w:val="24"/>
          <w:szCs w:val="24"/>
        </w:rPr>
        <w:t>:</w:t>
      </w:r>
      <w:r w:rsidR="00C82C18">
        <w:rPr>
          <w:rFonts w:ascii="Arial" w:hAnsi="Arial" w:cs="Arial"/>
          <w:sz w:val="24"/>
          <w:szCs w:val="24"/>
        </w:rPr>
        <w:t xml:space="preserve"> </w:t>
      </w:r>
      <w:r w:rsidRPr="00627B44">
        <w:rPr>
          <w:rFonts w:ascii="Arial" w:hAnsi="Arial" w:cs="Arial"/>
          <w:sz w:val="24"/>
          <w:szCs w:val="24"/>
        </w:rPr>
        <w:t>10.1002/mpr.1806.</w:t>
      </w:r>
    </w:p>
    <w:p w14:paraId="3136F569" w14:textId="77777777" w:rsidR="00215C8B" w:rsidRPr="00627B44" w:rsidRDefault="002A49F2" w:rsidP="00CD7465">
      <w:pPr>
        <w:rPr>
          <w:rFonts w:ascii="Arial" w:hAnsi="Arial" w:cs="Arial"/>
          <w:sz w:val="24"/>
          <w:szCs w:val="24"/>
        </w:rPr>
      </w:pPr>
      <w:r w:rsidRPr="00627B44">
        <w:rPr>
          <w:rFonts w:ascii="Arial" w:hAnsi="Arial" w:cs="Arial"/>
          <w:sz w:val="24"/>
          <w:szCs w:val="24"/>
        </w:rPr>
        <w:t>World Health Organization (2019) Risk reduction of cognitive decline and dementia: WHO guidelines. Geneva: World Health Organization. Available at: https://www.who.int/publications/i/item/9789241550543 (Accessed: 15 October 2026).</w:t>
      </w:r>
    </w:p>
    <w:p w14:paraId="24717CE9" w14:textId="769223D5" w:rsidR="00215C8B" w:rsidRPr="00627B44" w:rsidRDefault="002A49F2" w:rsidP="00CD7465">
      <w:pPr>
        <w:rPr>
          <w:rFonts w:ascii="Arial" w:hAnsi="Arial" w:cs="Arial"/>
          <w:sz w:val="24"/>
          <w:szCs w:val="24"/>
        </w:rPr>
      </w:pPr>
      <w:r w:rsidRPr="00627B44">
        <w:rPr>
          <w:rFonts w:ascii="Arial" w:hAnsi="Arial" w:cs="Arial"/>
          <w:sz w:val="24"/>
          <w:szCs w:val="24"/>
        </w:rPr>
        <w:t>World Health Organization (2026) Dementia. Available at: https://www.who.int/news-room/fact-sheets/detail/dementia</w:t>
      </w:r>
      <w:r w:rsidR="00C82C18">
        <w:rPr>
          <w:rFonts w:ascii="Arial" w:hAnsi="Arial" w:cs="Arial"/>
          <w:sz w:val="24"/>
          <w:szCs w:val="24"/>
        </w:rPr>
        <w:t xml:space="preserve">/ </w:t>
      </w:r>
      <w:r w:rsidRPr="00627B44">
        <w:rPr>
          <w:rFonts w:ascii="Arial" w:hAnsi="Arial" w:cs="Arial"/>
          <w:sz w:val="24"/>
          <w:szCs w:val="24"/>
        </w:rPr>
        <w:t xml:space="preserve"> (Accessed: 4 October 2026).</w:t>
      </w:r>
    </w:p>
    <w:p w14:paraId="30D1C03A" w14:textId="286FBADE" w:rsidR="00F0516C" w:rsidRPr="00627B44" w:rsidRDefault="00F0516C" w:rsidP="00D556BE">
      <w:pPr>
        <w:spacing w:before="200" w:line="360" w:lineRule="auto"/>
        <w:ind w:left="360"/>
        <w:rPr>
          <w:rFonts w:ascii="Arial" w:hAnsi="Arial" w:cs="Arial"/>
          <w:color w:val="000000" w:themeColor="text1"/>
          <w:sz w:val="24"/>
          <w:szCs w:val="24"/>
        </w:rPr>
      </w:pPr>
    </w:p>
    <w:sectPr w:rsidR="00F0516C" w:rsidRPr="00627B44" w:rsidSect="0083130C">
      <w:headerReference w:type="default" r:id="rId11"/>
      <w:footerReference w:type="default" r:id="rId12"/>
      <w:pgSz w:w="12240" w:h="15840"/>
      <w:pgMar w:top="1037" w:right="1181" w:bottom="1037" w:left="1181"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6B5ED" w14:textId="77777777" w:rsidR="001E33B3" w:rsidRDefault="001E33B3">
      <w:pPr>
        <w:spacing w:after="0" w:line="240" w:lineRule="auto"/>
      </w:pPr>
      <w:r>
        <w:separator/>
      </w:r>
    </w:p>
  </w:endnote>
  <w:endnote w:type="continuationSeparator" w:id="0">
    <w:p w14:paraId="2B856E8C" w14:textId="77777777" w:rsidR="001E33B3" w:rsidRDefault="001E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122B" w14:textId="77777777" w:rsidR="00F0516C" w:rsidRDefault="002A49F2">
    <w:pPr>
      <w:pStyle w:val="Footer"/>
      <w:jc w:val="center"/>
    </w:pPr>
    <w:r>
      <w:rPr>
        <w:sz w:val="16"/>
      </w:rPr>
      <w:t xml:space="preserve">Dementia information booklet  •  </w:t>
    </w:r>
    <w:r>
      <w:fldChar w:fldCharType="begin"/>
    </w:r>
    <w:r>
      <w:instrText>PAGE</w:instrText>
    </w:r>
    <w:r>
      <w:fldChar w:fldCharType="separate"/>
    </w:r>
    <w:r w:rsidR="000342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EB897" w14:textId="77777777" w:rsidR="001E33B3" w:rsidRDefault="001E33B3">
      <w:pPr>
        <w:spacing w:after="0" w:line="240" w:lineRule="auto"/>
      </w:pPr>
      <w:r>
        <w:separator/>
      </w:r>
    </w:p>
  </w:footnote>
  <w:footnote w:type="continuationSeparator" w:id="0">
    <w:p w14:paraId="5AAFA793" w14:textId="77777777" w:rsidR="001E33B3" w:rsidRDefault="001E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0F5E" w14:textId="77777777" w:rsidR="00F0516C" w:rsidRDefault="002A49F2">
    <w:pPr>
      <w:pStyle w:val="Header"/>
      <w:jc w:val="right"/>
    </w:pPr>
    <w:r>
      <w:rPr>
        <w:color w:val="5F6973"/>
        <w:sz w:val="16"/>
      </w:rPr>
      <w:t>LIVING WELL WITH DEMENTIA  |  UK INFORMATION BOOKLET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7B92687"/>
    <w:multiLevelType w:val="hybridMultilevel"/>
    <w:tmpl w:val="40CE6D1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6973D9B"/>
    <w:multiLevelType w:val="hybridMultilevel"/>
    <w:tmpl w:val="3446D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4F3520"/>
    <w:multiLevelType w:val="hybridMultilevel"/>
    <w:tmpl w:val="89C83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806213">
    <w:abstractNumId w:val="8"/>
  </w:num>
  <w:num w:numId="2" w16cid:durableId="423840389">
    <w:abstractNumId w:val="6"/>
  </w:num>
  <w:num w:numId="3" w16cid:durableId="1114717365">
    <w:abstractNumId w:val="5"/>
  </w:num>
  <w:num w:numId="4" w16cid:durableId="825245958">
    <w:abstractNumId w:val="4"/>
  </w:num>
  <w:num w:numId="5" w16cid:durableId="1628009399">
    <w:abstractNumId w:val="7"/>
  </w:num>
  <w:num w:numId="6" w16cid:durableId="201789974">
    <w:abstractNumId w:val="3"/>
  </w:num>
  <w:num w:numId="7" w16cid:durableId="85002576">
    <w:abstractNumId w:val="2"/>
  </w:num>
  <w:num w:numId="8" w16cid:durableId="1273517158">
    <w:abstractNumId w:val="1"/>
  </w:num>
  <w:num w:numId="9" w16cid:durableId="1628776558">
    <w:abstractNumId w:val="0"/>
  </w:num>
  <w:num w:numId="10" w16cid:durableId="162208875">
    <w:abstractNumId w:val="11"/>
  </w:num>
  <w:num w:numId="11" w16cid:durableId="1156339436">
    <w:abstractNumId w:val="10"/>
  </w:num>
  <w:num w:numId="12" w16cid:durableId="11630054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285"/>
    <w:rsid w:val="00034616"/>
    <w:rsid w:val="0006063C"/>
    <w:rsid w:val="00081569"/>
    <w:rsid w:val="000A5E5A"/>
    <w:rsid w:val="00131E2E"/>
    <w:rsid w:val="0015074B"/>
    <w:rsid w:val="00196809"/>
    <w:rsid w:val="001E27F0"/>
    <w:rsid w:val="001E33B3"/>
    <w:rsid w:val="00215C8B"/>
    <w:rsid w:val="0029639D"/>
    <w:rsid w:val="002A49F2"/>
    <w:rsid w:val="002F12E2"/>
    <w:rsid w:val="00326F90"/>
    <w:rsid w:val="003309F9"/>
    <w:rsid w:val="004A521C"/>
    <w:rsid w:val="004A6866"/>
    <w:rsid w:val="004A74A0"/>
    <w:rsid w:val="004F47E8"/>
    <w:rsid w:val="005226B5"/>
    <w:rsid w:val="005825B5"/>
    <w:rsid w:val="00627B44"/>
    <w:rsid w:val="006F11AA"/>
    <w:rsid w:val="0071514F"/>
    <w:rsid w:val="00773CC7"/>
    <w:rsid w:val="007B5481"/>
    <w:rsid w:val="0083130C"/>
    <w:rsid w:val="008B75A1"/>
    <w:rsid w:val="008E5856"/>
    <w:rsid w:val="008F6FF8"/>
    <w:rsid w:val="00990C13"/>
    <w:rsid w:val="009D19C7"/>
    <w:rsid w:val="00A02990"/>
    <w:rsid w:val="00A82AA6"/>
    <w:rsid w:val="00AA1D8D"/>
    <w:rsid w:val="00AA4522"/>
    <w:rsid w:val="00B47730"/>
    <w:rsid w:val="00C70FCA"/>
    <w:rsid w:val="00C82C18"/>
    <w:rsid w:val="00CA495B"/>
    <w:rsid w:val="00CB0664"/>
    <w:rsid w:val="00CD7465"/>
    <w:rsid w:val="00D159B4"/>
    <w:rsid w:val="00D556BE"/>
    <w:rsid w:val="00D61487"/>
    <w:rsid w:val="00DD2616"/>
    <w:rsid w:val="00E06761"/>
    <w:rsid w:val="00E325A2"/>
    <w:rsid w:val="00E46EC2"/>
    <w:rsid w:val="00F0516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2F1728"/>
  <w14:defaultImageDpi w14:val="300"/>
  <w15:docId w15:val="{99BEF960-F60E-4957-8868-56039E0B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23A56"/>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05C7C"/>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90C226"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90C226"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476013"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476013"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90C226"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6B911C"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90C226"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90C226" w:themeColor="accent1"/>
    </w:rPr>
  </w:style>
  <w:style w:type="paragraph" w:styleId="Title">
    <w:name w:val="Title"/>
    <w:basedOn w:val="Normal"/>
    <w:next w:val="Normal"/>
    <w:link w:val="TitleChar"/>
    <w:uiPriority w:val="10"/>
    <w:qFormat/>
    <w:rsid w:val="00FC693F"/>
    <w:pPr>
      <w:pBdr>
        <w:bottom w:val="single" w:sz="8" w:space="4" w:color="90C226" w:themeColor="accent1"/>
      </w:pBdr>
      <w:spacing w:after="300" w:line="240" w:lineRule="auto"/>
      <w:contextualSpacing/>
    </w:pPr>
    <w:rPr>
      <w:rFonts w:asciiTheme="majorHAnsi" w:eastAsiaTheme="majorEastAsia" w:hAnsiTheme="majorHAnsi" w:cstheme="majorBidi"/>
      <w:b/>
      <w:color w:val="223A56"/>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212C32"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90C226"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90C226"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90C226"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476013"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476013"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90C226"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i/>
      <w:color w:val="90C226" w:themeColor="accent1"/>
      <w:sz w:val="16"/>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90C226" w:themeColor="accent1"/>
      </w:pBdr>
      <w:spacing w:before="200" w:after="280"/>
      <w:ind w:left="936" w:right="936"/>
    </w:pPr>
    <w:rPr>
      <w:b/>
      <w:bCs/>
      <w:i/>
      <w:iCs/>
      <w:color w:val="90C226" w:themeColor="accent1"/>
    </w:rPr>
  </w:style>
  <w:style w:type="character" w:customStyle="1" w:styleId="IntenseQuoteChar">
    <w:name w:val="Intense Quote Char"/>
    <w:basedOn w:val="DefaultParagraphFont"/>
    <w:link w:val="IntenseQuote"/>
    <w:uiPriority w:val="30"/>
    <w:rsid w:val="00FC693F"/>
    <w:rPr>
      <w:b/>
      <w:bCs/>
      <w:i/>
      <w:iCs/>
      <w:color w:val="90C226"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90C226" w:themeColor="accent1"/>
    </w:rPr>
  </w:style>
  <w:style w:type="character" w:styleId="SubtleReference">
    <w:name w:val="Subtle Reference"/>
    <w:basedOn w:val="DefaultParagraphFont"/>
    <w:uiPriority w:val="31"/>
    <w:qFormat/>
    <w:rsid w:val="00FC693F"/>
    <w:rPr>
      <w:smallCaps/>
      <w:color w:val="54A021" w:themeColor="accent2"/>
      <w:u w:val="single"/>
    </w:rPr>
  </w:style>
  <w:style w:type="character" w:styleId="IntenseReference">
    <w:name w:val="Intense Reference"/>
    <w:basedOn w:val="DefaultParagraphFont"/>
    <w:uiPriority w:val="32"/>
    <w:qFormat/>
    <w:rsid w:val="00FC693F"/>
    <w:rPr>
      <w:b/>
      <w:bCs/>
      <w:smallCaps/>
      <w:color w:val="54A02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6B911C" w:themeColor="accent1" w:themeShade="BF"/>
    </w:rPr>
    <w:tblPr>
      <w:tblStyleRowBandSize w:val="1"/>
      <w:tblStyleColBandSize w:val="1"/>
      <w:tblBorders>
        <w:top w:val="single" w:sz="8" w:space="0" w:color="90C226" w:themeColor="accent1"/>
        <w:bottom w:val="single" w:sz="8" w:space="0" w:color="90C226" w:themeColor="accent1"/>
      </w:tblBorders>
    </w:tblPr>
    <w:tblStylePr w:type="firstRow">
      <w:pPr>
        <w:spacing w:before="0" w:after="0" w:line="240" w:lineRule="auto"/>
      </w:pPr>
      <w:rPr>
        <w:b/>
        <w:bCs/>
      </w:rPr>
      <w:tblPr/>
      <w:tcPr>
        <w:tcBorders>
          <w:top w:val="single" w:sz="8" w:space="0" w:color="90C226" w:themeColor="accent1"/>
          <w:left w:val="nil"/>
          <w:bottom w:val="single" w:sz="8" w:space="0" w:color="90C226" w:themeColor="accent1"/>
          <w:right w:val="nil"/>
          <w:insideH w:val="nil"/>
          <w:insideV w:val="nil"/>
        </w:tcBorders>
      </w:tcPr>
    </w:tblStylePr>
    <w:tblStylePr w:type="lastRow">
      <w:pPr>
        <w:spacing w:before="0" w:after="0" w:line="240" w:lineRule="auto"/>
      </w:pPr>
      <w:rPr>
        <w:b/>
        <w:bCs/>
      </w:rPr>
      <w:tblPr/>
      <w:tcPr>
        <w:tcBorders>
          <w:top w:val="single" w:sz="8" w:space="0" w:color="90C226" w:themeColor="accent1"/>
          <w:left w:val="nil"/>
          <w:bottom w:val="single" w:sz="8" w:space="0" w:color="90C22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3C5" w:themeFill="accent1" w:themeFillTint="3F"/>
      </w:tcPr>
    </w:tblStylePr>
    <w:tblStylePr w:type="band1Horz">
      <w:tblPr/>
      <w:tcPr>
        <w:tcBorders>
          <w:left w:val="nil"/>
          <w:right w:val="nil"/>
          <w:insideH w:val="nil"/>
          <w:insideV w:val="nil"/>
        </w:tcBorders>
        <w:shd w:val="clear" w:color="auto" w:fill="E4F3C5" w:themeFill="accent1" w:themeFillTint="3F"/>
      </w:tcPr>
    </w:tblStylePr>
  </w:style>
  <w:style w:type="table" w:styleId="LightShading-Accent2">
    <w:name w:val="Light Shading Accent 2"/>
    <w:basedOn w:val="TableNormal"/>
    <w:uiPriority w:val="60"/>
    <w:rsid w:val="00FC693F"/>
    <w:pPr>
      <w:spacing w:after="0" w:line="240" w:lineRule="auto"/>
    </w:pPr>
    <w:rPr>
      <w:color w:val="3E7718" w:themeColor="accent2" w:themeShade="BF"/>
    </w:rPr>
    <w:tblPr>
      <w:tblStyleRowBandSize w:val="1"/>
      <w:tblStyleColBandSize w:val="1"/>
      <w:tblBorders>
        <w:top w:val="single" w:sz="8" w:space="0" w:color="54A021" w:themeColor="accent2"/>
        <w:bottom w:val="single" w:sz="8" w:space="0" w:color="54A021" w:themeColor="accent2"/>
      </w:tblBorders>
    </w:tblPr>
    <w:tblStylePr w:type="firstRow">
      <w:pPr>
        <w:spacing w:before="0" w:after="0" w:line="240" w:lineRule="auto"/>
      </w:pPr>
      <w:rPr>
        <w:b/>
        <w:bCs/>
      </w:rPr>
      <w:tblPr/>
      <w:tcPr>
        <w:tcBorders>
          <w:top w:val="single" w:sz="8" w:space="0" w:color="54A021" w:themeColor="accent2"/>
          <w:left w:val="nil"/>
          <w:bottom w:val="single" w:sz="8" w:space="0" w:color="54A021" w:themeColor="accent2"/>
          <w:right w:val="nil"/>
          <w:insideH w:val="nil"/>
          <w:insideV w:val="nil"/>
        </w:tcBorders>
      </w:tcPr>
    </w:tblStylePr>
    <w:tblStylePr w:type="lastRow">
      <w:pPr>
        <w:spacing w:before="0" w:after="0" w:line="240" w:lineRule="auto"/>
      </w:pPr>
      <w:rPr>
        <w:b/>
        <w:bCs/>
      </w:rPr>
      <w:tblPr/>
      <w:tcPr>
        <w:tcBorders>
          <w:top w:val="single" w:sz="8" w:space="0" w:color="54A021" w:themeColor="accent2"/>
          <w:left w:val="nil"/>
          <w:bottom w:val="single" w:sz="8" w:space="0" w:color="54A02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F1BE" w:themeFill="accent2" w:themeFillTint="3F"/>
      </w:tcPr>
    </w:tblStylePr>
    <w:tblStylePr w:type="band1Horz">
      <w:tblPr/>
      <w:tcPr>
        <w:tcBorders>
          <w:left w:val="nil"/>
          <w:right w:val="nil"/>
          <w:insideH w:val="nil"/>
          <w:insideV w:val="nil"/>
        </w:tcBorders>
        <w:shd w:val="clear" w:color="auto" w:fill="D2F1BE" w:themeFill="accent2" w:themeFillTint="3F"/>
      </w:tcPr>
    </w:tblStylePr>
  </w:style>
  <w:style w:type="table" w:styleId="LightShading-Accent3">
    <w:name w:val="Light Shading Accent 3"/>
    <w:basedOn w:val="TableNormal"/>
    <w:uiPriority w:val="60"/>
    <w:rsid w:val="00FC693F"/>
    <w:pPr>
      <w:spacing w:after="0" w:line="240" w:lineRule="auto"/>
    </w:pPr>
    <w:rPr>
      <w:color w:val="AF8B13" w:themeColor="accent3" w:themeShade="BF"/>
    </w:rPr>
    <w:tblPr>
      <w:tblStyleRowBandSize w:val="1"/>
      <w:tblStyleColBandSize w:val="1"/>
      <w:tblBorders>
        <w:top w:val="single" w:sz="8" w:space="0" w:color="E6B91E" w:themeColor="accent3"/>
        <w:bottom w:val="single" w:sz="8" w:space="0" w:color="E6B91E" w:themeColor="accent3"/>
      </w:tblBorders>
    </w:tblPr>
    <w:tblStylePr w:type="firstRow">
      <w:pPr>
        <w:spacing w:before="0" w:after="0" w:line="240" w:lineRule="auto"/>
      </w:pPr>
      <w:rPr>
        <w:b/>
        <w:bCs/>
      </w:rPr>
      <w:tblPr/>
      <w:tcPr>
        <w:tcBorders>
          <w:top w:val="single" w:sz="8" w:space="0" w:color="E6B91E" w:themeColor="accent3"/>
          <w:left w:val="nil"/>
          <w:bottom w:val="single" w:sz="8" w:space="0" w:color="E6B91E" w:themeColor="accent3"/>
          <w:right w:val="nil"/>
          <w:insideH w:val="nil"/>
          <w:insideV w:val="nil"/>
        </w:tcBorders>
      </w:tcPr>
    </w:tblStylePr>
    <w:tblStylePr w:type="lastRow">
      <w:pPr>
        <w:spacing w:before="0" w:after="0" w:line="240" w:lineRule="auto"/>
      </w:pPr>
      <w:rPr>
        <w:b/>
        <w:bCs/>
      </w:rPr>
      <w:tblPr/>
      <w:tcPr>
        <w:tcBorders>
          <w:top w:val="single" w:sz="8" w:space="0" w:color="E6B91E" w:themeColor="accent3"/>
          <w:left w:val="nil"/>
          <w:bottom w:val="single" w:sz="8" w:space="0" w:color="E6B9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EDC7" w:themeFill="accent3" w:themeFillTint="3F"/>
      </w:tcPr>
    </w:tblStylePr>
    <w:tblStylePr w:type="band1Horz">
      <w:tblPr/>
      <w:tcPr>
        <w:tcBorders>
          <w:left w:val="nil"/>
          <w:right w:val="nil"/>
          <w:insideH w:val="nil"/>
          <w:insideV w:val="nil"/>
        </w:tcBorders>
        <w:shd w:val="clear" w:color="auto" w:fill="F8EDC7" w:themeFill="accent3" w:themeFillTint="3F"/>
      </w:tcPr>
    </w:tblStylePr>
  </w:style>
  <w:style w:type="table" w:styleId="LightShading-Accent4">
    <w:name w:val="Light Shading Accent 4"/>
    <w:basedOn w:val="TableNormal"/>
    <w:uiPriority w:val="60"/>
    <w:rsid w:val="00FC693F"/>
    <w:pPr>
      <w:spacing w:after="0" w:line="240" w:lineRule="auto"/>
    </w:pPr>
    <w:rPr>
      <w:color w:val="AD4C12" w:themeColor="accent4" w:themeShade="BF"/>
    </w:rPr>
    <w:tblPr>
      <w:tblStyleRowBandSize w:val="1"/>
      <w:tblStyleColBandSize w:val="1"/>
      <w:tblBorders>
        <w:top w:val="single" w:sz="8" w:space="0" w:color="E76618" w:themeColor="accent4"/>
        <w:bottom w:val="single" w:sz="8" w:space="0" w:color="E76618" w:themeColor="accent4"/>
      </w:tblBorders>
    </w:tblPr>
    <w:tblStylePr w:type="firstRow">
      <w:pPr>
        <w:spacing w:before="0" w:after="0" w:line="240" w:lineRule="auto"/>
      </w:pPr>
      <w:rPr>
        <w:b/>
        <w:bCs/>
      </w:rPr>
      <w:tblPr/>
      <w:tcPr>
        <w:tcBorders>
          <w:top w:val="single" w:sz="8" w:space="0" w:color="E76618" w:themeColor="accent4"/>
          <w:left w:val="nil"/>
          <w:bottom w:val="single" w:sz="8" w:space="0" w:color="E76618" w:themeColor="accent4"/>
          <w:right w:val="nil"/>
          <w:insideH w:val="nil"/>
          <w:insideV w:val="nil"/>
        </w:tcBorders>
      </w:tcPr>
    </w:tblStylePr>
    <w:tblStylePr w:type="lastRow">
      <w:pPr>
        <w:spacing w:before="0" w:after="0" w:line="240" w:lineRule="auto"/>
      </w:pPr>
      <w:rPr>
        <w:b/>
        <w:bCs/>
      </w:rPr>
      <w:tblPr/>
      <w:tcPr>
        <w:tcBorders>
          <w:top w:val="single" w:sz="8" w:space="0" w:color="E76618" w:themeColor="accent4"/>
          <w:left w:val="nil"/>
          <w:bottom w:val="single" w:sz="8" w:space="0" w:color="E7661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9C5" w:themeFill="accent4" w:themeFillTint="3F"/>
      </w:tcPr>
    </w:tblStylePr>
    <w:tblStylePr w:type="band1Horz">
      <w:tblPr/>
      <w:tcPr>
        <w:tcBorders>
          <w:left w:val="nil"/>
          <w:right w:val="nil"/>
          <w:insideH w:val="nil"/>
          <w:insideV w:val="nil"/>
        </w:tcBorders>
        <w:shd w:val="clear" w:color="auto" w:fill="F9D9C5" w:themeFill="accent4" w:themeFillTint="3F"/>
      </w:tcPr>
    </w:tblStylePr>
  </w:style>
  <w:style w:type="table" w:styleId="LightShading-Accent5">
    <w:name w:val="Light Shading Accent 5"/>
    <w:basedOn w:val="TableNormal"/>
    <w:uiPriority w:val="60"/>
    <w:rsid w:val="00FC693F"/>
    <w:pPr>
      <w:spacing w:after="0" w:line="240" w:lineRule="auto"/>
    </w:pPr>
    <w:rPr>
      <w:color w:val="922213" w:themeColor="accent5" w:themeShade="BF"/>
    </w:rPr>
    <w:tblPr>
      <w:tblStyleRowBandSize w:val="1"/>
      <w:tblStyleColBandSize w:val="1"/>
      <w:tblBorders>
        <w:top w:val="single" w:sz="8" w:space="0" w:color="C42F1A" w:themeColor="accent5"/>
        <w:bottom w:val="single" w:sz="8" w:space="0" w:color="C42F1A" w:themeColor="accent5"/>
      </w:tblBorders>
    </w:tblPr>
    <w:tblStylePr w:type="firstRow">
      <w:pPr>
        <w:spacing w:before="0" w:after="0" w:line="240" w:lineRule="auto"/>
      </w:pPr>
      <w:rPr>
        <w:b/>
        <w:bCs/>
      </w:rPr>
      <w:tblPr/>
      <w:tcPr>
        <w:tcBorders>
          <w:top w:val="single" w:sz="8" w:space="0" w:color="C42F1A" w:themeColor="accent5"/>
          <w:left w:val="nil"/>
          <w:bottom w:val="single" w:sz="8" w:space="0" w:color="C42F1A" w:themeColor="accent5"/>
          <w:right w:val="nil"/>
          <w:insideH w:val="nil"/>
          <w:insideV w:val="nil"/>
        </w:tcBorders>
      </w:tcPr>
    </w:tblStylePr>
    <w:tblStylePr w:type="lastRow">
      <w:pPr>
        <w:spacing w:before="0" w:after="0" w:line="240" w:lineRule="auto"/>
      </w:pPr>
      <w:rPr>
        <w:b/>
        <w:bCs/>
      </w:rPr>
      <w:tblPr/>
      <w:tcPr>
        <w:tcBorders>
          <w:top w:val="single" w:sz="8" w:space="0" w:color="C42F1A" w:themeColor="accent5"/>
          <w:left w:val="nil"/>
          <w:bottom w:val="single" w:sz="8" w:space="0" w:color="C42F1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C6C0" w:themeFill="accent5" w:themeFillTint="3F"/>
      </w:tcPr>
    </w:tblStylePr>
    <w:tblStylePr w:type="band1Horz">
      <w:tblPr/>
      <w:tcPr>
        <w:tcBorders>
          <w:left w:val="nil"/>
          <w:right w:val="nil"/>
          <w:insideH w:val="nil"/>
          <w:insideV w:val="nil"/>
        </w:tcBorders>
        <w:shd w:val="clear" w:color="auto" w:fill="F6C6C0" w:themeFill="accent5" w:themeFillTint="3F"/>
      </w:tcPr>
    </w:tblStylePr>
  </w:style>
  <w:style w:type="table" w:styleId="LightShading-Accent6">
    <w:name w:val="Light Shading Accent 6"/>
    <w:basedOn w:val="TableNormal"/>
    <w:uiPriority w:val="60"/>
    <w:rsid w:val="00FC693F"/>
    <w:pPr>
      <w:spacing w:after="0" w:line="240" w:lineRule="auto"/>
    </w:pPr>
    <w:rPr>
      <w:color w:val="6C643F" w:themeColor="accent6" w:themeShade="BF"/>
    </w:rPr>
    <w:tblPr>
      <w:tblStyleRowBandSize w:val="1"/>
      <w:tblStyleColBandSize w:val="1"/>
      <w:tblBorders>
        <w:top w:val="single" w:sz="8" w:space="0" w:color="918655" w:themeColor="accent6"/>
        <w:bottom w:val="single" w:sz="8" w:space="0" w:color="918655" w:themeColor="accent6"/>
      </w:tblBorders>
    </w:tblPr>
    <w:tblStylePr w:type="firstRow">
      <w:pPr>
        <w:spacing w:before="0" w:after="0" w:line="240" w:lineRule="auto"/>
      </w:pPr>
      <w:rPr>
        <w:b/>
        <w:bCs/>
      </w:rPr>
      <w:tblPr/>
      <w:tcPr>
        <w:tcBorders>
          <w:top w:val="single" w:sz="8" w:space="0" w:color="918655" w:themeColor="accent6"/>
          <w:left w:val="nil"/>
          <w:bottom w:val="single" w:sz="8" w:space="0" w:color="918655" w:themeColor="accent6"/>
          <w:right w:val="nil"/>
          <w:insideH w:val="nil"/>
          <w:insideV w:val="nil"/>
        </w:tcBorders>
      </w:tcPr>
    </w:tblStylePr>
    <w:tblStylePr w:type="lastRow">
      <w:pPr>
        <w:spacing w:before="0" w:after="0" w:line="240" w:lineRule="auto"/>
      </w:pPr>
      <w:rPr>
        <w:b/>
        <w:bCs/>
      </w:rPr>
      <w:tblPr/>
      <w:tcPr>
        <w:tcBorders>
          <w:top w:val="single" w:sz="8" w:space="0" w:color="918655" w:themeColor="accent6"/>
          <w:left w:val="nil"/>
          <w:bottom w:val="single" w:sz="8" w:space="0" w:color="918655"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2D3" w:themeFill="accent6" w:themeFillTint="3F"/>
      </w:tcPr>
    </w:tblStylePr>
    <w:tblStylePr w:type="band1Horz">
      <w:tblPr/>
      <w:tcPr>
        <w:tcBorders>
          <w:left w:val="nil"/>
          <w:right w:val="nil"/>
          <w:insideH w:val="nil"/>
          <w:insideV w:val="nil"/>
        </w:tcBorders>
        <w:shd w:val="clear" w:color="auto" w:fill="E5E2D3"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90C226" w:themeColor="accent1"/>
        <w:left w:val="single" w:sz="8" w:space="0" w:color="90C226" w:themeColor="accent1"/>
        <w:bottom w:val="single" w:sz="8" w:space="0" w:color="90C226" w:themeColor="accent1"/>
        <w:right w:val="single" w:sz="8" w:space="0" w:color="90C226" w:themeColor="accent1"/>
      </w:tblBorders>
    </w:tblPr>
    <w:tblStylePr w:type="firstRow">
      <w:pPr>
        <w:spacing w:before="0" w:after="0" w:line="240" w:lineRule="auto"/>
      </w:pPr>
      <w:rPr>
        <w:b/>
        <w:bCs/>
        <w:color w:val="FFFFFF" w:themeColor="background1"/>
      </w:rPr>
      <w:tblPr/>
      <w:tcPr>
        <w:shd w:val="clear" w:color="auto" w:fill="90C226" w:themeFill="accent1"/>
      </w:tcPr>
    </w:tblStylePr>
    <w:tblStylePr w:type="lastRow">
      <w:pPr>
        <w:spacing w:before="0" w:after="0" w:line="240" w:lineRule="auto"/>
      </w:pPr>
      <w:rPr>
        <w:b/>
        <w:bCs/>
      </w:rPr>
      <w:tblPr/>
      <w:tcPr>
        <w:tcBorders>
          <w:top w:val="double" w:sz="6" w:space="0" w:color="90C226" w:themeColor="accent1"/>
          <w:left w:val="single" w:sz="8" w:space="0" w:color="90C226" w:themeColor="accent1"/>
          <w:bottom w:val="single" w:sz="8" w:space="0" w:color="90C226" w:themeColor="accent1"/>
          <w:right w:val="single" w:sz="8" w:space="0" w:color="90C226" w:themeColor="accent1"/>
        </w:tcBorders>
      </w:tcPr>
    </w:tblStylePr>
    <w:tblStylePr w:type="firstCol">
      <w:rPr>
        <w:b/>
        <w:bCs/>
      </w:rPr>
    </w:tblStylePr>
    <w:tblStylePr w:type="lastCol">
      <w:rPr>
        <w:b/>
        <w:bCs/>
      </w:rPr>
    </w:tblStylePr>
    <w:tblStylePr w:type="band1Vert">
      <w:tblPr/>
      <w:tcPr>
        <w:tcBorders>
          <w:top w:val="single" w:sz="8" w:space="0" w:color="90C226" w:themeColor="accent1"/>
          <w:left w:val="single" w:sz="8" w:space="0" w:color="90C226" w:themeColor="accent1"/>
          <w:bottom w:val="single" w:sz="8" w:space="0" w:color="90C226" w:themeColor="accent1"/>
          <w:right w:val="single" w:sz="8" w:space="0" w:color="90C226" w:themeColor="accent1"/>
        </w:tcBorders>
      </w:tcPr>
    </w:tblStylePr>
    <w:tblStylePr w:type="band1Horz">
      <w:tblPr/>
      <w:tcPr>
        <w:tcBorders>
          <w:top w:val="single" w:sz="8" w:space="0" w:color="90C226" w:themeColor="accent1"/>
          <w:left w:val="single" w:sz="8" w:space="0" w:color="90C226" w:themeColor="accent1"/>
          <w:bottom w:val="single" w:sz="8" w:space="0" w:color="90C226" w:themeColor="accent1"/>
          <w:right w:val="single" w:sz="8" w:space="0" w:color="90C226"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54A021" w:themeColor="accent2"/>
        <w:left w:val="single" w:sz="8" w:space="0" w:color="54A021" w:themeColor="accent2"/>
        <w:bottom w:val="single" w:sz="8" w:space="0" w:color="54A021" w:themeColor="accent2"/>
        <w:right w:val="single" w:sz="8" w:space="0" w:color="54A021" w:themeColor="accent2"/>
      </w:tblBorders>
    </w:tblPr>
    <w:tblStylePr w:type="firstRow">
      <w:pPr>
        <w:spacing w:before="0" w:after="0" w:line="240" w:lineRule="auto"/>
      </w:pPr>
      <w:rPr>
        <w:b/>
        <w:bCs/>
        <w:color w:val="FFFFFF" w:themeColor="background1"/>
      </w:rPr>
      <w:tblPr/>
      <w:tcPr>
        <w:shd w:val="clear" w:color="auto" w:fill="54A021" w:themeFill="accent2"/>
      </w:tcPr>
    </w:tblStylePr>
    <w:tblStylePr w:type="lastRow">
      <w:pPr>
        <w:spacing w:before="0" w:after="0" w:line="240" w:lineRule="auto"/>
      </w:pPr>
      <w:rPr>
        <w:b/>
        <w:bCs/>
      </w:rPr>
      <w:tblPr/>
      <w:tcPr>
        <w:tcBorders>
          <w:top w:val="double" w:sz="6" w:space="0" w:color="54A021" w:themeColor="accent2"/>
          <w:left w:val="single" w:sz="8" w:space="0" w:color="54A021" w:themeColor="accent2"/>
          <w:bottom w:val="single" w:sz="8" w:space="0" w:color="54A021" w:themeColor="accent2"/>
          <w:right w:val="single" w:sz="8" w:space="0" w:color="54A021" w:themeColor="accent2"/>
        </w:tcBorders>
      </w:tcPr>
    </w:tblStylePr>
    <w:tblStylePr w:type="firstCol">
      <w:rPr>
        <w:b/>
        <w:bCs/>
      </w:rPr>
    </w:tblStylePr>
    <w:tblStylePr w:type="lastCol">
      <w:rPr>
        <w:b/>
        <w:bCs/>
      </w:rPr>
    </w:tblStylePr>
    <w:tblStylePr w:type="band1Vert">
      <w:tblPr/>
      <w:tcPr>
        <w:tcBorders>
          <w:top w:val="single" w:sz="8" w:space="0" w:color="54A021" w:themeColor="accent2"/>
          <w:left w:val="single" w:sz="8" w:space="0" w:color="54A021" w:themeColor="accent2"/>
          <w:bottom w:val="single" w:sz="8" w:space="0" w:color="54A021" w:themeColor="accent2"/>
          <w:right w:val="single" w:sz="8" w:space="0" w:color="54A021" w:themeColor="accent2"/>
        </w:tcBorders>
      </w:tcPr>
    </w:tblStylePr>
    <w:tblStylePr w:type="band1Horz">
      <w:tblPr/>
      <w:tcPr>
        <w:tcBorders>
          <w:top w:val="single" w:sz="8" w:space="0" w:color="54A021" w:themeColor="accent2"/>
          <w:left w:val="single" w:sz="8" w:space="0" w:color="54A021" w:themeColor="accent2"/>
          <w:bottom w:val="single" w:sz="8" w:space="0" w:color="54A021" w:themeColor="accent2"/>
          <w:right w:val="single" w:sz="8" w:space="0" w:color="54A02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E6B91E" w:themeColor="accent3"/>
        <w:left w:val="single" w:sz="8" w:space="0" w:color="E6B91E" w:themeColor="accent3"/>
        <w:bottom w:val="single" w:sz="8" w:space="0" w:color="E6B91E" w:themeColor="accent3"/>
        <w:right w:val="single" w:sz="8" w:space="0" w:color="E6B91E" w:themeColor="accent3"/>
      </w:tblBorders>
    </w:tblPr>
    <w:tblStylePr w:type="firstRow">
      <w:pPr>
        <w:spacing w:before="0" w:after="0" w:line="240" w:lineRule="auto"/>
      </w:pPr>
      <w:rPr>
        <w:b/>
        <w:bCs/>
        <w:color w:val="FFFFFF" w:themeColor="background1"/>
      </w:rPr>
      <w:tblPr/>
      <w:tcPr>
        <w:shd w:val="clear" w:color="auto" w:fill="E6B91E" w:themeFill="accent3"/>
      </w:tcPr>
    </w:tblStylePr>
    <w:tblStylePr w:type="lastRow">
      <w:pPr>
        <w:spacing w:before="0" w:after="0" w:line="240" w:lineRule="auto"/>
      </w:pPr>
      <w:rPr>
        <w:b/>
        <w:bCs/>
      </w:rPr>
      <w:tblPr/>
      <w:tcPr>
        <w:tcBorders>
          <w:top w:val="double" w:sz="6" w:space="0" w:color="E6B91E" w:themeColor="accent3"/>
          <w:left w:val="single" w:sz="8" w:space="0" w:color="E6B91E" w:themeColor="accent3"/>
          <w:bottom w:val="single" w:sz="8" w:space="0" w:color="E6B91E" w:themeColor="accent3"/>
          <w:right w:val="single" w:sz="8" w:space="0" w:color="E6B91E" w:themeColor="accent3"/>
        </w:tcBorders>
      </w:tcPr>
    </w:tblStylePr>
    <w:tblStylePr w:type="firstCol">
      <w:rPr>
        <w:b/>
        <w:bCs/>
      </w:rPr>
    </w:tblStylePr>
    <w:tblStylePr w:type="lastCol">
      <w:rPr>
        <w:b/>
        <w:bCs/>
      </w:rPr>
    </w:tblStylePr>
    <w:tblStylePr w:type="band1Vert">
      <w:tblPr/>
      <w:tcPr>
        <w:tcBorders>
          <w:top w:val="single" w:sz="8" w:space="0" w:color="E6B91E" w:themeColor="accent3"/>
          <w:left w:val="single" w:sz="8" w:space="0" w:color="E6B91E" w:themeColor="accent3"/>
          <w:bottom w:val="single" w:sz="8" w:space="0" w:color="E6B91E" w:themeColor="accent3"/>
          <w:right w:val="single" w:sz="8" w:space="0" w:color="E6B91E" w:themeColor="accent3"/>
        </w:tcBorders>
      </w:tcPr>
    </w:tblStylePr>
    <w:tblStylePr w:type="band1Horz">
      <w:tblPr/>
      <w:tcPr>
        <w:tcBorders>
          <w:top w:val="single" w:sz="8" w:space="0" w:color="E6B91E" w:themeColor="accent3"/>
          <w:left w:val="single" w:sz="8" w:space="0" w:color="E6B91E" w:themeColor="accent3"/>
          <w:bottom w:val="single" w:sz="8" w:space="0" w:color="E6B91E" w:themeColor="accent3"/>
          <w:right w:val="single" w:sz="8" w:space="0" w:color="E6B91E"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E76618" w:themeColor="accent4"/>
        <w:left w:val="single" w:sz="8" w:space="0" w:color="E76618" w:themeColor="accent4"/>
        <w:bottom w:val="single" w:sz="8" w:space="0" w:color="E76618" w:themeColor="accent4"/>
        <w:right w:val="single" w:sz="8" w:space="0" w:color="E76618" w:themeColor="accent4"/>
      </w:tblBorders>
    </w:tblPr>
    <w:tblStylePr w:type="firstRow">
      <w:pPr>
        <w:spacing w:before="0" w:after="0" w:line="240" w:lineRule="auto"/>
      </w:pPr>
      <w:rPr>
        <w:b/>
        <w:bCs/>
        <w:color w:val="FFFFFF" w:themeColor="background1"/>
      </w:rPr>
      <w:tblPr/>
      <w:tcPr>
        <w:shd w:val="clear" w:color="auto" w:fill="E76618" w:themeFill="accent4"/>
      </w:tcPr>
    </w:tblStylePr>
    <w:tblStylePr w:type="lastRow">
      <w:pPr>
        <w:spacing w:before="0" w:after="0" w:line="240" w:lineRule="auto"/>
      </w:pPr>
      <w:rPr>
        <w:b/>
        <w:bCs/>
      </w:rPr>
      <w:tblPr/>
      <w:tcPr>
        <w:tcBorders>
          <w:top w:val="double" w:sz="6" w:space="0" w:color="E76618" w:themeColor="accent4"/>
          <w:left w:val="single" w:sz="8" w:space="0" w:color="E76618" w:themeColor="accent4"/>
          <w:bottom w:val="single" w:sz="8" w:space="0" w:color="E76618" w:themeColor="accent4"/>
          <w:right w:val="single" w:sz="8" w:space="0" w:color="E76618" w:themeColor="accent4"/>
        </w:tcBorders>
      </w:tcPr>
    </w:tblStylePr>
    <w:tblStylePr w:type="firstCol">
      <w:rPr>
        <w:b/>
        <w:bCs/>
      </w:rPr>
    </w:tblStylePr>
    <w:tblStylePr w:type="lastCol">
      <w:rPr>
        <w:b/>
        <w:bCs/>
      </w:rPr>
    </w:tblStylePr>
    <w:tblStylePr w:type="band1Vert">
      <w:tblPr/>
      <w:tcPr>
        <w:tcBorders>
          <w:top w:val="single" w:sz="8" w:space="0" w:color="E76618" w:themeColor="accent4"/>
          <w:left w:val="single" w:sz="8" w:space="0" w:color="E76618" w:themeColor="accent4"/>
          <w:bottom w:val="single" w:sz="8" w:space="0" w:color="E76618" w:themeColor="accent4"/>
          <w:right w:val="single" w:sz="8" w:space="0" w:color="E76618" w:themeColor="accent4"/>
        </w:tcBorders>
      </w:tcPr>
    </w:tblStylePr>
    <w:tblStylePr w:type="band1Horz">
      <w:tblPr/>
      <w:tcPr>
        <w:tcBorders>
          <w:top w:val="single" w:sz="8" w:space="0" w:color="E76618" w:themeColor="accent4"/>
          <w:left w:val="single" w:sz="8" w:space="0" w:color="E76618" w:themeColor="accent4"/>
          <w:bottom w:val="single" w:sz="8" w:space="0" w:color="E76618" w:themeColor="accent4"/>
          <w:right w:val="single" w:sz="8" w:space="0" w:color="E76618"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C42F1A" w:themeColor="accent5"/>
        <w:left w:val="single" w:sz="8" w:space="0" w:color="C42F1A" w:themeColor="accent5"/>
        <w:bottom w:val="single" w:sz="8" w:space="0" w:color="C42F1A" w:themeColor="accent5"/>
        <w:right w:val="single" w:sz="8" w:space="0" w:color="C42F1A" w:themeColor="accent5"/>
      </w:tblBorders>
    </w:tblPr>
    <w:tblStylePr w:type="firstRow">
      <w:pPr>
        <w:spacing w:before="0" w:after="0" w:line="240" w:lineRule="auto"/>
      </w:pPr>
      <w:rPr>
        <w:b/>
        <w:bCs/>
        <w:color w:val="FFFFFF" w:themeColor="background1"/>
      </w:rPr>
      <w:tblPr/>
      <w:tcPr>
        <w:shd w:val="clear" w:color="auto" w:fill="C42F1A" w:themeFill="accent5"/>
      </w:tcPr>
    </w:tblStylePr>
    <w:tblStylePr w:type="lastRow">
      <w:pPr>
        <w:spacing w:before="0" w:after="0" w:line="240" w:lineRule="auto"/>
      </w:pPr>
      <w:rPr>
        <w:b/>
        <w:bCs/>
      </w:rPr>
      <w:tblPr/>
      <w:tcPr>
        <w:tcBorders>
          <w:top w:val="double" w:sz="6" w:space="0" w:color="C42F1A" w:themeColor="accent5"/>
          <w:left w:val="single" w:sz="8" w:space="0" w:color="C42F1A" w:themeColor="accent5"/>
          <w:bottom w:val="single" w:sz="8" w:space="0" w:color="C42F1A" w:themeColor="accent5"/>
          <w:right w:val="single" w:sz="8" w:space="0" w:color="C42F1A" w:themeColor="accent5"/>
        </w:tcBorders>
      </w:tcPr>
    </w:tblStylePr>
    <w:tblStylePr w:type="firstCol">
      <w:rPr>
        <w:b/>
        <w:bCs/>
      </w:rPr>
    </w:tblStylePr>
    <w:tblStylePr w:type="lastCol">
      <w:rPr>
        <w:b/>
        <w:bCs/>
      </w:rPr>
    </w:tblStylePr>
    <w:tblStylePr w:type="band1Vert">
      <w:tblPr/>
      <w:tcPr>
        <w:tcBorders>
          <w:top w:val="single" w:sz="8" w:space="0" w:color="C42F1A" w:themeColor="accent5"/>
          <w:left w:val="single" w:sz="8" w:space="0" w:color="C42F1A" w:themeColor="accent5"/>
          <w:bottom w:val="single" w:sz="8" w:space="0" w:color="C42F1A" w:themeColor="accent5"/>
          <w:right w:val="single" w:sz="8" w:space="0" w:color="C42F1A" w:themeColor="accent5"/>
        </w:tcBorders>
      </w:tcPr>
    </w:tblStylePr>
    <w:tblStylePr w:type="band1Horz">
      <w:tblPr/>
      <w:tcPr>
        <w:tcBorders>
          <w:top w:val="single" w:sz="8" w:space="0" w:color="C42F1A" w:themeColor="accent5"/>
          <w:left w:val="single" w:sz="8" w:space="0" w:color="C42F1A" w:themeColor="accent5"/>
          <w:bottom w:val="single" w:sz="8" w:space="0" w:color="C42F1A" w:themeColor="accent5"/>
          <w:right w:val="single" w:sz="8" w:space="0" w:color="C42F1A"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918655" w:themeColor="accent6"/>
        <w:left w:val="single" w:sz="8" w:space="0" w:color="918655" w:themeColor="accent6"/>
        <w:bottom w:val="single" w:sz="8" w:space="0" w:color="918655" w:themeColor="accent6"/>
        <w:right w:val="single" w:sz="8" w:space="0" w:color="918655" w:themeColor="accent6"/>
      </w:tblBorders>
    </w:tblPr>
    <w:tblStylePr w:type="firstRow">
      <w:pPr>
        <w:spacing w:before="0" w:after="0" w:line="240" w:lineRule="auto"/>
      </w:pPr>
      <w:rPr>
        <w:b/>
        <w:bCs/>
        <w:color w:val="FFFFFF" w:themeColor="background1"/>
      </w:rPr>
      <w:tblPr/>
      <w:tcPr>
        <w:shd w:val="clear" w:color="auto" w:fill="918655" w:themeFill="accent6"/>
      </w:tcPr>
    </w:tblStylePr>
    <w:tblStylePr w:type="lastRow">
      <w:pPr>
        <w:spacing w:before="0" w:after="0" w:line="240" w:lineRule="auto"/>
      </w:pPr>
      <w:rPr>
        <w:b/>
        <w:bCs/>
      </w:rPr>
      <w:tblPr/>
      <w:tcPr>
        <w:tcBorders>
          <w:top w:val="double" w:sz="6" w:space="0" w:color="918655" w:themeColor="accent6"/>
          <w:left w:val="single" w:sz="8" w:space="0" w:color="918655" w:themeColor="accent6"/>
          <w:bottom w:val="single" w:sz="8" w:space="0" w:color="918655" w:themeColor="accent6"/>
          <w:right w:val="single" w:sz="8" w:space="0" w:color="918655" w:themeColor="accent6"/>
        </w:tcBorders>
      </w:tcPr>
    </w:tblStylePr>
    <w:tblStylePr w:type="firstCol">
      <w:rPr>
        <w:b/>
        <w:bCs/>
      </w:rPr>
    </w:tblStylePr>
    <w:tblStylePr w:type="lastCol">
      <w:rPr>
        <w:b/>
        <w:bCs/>
      </w:rPr>
    </w:tblStylePr>
    <w:tblStylePr w:type="band1Vert">
      <w:tblPr/>
      <w:tcPr>
        <w:tcBorders>
          <w:top w:val="single" w:sz="8" w:space="0" w:color="918655" w:themeColor="accent6"/>
          <w:left w:val="single" w:sz="8" w:space="0" w:color="918655" w:themeColor="accent6"/>
          <w:bottom w:val="single" w:sz="8" w:space="0" w:color="918655" w:themeColor="accent6"/>
          <w:right w:val="single" w:sz="8" w:space="0" w:color="918655" w:themeColor="accent6"/>
        </w:tcBorders>
      </w:tcPr>
    </w:tblStylePr>
    <w:tblStylePr w:type="band1Horz">
      <w:tblPr/>
      <w:tcPr>
        <w:tcBorders>
          <w:top w:val="single" w:sz="8" w:space="0" w:color="918655" w:themeColor="accent6"/>
          <w:left w:val="single" w:sz="8" w:space="0" w:color="918655" w:themeColor="accent6"/>
          <w:bottom w:val="single" w:sz="8" w:space="0" w:color="918655" w:themeColor="accent6"/>
          <w:right w:val="single" w:sz="8" w:space="0" w:color="918655"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90C226" w:themeColor="accent1"/>
        <w:left w:val="single" w:sz="8" w:space="0" w:color="90C226" w:themeColor="accent1"/>
        <w:bottom w:val="single" w:sz="8" w:space="0" w:color="90C226" w:themeColor="accent1"/>
        <w:right w:val="single" w:sz="8" w:space="0" w:color="90C226" w:themeColor="accent1"/>
        <w:insideH w:val="single" w:sz="8" w:space="0" w:color="90C226" w:themeColor="accent1"/>
        <w:insideV w:val="single" w:sz="8" w:space="0" w:color="90C22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0C226" w:themeColor="accent1"/>
          <w:left w:val="single" w:sz="8" w:space="0" w:color="90C226" w:themeColor="accent1"/>
          <w:bottom w:val="single" w:sz="18" w:space="0" w:color="90C226" w:themeColor="accent1"/>
          <w:right w:val="single" w:sz="8" w:space="0" w:color="90C226" w:themeColor="accent1"/>
          <w:insideH w:val="nil"/>
          <w:insideV w:val="single" w:sz="8" w:space="0" w:color="90C22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0C226" w:themeColor="accent1"/>
          <w:left w:val="single" w:sz="8" w:space="0" w:color="90C226" w:themeColor="accent1"/>
          <w:bottom w:val="single" w:sz="8" w:space="0" w:color="90C226" w:themeColor="accent1"/>
          <w:right w:val="single" w:sz="8" w:space="0" w:color="90C226" w:themeColor="accent1"/>
          <w:insideH w:val="nil"/>
          <w:insideV w:val="single" w:sz="8" w:space="0" w:color="90C22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0C226" w:themeColor="accent1"/>
          <w:left w:val="single" w:sz="8" w:space="0" w:color="90C226" w:themeColor="accent1"/>
          <w:bottom w:val="single" w:sz="8" w:space="0" w:color="90C226" w:themeColor="accent1"/>
          <w:right w:val="single" w:sz="8" w:space="0" w:color="90C226" w:themeColor="accent1"/>
        </w:tcBorders>
      </w:tcPr>
    </w:tblStylePr>
    <w:tblStylePr w:type="band1Vert">
      <w:tblPr/>
      <w:tcPr>
        <w:tcBorders>
          <w:top w:val="single" w:sz="8" w:space="0" w:color="90C226" w:themeColor="accent1"/>
          <w:left w:val="single" w:sz="8" w:space="0" w:color="90C226" w:themeColor="accent1"/>
          <w:bottom w:val="single" w:sz="8" w:space="0" w:color="90C226" w:themeColor="accent1"/>
          <w:right w:val="single" w:sz="8" w:space="0" w:color="90C226" w:themeColor="accent1"/>
        </w:tcBorders>
        <w:shd w:val="clear" w:color="auto" w:fill="E4F3C5" w:themeFill="accent1" w:themeFillTint="3F"/>
      </w:tcPr>
    </w:tblStylePr>
    <w:tblStylePr w:type="band1Horz">
      <w:tblPr/>
      <w:tcPr>
        <w:tcBorders>
          <w:top w:val="single" w:sz="8" w:space="0" w:color="90C226" w:themeColor="accent1"/>
          <w:left w:val="single" w:sz="8" w:space="0" w:color="90C226" w:themeColor="accent1"/>
          <w:bottom w:val="single" w:sz="8" w:space="0" w:color="90C226" w:themeColor="accent1"/>
          <w:right w:val="single" w:sz="8" w:space="0" w:color="90C226" w:themeColor="accent1"/>
          <w:insideV w:val="single" w:sz="8" w:space="0" w:color="90C226" w:themeColor="accent1"/>
        </w:tcBorders>
        <w:shd w:val="clear" w:color="auto" w:fill="E4F3C5" w:themeFill="accent1" w:themeFillTint="3F"/>
      </w:tcPr>
    </w:tblStylePr>
    <w:tblStylePr w:type="band2Horz">
      <w:tblPr/>
      <w:tcPr>
        <w:tcBorders>
          <w:top w:val="single" w:sz="8" w:space="0" w:color="90C226" w:themeColor="accent1"/>
          <w:left w:val="single" w:sz="8" w:space="0" w:color="90C226" w:themeColor="accent1"/>
          <w:bottom w:val="single" w:sz="8" w:space="0" w:color="90C226" w:themeColor="accent1"/>
          <w:right w:val="single" w:sz="8" w:space="0" w:color="90C226" w:themeColor="accent1"/>
          <w:insideV w:val="single" w:sz="8" w:space="0" w:color="90C226"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54A021" w:themeColor="accent2"/>
        <w:left w:val="single" w:sz="8" w:space="0" w:color="54A021" w:themeColor="accent2"/>
        <w:bottom w:val="single" w:sz="8" w:space="0" w:color="54A021" w:themeColor="accent2"/>
        <w:right w:val="single" w:sz="8" w:space="0" w:color="54A021" w:themeColor="accent2"/>
        <w:insideH w:val="single" w:sz="8" w:space="0" w:color="54A021" w:themeColor="accent2"/>
        <w:insideV w:val="single" w:sz="8" w:space="0" w:color="54A02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4A021" w:themeColor="accent2"/>
          <w:left w:val="single" w:sz="8" w:space="0" w:color="54A021" w:themeColor="accent2"/>
          <w:bottom w:val="single" w:sz="18" w:space="0" w:color="54A021" w:themeColor="accent2"/>
          <w:right w:val="single" w:sz="8" w:space="0" w:color="54A021" w:themeColor="accent2"/>
          <w:insideH w:val="nil"/>
          <w:insideV w:val="single" w:sz="8" w:space="0" w:color="54A02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4A021" w:themeColor="accent2"/>
          <w:left w:val="single" w:sz="8" w:space="0" w:color="54A021" w:themeColor="accent2"/>
          <w:bottom w:val="single" w:sz="8" w:space="0" w:color="54A021" w:themeColor="accent2"/>
          <w:right w:val="single" w:sz="8" w:space="0" w:color="54A021" w:themeColor="accent2"/>
          <w:insideH w:val="nil"/>
          <w:insideV w:val="single" w:sz="8" w:space="0" w:color="54A02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4A021" w:themeColor="accent2"/>
          <w:left w:val="single" w:sz="8" w:space="0" w:color="54A021" w:themeColor="accent2"/>
          <w:bottom w:val="single" w:sz="8" w:space="0" w:color="54A021" w:themeColor="accent2"/>
          <w:right w:val="single" w:sz="8" w:space="0" w:color="54A021" w:themeColor="accent2"/>
        </w:tcBorders>
      </w:tcPr>
    </w:tblStylePr>
    <w:tblStylePr w:type="band1Vert">
      <w:tblPr/>
      <w:tcPr>
        <w:tcBorders>
          <w:top w:val="single" w:sz="8" w:space="0" w:color="54A021" w:themeColor="accent2"/>
          <w:left w:val="single" w:sz="8" w:space="0" w:color="54A021" w:themeColor="accent2"/>
          <w:bottom w:val="single" w:sz="8" w:space="0" w:color="54A021" w:themeColor="accent2"/>
          <w:right w:val="single" w:sz="8" w:space="0" w:color="54A021" w:themeColor="accent2"/>
        </w:tcBorders>
        <w:shd w:val="clear" w:color="auto" w:fill="D2F1BE" w:themeFill="accent2" w:themeFillTint="3F"/>
      </w:tcPr>
    </w:tblStylePr>
    <w:tblStylePr w:type="band1Horz">
      <w:tblPr/>
      <w:tcPr>
        <w:tcBorders>
          <w:top w:val="single" w:sz="8" w:space="0" w:color="54A021" w:themeColor="accent2"/>
          <w:left w:val="single" w:sz="8" w:space="0" w:color="54A021" w:themeColor="accent2"/>
          <w:bottom w:val="single" w:sz="8" w:space="0" w:color="54A021" w:themeColor="accent2"/>
          <w:right w:val="single" w:sz="8" w:space="0" w:color="54A021" w:themeColor="accent2"/>
          <w:insideV w:val="single" w:sz="8" w:space="0" w:color="54A021" w:themeColor="accent2"/>
        </w:tcBorders>
        <w:shd w:val="clear" w:color="auto" w:fill="D2F1BE" w:themeFill="accent2" w:themeFillTint="3F"/>
      </w:tcPr>
    </w:tblStylePr>
    <w:tblStylePr w:type="band2Horz">
      <w:tblPr/>
      <w:tcPr>
        <w:tcBorders>
          <w:top w:val="single" w:sz="8" w:space="0" w:color="54A021" w:themeColor="accent2"/>
          <w:left w:val="single" w:sz="8" w:space="0" w:color="54A021" w:themeColor="accent2"/>
          <w:bottom w:val="single" w:sz="8" w:space="0" w:color="54A021" w:themeColor="accent2"/>
          <w:right w:val="single" w:sz="8" w:space="0" w:color="54A021" w:themeColor="accent2"/>
          <w:insideV w:val="single" w:sz="8" w:space="0" w:color="54A02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E6B91E" w:themeColor="accent3"/>
        <w:left w:val="single" w:sz="8" w:space="0" w:color="E6B91E" w:themeColor="accent3"/>
        <w:bottom w:val="single" w:sz="8" w:space="0" w:color="E6B91E" w:themeColor="accent3"/>
        <w:right w:val="single" w:sz="8" w:space="0" w:color="E6B91E" w:themeColor="accent3"/>
        <w:insideH w:val="single" w:sz="8" w:space="0" w:color="E6B91E" w:themeColor="accent3"/>
        <w:insideV w:val="single" w:sz="8" w:space="0" w:color="E6B91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B91E" w:themeColor="accent3"/>
          <w:left w:val="single" w:sz="8" w:space="0" w:color="E6B91E" w:themeColor="accent3"/>
          <w:bottom w:val="single" w:sz="18" w:space="0" w:color="E6B91E" w:themeColor="accent3"/>
          <w:right w:val="single" w:sz="8" w:space="0" w:color="E6B91E" w:themeColor="accent3"/>
          <w:insideH w:val="nil"/>
          <w:insideV w:val="single" w:sz="8" w:space="0" w:color="E6B91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B91E" w:themeColor="accent3"/>
          <w:left w:val="single" w:sz="8" w:space="0" w:color="E6B91E" w:themeColor="accent3"/>
          <w:bottom w:val="single" w:sz="8" w:space="0" w:color="E6B91E" w:themeColor="accent3"/>
          <w:right w:val="single" w:sz="8" w:space="0" w:color="E6B91E" w:themeColor="accent3"/>
          <w:insideH w:val="nil"/>
          <w:insideV w:val="single" w:sz="8" w:space="0" w:color="E6B91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B91E" w:themeColor="accent3"/>
          <w:left w:val="single" w:sz="8" w:space="0" w:color="E6B91E" w:themeColor="accent3"/>
          <w:bottom w:val="single" w:sz="8" w:space="0" w:color="E6B91E" w:themeColor="accent3"/>
          <w:right w:val="single" w:sz="8" w:space="0" w:color="E6B91E" w:themeColor="accent3"/>
        </w:tcBorders>
      </w:tcPr>
    </w:tblStylePr>
    <w:tblStylePr w:type="band1Vert">
      <w:tblPr/>
      <w:tcPr>
        <w:tcBorders>
          <w:top w:val="single" w:sz="8" w:space="0" w:color="E6B91E" w:themeColor="accent3"/>
          <w:left w:val="single" w:sz="8" w:space="0" w:color="E6B91E" w:themeColor="accent3"/>
          <w:bottom w:val="single" w:sz="8" w:space="0" w:color="E6B91E" w:themeColor="accent3"/>
          <w:right w:val="single" w:sz="8" w:space="0" w:color="E6B91E" w:themeColor="accent3"/>
        </w:tcBorders>
        <w:shd w:val="clear" w:color="auto" w:fill="F8EDC7" w:themeFill="accent3" w:themeFillTint="3F"/>
      </w:tcPr>
    </w:tblStylePr>
    <w:tblStylePr w:type="band1Horz">
      <w:tblPr/>
      <w:tcPr>
        <w:tcBorders>
          <w:top w:val="single" w:sz="8" w:space="0" w:color="E6B91E" w:themeColor="accent3"/>
          <w:left w:val="single" w:sz="8" w:space="0" w:color="E6B91E" w:themeColor="accent3"/>
          <w:bottom w:val="single" w:sz="8" w:space="0" w:color="E6B91E" w:themeColor="accent3"/>
          <w:right w:val="single" w:sz="8" w:space="0" w:color="E6B91E" w:themeColor="accent3"/>
          <w:insideV w:val="single" w:sz="8" w:space="0" w:color="E6B91E" w:themeColor="accent3"/>
        </w:tcBorders>
        <w:shd w:val="clear" w:color="auto" w:fill="F8EDC7" w:themeFill="accent3" w:themeFillTint="3F"/>
      </w:tcPr>
    </w:tblStylePr>
    <w:tblStylePr w:type="band2Horz">
      <w:tblPr/>
      <w:tcPr>
        <w:tcBorders>
          <w:top w:val="single" w:sz="8" w:space="0" w:color="E6B91E" w:themeColor="accent3"/>
          <w:left w:val="single" w:sz="8" w:space="0" w:color="E6B91E" w:themeColor="accent3"/>
          <w:bottom w:val="single" w:sz="8" w:space="0" w:color="E6B91E" w:themeColor="accent3"/>
          <w:right w:val="single" w:sz="8" w:space="0" w:color="E6B91E" w:themeColor="accent3"/>
          <w:insideV w:val="single" w:sz="8" w:space="0" w:color="E6B91E"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E76618" w:themeColor="accent4"/>
        <w:left w:val="single" w:sz="8" w:space="0" w:color="E76618" w:themeColor="accent4"/>
        <w:bottom w:val="single" w:sz="8" w:space="0" w:color="E76618" w:themeColor="accent4"/>
        <w:right w:val="single" w:sz="8" w:space="0" w:color="E76618" w:themeColor="accent4"/>
        <w:insideH w:val="single" w:sz="8" w:space="0" w:color="E76618" w:themeColor="accent4"/>
        <w:insideV w:val="single" w:sz="8" w:space="0" w:color="E7661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76618" w:themeColor="accent4"/>
          <w:left w:val="single" w:sz="8" w:space="0" w:color="E76618" w:themeColor="accent4"/>
          <w:bottom w:val="single" w:sz="18" w:space="0" w:color="E76618" w:themeColor="accent4"/>
          <w:right w:val="single" w:sz="8" w:space="0" w:color="E76618" w:themeColor="accent4"/>
          <w:insideH w:val="nil"/>
          <w:insideV w:val="single" w:sz="8" w:space="0" w:color="E7661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76618" w:themeColor="accent4"/>
          <w:left w:val="single" w:sz="8" w:space="0" w:color="E76618" w:themeColor="accent4"/>
          <w:bottom w:val="single" w:sz="8" w:space="0" w:color="E76618" w:themeColor="accent4"/>
          <w:right w:val="single" w:sz="8" w:space="0" w:color="E76618" w:themeColor="accent4"/>
          <w:insideH w:val="nil"/>
          <w:insideV w:val="single" w:sz="8" w:space="0" w:color="E7661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76618" w:themeColor="accent4"/>
          <w:left w:val="single" w:sz="8" w:space="0" w:color="E76618" w:themeColor="accent4"/>
          <w:bottom w:val="single" w:sz="8" w:space="0" w:color="E76618" w:themeColor="accent4"/>
          <w:right w:val="single" w:sz="8" w:space="0" w:color="E76618" w:themeColor="accent4"/>
        </w:tcBorders>
      </w:tcPr>
    </w:tblStylePr>
    <w:tblStylePr w:type="band1Vert">
      <w:tblPr/>
      <w:tcPr>
        <w:tcBorders>
          <w:top w:val="single" w:sz="8" w:space="0" w:color="E76618" w:themeColor="accent4"/>
          <w:left w:val="single" w:sz="8" w:space="0" w:color="E76618" w:themeColor="accent4"/>
          <w:bottom w:val="single" w:sz="8" w:space="0" w:color="E76618" w:themeColor="accent4"/>
          <w:right w:val="single" w:sz="8" w:space="0" w:color="E76618" w:themeColor="accent4"/>
        </w:tcBorders>
        <w:shd w:val="clear" w:color="auto" w:fill="F9D9C5" w:themeFill="accent4" w:themeFillTint="3F"/>
      </w:tcPr>
    </w:tblStylePr>
    <w:tblStylePr w:type="band1Horz">
      <w:tblPr/>
      <w:tcPr>
        <w:tcBorders>
          <w:top w:val="single" w:sz="8" w:space="0" w:color="E76618" w:themeColor="accent4"/>
          <w:left w:val="single" w:sz="8" w:space="0" w:color="E76618" w:themeColor="accent4"/>
          <w:bottom w:val="single" w:sz="8" w:space="0" w:color="E76618" w:themeColor="accent4"/>
          <w:right w:val="single" w:sz="8" w:space="0" w:color="E76618" w:themeColor="accent4"/>
          <w:insideV w:val="single" w:sz="8" w:space="0" w:color="E76618" w:themeColor="accent4"/>
        </w:tcBorders>
        <w:shd w:val="clear" w:color="auto" w:fill="F9D9C5" w:themeFill="accent4" w:themeFillTint="3F"/>
      </w:tcPr>
    </w:tblStylePr>
    <w:tblStylePr w:type="band2Horz">
      <w:tblPr/>
      <w:tcPr>
        <w:tcBorders>
          <w:top w:val="single" w:sz="8" w:space="0" w:color="E76618" w:themeColor="accent4"/>
          <w:left w:val="single" w:sz="8" w:space="0" w:color="E76618" w:themeColor="accent4"/>
          <w:bottom w:val="single" w:sz="8" w:space="0" w:color="E76618" w:themeColor="accent4"/>
          <w:right w:val="single" w:sz="8" w:space="0" w:color="E76618" w:themeColor="accent4"/>
          <w:insideV w:val="single" w:sz="8" w:space="0" w:color="E76618"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C42F1A" w:themeColor="accent5"/>
        <w:left w:val="single" w:sz="8" w:space="0" w:color="C42F1A" w:themeColor="accent5"/>
        <w:bottom w:val="single" w:sz="8" w:space="0" w:color="C42F1A" w:themeColor="accent5"/>
        <w:right w:val="single" w:sz="8" w:space="0" w:color="C42F1A" w:themeColor="accent5"/>
        <w:insideH w:val="single" w:sz="8" w:space="0" w:color="C42F1A" w:themeColor="accent5"/>
        <w:insideV w:val="single" w:sz="8" w:space="0" w:color="C42F1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42F1A" w:themeColor="accent5"/>
          <w:left w:val="single" w:sz="8" w:space="0" w:color="C42F1A" w:themeColor="accent5"/>
          <w:bottom w:val="single" w:sz="18" w:space="0" w:color="C42F1A" w:themeColor="accent5"/>
          <w:right w:val="single" w:sz="8" w:space="0" w:color="C42F1A" w:themeColor="accent5"/>
          <w:insideH w:val="nil"/>
          <w:insideV w:val="single" w:sz="8" w:space="0" w:color="C42F1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2F1A" w:themeColor="accent5"/>
          <w:left w:val="single" w:sz="8" w:space="0" w:color="C42F1A" w:themeColor="accent5"/>
          <w:bottom w:val="single" w:sz="8" w:space="0" w:color="C42F1A" w:themeColor="accent5"/>
          <w:right w:val="single" w:sz="8" w:space="0" w:color="C42F1A" w:themeColor="accent5"/>
          <w:insideH w:val="nil"/>
          <w:insideV w:val="single" w:sz="8" w:space="0" w:color="C42F1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2F1A" w:themeColor="accent5"/>
          <w:left w:val="single" w:sz="8" w:space="0" w:color="C42F1A" w:themeColor="accent5"/>
          <w:bottom w:val="single" w:sz="8" w:space="0" w:color="C42F1A" w:themeColor="accent5"/>
          <w:right w:val="single" w:sz="8" w:space="0" w:color="C42F1A" w:themeColor="accent5"/>
        </w:tcBorders>
      </w:tcPr>
    </w:tblStylePr>
    <w:tblStylePr w:type="band1Vert">
      <w:tblPr/>
      <w:tcPr>
        <w:tcBorders>
          <w:top w:val="single" w:sz="8" w:space="0" w:color="C42F1A" w:themeColor="accent5"/>
          <w:left w:val="single" w:sz="8" w:space="0" w:color="C42F1A" w:themeColor="accent5"/>
          <w:bottom w:val="single" w:sz="8" w:space="0" w:color="C42F1A" w:themeColor="accent5"/>
          <w:right w:val="single" w:sz="8" w:space="0" w:color="C42F1A" w:themeColor="accent5"/>
        </w:tcBorders>
        <w:shd w:val="clear" w:color="auto" w:fill="F6C6C0" w:themeFill="accent5" w:themeFillTint="3F"/>
      </w:tcPr>
    </w:tblStylePr>
    <w:tblStylePr w:type="band1Horz">
      <w:tblPr/>
      <w:tcPr>
        <w:tcBorders>
          <w:top w:val="single" w:sz="8" w:space="0" w:color="C42F1A" w:themeColor="accent5"/>
          <w:left w:val="single" w:sz="8" w:space="0" w:color="C42F1A" w:themeColor="accent5"/>
          <w:bottom w:val="single" w:sz="8" w:space="0" w:color="C42F1A" w:themeColor="accent5"/>
          <w:right w:val="single" w:sz="8" w:space="0" w:color="C42F1A" w:themeColor="accent5"/>
          <w:insideV w:val="single" w:sz="8" w:space="0" w:color="C42F1A" w:themeColor="accent5"/>
        </w:tcBorders>
        <w:shd w:val="clear" w:color="auto" w:fill="F6C6C0" w:themeFill="accent5" w:themeFillTint="3F"/>
      </w:tcPr>
    </w:tblStylePr>
    <w:tblStylePr w:type="band2Horz">
      <w:tblPr/>
      <w:tcPr>
        <w:tcBorders>
          <w:top w:val="single" w:sz="8" w:space="0" w:color="C42F1A" w:themeColor="accent5"/>
          <w:left w:val="single" w:sz="8" w:space="0" w:color="C42F1A" w:themeColor="accent5"/>
          <w:bottom w:val="single" w:sz="8" w:space="0" w:color="C42F1A" w:themeColor="accent5"/>
          <w:right w:val="single" w:sz="8" w:space="0" w:color="C42F1A" w:themeColor="accent5"/>
          <w:insideV w:val="single" w:sz="8" w:space="0" w:color="C42F1A"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918655" w:themeColor="accent6"/>
        <w:left w:val="single" w:sz="8" w:space="0" w:color="918655" w:themeColor="accent6"/>
        <w:bottom w:val="single" w:sz="8" w:space="0" w:color="918655" w:themeColor="accent6"/>
        <w:right w:val="single" w:sz="8" w:space="0" w:color="918655" w:themeColor="accent6"/>
        <w:insideH w:val="single" w:sz="8" w:space="0" w:color="918655" w:themeColor="accent6"/>
        <w:insideV w:val="single" w:sz="8" w:space="0" w:color="918655"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18655" w:themeColor="accent6"/>
          <w:left w:val="single" w:sz="8" w:space="0" w:color="918655" w:themeColor="accent6"/>
          <w:bottom w:val="single" w:sz="18" w:space="0" w:color="918655" w:themeColor="accent6"/>
          <w:right w:val="single" w:sz="8" w:space="0" w:color="918655" w:themeColor="accent6"/>
          <w:insideH w:val="nil"/>
          <w:insideV w:val="single" w:sz="8" w:space="0" w:color="918655"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18655" w:themeColor="accent6"/>
          <w:left w:val="single" w:sz="8" w:space="0" w:color="918655" w:themeColor="accent6"/>
          <w:bottom w:val="single" w:sz="8" w:space="0" w:color="918655" w:themeColor="accent6"/>
          <w:right w:val="single" w:sz="8" w:space="0" w:color="918655" w:themeColor="accent6"/>
          <w:insideH w:val="nil"/>
          <w:insideV w:val="single" w:sz="8" w:space="0" w:color="918655"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18655" w:themeColor="accent6"/>
          <w:left w:val="single" w:sz="8" w:space="0" w:color="918655" w:themeColor="accent6"/>
          <w:bottom w:val="single" w:sz="8" w:space="0" w:color="918655" w:themeColor="accent6"/>
          <w:right w:val="single" w:sz="8" w:space="0" w:color="918655" w:themeColor="accent6"/>
        </w:tcBorders>
      </w:tcPr>
    </w:tblStylePr>
    <w:tblStylePr w:type="band1Vert">
      <w:tblPr/>
      <w:tcPr>
        <w:tcBorders>
          <w:top w:val="single" w:sz="8" w:space="0" w:color="918655" w:themeColor="accent6"/>
          <w:left w:val="single" w:sz="8" w:space="0" w:color="918655" w:themeColor="accent6"/>
          <w:bottom w:val="single" w:sz="8" w:space="0" w:color="918655" w:themeColor="accent6"/>
          <w:right w:val="single" w:sz="8" w:space="0" w:color="918655" w:themeColor="accent6"/>
        </w:tcBorders>
        <w:shd w:val="clear" w:color="auto" w:fill="E5E2D3" w:themeFill="accent6" w:themeFillTint="3F"/>
      </w:tcPr>
    </w:tblStylePr>
    <w:tblStylePr w:type="band1Horz">
      <w:tblPr/>
      <w:tcPr>
        <w:tcBorders>
          <w:top w:val="single" w:sz="8" w:space="0" w:color="918655" w:themeColor="accent6"/>
          <w:left w:val="single" w:sz="8" w:space="0" w:color="918655" w:themeColor="accent6"/>
          <w:bottom w:val="single" w:sz="8" w:space="0" w:color="918655" w:themeColor="accent6"/>
          <w:right w:val="single" w:sz="8" w:space="0" w:color="918655" w:themeColor="accent6"/>
          <w:insideV w:val="single" w:sz="8" w:space="0" w:color="918655" w:themeColor="accent6"/>
        </w:tcBorders>
        <w:shd w:val="clear" w:color="auto" w:fill="E5E2D3" w:themeFill="accent6" w:themeFillTint="3F"/>
      </w:tcPr>
    </w:tblStylePr>
    <w:tblStylePr w:type="band2Horz">
      <w:tblPr/>
      <w:tcPr>
        <w:tcBorders>
          <w:top w:val="single" w:sz="8" w:space="0" w:color="918655" w:themeColor="accent6"/>
          <w:left w:val="single" w:sz="8" w:space="0" w:color="918655" w:themeColor="accent6"/>
          <w:bottom w:val="single" w:sz="8" w:space="0" w:color="918655" w:themeColor="accent6"/>
          <w:right w:val="single" w:sz="8" w:space="0" w:color="918655" w:themeColor="accent6"/>
          <w:insideV w:val="single" w:sz="8" w:space="0" w:color="918655"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AFDC50" w:themeColor="accent1" w:themeTint="BF"/>
        <w:left w:val="single" w:sz="8" w:space="0" w:color="AFDC50" w:themeColor="accent1" w:themeTint="BF"/>
        <w:bottom w:val="single" w:sz="8" w:space="0" w:color="AFDC50" w:themeColor="accent1" w:themeTint="BF"/>
        <w:right w:val="single" w:sz="8" w:space="0" w:color="AFDC50" w:themeColor="accent1" w:themeTint="BF"/>
        <w:insideH w:val="single" w:sz="8" w:space="0" w:color="AFDC50" w:themeColor="accent1" w:themeTint="BF"/>
      </w:tblBorders>
    </w:tblPr>
    <w:tblStylePr w:type="firstRow">
      <w:pPr>
        <w:spacing w:before="0" w:after="0" w:line="240" w:lineRule="auto"/>
      </w:pPr>
      <w:rPr>
        <w:b/>
        <w:bCs/>
        <w:color w:val="FFFFFF" w:themeColor="background1"/>
      </w:rPr>
      <w:tblPr/>
      <w:tcPr>
        <w:tcBorders>
          <w:top w:val="single" w:sz="8" w:space="0" w:color="AFDC50" w:themeColor="accent1" w:themeTint="BF"/>
          <w:left w:val="single" w:sz="8" w:space="0" w:color="AFDC50" w:themeColor="accent1" w:themeTint="BF"/>
          <w:bottom w:val="single" w:sz="8" w:space="0" w:color="AFDC50" w:themeColor="accent1" w:themeTint="BF"/>
          <w:right w:val="single" w:sz="8" w:space="0" w:color="AFDC50" w:themeColor="accent1" w:themeTint="BF"/>
          <w:insideH w:val="nil"/>
          <w:insideV w:val="nil"/>
        </w:tcBorders>
        <w:shd w:val="clear" w:color="auto" w:fill="90C226" w:themeFill="accent1"/>
      </w:tcPr>
    </w:tblStylePr>
    <w:tblStylePr w:type="lastRow">
      <w:pPr>
        <w:spacing w:before="0" w:after="0" w:line="240" w:lineRule="auto"/>
      </w:pPr>
      <w:rPr>
        <w:b/>
        <w:bCs/>
      </w:rPr>
      <w:tblPr/>
      <w:tcPr>
        <w:tcBorders>
          <w:top w:val="double" w:sz="6" w:space="0" w:color="AFDC50" w:themeColor="accent1" w:themeTint="BF"/>
          <w:left w:val="single" w:sz="8" w:space="0" w:color="AFDC50" w:themeColor="accent1" w:themeTint="BF"/>
          <w:bottom w:val="single" w:sz="8" w:space="0" w:color="AFDC50" w:themeColor="accent1" w:themeTint="BF"/>
          <w:right w:val="single" w:sz="8" w:space="0" w:color="AFDC50" w:themeColor="accent1" w:themeTint="BF"/>
          <w:insideH w:val="nil"/>
          <w:insideV w:val="nil"/>
        </w:tcBorders>
      </w:tcPr>
    </w:tblStylePr>
    <w:tblStylePr w:type="firstCol">
      <w:rPr>
        <w:b/>
        <w:bCs/>
      </w:rPr>
    </w:tblStylePr>
    <w:tblStylePr w:type="lastCol">
      <w:rPr>
        <w:b/>
        <w:bCs/>
      </w:rPr>
    </w:tblStylePr>
    <w:tblStylePr w:type="band1Vert">
      <w:tblPr/>
      <w:tcPr>
        <w:shd w:val="clear" w:color="auto" w:fill="E4F3C5" w:themeFill="accent1" w:themeFillTint="3F"/>
      </w:tcPr>
    </w:tblStylePr>
    <w:tblStylePr w:type="band1Horz">
      <w:tblPr/>
      <w:tcPr>
        <w:tcBorders>
          <w:insideH w:val="nil"/>
          <w:insideV w:val="nil"/>
        </w:tcBorders>
        <w:shd w:val="clear" w:color="auto" w:fill="E4F3C5"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78D63A" w:themeColor="accent2" w:themeTint="BF"/>
        <w:left w:val="single" w:sz="8" w:space="0" w:color="78D63A" w:themeColor="accent2" w:themeTint="BF"/>
        <w:bottom w:val="single" w:sz="8" w:space="0" w:color="78D63A" w:themeColor="accent2" w:themeTint="BF"/>
        <w:right w:val="single" w:sz="8" w:space="0" w:color="78D63A" w:themeColor="accent2" w:themeTint="BF"/>
        <w:insideH w:val="single" w:sz="8" w:space="0" w:color="78D63A" w:themeColor="accent2" w:themeTint="BF"/>
      </w:tblBorders>
    </w:tblPr>
    <w:tblStylePr w:type="firstRow">
      <w:pPr>
        <w:spacing w:before="0" w:after="0" w:line="240" w:lineRule="auto"/>
      </w:pPr>
      <w:rPr>
        <w:b/>
        <w:bCs/>
        <w:color w:val="FFFFFF" w:themeColor="background1"/>
      </w:rPr>
      <w:tblPr/>
      <w:tcPr>
        <w:tcBorders>
          <w:top w:val="single" w:sz="8" w:space="0" w:color="78D63A" w:themeColor="accent2" w:themeTint="BF"/>
          <w:left w:val="single" w:sz="8" w:space="0" w:color="78D63A" w:themeColor="accent2" w:themeTint="BF"/>
          <w:bottom w:val="single" w:sz="8" w:space="0" w:color="78D63A" w:themeColor="accent2" w:themeTint="BF"/>
          <w:right w:val="single" w:sz="8" w:space="0" w:color="78D63A" w:themeColor="accent2" w:themeTint="BF"/>
          <w:insideH w:val="nil"/>
          <w:insideV w:val="nil"/>
        </w:tcBorders>
        <w:shd w:val="clear" w:color="auto" w:fill="54A021" w:themeFill="accent2"/>
      </w:tcPr>
    </w:tblStylePr>
    <w:tblStylePr w:type="lastRow">
      <w:pPr>
        <w:spacing w:before="0" w:after="0" w:line="240" w:lineRule="auto"/>
      </w:pPr>
      <w:rPr>
        <w:b/>
        <w:bCs/>
      </w:rPr>
      <w:tblPr/>
      <w:tcPr>
        <w:tcBorders>
          <w:top w:val="double" w:sz="6" w:space="0" w:color="78D63A" w:themeColor="accent2" w:themeTint="BF"/>
          <w:left w:val="single" w:sz="8" w:space="0" w:color="78D63A" w:themeColor="accent2" w:themeTint="BF"/>
          <w:bottom w:val="single" w:sz="8" w:space="0" w:color="78D63A" w:themeColor="accent2" w:themeTint="BF"/>
          <w:right w:val="single" w:sz="8" w:space="0" w:color="78D63A" w:themeColor="accent2" w:themeTint="BF"/>
          <w:insideH w:val="nil"/>
          <w:insideV w:val="nil"/>
        </w:tcBorders>
      </w:tcPr>
    </w:tblStylePr>
    <w:tblStylePr w:type="firstCol">
      <w:rPr>
        <w:b/>
        <w:bCs/>
      </w:rPr>
    </w:tblStylePr>
    <w:tblStylePr w:type="lastCol">
      <w:rPr>
        <w:b/>
        <w:bCs/>
      </w:rPr>
    </w:tblStylePr>
    <w:tblStylePr w:type="band1Vert">
      <w:tblPr/>
      <w:tcPr>
        <w:shd w:val="clear" w:color="auto" w:fill="D2F1BE" w:themeFill="accent2" w:themeFillTint="3F"/>
      </w:tcPr>
    </w:tblStylePr>
    <w:tblStylePr w:type="band1Horz">
      <w:tblPr/>
      <w:tcPr>
        <w:tcBorders>
          <w:insideH w:val="nil"/>
          <w:insideV w:val="nil"/>
        </w:tcBorders>
        <w:shd w:val="clear" w:color="auto" w:fill="D2F1B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ECCA56" w:themeColor="accent3" w:themeTint="BF"/>
        <w:left w:val="single" w:sz="8" w:space="0" w:color="ECCA56" w:themeColor="accent3" w:themeTint="BF"/>
        <w:bottom w:val="single" w:sz="8" w:space="0" w:color="ECCA56" w:themeColor="accent3" w:themeTint="BF"/>
        <w:right w:val="single" w:sz="8" w:space="0" w:color="ECCA56" w:themeColor="accent3" w:themeTint="BF"/>
        <w:insideH w:val="single" w:sz="8" w:space="0" w:color="ECCA56" w:themeColor="accent3" w:themeTint="BF"/>
      </w:tblBorders>
    </w:tblPr>
    <w:tblStylePr w:type="firstRow">
      <w:pPr>
        <w:spacing w:before="0" w:after="0" w:line="240" w:lineRule="auto"/>
      </w:pPr>
      <w:rPr>
        <w:b/>
        <w:bCs/>
        <w:color w:val="FFFFFF" w:themeColor="background1"/>
      </w:rPr>
      <w:tblPr/>
      <w:tcPr>
        <w:tcBorders>
          <w:top w:val="single" w:sz="8" w:space="0" w:color="ECCA56" w:themeColor="accent3" w:themeTint="BF"/>
          <w:left w:val="single" w:sz="8" w:space="0" w:color="ECCA56" w:themeColor="accent3" w:themeTint="BF"/>
          <w:bottom w:val="single" w:sz="8" w:space="0" w:color="ECCA56" w:themeColor="accent3" w:themeTint="BF"/>
          <w:right w:val="single" w:sz="8" w:space="0" w:color="ECCA56" w:themeColor="accent3" w:themeTint="BF"/>
          <w:insideH w:val="nil"/>
          <w:insideV w:val="nil"/>
        </w:tcBorders>
        <w:shd w:val="clear" w:color="auto" w:fill="E6B91E" w:themeFill="accent3"/>
      </w:tcPr>
    </w:tblStylePr>
    <w:tblStylePr w:type="lastRow">
      <w:pPr>
        <w:spacing w:before="0" w:after="0" w:line="240" w:lineRule="auto"/>
      </w:pPr>
      <w:rPr>
        <w:b/>
        <w:bCs/>
      </w:rPr>
      <w:tblPr/>
      <w:tcPr>
        <w:tcBorders>
          <w:top w:val="double" w:sz="6" w:space="0" w:color="ECCA56" w:themeColor="accent3" w:themeTint="BF"/>
          <w:left w:val="single" w:sz="8" w:space="0" w:color="ECCA56" w:themeColor="accent3" w:themeTint="BF"/>
          <w:bottom w:val="single" w:sz="8" w:space="0" w:color="ECCA56" w:themeColor="accent3" w:themeTint="BF"/>
          <w:right w:val="single" w:sz="8" w:space="0" w:color="ECCA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EDC7" w:themeFill="accent3" w:themeFillTint="3F"/>
      </w:tcPr>
    </w:tblStylePr>
    <w:tblStylePr w:type="band1Horz">
      <w:tblPr/>
      <w:tcPr>
        <w:tcBorders>
          <w:insideH w:val="nil"/>
          <w:insideV w:val="nil"/>
        </w:tcBorders>
        <w:shd w:val="clear" w:color="auto" w:fill="F8ED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ED8C51" w:themeColor="accent4" w:themeTint="BF"/>
        <w:left w:val="single" w:sz="8" w:space="0" w:color="ED8C51" w:themeColor="accent4" w:themeTint="BF"/>
        <w:bottom w:val="single" w:sz="8" w:space="0" w:color="ED8C51" w:themeColor="accent4" w:themeTint="BF"/>
        <w:right w:val="single" w:sz="8" w:space="0" w:color="ED8C51" w:themeColor="accent4" w:themeTint="BF"/>
        <w:insideH w:val="single" w:sz="8" w:space="0" w:color="ED8C51" w:themeColor="accent4" w:themeTint="BF"/>
      </w:tblBorders>
    </w:tblPr>
    <w:tblStylePr w:type="firstRow">
      <w:pPr>
        <w:spacing w:before="0" w:after="0" w:line="240" w:lineRule="auto"/>
      </w:pPr>
      <w:rPr>
        <w:b/>
        <w:bCs/>
        <w:color w:val="FFFFFF" w:themeColor="background1"/>
      </w:rPr>
      <w:tblPr/>
      <w:tcPr>
        <w:tcBorders>
          <w:top w:val="single" w:sz="8" w:space="0" w:color="ED8C51" w:themeColor="accent4" w:themeTint="BF"/>
          <w:left w:val="single" w:sz="8" w:space="0" w:color="ED8C51" w:themeColor="accent4" w:themeTint="BF"/>
          <w:bottom w:val="single" w:sz="8" w:space="0" w:color="ED8C51" w:themeColor="accent4" w:themeTint="BF"/>
          <w:right w:val="single" w:sz="8" w:space="0" w:color="ED8C51" w:themeColor="accent4" w:themeTint="BF"/>
          <w:insideH w:val="nil"/>
          <w:insideV w:val="nil"/>
        </w:tcBorders>
        <w:shd w:val="clear" w:color="auto" w:fill="E76618" w:themeFill="accent4"/>
      </w:tcPr>
    </w:tblStylePr>
    <w:tblStylePr w:type="lastRow">
      <w:pPr>
        <w:spacing w:before="0" w:after="0" w:line="240" w:lineRule="auto"/>
      </w:pPr>
      <w:rPr>
        <w:b/>
        <w:bCs/>
      </w:rPr>
      <w:tblPr/>
      <w:tcPr>
        <w:tcBorders>
          <w:top w:val="double" w:sz="6" w:space="0" w:color="ED8C51" w:themeColor="accent4" w:themeTint="BF"/>
          <w:left w:val="single" w:sz="8" w:space="0" w:color="ED8C51" w:themeColor="accent4" w:themeTint="BF"/>
          <w:bottom w:val="single" w:sz="8" w:space="0" w:color="ED8C51" w:themeColor="accent4" w:themeTint="BF"/>
          <w:right w:val="single" w:sz="8" w:space="0" w:color="ED8C51" w:themeColor="accent4" w:themeTint="BF"/>
          <w:insideH w:val="nil"/>
          <w:insideV w:val="nil"/>
        </w:tcBorders>
      </w:tcPr>
    </w:tblStylePr>
    <w:tblStylePr w:type="firstCol">
      <w:rPr>
        <w:b/>
        <w:bCs/>
      </w:rPr>
    </w:tblStylePr>
    <w:tblStylePr w:type="lastCol">
      <w:rPr>
        <w:b/>
        <w:bCs/>
      </w:rPr>
    </w:tblStylePr>
    <w:tblStylePr w:type="band1Vert">
      <w:tblPr/>
      <w:tcPr>
        <w:shd w:val="clear" w:color="auto" w:fill="F9D9C5" w:themeFill="accent4" w:themeFillTint="3F"/>
      </w:tcPr>
    </w:tblStylePr>
    <w:tblStylePr w:type="band1Horz">
      <w:tblPr/>
      <w:tcPr>
        <w:tcBorders>
          <w:insideH w:val="nil"/>
          <w:insideV w:val="nil"/>
        </w:tcBorders>
        <w:shd w:val="clear" w:color="auto" w:fill="F9D9C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E55440" w:themeColor="accent5" w:themeTint="BF"/>
        <w:left w:val="single" w:sz="8" w:space="0" w:color="E55440" w:themeColor="accent5" w:themeTint="BF"/>
        <w:bottom w:val="single" w:sz="8" w:space="0" w:color="E55440" w:themeColor="accent5" w:themeTint="BF"/>
        <w:right w:val="single" w:sz="8" w:space="0" w:color="E55440" w:themeColor="accent5" w:themeTint="BF"/>
        <w:insideH w:val="single" w:sz="8" w:space="0" w:color="E55440" w:themeColor="accent5" w:themeTint="BF"/>
      </w:tblBorders>
    </w:tblPr>
    <w:tblStylePr w:type="firstRow">
      <w:pPr>
        <w:spacing w:before="0" w:after="0" w:line="240" w:lineRule="auto"/>
      </w:pPr>
      <w:rPr>
        <w:b/>
        <w:bCs/>
        <w:color w:val="FFFFFF" w:themeColor="background1"/>
      </w:rPr>
      <w:tblPr/>
      <w:tcPr>
        <w:tcBorders>
          <w:top w:val="single" w:sz="8" w:space="0" w:color="E55440" w:themeColor="accent5" w:themeTint="BF"/>
          <w:left w:val="single" w:sz="8" w:space="0" w:color="E55440" w:themeColor="accent5" w:themeTint="BF"/>
          <w:bottom w:val="single" w:sz="8" w:space="0" w:color="E55440" w:themeColor="accent5" w:themeTint="BF"/>
          <w:right w:val="single" w:sz="8" w:space="0" w:color="E55440" w:themeColor="accent5" w:themeTint="BF"/>
          <w:insideH w:val="nil"/>
          <w:insideV w:val="nil"/>
        </w:tcBorders>
        <w:shd w:val="clear" w:color="auto" w:fill="C42F1A" w:themeFill="accent5"/>
      </w:tcPr>
    </w:tblStylePr>
    <w:tblStylePr w:type="lastRow">
      <w:pPr>
        <w:spacing w:before="0" w:after="0" w:line="240" w:lineRule="auto"/>
      </w:pPr>
      <w:rPr>
        <w:b/>
        <w:bCs/>
      </w:rPr>
      <w:tblPr/>
      <w:tcPr>
        <w:tcBorders>
          <w:top w:val="double" w:sz="6" w:space="0" w:color="E55440" w:themeColor="accent5" w:themeTint="BF"/>
          <w:left w:val="single" w:sz="8" w:space="0" w:color="E55440" w:themeColor="accent5" w:themeTint="BF"/>
          <w:bottom w:val="single" w:sz="8" w:space="0" w:color="E55440" w:themeColor="accent5" w:themeTint="BF"/>
          <w:right w:val="single" w:sz="8" w:space="0" w:color="E55440" w:themeColor="accent5" w:themeTint="BF"/>
          <w:insideH w:val="nil"/>
          <w:insideV w:val="nil"/>
        </w:tcBorders>
      </w:tcPr>
    </w:tblStylePr>
    <w:tblStylePr w:type="firstCol">
      <w:rPr>
        <w:b/>
        <w:bCs/>
      </w:rPr>
    </w:tblStylePr>
    <w:tblStylePr w:type="lastCol">
      <w:rPr>
        <w:b/>
        <w:bCs/>
      </w:rPr>
    </w:tblStylePr>
    <w:tblStylePr w:type="band1Vert">
      <w:tblPr/>
      <w:tcPr>
        <w:shd w:val="clear" w:color="auto" w:fill="F6C6C0" w:themeFill="accent5" w:themeFillTint="3F"/>
      </w:tcPr>
    </w:tblStylePr>
    <w:tblStylePr w:type="band1Horz">
      <w:tblPr/>
      <w:tcPr>
        <w:tcBorders>
          <w:insideH w:val="nil"/>
          <w:insideV w:val="nil"/>
        </w:tcBorders>
        <w:shd w:val="clear" w:color="auto" w:fill="F6C6C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B1A77A" w:themeColor="accent6" w:themeTint="BF"/>
        <w:left w:val="single" w:sz="8" w:space="0" w:color="B1A77A" w:themeColor="accent6" w:themeTint="BF"/>
        <w:bottom w:val="single" w:sz="8" w:space="0" w:color="B1A77A" w:themeColor="accent6" w:themeTint="BF"/>
        <w:right w:val="single" w:sz="8" w:space="0" w:color="B1A77A" w:themeColor="accent6" w:themeTint="BF"/>
        <w:insideH w:val="single" w:sz="8" w:space="0" w:color="B1A77A" w:themeColor="accent6" w:themeTint="BF"/>
      </w:tblBorders>
    </w:tblPr>
    <w:tblStylePr w:type="firstRow">
      <w:pPr>
        <w:spacing w:before="0" w:after="0" w:line="240" w:lineRule="auto"/>
      </w:pPr>
      <w:rPr>
        <w:b/>
        <w:bCs/>
        <w:color w:val="FFFFFF" w:themeColor="background1"/>
      </w:rPr>
      <w:tblPr/>
      <w:tcPr>
        <w:tcBorders>
          <w:top w:val="single" w:sz="8" w:space="0" w:color="B1A77A" w:themeColor="accent6" w:themeTint="BF"/>
          <w:left w:val="single" w:sz="8" w:space="0" w:color="B1A77A" w:themeColor="accent6" w:themeTint="BF"/>
          <w:bottom w:val="single" w:sz="8" w:space="0" w:color="B1A77A" w:themeColor="accent6" w:themeTint="BF"/>
          <w:right w:val="single" w:sz="8" w:space="0" w:color="B1A77A" w:themeColor="accent6" w:themeTint="BF"/>
          <w:insideH w:val="nil"/>
          <w:insideV w:val="nil"/>
        </w:tcBorders>
        <w:shd w:val="clear" w:color="auto" w:fill="918655" w:themeFill="accent6"/>
      </w:tcPr>
    </w:tblStylePr>
    <w:tblStylePr w:type="lastRow">
      <w:pPr>
        <w:spacing w:before="0" w:after="0" w:line="240" w:lineRule="auto"/>
      </w:pPr>
      <w:rPr>
        <w:b/>
        <w:bCs/>
      </w:rPr>
      <w:tblPr/>
      <w:tcPr>
        <w:tcBorders>
          <w:top w:val="double" w:sz="6" w:space="0" w:color="B1A77A" w:themeColor="accent6" w:themeTint="BF"/>
          <w:left w:val="single" w:sz="8" w:space="0" w:color="B1A77A" w:themeColor="accent6" w:themeTint="BF"/>
          <w:bottom w:val="single" w:sz="8" w:space="0" w:color="B1A77A" w:themeColor="accent6" w:themeTint="BF"/>
          <w:right w:val="single" w:sz="8" w:space="0" w:color="B1A77A" w:themeColor="accent6" w:themeTint="BF"/>
          <w:insideH w:val="nil"/>
          <w:insideV w:val="nil"/>
        </w:tcBorders>
      </w:tcPr>
    </w:tblStylePr>
    <w:tblStylePr w:type="firstCol">
      <w:rPr>
        <w:b/>
        <w:bCs/>
      </w:rPr>
    </w:tblStylePr>
    <w:tblStylePr w:type="lastCol">
      <w:rPr>
        <w:b/>
        <w:bCs/>
      </w:rPr>
    </w:tblStylePr>
    <w:tblStylePr w:type="band1Vert">
      <w:tblPr/>
      <w:tcPr>
        <w:shd w:val="clear" w:color="auto" w:fill="E5E2D3" w:themeFill="accent6" w:themeFillTint="3F"/>
      </w:tcPr>
    </w:tblStylePr>
    <w:tblStylePr w:type="band1Horz">
      <w:tblPr/>
      <w:tcPr>
        <w:tcBorders>
          <w:insideH w:val="nil"/>
          <w:insideV w:val="nil"/>
        </w:tcBorders>
        <w:shd w:val="clear" w:color="auto" w:fill="E5E2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0C22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0C226" w:themeFill="accent1"/>
      </w:tcPr>
    </w:tblStylePr>
    <w:tblStylePr w:type="lastCol">
      <w:rPr>
        <w:b/>
        <w:bCs/>
        <w:color w:val="FFFFFF" w:themeColor="background1"/>
      </w:rPr>
      <w:tblPr/>
      <w:tcPr>
        <w:tcBorders>
          <w:left w:val="nil"/>
          <w:right w:val="nil"/>
          <w:insideH w:val="nil"/>
          <w:insideV w:val="nil"/>
        </w:tcBorders>
        <w:shd w:val="clear" w:color="auto" w:fill="90C22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4A02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4A021" w:themeFill="accent2"/>
      </w:tcPr>
    </w:tblStylePr>
    <w:tblStylePr w:type="lastCol">
      <w:rPr>
        <w:b/>
        <w:bCs/>
        <w:color w:val="FFFFFF" w:themeColor="background1"/>
      </w:rPr>
      <w:tblPr/>
      <w:tcPr>
        <w:tcBorders>
          <w:left w:val="nil"/>
          <w:right w:val="nil"/>
          <w:insideH w:val="nil"/>
          <w:insideV w:val="nil"/>
        </w:tcBorders>
        <w:shd w:val="clear" w:color="auto" w:fill="54A02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B91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6B91E" w:themeFill="accent3"/>
      </w:tcPr>
    </w:tblStylePr>
    <w:tblStylePr w:type="lastCol">
      <w:rPr>
        <w:b/>
        <w:bCs/>
        <w:color w:val="FFFFFF" w:themeColor="background1"/>
      </w:rPr>
      <w:tblPr/>
      <w:tcPr>
        <w:tcBorders>
          <w:left w:val="nil"/>
          <w:right w:val="nil"/>
          <w:insideH w:val="nil"/>
          <w:insideV w:val="nil"/>
        </w:tcBorders>
        <w:shd w:val="clear" w:color="auto" w:fill="E6B91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7661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76618" w:themeFill="accent4"/>
      </w:tcPr>
    </w:tblStylePr>
    <w:tblStylePr w:type="lastCol">
      <w:rPr>
        <w:b/>
        <w:bCs/>
        <w:color w:val="FFFFFF" w:themeColor="background1"/>
      </w:rPr>
      <w:tblPr/>
      <w:tcPr>
        <w:tcBorders>
          <w:left w:val="nil"/>
          <w:right w:val="nil"/>
          <w:insideH w:val="nil"/>
          <w:insideV w:val="nil"/>
        </w:tcBorders>
        <w:shd w:val="clear" w:color="auto" w:fill="E7661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2F1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42F1A" w:themeFill="accent5"/>
      </w:tcPr>
    </w:tblStylePr>
    <w:tblStylePr w:type="lastCol">
      <w:rPr>
        <w:b/>
        <w:bCs/>
        <w:color w:val="FFFFFF" w:themeColor="background1"/>
      </w:rPr>
      <w:tblPr/>
      <w:tcPr>
        <w:tcBorders>
          <w:left w:val="nil"/>
          <w:right w:val="nil"/>
          <w:insideH w:val="nil"/>
          <w:insideV w:val="nil"/>
        </w:tcBorders>
        <w:shd w:val="clear" w:color="auto" w:fill="C42F1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18655"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18655" w:themeFill="accent6"/>
      </w:tcPr>
    </w:tblStylePr>
    <w:tblStylePr w:type="lastCol">
      <w:rPr>
        <w:b/>
        <w:bCs/>
        <w:color w:val="FFFFFF" w:themeColor="background1"/>
      </w:rPr>
      <w:tblPr/>
      <w:tcPr>
        <w:tcBorders>
          <w:left w:val="nil"/>
          <w:right w:val="nil"/>
          <w:insideH w:val="nil"/>
          <w:insideV w:val="nil"/>
        </w:tcBorders>
        <w:shd w:val="clear" w:color="auto" w:fill="918655"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C3C4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90C226" w:themeColor="accent1"/>
        <w:bottom w:val="single" w:sz="8" w:space="0" w:color="90C226" w:themeColor="accent1"/>
      </w:tblBorders>
    </w:tblPr>
    <w:tblStylePr w:type="firstRow">
      <w:rPr>
        <w:rFonts w:asciiTheme="majorHAnsi" w:eastAsiaTheme="majorEastAsia" w:hAnsiTheme="majorHAnsi" w:cstheme="majorBidi"/>
      </w:rPr>
      <w:tblPr/>
      <w:tcPr>
        <w:tcBorders>
          <w:top w:val="nil"/>
          <w:bottom w:val="single" w:sz="8" w:space="0" w:color="90C226" w:themeColor="accent1"/>
        </w:tcBorders>
      </w:tcPr>
    </w:tblStylePr>
    <w:tblStylePr w:type="lastRow">
      <w:rPr>
        <w:b/>
        <w:bCs/>
        <w:color w:val="2C3C43" w:themeColor="text2"/>
      </w:rPr>
      <w:tblPr/>
      <w:tcPr>
        <w:tcBorders>
          <w:top w:val="single" w:sz="8" w:space="0" w:color="90C226" w:themeColor="accent1"/>
          <w:bottom w:val="single" w:sz="8" w:space="0" w:color="90C226" w:themeColor="accent1"/>
        </w:tcBorders>
      </w:tcPr>
    </w:tblStylePr>
    <w:tblStylePr w:type="firstCol">
      <w:rPr>
        <w:b/>
        <w:bCs/>
      </w:rPr>
    </w:tblStylePr>
    <w:tblStylePr w:type="lastCol">
      <w:rPr>
        <w:b/>
        <w:bCs/>
      </w:rPr>
      <w:tblPr/>
      <w:tcPr>
        <w:tcBorders>
          <w:top w:val="single" w:sz="8" w:space="0" w:color="90C226" w:themeColor="accent1"/>
          <w:bottom w:val="single" w:sz="8" w:space="0" w:color="90C226" w:themeColor="accent1"/>
        </w:tcBorders>
      </w:tcPr>
    </w:tblStylePr>
    <w:tblStylePr w:type="band1Vert">
      <w:tblPr/>
      <w:tcPr>
        <w:shd w:val="clear" w:color="auto" w:fill="E4F3C5" w:themeFill="accent1" w:themeFillTint="3F"/>
      </w:tcPr>
    </w:tblStylePr>
    <w:tblStylePr w:type="band1Horz">
      <w:tblPr/>
      <w:tcPr>
        <w:shd w:val="clear" w:color="auto" w:fill="E4F3C5"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54A021" w:themeColor="accent2"/>
        <w:bottom w:val="single" w:sz="8" w:space="0" w:color="54A021" w:themeColor="accent2"/>
      </w:tblBorders>
    </w:tblPr>
    <w:tblStylePr w:type="firstRow">
      <w:rPr>
        <w:rFonts w:asciiTheme="majorHAnsi" w:eastAsiaTheme="majorEastAsia" w:hAnsiTheme="majorHAnsi" w:cstheme="majorBidi"/>
      </w:rPr>
      <w:tblPr/>
      <w:tcPr>
        <w:tcBorders>
          <w:top w:val="nil"/>
          <w:bottom w:val="single" w:sz="8" w:space="0" w:color="54A021" w:themeColor="accent2"/>
        </w:tcBorders>
      </w:tcPr>
    </w:tblStylePr>
    <w:tblStylePr w:type="lastRow">
      <w:rPr>
        <w:b/>
        <w:bCs/>
        <w:color w:val="2C3C43" w:themeColor="text2"/>
      </w:rPr>
      <w:tblPr/>
      <w:tcPr>
        <w:tcBorders>
          <w:top w:val="single" w:sz="8" w:space="0" w:color="54A021" w:themeColor="accent2"/>
          <w:bottom w:val="single" w:sz="8" w:space="0" w:color="54A021" w:themeColor="accent2"/>
        </w:tcBorders>
      </w:tcPr>
    </w:tblStylePr>
    <w:tblStylePr w:type="firstCol">
      <w:rPr>
        <w:b/>
        <w:bCs/>
      </w:rPr>
    </w:tblStylePr>
    <w:tblStylePr w:type="lastCol">
      <w:rPr>
        <w:b/>
        <w:bCs/>
      </w:rPr>
      <w:tblPr/>
      <w:tcPr>
        <w:tcBorders>
          <w:top w:val="single" w:sz="8" w:space="0" w:color="54A021" w:themeColor="accent2"/>
          <w:bottom w:val="single" w:sz="8" w:space="0" w:color="54A021" w:themeColor="accent2"/>
        </w:tcBorders>
      </w:tcPr>
    </w:tblStylePr>
    <w:tblStylePr w:type="band1Vert">
      <w:tblPr/>
      <w:tcPr>
        <w:shd w:val="clear" w:color="auto" w:fill="D2F1BE" w:themeFill="accent2" w:themeFillTint="3F"/>
      </w:tcPr>
    </w:tblStylePr>
    <w:tblStylePr w:type="band1Horz">
      <w:tblPr/>
      <w:tcPr>
        <w:shd w:val="clear" w:color="auto" w:fill="D2F1BE"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E6B91E" w:themeColor="accent3"/>
        <w:bottom w:val="single" w:sz="8" w:space="0" w:color="E6B91E" w:themeColor="accent3"/>
      </w:tblBorders>
    </w:tblPr>
    <w:tblStylePr w:type="firstRow">
      <w:rPr>
        <w:rFonts w:asciiTheme="majorHAnsi" w:eastAsiaTheme="majorEastAsia" w:hAnsiTheme="majorHAnsi" w:cstheme="majorBidi"/>
      </w:rPr>
      <w:tblPr/>
      <w:tcPr>
        <w:tcBorders>
          <w:top w:val="nil"/>
          <w:bottom w:val="single" w:sz="8" w:space="0" w:color="E6B91E" w:themeColor="accent3"/>
        </w:tcBorders>
      </w:tcPr>
    </w:tblStylePr>
    <w:tblStylePr w:type="lastRow">
      <w:rPr>
        <w:b/>
        <w:bCs/>
        <w:color w:val="2C3C43" w:themeColor="text2"/>
      </w:rPr>
      <w:tblPr/>
      <w:tcPr>
        <w:tcBorders>
          <w:top w:val="single" w:sz="8" w:space="0" w:color="E6B91E" w:themeColor="accent3"/>
          <w:bottom w:val="single" w:sz="8" w:space="0" w:color="E6B91E" w:themeColor="accent3"/>
        </w:tcBorders>
      </w:tcPr>
    </w:tblStylePr>
    <w:tblStylePr w:type="firstCol">
      <w:rPr>
        <w:b/>
        <w:bCs/>
      </w:rPr>
    </w:tblStylePr>
    <w:tblStylePr w:type="lastCol">
      <w:rPr>
        <w:b/>
        <w:bCs/>
      </w:rPr>
      <w:tblPr/>
      <w:tcPr>
        <w:tcBorders>
          <w:top w:val="single" w:sz="8" w:space="0" w:color="E6B91E" w:themeColor="accent3"/>
          <w:bottom w:val="single" w:sz="8" w:space="0" w:color="E6B91E" w:themeColor="accent3"/>
        </w:tcBorders>
      </w:tcPr>
    </w:tblStylePr>
    <w:tblStylePr w:type="band1Vert">
      <w:tblPr/>
      <w:tcPr>
        <w:shd w:val="clear" w:color="auto" w:fill="F8EDC7" w:themeFill="accent3" w:themeFillTint="3F"/>
      </w:tcPr>
    </w:tblStylePr>
    <w:tblStylePr w:type="band1Horz">
      <w:tblPr/>
      <w:tcPr>
        <w:shd w:val="clear" w:color="auto" w:fill="F8EDC7"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E76618" w:themeColor="accent4"/>
        <w:bottom w:val="single" w:sz="8" w:space="0" w:color="E76618" w:themeColor="accent4"/>
      </w:tblBorders>
    </w:tblPr>
    <w:tblStylePr w:type="firstRow">
      <w:rPr>
        <w:rFonts w:asciiTheme="majorHAnsi" w:eastAsiaTheme="majorEastAsia" w:hAnsiTheme="majorHAnsi" w:cstheme="majorBidi"/>
      </w:rPr>
      <w:tblPr/>
      <w:tcPr>
        <w:tcBorders>
          <w:top w:val="nil"/>
          <w:bottom w:val="single" w:sz="8" w:space="0" w:color="E76618" w:themeColor="accent4"/>
        </w:tcBorders>
      </w:tcPr>
    </w:tblStylePr>
    <w:tblStylePr w:type="lastRow">
      <w:rPr>
        <w:b/>
        <w:bCs/>
        <w:color w:val="2C3C43" w:themeColor="text2"/>
      </w:rPr>
      <w:tblPr/>
      <w:tcPr>
        <w:tcBorders>
          <w:top w:val="single" w:sz="8" w:space="0" w:color="E76618" w:themeColor="accent4"/>
          <w:bottom w:val="single" w:sz="8" w:space="0" w:color="E76618" w:themeColor="accent4"/>
        </w:tcBorders>
      </w:tcPr>
    </w:tblStylePr>
    <w:tblStylePr w:type="firstCol">
      <w:rPr>
        <w:b/>
        <w:bCs/>
      </w:rPr>
    </w:tblStylePr>
    <w:tblStylePr w:type="lastCol">
      <w:rPr>
        <w:b/>
        <w:bCs/>
      </w:rPr>
      <w:tblPr/>
      <w:tcPr>
        <w:tcBorders>
          <w:top w:val="single" w:sz="8" w:space="0" w:color="E76618" w:themeColor="accent4"/>
          <w:bottom w:val="single" w:sz="8" w:space="0" w:color="E76618" w:themeColor="accent4"/>
        </w:tcBorders>
      </w:tcPr>
    </w:tblStylePr>
    <w:tblStylePr w:type="band1Vert">
      <w:tblPr/>
      <w:tcPr>
        <w:shd w:val="clear" w:color="auto" w:fill="F9D9C5" w:themeFill="accent4" w:themeFillTint="3F"/>
      </w:tcPr>
    </w:tblStylePr>
    <w:tblStylePr w:type="band1Horz">
      <w:tblPr/>
      <w:tcPr>
        <w:shd w:val="clear" w:color="auto" w:fill="F9D9C5"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C42F1A" w:themeColor="accent5"/>
        <w:bottom w:val="single" w:sz="8" w:space="0" w:color="C42F1A" w:themeColor="accent5"/>
      </w:tblBorders>
    </w:tblPr>
    <w:tblStylePr w:type="firstRow">
      <w:rPr>
        <w:rFonts w:asciiTheme="majorHAnsi" w:eastAsiaTheme="majorEastAsia" w:hAnsiTheme="majorHAnsi" w:cstheme="majorBidi"/>
      </w:rPr>
      <w:tblPr/>
      <w:tcPr>
        <w:tcBorders>
          <w:top w:val="nil"/>
          <w:bottom w:val="single" w:sz="8" w:space="0" w:color="C42F1A" w:themeColor="accent5"/>
        </w:tcBorders>
      </w:tcPr>
    </w:tblStylePr>
    <w:tblStylePr w:type="lastRow">
      <w:rPr>
        <w:b/>
        <w:bCs/>
        <w:color w:val="2C3C43" w:themeColor="text2"/>
      </w:rPr>
      <w:tblPr/>
      <w:tcPr>
        <w:tcBorders>
          <w:top w:val="single" w:sz="8" w:space="0" w:color="C42F1A" w:themeColor="accent5"/>
          <w:bottom w:val="single" w:sz="8" w:space="0" w:color="C42F1A" w:themeColor="accent5"/>
        </w:tcBorders>
      </w:tcPr>
    </w:tblStylePr>
    <w:tblStylePr w:type="firstCol">
      <w:rPr>
        <w:b/>
        <w:bCs/>
      </w:rPr>
    </w:tblStylePr>
    <w:tblStylePr w:type="lastCol">
      <w:rPr>
        <w:b/>
        <w:bCs/>
      </w:rPr>
      <w:tblPr/>
      <w:tcPr>
        <w:tcBorders>
          <w:top w:val="single" w:sz="8" w:space="0" w:color="C42F1A" w:themeColor="accent5"/>
          <w:bottom w:val="single" w:sz="8" w:space="0" w:color="C42F1A" w:themeColor="accent5"/>
        </w:tcBorders>
      </w:tcPr>
    </w:tblStylePr>
    <w:tblStylePr w:type="band1Vert">
      <w:tblPr/>
      <w:tcPr>
        <w:shd w:val="clear" w:color="auto" w:fill="F6C6C0" w:themeFill="accent5" w:themeFillTint="3F"/>
      </w:tcPr>
    </w:tblStylePr>
    <w:tblStylePr w:type="band1Horz">
      <w:tblPr/>
      <w:tcPr>
        <w:shd w:val="clear" w:color="auto" w:fill="F6C6C0"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918655" w:themeColor="accent6"/>
        <w:bottom w:val="single" w:sz="8" w:space="0" w:color="918655" w:themeColor="accent6"/>
      </w:tblBorders>
    </w:tblPr>
    <w:tblStylePr w:type="firstRow">
      <w:rPr>
        <w:rFonts w:asciiTheme="majorHAnsi" w:eastAsiaTheme="majorEastAsia" w:hAnsiTheme="majorHAnsi" w:cstheme="majorBidi"/>
      </w:rPr>
      <w:tblPr/>
      <w:tcPr>
        <w:tcBorders>
          <w:top w:val="nil"/>
          <w:bottom w:val="single" w:sz="8" w:space="0" w:color="918655" w:themeColor="accent6"/>
        </w:tcBorders>
      </w:tcPr>
    </w:tblStylePr>
    <w:tblStylePr w:type="lastRow">
      <w:rPr>
        <w:b/>
        <w:bCs/>
        <w:color w:val="2C3C43" w:themeColor="text2"/>
      </w:rPr>
      <w:tblPr/>
      <w:tcPr>
        <w:tcBorders>
          <w:top w:val="single" w:sz="8" w:space="0" w:color="918655" w:themeColor="accent6"/>
          <w:bottom w:val="single" w:sz="8" w:space="0" w:color="918655" w:themeColor="accent6"/>
        </w:tcBorders>
      </w:tcPr>
    </w:tblStylePr>
    <w:tblStylePr w:type="firstCol">
      <w:rPr>
        <w:b/>
        <w:bCs/>
      </w:rPr>
    </w:tblStylePr>
    <w:tblStylePr w:type="lastCol">
      <w:rPr>
        <w:b/>
        <w:bCs/>
      </w:rPr>
      <w:tblPr/>
      <w:tcPr>
        <w:tcBorders>
          <w:top w:val="single" w:sz="8" w:space="0" w:color="918655" w:themeColor="accent6"/>
          <w:bottom w:val="single" w:sz="8" w:space="0" w:color="918655" w:themeColor="accent6"/>
        </w:tcBorders>
      </w:tcPr>
    </w:tblStylePr>
    <w:tblStylePr w:type="band1Vert">
      <w:tblPr/>
      <w:tcPr>
        <w:shd w:val="clear" w:color="auto" w:fill="E5E2D3" w:themeFill="accent6" w:themeFillTint="3F"/>
      </w:tcPr>
    </w:tblStylePr>
    <w:tblStylePr w:type="band1Horz">
      <w:tblPr/>
      <w:tcPr>
        <w:shd w:val="clear" w:color="auto" w:fill="E5E2D3"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C226" w:themeColor="accent1"/>
        <w:left w:val="single" w:sz="8" w:space="0" w:color="90C226" w:themeColor="accent1"/>
        <w:bottom w:val="single" w:sz="8" w:space="0" w:color="90C226" w:themeColor="accent1"/>
        <w:right w:val="single" w:sz="8" w:space="0" w:color="90C226" w:themeColor="accent1"/>
      </w:tblBorders>
    </w:tblPr>
    <w:tblStylePr w:type="firstRow">
      <w:rPr>
        <w:sz w:val="24"/>
        <w:szCs w:val="24"/>
      </w:rPr>
      <w:tblPr/>
      <w:tcPr>
        <w:tcBorders>
          <w:top w:val="nil"/>
          <w:left w:val="nil"/>
          <w:bottom w:val="single" w:sz="24" w:space="0" w:color="90C226" w:themeColor="accent1"/>
          <w:right w:val="nil"/>
          <w:insideH w:val="nil"/>
          <w:insideV w:val="nil"/>
        </w:tcBorders>
        <w:shd w:val="clear" w:color="auto" w:fill="FFFFFF" w:themeFill="background1"/>
      </w:tcPr>
    </w:tblStylePr>
    <w:tblStylePr w:type="lastRow">
      <w:tblPr/>
      <w:tcPr>
        <w:tcBorders>
          <w:top w:val="single" w:sz="8" w:space="0" w:color="90C226"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0C226" w:themeColor="accent1"/>
          <w:insideH w:val="nil"/>
          <w:insideV w:val="nil"/>
        </w:tcBorders>
        <w:shd w:val="clear" w:color="auto" w:fill="FFFFFF" w:themeFill="background1"/>
      </w:tcPr>
    </w:tblStylePr>
    <w:tblStylePr w:type="lastCol">
      <w:tblPr/>
      <w:tcPr>
        <w:tcBorders>
          <w:top w:val="nil"/>
          <w:left w:val="single" w:sz="8" w:space="0" w:color="90C22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3C5" w:themeFill="accent1" w:themeFillTint="3F"/>
      </w:tcPr>
    </w:tblStylePr>
    <w:tblStylePr w:type="band1Horz">
      <w:tblPr/>
      <w:tcPr>
        <w:tcBorders>
          <w:top w:val="nil"/>
          <w:bottom w:val="nil"/>
          <w:insideH w:val="nil"/>
          <w:insideV w:val="nil"/>
        </w:tcBorders>
        <w:shd w:val="clear" w:color="auto" w:fill="E4F3C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4A021" w:themeColor="accent2"/>
        <w:left w:val="single" w:sz="8" w:space="0" w:color="54A021" w:themeColor="accent2"/>
        <w:bottom w:val="single" w:sz="8" w:space="0" w:color="54A021" w:themeColor="accent2"/>
        <w:right w:val="single" w:sz="8" w:space="0" w:color="54A021" w:themeColor="accent2"/>
      </w:tblBorders>
    </w:tblPr>
    <w:tblStylePr w:type="firstRow">
      <w:rPr>
        <w:sz w:val="24"/>
        <w:szCs w:val="24"/>
      </w:rPr>
      <w:tblPr/>
      <w:tcPr>
        <w:tcBorders>
          <w:top w:val="nil"/>
          <w:left w:val="nil"/>
          <w:bottom w:val="single" w:sz="24" w:space="0" w:color="54A021" w:themeColor="accent2"/>
          <w:right w:val="nil"/>
          <w:insideH w:val="nil"/>
          <w:insideV w:val="nil"/>
        </w:tcBorders>
        <w:shd w:val="clear" w:color="auto" w:fill="FFFFFF" w:themeFill="background1"/>
      </w:tcPr>
    </w:tblStylePr>
    <w:tblStylePr w:type="lastRow">
      <w:tblPr/>
      <w:tcPr>
        <w:tcBorders>
          <w:top w:val="single" w:sz="8" w:space="0" w:color="54A02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4A021" w:themeColor="accent2"/>
          <w:insideH w:val="nil"/>
          <w:insideV w:val="nil"/>
        </w:tcBorders>
        <w:shd w:val="clear" w:color="auto" w:fill="FFFFFF" w:themeFill="background1"/>
      </w:tcPr>
    </w:tblStylePr>
    <w:tblStylePr w:type="lastCol">
      <w:tblPr/>
      <w:tcPr>
        <w:tcBorders>
          <w:top w:val="nil"/>
          <w:left w:val="single" w:sz="8" w:space="0" w:color="54A02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F1BE" w:themeFill="accent2" w:themeFillTint="3F"/>
      </w:tcPr>
    </w:tblStylePr>
    <w:tblStylePr w:type="band1Horz">
      <w:tblPr/>
      <w:tcPr>
        <w:tcBorders>
          <w:top w:val="nil"/>
          <w:bottom w:val="nil"/>
          <w:insideH w:val="nil"/>
          <w:insideV w:val="nil"/>
        </w:tcBorders>
        <w:shd w:val="clear" w:color="auto" w:fill="D2F1B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6B91E" w:themeColor="accent3"/>
        <w:left w:val="single" w:sz="8" w:space="0" w:color="E6B91E" w:themeColor="accent3"/>
        <w:bottom w:val="single" w:sz="8" w:space="0" w:color="E6B91E" w:themeColor="accent3"/>
        <w:right w:val="single" w:sz="8" w:space="0" w:color="E6B91E" w:themeColor="accent3"/>
      </w:tblBorders>
    </w:tblPr>
    <w:tblStylePr w:type="firstRow">
      <w:rPr>
        <w:sz w:val="24"/>
        <w:szCs w:val="24"/>
      </w:rPr>
      <w:tblPr/>
      <w:tcPr>
        <w:tcBorders>
          <w:top w:val="nil"/>
          <w:left w:val="nil"/>
          <w:bottom w:val="single" w:sz="24" w:space="0" w:color="E6B91E" w:themeColor="accent3"/>
          <w:right w:val="nil"/>
          <w:insideH w:val="nil"/>
          <w:insideV w:val="nil"/>
        </w:tcBorders>
        <w:shd w:val="clear" w:color="auto" w:fill="FFFFFF" w:themeFill="background1"/>
      </w:tcPr>
    </w:tblStylePr>
    <w:tblStylePr w:type="lastRow">
      <w:tblPr/>
      <w:tcPr>
        <w:tcBorders>
          <w:top w:val="single" w:sz="8" w:space="0" w:color="E6B91E"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B91E" w:themeColor="accent3"/>
          <w:insideH w:val="nil"/>
          <w:insideV w:val="nil"/>
        </w:tcBorders>
        <w:shd w:val="clear" w:color="auto" w:fill="FFFFFF" w:themeFill="background1"/>
      </w:tcPr>
    </w:tblStylePr>
    <w:tblStylePr w:type="lastCol">
      <w:tblPr/>
      <w:tcPr>
        <w:tcBorders>
          <w:top w:val="nil"/>
          <w:left w:val="single" w:sz="8" w:space="0" w:color="E6B91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EDC7" w:themeFill="accent3" w:themeFillTint="3F"/>
      </w:tcPr>
    </w:tblStylePr>
    <w:tblStylePr w:type="band1Horz">
      <w:tblPr/>
      <w:tcPr>
        <w:tcBorders>
          <w:top w:val="nil"/>
          <w:bottom w:val="nil"/>
          <w:insideH w:val="nil"/>
          <w:insideV w:val="nil"/>
        </w:tcBorders>
        <w:shd w:val="clear" w:color="auto" w:fill="F8ED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76618" w:themeColor="accent4"/>
        <w:left w:val="single" w:sz="8" w:space="0" w:color="E76618" w:themeColor="accent4"/>
        <w:bottom w:val="single" w:sz="8" w:space="0" w:color="E76618" w:themeColor="accent4"/>
        <w:right w:val="single" w:sz="8" w:space="0" w:color="E76618" w:themeColor="accent4"/>
      </w:tblBorders>
    </w:tblPr>
    <w:tblStylePr w:type="firstRow">
      <w:rPr>
        <w:sz w:val="24"/>
        <w:szCs w:val="24"/>
      </w:rPr>
      <w:tblPr/>
      <w:tcPr>
        <w:tcBorders>
          <w:top w:val="nil"/>
          <w:left w:val="nil"/>
          <w:bottom w:val="single" w:sz="24" w:space="0" w:color="E76618" w:themeColor="accent4"/>
          <w:right w:val="nil"/>
          <w:insideH w:val="nil"/>
          <w:insideV w:val="nil"/>
        </w:tcBorders>
        <w:shd w:val="clear" w:color="auto" w:fill="FFFFFF" w:themeFill="background1"/>
      </w:tcPr>
    </w:tblStylePr>
    <w:tblStylePr w:type="lastRow">
      <w:tblPr/>
      <w:tcPr>
        <w:tcBorders>
          <w:top w:val="single" w:sz="8" w:space="0" w:color="E7661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76618" w:themeColor="accent4"/>
          <w:insideH w:val="nil"/>
          <w:insideV w:val="nil"/>
        </w:tcBorders>
        <w:shd w:val="clear" w:color="auto" w:fill="FFFFFF" w:themeFill="background1"/>
      </w:tcPr>
    </w:tblStylePr>
    <w:tblStylePr w:type="lastCol">
      <w:tblPr/>
      <w:tcPr>
        <w:tcBorders>
          <w:top w:val="nil"/>
          <w:left w:val="single" w:sz="8" w:space="0" w:color="E7661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9C5" w:themeFill="accent4" w:themeFillTint="3F"/>
      </w:tcPr>
    </w:tblStylePr>
    <w:tblStylePr w:type="band1Horz">
      <w:tblPr/>
      <w:tcPr>
        <w:tcBorders>
          <w:top w:val="nil"/>
          <w:bottom w:val="nil"/>
          <w:insideH w:val="nil"/>
          <w:insideV w:val="nil"/>
        </w:tcBorders>
        <w:shd w:val="clear" w:color="auto" w:fill="F9D9C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2F1A" w:themeColor="accent5"/>
        <w:left w:val="single" w:sz="8" w:space="0" w:color="C42F1A" w:themeColor="accent5"/>
        <w:bottom w:val="single" w:sz="8" w:space="0" w:color="C42F1A" w:themeColor="accent5"/>
        <w:right w:val="single" w:sz="8" w:space="0" w:color="C42F1A" w:themeColor="accent5"/>
      </w:tblBorders>
    </w:tblPr>
    <w:tblStylePr w:type="firstRow">
      <w:rPr>
        <w:sz w:val="24"/>
        <w:szCs w:val="24"/>
      </w:rPr>
      <w:tblPr/>
      <w:tcPr>
        <w:tcBorders>
          <w:top w:val="nil"/>
          <w:left w:val="nil"/>
          <w:bottom w:val="single" w:sz="24" w:space="0" w:color="C42F1A" w:themeColor="accent5"/>
          <w:right w:val="nil"/>
          <w:insideH w:val="nil"/>
          <w:insideV w:val="nil"/>
        </w:tcBorders>
        <w:shd w:val="clear" w:color="auto" w:fill="FFFFFF" w:themeFill="background1"/>
      </w:tcPr>
    </w:tblStylePr>
    <w:tblStylePr w:type="lastRow">
      <w:tblPr/>
      <w:tcPr>
        <w:tcBorders>
          <w:top w:val="single" w:sz="8" w:space="0" w:color="C42F1A"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2F1A" w:themeColor="accent5"/>
          <w:insideH w:val="nil"/>
          <w:insideV w:val="nil"/>
        </w:tcBorders>
        <w:shd w:val="clear" w:color="auto" w:fill="FFFFFF" w:themeFill="background1"/>
      </w:tcPr>
    </w:tblStylePr>
    <w:tblStylePr w:type="lastCol">
      <w:tblPr/>
      <w:tcPr>
        <w:tcBorders>
          <w:top w:val="nil"/>
          <w:left w:val="single" w:sz="8" w:space="0" w:color="C42F1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C6C0" w:themeFill="accent5" w:themeFillTint="3F"/>
      </w:tcPr>
    </w:tblStylePr>
    <w:tblStylePr w:type="band1Horz">
      <w:tblPr/>
      <w:tcPr>
        <w:tcBorders>
          <w:top w:val="nil"/>
          <w:bottom w:val="nil"/>
          <w:insideH w:val="nil"/>
          <w:insideV w:val="nil"/>
        </w:tcBorders>
        <w:shd w:val="clear" w:color="auto" w:fill="F6C6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18655" w:themeColor="accent6"/>
        <w:left w:val="single" w:sz="8" w:space="0" w:color="918655" w:themeColor="accent6"/>
        <w:bottom w:val="single" w:sz="8" w:space="0" w:color="918655" w:themeColor="accent6"/>
        <w:right w:val="single" w:sz="8" w:space="0" w:color="918655" w:themeColor="accent6"/>
      </w:tblBorders>
    </w:tblPr>
    <w:tblStylePr w:type="firstRow">
      <w:rPr>
        <w:sz w:val="24"/>
        <w:szCs w:val="24"/>
      </w:rPr>
      <w:tblPr/>
      <w:tcPr>
        <w:tcBorders>
          <w:top w:val="nil"/>
          <w:left w:val="nil"/>
          <w:bottom w:val="single" w:sz="24" w:space="0" w:color="918655" w:themeColor="accent6"/>
          <w:right w:val="nil"/>
          <w:insideH w:val="nil"/>
          <w:insideV w:val="nil"/>
        </w:tcBorders>
        <w:shd w:val="clear" w:color="auto" w:fill="FFFFFF" w:themeFill="background1"/>
      </w:tcPr>
    </w:tblStylePr>
    <w:tblStylePr w:type="lastRow">
      <w:tblPr/>
      <w:tcPr>
        <w:tcBorders>
          <w:top w:val="single" w:sz="8" w:space="0" w:color="918655"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18655" w:themeColor="accent6"/>
          <w:insideH w:val="nil"/>
          <w:insideV w:val="nil"/>
        </w:tcBorders>
        <w:shd w:val="clear" w:color="auto" w:fill="FFFFFF" w:themeFill="background1"/>
      </w:tcPr>
    </w:tblStylePr>
    <w:tblStylePr w:type="lastCol">
      <w:tblPr/>
      <w:tcPr>
        <w:tcBorders>
          <w:top w:val="nil"/>
          <w:left w:val="single" w:sz="8" w:space="0" w:color="918655"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2D3" w:themeFill="accent6" w:themeFillTint="3F"/>
      </w:tcPr>
    </w:tblStylePr>
    <w:tblStylePr w:type="band1Horz">
      <w:tblPr/>
      <w:tcPr>
        <w:tcBorders>
          <w:top w:val="nil"/>
          <w:bottom w:val="nil"/>
          <w:insideH w:val="nil"/>
          <w:insideV w:val="nil"/>
        </w:tcBorders>
        <w:shd w:val="clear" w:color="auto" w:fill="E5E2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AFDC50" w:themeColor="accent1" w:themeTint="BF"/>
        <w:left w:val="single" w:sz="8" w:space="0" w:color="AFDC50" w:themeColor="accent1" w:themeTint="BF"/>
        <w:bottom w:val="single" w:sz="8" w:space="0" w:color="AFDC50" w:themeColor="accent1" w:themeTint="BF"/>
        <w:right w:val="single" w:sz="8" w:space="0" w:color="AFDC50" w:themeColor="accent1" w:themeTint="BF"/>
        <w:insideH w:val="single" w:sz="8" w:space="0" w:color="AFDC50" w:themeColor="accent1" w:themeTint="BF"/>
        <w:insideV w:val="single" w:sz="8" w:space="0" w:color="AFDC50" w:themeColor="accent1" w:themeTint="BF"/>
      </w:tblBorders>
    </w:tblPr>
    <w:tcPr>
      <w:shd w:val="clear" w:color="auto" w:fill="E4F3C5" w:themeFill="accent1" w:themeFillTint="3F"/>
    </w:tcPr>
    <w:tblStylePr w:type="firstRow">
      <w:rPr>
        <w:b/>
        <w:bCs/>
      </w:rPr>
    </w:tblStylePr>
    <w:tblStylePr w:type="lastRow">
      <w:rPr>
        <w:b/>
        <w:bCs/>
      </w:rPr>
      <w:tblPr/>
      <w:tcPr>
        <w:tcBorders>
          <w:top w:val="single" w:sz="18" w:space="0" w:color="AFDC50" w:themeColor="accent1" w:themeTint="BF"/>
        </w:tcBorders>
      </w:tcPr>
    </w:tblStylePr>
    <w:tblStylePr w:type="firstCol">
      <w:rPr>
        <w:b/>
        <w:bCs/>
      </w:rPr>
    </w:tblStylePr>
    <w:tblStylePr w:type="lastCol">
      <w:rPr>
        <w:b/>
        <w:bCs/>
      </w:rPr>
    </w:tblStylePr>
    <w:tblStylePr w:type="band1Vert">
      <w:tblPr/>
      <w:tcPr>
        <w:shd w:val="clear" w:color="auto" w:fill="CAE88B" w:themeFill="accent1" w:themeFillTint="7F"/>
      </w:tcPr>
    </w:tblStylePr>
    <w:tblStylePr w:type="band1Horz">
      <w:tblPr/>
      <w:tcPr>
        <w:shd w:val="clear" w:color="auto" w:fill="CAE88B"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78D63A" w:themeColor="accent2" w:themeTint="BF"/>
        <w:left w:val="single" w:sz="8" w:space="0" w:color="78D63A" w:themeColor="accent2" w:themeTint="BF"/>
        <w:bottom w:val="single" w:sz="8" w:space="0" w:color="78D63A" w:themeColor="accent2" w:themeTint="BF"/>
        <w:right w:val="single" w:sz="8" w:space="0" w:color="78D63A" w:themeColor="accent2" w:themeTint="BF"/>
        <w:insideH w:val="single" w:sz="8" w:space="0" w:color="78D63A" w:themeColor="accent2" w:themeTint="BF"/>
        <w:insideV w:val="single" w:sz="8" w:space="0" w:color="78D63A" w:themeColor="accent2" w:themeTint="BF"/>
      </w:tblBorders>
    </w:tblPr>
    <w:tcPr>
      <w:shd w:val="clear" w:color="auto" w:fill="D2F1BE" w:themeFill="accent2" w:themeFillTint="3F"/>
    </w:tcPr>
    <w:tblStylePr w:type="firstRow">
      <w:rPr>
        <w:b/>
        <w:bCs/>
      </w:rPr>
    </w:tblStylePr>
    <w:tblStylePr w:type="lastRow">
      <w:rPr>
        <w:b/>
        <w:bCs/>
      </w:rPr>
      <w:tblPr/>
      <w:tcPr>
        <w:tcBorders>
          <w:top w:val="single" w:sz="18" w:space="0" w:color="78D63A" w:themeColor="accent2" w:themeTint="BF"/>
        </w:tcBorders>
      </w:tcPr>
    </w:tblStylePr>
    <w:tblStylePr w:type="firstCol">
      <w:rPr>
        <w:b/>
        <w:bCs/>
      </w:rPr>
    </w:tblStylePr>
    <w:tblStylePr w:type="lastCol">
      <w:rPr>
        <w:b/>
        <w:bCs/>
      </w:rPr>
    </w:tblStylePr>
    <w:tblStylePr w:type="band1Vert">
      <w:tblPr/>
      <w:tcPr>
        <w:shd w:val="clear" w:color="auto" w:fill="A5E47C" w:themeFill="accent2" w:themeFillTint="7F"/>
      </w:tcPr>
    </w:tblStylePr>
    <w:tblStylePr w:type="band1Horz">
      <w:tblPr/>
      <w:tcPr>
        <w:shd w:val="clear" w:color="auto" w:fill="A5E47C"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ECCA56" w:themeColor="accent3" w:themeTint="BF"/>
        <w:left w:val="single" w:sz="8" w:space="0" w:color="ECCA56" w:themeColor="accent3" w:themeTint="BF"/>
        <w:bottom w:val="single" w:sz="8" w:space="0" w:color="ECCA56" w:themeColor="accent3" w:themeTint="BF"/>
        <w:right w:val="single" w:sz="8" w:space="0" w:color="ECCA56" w:themeColor="accent3" w:themeTint="BF"/>
        <w:insideH w:val="single" w:sz="8" w:space="0" w:color="ECCA56" w:themeColor="accent3" w:themeTint="BF"/>
        <w:insideV w:val="single" w:sz="8" w:space="0" w:color="ECCA56" w:themeColor="accent3" w:themeTint="BF"/>
      </w:tblBorders>
    </w:tblPr>
    <w:tcPr>
      <w:shd w:val="clear" w:color="auto" w:fill="F8EDC7" w:themeFill="accent3" w:themeFillTint="3F"/>
    </w:tcPr>
    <w:tblStylePr w:type="firstRow">
      <w:rPr>
        <w:b/>
        <w:bCs/>
      </w:rPr>
    </w:tblStylePr>
    <w:tblStylePr w:type="lastRow">
      <w:rPr>
        <w:b/>
        <w:bCs/>
      </w:rPr>
      <w:tblPr/>
      <w:tcPr>
        <w:tcBorders>
          <w:top w:val="single" w:sz="18" w:space="0" w:color="ECCA56" w:themeColor="accent3" w:themeTint="BF"/>
        </w:tcBorders>
      </w:tcPr>
    </w:tblStylePr>
    <w:tblStylePr w:type="firstCol">
      <w:rPr>
        <w:b/>
        <w:bCs/>
      </w:rPr>
    </w:tblStylePr>
    <w:tblStylePr w:type="lastCol">
      <w:rPr>
        <w:b/>
        <w:bCs/>
      </w:rPr>
    </w:tblStylePr>
    <w:tblStylePr w:type="band1Vert">
      <w:tblPr/>
      <w:tcPr>
        <w:shd w:val="clear" w:color="auto" w:fill="F2DB8E" w:themeFill="accent3" w:themeFillTint="7F"/>
      </w:tcPr>
    </w:tblStylePr>
    <w:tblStylePr w:type="band1Horz">
      <w:tblPr/>
      <w:tcPr>
        <w:shd w:val="clear" w:color="auto" w:fill="F2DB8E"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ED8C51" w:themeColor="accent4" w:themeTint="BF"/>
        <w:left w:val="single" w:sz="8" w:space="0" w:color="ED8C51" w:themeColor="accent4" w:themeTint="BF"/>
        <w:bottom w:val="single" w:sz="8" w:space="0" w:color="ED8C51" w:themeColor="accent4" w:themeTint="BF"/>
        <w:right w:val="single" w:sz="8" w:space="0" w:color="ED8C51" w:themeColor="accent4" w:themeTint="BF"/>
        <w:insideH w:val="single" w:sz="8" w:space="0" w:color="ED8C51" w:themeColor="accent4" w:themeTint="BF"/>
        <w:insideV w:val="single" w:sz="8" w:space="0" w:color="ED8C51" w:themeColor="accent4" w:themeTint="BF"/>
      </w:tblBorders>
    </w:tblPr>
    <w:tcPr>
      <w:shd w:val="clear" w:color="auto" w:fill="F9D9C5" w:themeFill="accent4" w:themeFillTint="3F"/>
    </w:tcPr>
    <w:tblStylePr w:type="firstRow">
      <w:rPr>
        <w:b/>
        <w:bCs/>
      </w:rPr>
    </w:tblStylePr>
    <w:tblStylePr w:type="lastRow">
      <w:rPr>
        <w:b/>
        <w:bCs/>
      </w:rPr>
      <w:tblPr/>
      <w:tcPr>
        <w:tcBorders>
          <w:top w:val="single" w:sz="18" w:space="0" w:color="ED8C51" w:themeColor="accent4" w:themeTint="BF"/>
        </w:tcBorders>
      </w:tcPr>
    </w:tblStylePr>
    <w:tblStylePr w:type="firstCol">
      <w:rPr>
        <w:b/>
        <w:bCs/>
      </w:rPr>
    </w:tblStylePr>
    <w:tblStylePr w:type="lastCol">
      <w:rPr>
        <w:b/>
        <w:bCs/>
      </w:rPr>
    </w:tblStylePr>
    <w:tblStylePr w:type="band1Vert">
      <w:tblPr/>
      <w:tcPr>
        <w:shd w:val="clear" w:color="auto" w:fill="F3B28B" w:themeFill="accent4" w:themeFillTint="7F"/>
      </w:tcPr>
    </w:tblStylePr>
    <w:tblStylePr w:type="band1Horz">
      <w:tblPr/>
      <w:tcPr>
        <w:shd w:val="clear" w:color="auto" w:fill="F3B28B"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E55440" w:themeColor="accent5" w:themeTint="BF"/>
        <w:left w:val="single" w:sz="8" w:space="0" w:color="E55440" w:themeColor="accent5" w:themeTint="BF"/>
        <w:bottom w:val="single" w:sz="8" w:space="0" w:color="E55440" w:themeColor="accent5" w:themeTint="BF"/>
        <w:right w:val="single" w:sz="8" w:space="0" w:color="E55440" w:themeColor="accent5" w:themeTint="BF"/>
        <w:insideH w:val="single" w:sz="8" w:space="0" w:color="E55440" w:themeColor="accent5" w:themeTint="BF"/>
        <w:insideV w:val="single" w:sz="8" w:space="0" w:color="E55440" w:themeColor="accent5" w:themeTint="BF"/>
      </w:tblBorders>
    </w:tblPr>
    <w:tcPr>
      <w:shd w:val="clear" w:color="auto" w:fill="F6C6C0" w:themeFill="accent5" w:themeFillTint="3F"/>
    </w:tcPr>
    <w:tblStylePr w:type="firstRow">
      <w:rPr>
        <w:b/>
        <w:bCs/>
      </w:rPr>
    </w:tblStylePr>
    <w:tblStylePr w:type="lastRow">
      <w:rPr>
        <w:b/>
        <w:bCs/>
      </w:rPr>
      <w:tblPr/>
      <w:tcPr>
        <w:tcBorders>
          <w:top w:val="single" w:sz="18" w:space="0" w:color="E55440" w:themeColor="accent5" w:themeTint="BF"/>
        </w:tcBorders>
      </w:tcPr>
    </w:tblStylePr>
    <w:tblStylePr w:type="firstCol">
      <w:rPr>
        <w:b/>
        <w:bCs/>
      </w:rPr>
    </w:tblStylePr>
    <w:tblStylePr w:type="lastCol">
      <w:rPr>
        <w:b/>
        <w:bCs/>
      </w:rPr>
    </w:tblStylePr>
    <w:tblStylePr w:type="band1Vert">
      <w:tblPr/>
      <w:tcPr>
        <w:shd w:val="clear" w:color="auto" w:fill="EE8D80" w:themeFill="accent5" w:themeFillTint="7F"/>
      </w:tcPr>
    </w:tblStylePr>
    <w:tblStylePr w:type="band1Horz">
      <w:tblPr/>
      <w:tcPr>
        <w:shd w:val="clear" w:color="auto" w:fill="EE8D80"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B1A77A" w:themeColor="accent6" w:themeTint="BF"/>
        <w:left w:val="single" w:sz="8" w:space="0" w:color="B1A77A" w:themeColor="accent6" w:themeTint="BF"/>
        <w:bottom w:val="single" w:sz="8" w:space="0" w:color="B1A77A" w:themeColor="accent6" w:themeTint="BF"/>
        <w:right w:val="single" w:sz="8" w:space="0" w:color="B1A77A" w:themeColor="accent6" w:themeTint="BF"/>
        <w:insideH w:val="single" w:sz="8" w:space="0" w:color="B1A77A" w:themeColor="accent6" w:themeTint="BF"/>
        <w:insideV w:val="single" w:sz="8" w:space="0" w:color="B1A77A" w:themeColor="accent6" w:themeTint="BF"/>
      </w:tblBorders>
    </w:tblPr>
    <w:tcPr>
      <w:shd w:val="clear" w:color="auto" w:fill="E5E2D3" w:themeFill="accent6" w:themeFillTint="3F"/>
    </w:tcPr>
    <w:tblStylePr w:type="firstRow">
      <w:rPr>
        <w:b/>
        <w:bCs/>
      </w:rPr>
    </w:tblStylePr>
    <w:tblStylePr w:type="lastRow">
      <w:rPr>
        <w:b/>
        <w:bCs/>
      </w:rPr>
      <w:tblPr/>
      <w:tcPr>
        <w:tcBorders>
          <w:top w:val="single" w:sz="18" w:space="0" w:color="B1A77A" w:themeColor="accent6" w:themeTint="BF"/>
        </w:tcBorders>
      </w:tcPr>
    </w:tblStylePr>
    <w:tblStylePr w:type="firstCol">
      <w:rPr>
        <w:b/>
        <w:bCs/>
      </w:rPr>
    </w:tblStylePr>
    <w:tblStylePr w:type="lastCol">
      <w:rPr>
        <w:b/>
        <w:bCs/>
      </w:rPr>
    </w:tblStylePr>
    <w:tblStylePr w:type="band1Vert">
      <w:tblPr/>
      <w:tcPr>
        <w:shd w:val="clear" w:color="auto" w:fill="CBC4A6" w:themeFill="accent6" w:themeFillTint="7F"/>
      </w:tcPr>
    </w:tblStylePr>
    <w:tblStylePr w:type="band1Horz">
      <w:tblPr/>
      <w:tcPr>
        <w:shd w:val="clear" w:color="auto" w:fill="CBC4A6"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C226" w:themeColor="accent1"/>
        <w:left w:val="single" w:sz="8" w:space="0" w:color="90C226" w:themeColor="accent1"/>
        <w:bottom w:val="single" w:sz="8" w:space="0" w:color="90C226" w:themeColor="accent1"/>
        <w:right w:val="single" w:sz="8" w:space="0" w:color="90C226" w:themeColor="accent1"/>
        <w:insideH w:val="single" w:sz="8" w:space="0" w:color="90C226" w:themeColor="accent1"/>
        <w:insideV w:val="single" w:sz="8" w:space="0" w:color="90C226" w:themeColor="accent1"/>
      </w:tblBorders>
    </w:tblPr>
    <w:tcPr>
      <w:shd w:val="clear" w:color="auto" w:fill="E4F3C5" w:themeFill="accent1" w:themeFillTint="3F"/>
    </w:tcPr>
    <w:tblStylePr w:type="firstRow">
      <w:rPr>
        <w:b/>
        <w:bCs/>
        <w:color w:val="000000" w:themeColor="text1"/>
      </w:rPr>
      <w:tblPr/>
      <w:tcPr>
        <w:shd w:val="clear" w:color="auto" w:fill="F4F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6D0" w:themeFill="accent1" w:themeFillTint="33"/>
      </w:tcPr>
    </w:tblStylePr>
    <w:tblStylePr w:type="band1Vert">
      <w:tblPr/>
      <w:tcPr>
        <w:shd w:val="clear" w:color="auto" w:fill="CAE88B" w:themeFill="accent1" w:themeFillTint="7F"/>
      </w:tcPr>
    </w:tblStylePr>
    <w:tblStylePr w:type="band1Horz">
      <w:tblPr/>
      <w:tcPr>
        <w:tcBorders>
          <w:insideH w:val="single" w:sz="6" w:space="0" w:color="90C226" w:themeColor="accent1"/>
          <w:insideV w:val="single" w:sz="6" w:space="0" w:color="90C226" w:themeColor="accent1"/>
        </w:tcBorders>
        <w:shd w:val="clear" w:color="auto" w:fill="CAE88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4A021" w:themeColor="accent2"/>
        <w:left w:val="single" w:sz="8" w:space="0" w:color="54A021" w:themeColor="accent2"/>
        <w:bottom w:val="single" w:sz="8" w:space="0" w:color="54A021" w:themeColor="accent2"/>
        <w:right w:val="single" w:sz="8" w:space="0" w:color="54A021" w:themeColor="accent2"/>
        <w:insideH w:val="single" w:sz="8" w:space="0" w:color="54A021" w:themeColor="accent2"/>
        <w:insideV w:val="single" w:sz="8" w:space="0" w:color="54A021" w:themeColor="accent2"/>
      </w:tblBorders>
    </w:tblPr>
    <w:tcPr>
      <w:shd w:val="clear" w:color="auto" w:fill="D2F1BE" w:themeFill="accent2" w:themeFillTint="3F"/>
    </w:tcPr>
    <w:tblStylePr w:type="firstRow">
      <w:rPr>
        <w:b/>
        <w:bCs/>
        <w:color w:val="000000" w:themeColor="text1"/>
      </w:rPr>
      <w:tblPr/>
      <w:tcPr>
        <w:shd w:val="clear" w:color="auto" w:fill="EDF9E5"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F4CA" w:themeFill="accent2" w:themeFillTint="33"/>
      </w:tcPr>
    </w:tblStylePr>
    <w:tblStylePr w:type="band1Vert">
      <w:tblPr/>
      <w:tcPr>
        <w:shd w:val="clear" w:color="auto" w:fill="A5E47C" w:themeFill="accent2" w:themeFillTint="7F"/>
      </w:tcPr>
    </w:tblStylePr>
    <w:tblStylePr w:type="band1Horz">
      <w:tblPr/>
      <w:tcPr>
        <w:tcBorders>
          <w:insideH w:val="single" w:sz="6" w:space="0" w:color="54A021" w:themeColor="accent2"/>
          <w:insideV w:val="single" w:sz="6" w:space="0" w:color="54A021" w:themeColor="accent2"/>
        </w:tcBorders>
        <w:shd w:val="clear" w:color="auto" w:fill="A5E47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6B91E" w:themeColor="accent3"/>
        <w:left w:val="single" w:sz="8" w:space="0" w:color="E6B91E" w:themeColor="accent3"/>
        <w:bottom w:val="single" w:sz="8" w:space="0" w:color="E6B91E" w:themeColor="accent3"/>
        <w:right w:val="single" w:sz="8" w:space="0" w:color="E6B91E" w:themeColor="accent3"/>
        <w:insideH w:val="single" w:sz="8" w:space="0" w:color="E6B91E" w:themeColor="accent3"/>
        <w:insideV w:val="single" w:sz="8" w:space="0" w:color="E6B91E" w:themeColor="accent3"/>
      </w:tblBorders>
    </w:tblPr>
    <w:tcPr>
      <w:shd w:val="clear" w:color="auto" w:fill="F8EDC7" w:themeFill="accent3" w:themeFillTint="3F"/>
    </w:tcPr>
    <w:tblStylePr w:type="firstRow">
      <w:rPr>
        <w:b/>
        <w:bCs/>
        <w:color w:val="000000" w:themeColor="text1"/>
      </w:rPr>
      <w:tblPr/>
      <w:tcPr>
        <w:shd w:val="clear" w:color="auto" w:fill="FCF8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0D2" w:themeFill="accent3" w:themeFillTint="33"/>
      </w:tcPr>
    </w:tblStylePr>
    <w:tblStylePr w:type="band1Vert">
      <w:tblPr/>
      <w:tcPr>
        <w:shd w:val="clear" w:color="auto" w:fill="F2DB8E" w:themeFill="accent3" w:themeFillTint="7F"/>
      </w:tcPr>
    </w:tblStylePr>
    <w:tblStylePr w:type="band1Horz">
      <w:tblPr/>
      <w:tcPr>
        <w:tcBorders>
          <w:insideH w:val="single" w:sz="6" w:space="0" w:color="E6B91E" w:themeColor="accent3"/>
          <w:insideV w:val="single" w:sz="6" w:space="0" w:color="E6B91E" w:themeColor="accent3"/>
        </w:tcBorders>
        <w:shd w:val="clear" w:color="auto" w:fill="F2DB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76618" w:themeColor="accent4"/>
        <w:left w:val="single" w:sz="8" w:space="0" w:color="E76618" w:themeColor="accent4"/>
        <w:bottom w:val="single" w:sz="8" w:space="0" w:color="E76618" w:themeColor="accent4"/>
        <w:right w:val="single" w:sz="8" w:space="0" w:color="E76618" w:themeColor="accent4"/>
        <w:insideH w:val="single" w:sz="8" w:space="0" w:color="E76618" w:themeColor="accent4"/>
        <w:insideV w:val="single" w:sz="8" w:space="0" w:color="E76618" w:themeColor="accent4"/>
      </w:tblBorders>
    </w:tblPr>
    <w:tcPr>
      <w:shd w:val="clear" w:color="auto" w:fill="F9D9C5" w:themeFill="accent4" w:themeFillTint="3F"/>
    </w:tcPr>
    <w:tblStylePr w:type="firstRow">
      <w:rPr>
        <w:b/>
        <w:bCs/>
        <w:color w:val="000000" w:themeColor="text1"/>
      </w:rPr>
      <w:tblPr/>
      <w:tcPr>
        <w:shd w:val="clear" w:color="auto" w:fill="FCEFE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0D0" w:themeFill="accent4" w:themeFillTint="33"/>
      </w:tcPr>
    </w:tblStylePr>
    <w:tblStylePr w:type="band1Vert">
      <w:tblPr/>
      <w:tcPr>
        <w:shd w:val="clear" w:color="auto" w:fill="F3B28B" w:themeFill="accent4" w:themeFillTint="7F"/>
      </w:tcPr>
    </w:tblStylePr>
    <w:tblStylePr w:type="band1Horz">
      <w:tblPr/>
      <w:tcPr>
        <w:tcBorders>
          <w:insideH w:val="single" w:sz="6" w:space="0" w:color="E76618" w:themeColor="accent4"/>
          <w:insideV w:val="single" w:sz="6" w:space="0" w:color="E76618" w:themeColor="accent4"/>
        </w:tcBorders>
        <w:shd w:val="clear" w:color="auto" w:fill="F3B28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2F1A" w:themeColor="accent5"/>
        <w:left w:val="single" w:sz="8" w:space="0" w:color="C42F1A" w:themeColor="accent5"/>
        <w:bottom w:val="single" w:sz="8" w:space="0" w:color="C42F1A" w:themeColor="accent5"/>
        <w:right w:val="single" w:sz="8" w:space="0" w:color="C42F1A" w:themeColor="accent5"/>
        <w:insideH w:val="single" w:sz="8" w:space="0" w:color="C42F1A" w:themeColor="accent5"/>
        <w:insideV w:val="single" w:sz="8" w:space="0" w:color="C42F1A" w:themeColor="accent5"/>
      </w:tblBorders>
    </w:tblPr>
    <w:tcPr>
      <w:shd w:val="clear" w:color="auto" w:fill="F6C6C0" w:themeFill="accent5" w:themeFillTint="3F"/>
    </w:tcPr>
    <w:tblStylePr w:type="firstRow">
      <w:rPr>
        <w:b/>
        <w:bCs/>
        <w:color w:val="000000" w:themeColor="text1"/>
      </w:rPr>
      <w:tblPr/>
      <w:tcPr>
        <w:shd w:val="clear" w:color="auto" w:fill="FBE8E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1CC" w:themeFill="accent5" w:themeFillTint="33"/>
      </w:tcPr>
    </w:tblStylePr>
    <w:tblStylePr w:type="band1Vert">
      <w:tblPr/>
      <w:tcPr>
        <w:shd w:val="clear" w:color="auto" w:fill="EE8D80" w:themeFill="accent5" w:themeFillTint="7F"/>
      </w:tcPr>
    </w:tblStylePr>
    <w:tblStylePr w:type="band1Horz">
      <w:tblPr/>
      <w:tcPr>
        <w:tcBorders>
          <w:insideH w:val="single" w:sz="6" w:space="0" w:color="C42F1A" w:themeColor="accent5"/>
          <w:insideV w:val="single" w:sz="6" w:space="0" w:color="C42F1A" w:themeColor="accent5"/>
        </w:tcBorders>
        <w:shd w:val="clear" w:color="auto" w:fill="EE8D8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18655" w:themeColor="accent6"/>
        <w:left w:val="single" w:sz="8" w:space="0" w:color="918655" w:themeColor="accent6"/>
        <w:bottom w:val="single" w:sz="8" w:space="0" w:color="918655" w:themeColor="accent6"/>
        <w:right w:val="single" w:sz="8" w:space="0" w:color="918655" w:themeColor="accent6"/>
        <w:insideH w:val="single" w:sz="8" w:space="0" w:color="918655" w:themeColor="accent6"/>
        <w:insideV w:val="single" w:sz="8" w:space="0" w:color="918655" w:themeColor="accent6"/>
      </w:tblBorders>
    </w:tblPr>
    <w:tcPr>
      <w:shd w:val="clear" w:color="auto" w:fill="E5E2D3" w:themeFill="accent6" w:themeFillTint="3F"/>
    </w:tcPr>
    <w:tblStylePr w:type="firstRow">
      <w:rPr>
        <w:b/>
        <w:bCs/>
        <w:color w:val="000000" w:themeColor="text1"/>
      </w:rPr>
      <w:tblPr/>
      <w:tcPr>
        <w:shd w:val="clear" w:color="auto" w:fill="F4F3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7DB" w:themeFill="accent6" w:themeFillTint="33"/>
      </w:tcPr>
    </w:tblStylePr>
    <w:tblStylePr w:type="band1Vert">
      <w:tblPr/>
      <w:tcPr>
        <w:shd w:val="clear" w:color="auto" w:fill="CBC4A6" w:themeFill="accent6" w:themeFillTint="7F"/>
      </w:tcPr>
    </w:tblStylePr>
    <w:tblStylePr w:type="band1Horz">
      <w:tblPr/>
      <w:tcPr>
        <w:tcBorders>
          <w:insideH w:val="single" w:sz="6" w:space="0" w:color="918655" w:themeColor="accent6"/>
          <w:insideV w:val="single" w:sz="6" w:space="0" w:color="918655" w:themeColor="accent6"/>
        </w:tcBorders>
        <w:shd w:val="clear" w:color="auto" w:fill="CBC4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F3C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0C22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0C22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0C22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0C22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E88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E88B"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F1B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4A02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4A02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4A02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4A02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E47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E47C"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ED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B91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B91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B91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B91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DB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DB8E"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9C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7661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7661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7661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7661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B28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B28B"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C6C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2F1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2F1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2F1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2F1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8D8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8D80"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2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18655"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18655"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18655"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18655"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BC4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BC4A6"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90C22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760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B911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B911C" w:themeFill="accent1" w:themeFillShade="BF"/>
      </w:tcPr>
    </w:tblStylePr>
    <w:tblStylePr w:type="band1Vert">
      <w:tblPr/>
      <w:tcPr>
        <w:tcBorders>
          <w:top w:val="nil"/>
          <w:left w:val="nil"/>
          <w:bottom w:val="nil"/>
          <w:right w:val="nil"/>
          <w:insideH w:val="nil"/>
          <w:insideV w:val="nil"/>
        </w:tcBorders>
        <w:shd w:val="clear" w:color="auto" w:fill="6B911C" w:themeFill="accent1" w:themeFillShade="BF"/>
      </w:tcPr>
    </w:tblStylePr>
    <w:tblStylePr w:type="band1Horz">
      <w:tblPr/>
      <w:tcPr>
        <w:tcBorders>
          <w:top w:val="nil"/>
          <w:left w:val="nil"/>
          <w:bottom w:val="nil"/>
          <w:right w:val="nil"/>
          <w:insideH w:val="nil"/>
          <w:insideV w:val="nil"/>
        </w:tcBorders>
        <w:shd w:val="clear" w:color="auto" w:fill="6B911C"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54A02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F1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E771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E7718" w:themeFill="accent2" w:themeFillShade="BF"/>
      </w:tcPr>
    </w:tblStylePr>
    <w:tblStylePr w:type="band1Vert">
      <w:tblPr/>
      <w:tcPr>
        <w:tcBorders>
          <w:top w:val="nil"/>
          <w:left w:val="nil"/>
          <w:bottom w:val="nil"/>
          <w:right w:val="nil"/>
          <w:insideH w:val="nil"/>
          <w:insideV w:val="nil"/>
        </w:tcBorders>
        <w:shd w:val="clear" w:color="auto" w:fill="3E7718" w:themeFill="accent2" w:themeFillShade="BF"/>
      </w:tcPr>
    </w:tblStylePr>
    <w:tblStylePr w:type="band1Horz">
      <w:tblPr/>
      <w:tcPr>
        <w:tcBorders>
          <w:top w:val="nil"/>
          <w:left w:val="nil"/>
          <w:bottom w:val="nil"/>
          <w:right w:val="nil"/>
          <w:insideH w:val="nil"/>
          <w:insideV w:val="nil"/>
        </w:tcBorders>
        <w:shd w:val="clear" w:color="auto" w:fill="3E7718"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E6B91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5C0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F8B1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F8B13" w:themeFill="accent3" w:themeFillShade="BF"/>
      </w:tcPr>
    </w:tblStylePr>
    <w:tblStylePr w:type="band1Vert">
      <w:tblPr/>
      <w:tcPr>
        <w:tcBorders>
          <w:top w:val="nil"/>
          <w:left w:val="nil"/>
          <w:bottom w:val="nil"/>
          <w:right w:val="nil"/>
          <w:insideH w:val="nil"/>
          <w:insideV w:val="nil"/>
        </w:tcBorders>
        <w:shd w:val="clear" w:color="auto" w:fill="AF8B13" w:themeFill="accent3" w:themeFillShade="BF"/>
      </w:tcPr>
    </w:tblStylePr>
    <w:tblStylePr w:type="band1Horz">
      <w:tblPr/>
      <w:tcPr>
        <w:tcBorders>
          <w:top w:val="nil"/>
          <w:left w:val="nil"/>
          <w:bottom w:val="nil"/>
          <w:right w:val="nil"/>
          <w:insideH w:val="nil"/>
          <w:insideV w:val="nil"/>
        </w:tcBorders>
        <w:shd w:val="clear" w:color="auto" w:fill="AF8B13"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E7661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320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AD4C1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AD4C12" w:themeFill="accent4" w:themeFillShade="BF"/>
      </w:tcPr>
    </w:tblStylePr>
    <w:tblStylePr w:type="band1Vert">
      <w:tblPr/>
      <w:tcPr>
        <w:tcBorders>
          <w:top w:val="nil"/>
          <w:left w:val="nil"/>
          <w:bottom w:val="nil"/>
          <w:right w:val="nil"/>
          <w:insideH w:val="nil"/>
          <w:insideV w:val="nil"/>
        </w:tcBorders>
        <w:shd w:val="clear" w:color="auto" w:fill="AD4C12" w:themeFill="accent4" w:themeFillShade="BF"/>
      </w:tcPr>
    </w:tblStylePr>
    <w:tblStylePr w:type="band1Horz">
      <w:tblPr/>
      <w:tcPr>
        <w:tcBorders>
          <w:top w:val="nil"/>
          <w:left w:val="nil"/>
          <w:bottom w:val="nil"/>
          <w:right w:val="nil"/>
          <w:insideH w:val="nil"/>
          <w:insideV w:val="nil"/>
        </w:tcBorders>
        <w:shd w:val="clear" w:color="auto" w:fill="AD4C12"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C42F1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170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2221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22213" w:themeFill="accent5" w:themeFillShade="BF"/>
      </w:tcPr>
    </w:tblStylePr>
    <w:tblStylePr w:type="band1Vert">
      <w:tblPr/>
      <w:tcPr>
        <w:tcBorders>
          <w:top w:val="nil"/>
          <w:left w:val="nil"/>
          <w:bottom w:val="nil"/>
          <w:right w:val="nil"/>
          <w:insideH w:val="nil"/>
          <w:insideV w:val="nil"/>
        </w:tcBorders>
        <w:shd w:val="clear" w:color="auto" w:fill="922213" w:themeFill="accent5" w:themeFillShade="BF"/>
      </w:tcPr>
    </w:tblStylePr>
    <w:tblStylePr w:type="band1Horz">
      <w:tblPr/>
      <w:tcPr>
        <w:tcBorders>
          <w:top w:val="nil"/>
          <w:left w:val="nil"/>
          <w:bottom w:val="nil"/>
          <w:right w:val="nil"/>
          <w:insideH w:val="nil"/>
          <w:insideV w:val="nil"/>
        </w:tcBorders>
        <w:shd w:val="clear" w:color="auto" w:fill="922213"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918655"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422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C643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C643F" w:themeFill="accent6" w:themeFillShade="BF"/>
      </w:tcPr>
    </w:tblStylePr>
    <w:tblStylePr w:type="band1Vert">
      <w:tblPr/>
      <w:tcPr>
        <w:tcBorders>
          <w:top w:val="nil"/>
          <w:left w:val="nil"/>
          <w:bottom w:val="nil"/>
          <w:right w:val="nil"/>
          <w:insideH w:val="nil"/>
          <w:insideV w:val="nil"/>
        </w:tcBorders>
        <w:shd w:val="clear" w:color="auto" w:fill="6C643F" w:themeFill="accent6" w:themeFillShade="BF"/>
      </w:tcPr>
    </w:tblStylePr>
    <w:tblStylePr w:type="band1Horz">
      <w:tblPr/>
      <w:tcPr>
        <w:tcBorders>
          <w:top w:val="nil"/>
          <w:left w:val="nil"/>
          <w:bottom w:val="nil"/>
          <w:right w:val="nil"/>
          <w:insideH w:val="nil"/>
          <w:insideV w:val="nil"/>
        </w:tcBorders>
        <w:shd w:val="clear" w:color="auto" w:fill="6C643F"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54A02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4A02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54A021" w:themeColor="accent2"/>
        <w:left w:val="single" w:sz="4" w:space="0" w:color="90C226" w:themeColor="accent1"/>
        <w:bottom w:val="single" w:sz="4" w:space="0" w:color="90C226" w:themeColor="accent1"/>
        <w:right w:val="single" w:sz="4" w:space="0" w:color="90C226" w:themeColor="accent1"/>
        <w:insideH w:val="single" w:sz="4" w:space="0" w:color="FFFFFF" w:themeColor="background1"/>
        <w:insideV w:val="single" w:sz="4" w:space="0" w:color="FFFFFF" w:themeColor="background1"/>
      </w:tblBorders>
    </w:tblPr>
    <w:tcPr>
      <w:shd w:val="clear" w:color="auto" w:fill="F4FAE8" w:themeFill="accent1" w:themeFillTint="19"/>
    </w:tcPr>
    <w:tblStylePr w:type="firstRow">
      <w:rPr>
        <w:b/>
        <w:bCs/>
      </w:rPr>
      <w:tblPr/>
      <w:tcPr>
        <w:tcBorders>
          <w:top w:val="nil"/>
          <w:left w:val="nil"/>
          <w:bottom w:val="single" w:sz="24" w:space="0" w:color="54A02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67416" w:themeFill="accent1" w:themeFillShade="99"/>
      </w:tcPr>
    </w:tblStylePr>
    <w:tblStylePr w:type="firstCol">
      <w:rPr>
        <w:color w:val="FFFFFF" w:themeColor="background1"/>
      </w:rPr>
      <w:tblPr/>
      <w:tcPr>
        <w:tcBorders>
          <w:top w:val="nil"/>
          <w:left w:val="nil"/>
          <w:bottom w:val="nil"/>
          <w:right w:val="nil"/>
          <w:insideH w:val="single" w:sz="4" w:space="0" w:color="567416" w:themeColor="accent1" w:themeShade="99"/>
          <w:insideV w:val="nil"/>
        </w:tcBorders>
        <w:shd w:val="clear" w:color="auto" w:fill="56741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67416" w:themeFill="accent1" w:themeFillShade="99"/>
      </w:tcPr>
    </w:tblStylePr>
    <w:tblStylePr w:type="band1Vert">
      <w:tblPr/>
      <w:tcPr>
        <w:shd w:val="clear" w:color="auto" w:fill="D4ECA1" w:themeFill="accent1" w:themeFillTint="66"/>
      </w:tcPr>
    </w:tblStylePr>
    <w:tblStylePr w:type="band1Horz">
      <w:tblPr/>
      <w:tcPr>
        <w:shd w:val="clear" w:color="auto" w:fill="CAE88B"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54A021" w:themeColor="accent2"/>
        <w:left w:val="single" w:sz="4" w:space="0" w:color="54A021" w:themeColor="accent2"/>
        <w:bottom w:val="single" w:sz="4" w:space="0" w:color="54A021" w:themeColor="accent2"/>
        <w:right w:val="single" w:sz="4" w:space="0" w:color="54A021" w:themeColor="accent2"/>
        <w:insideH w:val="single" w:sz="4" w:space="0" w:color="FFFFFF" w:themeColor="background1"/>
        <w:insideV w:val="single" w:sz="4" w:space="0" w:color="FFFFFF" w:themeColor="background1"/>
      </w:tblBorders>
    </w:tblPr>
    <w:tcPr>
      <w:shd w:val="clear" w:color="auto" w:fill="EDF9E5" w:themeFill="accent2" w:themeFillTint="19"/>
    </w:tcPr>
    <w:tblStylePr w:type="firstRow">
      <w:rPr>
        <w:b/>
        <w:bCs/>
      </w:rPr>
      <w:tblPr/>
      <w:tcPr>
        <w:tcBorders>
          <w:top w:val="nil"/>
          <w:left w:val="nil"/>
          <w:bottom w:val="single" w:sz="24" w:space="0" w:color="54A02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25F13" w:themeFill="accent2" w:themeFillShade="99"/>
      </w:tcPr>
    </w:tblStylePr>
    <w:tblStylePr w:type="firstCol">
      <w:rPr>
        <w:color w:val="FFFFFF" w:themeColor="background1"/>
      </w:rPr>
      <w:tblPr/>
      <w:tcPr>
        <w:tcBorders>
          <w:top w:val="nil"/>
          <w:left w:val="nil"/>
          <w:bottom w:val="nil"/>
          <w:right w:val="nil"/>
          <w:insideH w:val="single" w:sz="4" w:space="0" w:color="325F13" w:themeColor="accent2" w:themeShade="99"/>
          <w:insideV w:val="nil"/>
        </w:tcBorders>
        <w:shd w:val="clear" w:color="auto" w:fill="325F1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25F13" w:themeFill="accent2" w:themeFillShade="99"/>
      </w:tcPr>
    </w:tblStylePr>
    <w:tblStylePr w:type="band1Vert">
      <w:tblPr/>
      <w:tcPr>
        <w:shd w:val="clear" w:color="auto" w:fill="B7E995" w:themeFill="accent2" w:themeFillTint="66"/>
      </w:tcPr>
    </w:tblStylePr>
    <w:tblStylePr w:type="band1Horz">
      <w:tblPr/>
      <w:tcPr>
        <w:shd w:val="clear" w:color="auto" w:fill="A5E47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E76618" w:themeColor="accent4"/>
        <w:left w:val="single" w:sz="4" w:space="0" w:color="E6B91E" w:themeColor="accent3"/>
        <w:bottom w:val="single" w:sz="4" w:space="0" w:color="E6B91E" w:themeColor="accent3"/>
        <w:right w:val="single" w:sz="4" w:space="0" w:color="E6B91E" w:themeColor="accent3"/>
        <w:insideH w:val="single" w:sz="4" w:space="0" w:color="FFFFFF" w:themeColor="background1"/>
        <w:insideV w:val="single" w:sz="4" w:space="0" w:color="FFFFFF" w:themeColor="background1"/>
      </w:tblBorders>
    </w:tblPr>
    <w:tcPr>
      <w:shd w:val="clear" w:color="auto" w:fill="FCF8E8" w:themeFill="accent3" w:themeFillTint="19"/>
    </w:tcPr>
    <w:tblStylePr w:type="firstRow">
      <w:rPr>
        <w:b/>
        <w:bCs/>
      </w:rPr>
      <w:tblPr/>
      <w:tcPr>
        <w:tcBorders>
          <w:top w:val="nil"/>
          <w:left w:val="nil"/>
          <w:bottom w:val="single" w:sz="24" w:space="0" w:color="E7661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6F0F" w:themeFill="accent3" w:themeFillShade="99"/>
      </w:tcPr>
    </w:tblStylePr>
    <w:tblStylePr w:type="firstCol">
      <w:rPr>
        <w:color w:val="FFFFFF" w:themeColor="background1"/>
      </w:rPr>
      <w:tblPr/>
      <w:tcPr>
        <w:tcBorders>
          <w:top w:val="nil"/>
          <w:left w:val="nil"/>
          <w:bottom w:val="nil"/>
          <w:right w:val="nil"/>
          <w:insideH w:val="single" w:sz="4" w:space="0" w:color="8C6F0F" w:themeColor="accent3" w:themeShade="99"/>
          <w:insideV w:val="nil"/>
        </w:tcBorders>
        <w:shd w:val="clear" w:color="auto" w:fill="8C6F0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C6F0F" w:themeFill="accent3" w:themeFillShade="99"/>
      </w:tcPr>
    </w:tblStylePr>
    <w:tblStylePr w:type="band1Vert">
      <w:tblPr/>
      <w:tcPr>
        <w:shd w:val="clear" w:color="auto" w:fill="F5E2A5" w:themeFill="accent3" w:themeFillTint="66"/>
      </w:tcPr>
    </w:tblStylePr>
    <w:tblStylePr w:type="band1Horz">
      <w:tblPr/>
      <w:tcPr>
        <w:shd w:val="clear" w:color="auto" w:fill="F2DB8E"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E6B91E" w:themeColor="accent3"/>
        <w:left w:val="single" w:sz="4" w:space="0" w:color="E76618" w:themeColor="accent4"/>
        <w:bottom w:val="single" w:sz="4" w:space="0" w:color="E76618" w:themeColor="accent4"/>
        <w:right w:val="single" w:sz="4" w:space="0" w:color="E76618" w:themeColor="accent4"/>
        <w:insideH w:val="single" w:sz="4" w:space="0" w:color="FFFFFF" w:themeColor="background1"/>
        <w:insideV w:val="single" w:sz="4" w:space="0" w:color="FFFFFF" w:themeColor="background1"/>
      </w:tblBorders>
    </w:tblPr>
    <w:tcPr>
      <w:shd w:val="clear" w:color="auto" w:fill="FCEFE8" w:themeFill="accent4" w:themeFillTint="19"/>
    </w:tcPr>
    <w:tblStylePr w:type="firstRow">
      <w:rPr>
        <w:b/>
        <w:bCs/>
      </w:rPr>
      <w:tblPr/>
      <w:tcPr>
        <w:tcBorders>
          <w:top w:val="nil"/>
          <w:left w:val="nil"/>
          <w:bottom w:val="single" w:sz="24" w:space="0" w:color="E6B91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A3D0E" w:themeFill="accent4" w:themeFillShade="99"/>
      </w:tcPr>
    </w:tblStylePr>
    <w:tblStylePr w:type="firstCol">
      <w:rPr>
        <w:color w:val="FFFFFF" w:themeColor="background1"/>
      </w:rPr>
      <w:tblPr/>
      <w:tcPr>
        <w:tcBorders>
          <w:top w:val="nil"/>
          <w:left w:val="nil"/>
          <w:bottom w:val="nil"/>
          <w:right w:val="nil"/>
          <w:insideH w:val="single" w:sz="4" w:space="0" w:color="8A3D0E" w:themeColor="accent4" w:themeShade="99"/>
          <w:insideV w:val="nil"/>
        </w:tcBorders>
        <w:shd w:val="clear" w:color="auto" w:fill="8A3D0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A3D0E" w:themeFill="accent4" w:themeFillShade="99"/>
      </w:tcPr>
    </w:tblStylePr>
    <w:tblStylePr w:type="band1Vert">
      <w:tblPr/>
      <w:tcPr>
        <w:shd w:val="clear" w:color="auto" w:fill="F5C1A2" w:themeFill="accent4" w:themeFillTint="66"/>
      </w:tcPr>
    </w:tblStylePr>
    <w:tblStylePr w:type="band1Horz">
      <w:tblPr/>
      <w:tcPr>
        <w:shd w:val="clear" w:color="auto" w:fill="F3B28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918655" w:themeColor="accent6"/>
        <w:left w:val="single" w:sz="4" w:space="0" w:color="C42F1A" w:themeColor="accent5"/>
        <w:bottom w:val="single" w:sz="4" w:space="0" w:color="C42F1A" w:themeColor="accent5"/>
        <w:right w:val="single" w:sz="4" w:space="0" w:color="C42F1A" w:themeColor="accent5"/>
        <w:insideH w:val="single" w:sz="4" w:space="0" w:color="FFFFFF" w:themeColor="background1"/>
        <w:insideV w:val="single" w:sz="4" w:space="0" w:color="FFFFFF" w:themeColor="background1"/>
      </w:tblBorders>
    </w:tblPr>
    <w:tcPr>
      <w:shd w:val="clear" w:color="auto" w:fill="FBE8E5" w:themeFill="accent5" w:themeFillTint="19"/>
    </w:tcPr>
    <w:tblStylePr w:type="firstRow">
      <w:rPr>
        <w:b/>
        <w:bCs/>
      </w:rPr>
      <w:tblPr/>
      <w:tcPr>
        <w:tcBorders>
          <w:top w:val="nil"/>
          <w:left w:val="nil"/>
          <w:bottom w:val="single" w:sz="24" w:space="0" w:color="918655"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1C0F" w:themeFill="accent5" w:themeFillShade="99"/>
      </w:tcPr>
    </w:tblStylePr>
    <w:tblStylePr w:type="firstCol">
      <w:rPr>
        <w:color w:val="FFFFFF" w:themeColor="background1"/>
      </w:rPr>
      <w:tblPr/>
      <w:tcPr>
        <w:tcBorders>
          <w:top w:val="nil"/>
          <w:left w:val="nil"/>
          <w:bottom w:val="nil"/>
          <w:right w:val="nil"/>
          <w:insideH w:val="single" w:sz="4" w:space="0" w:color="751C0F" w:themeColor="accent5" w:themeShade="99"/>
          <w:insideV w:val="nil"/>
        </w:tcBorders>
        <w:shd w:val="clear" w:color="auto" w:fill="751C0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51C0F" w:themeFill="accent5" w:themeFillShade="99"/>
      </w:tcPr>
    </w:tblStylePr>
    <w:tblStylePr w:type="band1Vert">
      <w:tblPr/>
      <w:tcPr>
        <w:shd w:val="clear" w:color="auto" w:fill="F1A399" w:themeFill="accent5" w:themeFillTint="66"/>
      </w:tcPr>
    </w:tblStylePr>
    <w:tblStylePr w:type="band1Horz">
      <w:tblPr/>
      <w:tcPr>
        <w:shd w:val="clear" w:color="auto" w:fill="EE8D8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C42F1A" w:themeColor="accent5"/>
        <w:left w:val="single" w:sz="4" w:space="0" w:color="918655" w:themeColor="accent6"/>
        <w:bottom w:val="single" w:sz="4" w:space="0" w:color="918655" w:themeColor="accent6"/>
        <w:right w:val="single" w:sz="4" w:space="0" w:color="918655" w:themeColor="accent6"/>
        <w:insideH w:val="single" w:sz="4" w:space="0" w:color="FFFFFF" w:themeColor="background1"/>
        <w:insideV w:val="single" w:sz="4" w:space="0" w:color="FFFFFF" w:themeColor="background1"/>
      </w:tblBorders>
    </w:tblPr>
    <w:tcPr>
      <w:shd w:val="clear" w:color="auto" w:fill="F4F3ED" w:themeFill="accent6" w:themeFillTint="19"/>
    </w:tcPr>
    <w:tblStylePr w:type="firstRow">
      <w:rPr>
        <w:b/>
        <w:bCs/>
      </w:rPr>
      <w:tblPr/>
      <w:tcPr>
        <w:tcBorders>
          <w:top w:val="nil"/>
          <w:left w:val="nil"/>
          <w:bottom w:val="single" w:sz="24" w:space="0" w:color="C42F1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65033" w:themeFill="accent6" w:themeFillShade="99"/>
      </w:tcPr>
    </w:tblStylePr>
    <w:tblStylePr w:type="firstCol">
      <w:rPr>
        <w:color w:val="FFFFFF" w:themeColor="background1"/>
      </w:rPr>
      <w:tblPr/>
      <w:tcPr>
        <w:tcBorders>
          <w:top w:val="nil"/>
          <w:left w:val="nil"/>
          <w:bottom w:val="nil"/>
          <w:right w:val="nil"/>
          <w:insideH w:val="single" w:sz="4" w:space="0" w:color="565033" w:themeColor="accent6" w:themeShade="99"/>
          <w:insideV w:val="nil"/>
        </w:tcBorders>
        <w:shd w:val="clear" w:color="auto" w:fill="56503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65033" w:themeFill="accent6" w:themeFillShade="99"/>
      </w:tcPr>
    </w:tblStylePr>
    <w:tblStylePr w:type="band1Vert">
      <w:tblPr/>
      <w:tcPr>
        <w:shd w:val="clear" w:color="auto" w:fill="D5D0B8" w:themeFill="accent6" w:themeFillTint="66"/>
      </w:tcPr>
    </w:tblStylePr>
    <w:tblStylePr w:type="band1Horz">
      <w:tblPr/>
      <w:tcPr>
        <w:shd w:val="clear" w:color="auto" w:fill="CBC4A6"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437F1A" w:themeFill="accent2" w:themeFillShade="CC"/>
      </w:tcPr>
    </w:tblStylePr>
    <w:tblStylePr w:type="lastRow">
      <w:rPr>
        <w:b/>
        <w:bCs/>
        <w:color w:val="437F1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F4FAE8" w:themeFill="accent1" w:themeFillTint="19"/>
    </w:tcPr>
    <w:tblStylePr w:type="firstRow">
      <w:rPr>
        <w:b/>
        <w:bCs/>
        <w:color w:val="FFFFFF" w:themeColor="background1"/>
      </w:rPr>
      <w:tblPr/>
      <w:tcPr>
        <w:tcBorders>
          <w:bottom w:val="single" w:sz="12" w:space="0" w:color="FFFFFF" w:themeColor="background1"/>
        </w:tcBorders>
        <w:shd w:val="clear" w:color="auto" w:fill="437F1A" w:themeFill="accent2" w:themeFillShade="CC"/>
      </w:tcPr>
    </w:tblStylePr>
    <w:tblStylePr w:type="lastRow">
      <w:rPr>
        <w:b/>
        <w:bCs/>
        <w:color w:val="437F1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3C5" w:themeFill="accent1" w:themeFillTint="3F"/>
      </w:tcPr>
    </w:tblStylePr>
    <w:tblStylePr w:type="band1Horz">
      <w:tblPr/>
      <w:tcPr>
        <w:shd w:val="clear" w:color="auto" w:fill="E9F6D0"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EDF9E5" w:themeFill="accent2" w:themeFillTint="19"/>
    </w:tcPr>
    <w:tblStylePr w:type="firstRow">
      <w:rPr>
        <w:b/>
        <w:bCs/>
        <w:color w:val="FFFFFF" w:themeColor="background1"/>
      </w:rPr>
      <w:tblPr/>
      <w:tcPr>
        <w:tcBorders>
          <w:bottom w:val="single" w:sz="12" w:space="0" w:color="FFFFFF" w:themeColor="background1"/>
        </w:tcBorders>
        <w:shd w:val="clear" w:color="auto" w:fill="437F1A" w:themeFill="accent2" w:themeFillShade="CC"/>
      </w:tcPr>
    </w:tblStylePr>
    <w:tblStylePr w:type="lastRow">
      <w:rPr>
        <w:b/>
        <w:bCs/>
        <w:color w:val="437F1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F1BE" w:themeFill="accent2" w:themeFillTint="3F"/>
      </w:tcPr>
    </w:tblStylePr>
    <w:tblStylePr w:type="band1Horz">
      <w:tblPr/>
      <w:tcPr>
        <w:shd w:val="clear" w:color="auto" w:fill="DAF4CA"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CF8E8" w:themeFill="accent3" w:themeFillTint="19"/>
    </w:tcPr>
    <w:tblStylePr w:type="firstRow">
      <w:rPr>
        <w:b/>
        <w:bCs/>
        <w:color w:val="FFFFFF" w:themeColor="background1"/>
      </w:rPr>
      <w:tblPr/>
      <w:tcPr>
        <w:tcBorders>
          <w:bottom w:val="single" w:sz="12" w:space="0" w:color="FFFFFF" w:themeColor="background1"/>
        </w:tcBorders>
        <w:shd w:val="clear" w:color="auto" w:fill="B85113" w:themeFill="accent4" w:themeFillShade="CC"/>
      </w:tcPr>
    </w:tblStylePr>
    <w:tblStylePr w:type="lastRow">
      <w:rPr>
        <w:b/>
        <w:bCs/>
        <w:color w:val="B8511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EDC7" w:themeFill="accent3" w:themeFillTint="3F"/>
      </w:tcPr>
    </w:tblStylePr>
    <w:tblStylePr w:type="band1Horz">
      <w:tblPr/>
      <w:tcPr>
        <w:shd w:val="clear" w:color="auto" w:fill="FAF0D2"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CEFE8" w:themeFill="accent4" w:themeFillTint="19"/>
    </w:tcPr>
    <w:tblStylePr w:type="firstRow">
      <w:rPr>
        <w:b/>
        <w:bCs/>
        <w:color w:val="FFFFFF" w:themeColor="background1"/>
      </w:rPr>
      <w:tblPr/>
      <w:tcPr>
        <w:tcBorders>
          <w:bottom w:val="single" w:sz="12" w:space="0" w:color="FFFFFF" w:themeColor="background1"/>
        </w:tcBorders>
        <w:shd w:val="clear" w:color="auto" w:fill="BB9514" w:themeFill="accent3" w:themeFillShade="CC"/>
      </w:tcPr>
    </w:tblStylePr>
    <w:tblStylePr w:type="lastRow">
      <w:rPr>
        <w:b/>
        <w:bCs/>
        <w:color w:val="BB951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9C5" w:themeFill="accent4" w:themeFillTint="3F"/>
      </w:tcPr>
    </w:tblStylePr>
    <w:tblStylePr w:type="band1Horz">
      <w:tblPr/>
      <w:tcPr>
        <w:shd w:val="clear" w:color="auto" w:fill="FAE0D0"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BE8E5" w:themeFill="accent5" w:themeFillTint="19"/>
    </w:tcPr>
    <w:tblStylePr w:type="firstRow">
      <w:rPr>
        <w:b/>
        <w:bCs/>
        <w:color w:val="FFFFFF" w:themeColor="background1"/>
      </w:rPr>
      <w:tblPr/>
      <w:tcPr>
        <w:tcBorders>
          <w:bottom w:val="single" w:sz="12" w:space="0" w:color="FFFFFF" w:themeColor="background1"/>
        </w:tcBorders>
        <w:shd w:val="clear" w:color="auto" w:fill="736B44" w:themeFill="accent6" w:themeFillShade="CC"/>
      </w:tcPr>
    </w:tblStylePr>
    <w:tblStylePr w:type="lastRow">
      <w:rPr>
        <w:b/>
        <w:bCs/>
        <w:color w:val="736B4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C6C0" w:themeFill="accent5" w:themeFillTint="3F"/>
      </w:tcPr>
    </w:tblStylePr>
    <w:tblStylePr w:type="band1Horz">
      <w:tblPr/>
      <w:tcPr>
        <w:shd w:val="clear" w:color="auto" w:fill="F8D1CC"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4F3ED" w:themeFill="accent6" w:themeFillTint="19"/>
    </w:tcPr>
    <w:tblStylePr w:type="firstRow">
      <w:rPr>
        <w:b/>
        <w:bCs/>
        <w:color w:val="FFFFFF" w:themeColor="background1"/>
      </w:rPr>
      <w:tblPr/>
      <w:tcPr>
        <w:tcBorders>
          <w:bottom w:val="single" w:sz="12" w:space="0" w:color="FFFFFF" w:themeColor="background1"/>
        </w:tcBorders>
        <w:shd w:val="clear" w:color="auto" w:fill="9C2514" w:themeFill="accent5" w:themeFillShade="CC"/>
      </w:tcPr>
    </w:tblStylePr>
    <w:tblStylePr w:type="lastRow">
      <w:rPr>
        <w:b/>
        <w:bCs/>
        <w:color w:val="9C251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2D3" w:themeFill="accent6" w:themeFillTint="3F"/>
      </w:tcPr>
    </w:tblStylePr>
    <w:tblStylePr w:type="band1Horz">
      <w:tblPr/>
      <w:tcPr>
        <w:shd w:val="clear" w:color="auto" w:fill="EAE7DB"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F6D0" w:themeFill="accent1" w:themeFillTint="33"/>
    </w:tcPr>
    <w:tblStylePr w:type="firstRow">
      <w:rPr>
        <w:b/>
        <w:bCs/>
      </w:rPr>
      <w:tblPr/>
      <w:tcPr>
        <w:shd w:val="clear" w:color="auto" w:fill="D4ECA1" w:themeFill="accent1" w:themeFillTint="66"/>
      </w:tcPr>
    </w:tblStylePr>
    <w:tblStylePr w:type="lastRow">
      <w:rPr>
        <w:b/>
        <w:bCs/>
        <w:color w:val="000000" w:themeColor="text1"/>
      </w:rPr>
      <w:tblPr/>
      <w:tcPr>
        <w:shd w:val="clear" w:color="auto" w:fill="D4ECA1" w:themeFill="accent1" w:themeFillTint="66"/>
      </w:tcPr>
    </w:tblStylePr>
    <w:tblStylePr w:type="firstCol">
      <w:rPr>
        <w:color w:val="FFFFFF" w:themeColor="background1"/>
      </w:rPr>
      <w:tblPr/>
      <w:tcPr>
        <w:shd w:val="clear" w:color="auto" w:fill="6B911C" w:themeFill="accent1" w:themeFillShade="BF"/>
      </w:tcPr>
    </w:tblStylePr>
    <w:tblStylePr w:type="lastCol">
      <w:rPr>
        <w:color w:val="FFFFFF" w:themeColor="background1"/>
      </w:rPr>
      <w:tblPr/>
      <w:tcPr>
        <w:shd w:val="clear" w:color="auto" w:fill="6B911C" w:themeFill="accent1" w:themeFillShade="BF"/>
      </w:tcPr>
    </w:tblStylePr>
    <w:tblStylePr w:type="band1Vert">
      <w:tblPr/>
      <w:tcPr>
        <w:shd w:val="clear" w:color="auto" w:fill="CAE88B" w:themeFill="accent1" w:themeFillTint="7F"/>
      </w:tcPr>
    </w:tblStylePr>
    <w:tblStylePr w:type="band1Horz">
      <w:tblPr/>
      <w:tcPr>
        <w:shd w:val="clear" w:color="auto" w:fill="CAE88B"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F4CA" w:themeFill="accent2" w:themeFillTint="33"/>
    </w:tcPr>
    <w:tblStylePr w:type="firstRow">
      <w:rPr>
        <w:b/>
        <w:bCs/>
      </w:rPr>
      <w:tblPr/>
      <w:tcPr>
        <w:shd w:val="clear" w:color="auto" w:fill="B7E995" w:themeFill="accent2" w:themeFillTint="66"/>
      </w:tcPr>
    </w:tblStylePr>
    <w:tblStylePr w:type="lastRow">
      <w:rPr>
        <w:b/>
        <w:bCs/>
        <w:color w:val="000000" w:themeColor="text1"/>
      </w:rPr>
      <w:tblPr/>
      <w:tcPr>
        <w:shd w:val="clear" w:color="auto" w:fill="B7E995" w:themeFill="accent2" w:themeFillTint="66"/>
      </w:tcPr>
    </w:tblStylePr>
    <w:tblStylePr w:type="firstCol">
      <w:rPr>
        <w:color w:val="FFFFFF" w:themeColor="background1"/>
      </w:rPr>
      <w:tblPr/>
      <w:tcPr>
        <w:shd w:val="clear" w:color="auto" w:fill="3E7718" w:themeFill="accent2" w:themeFillShade="BF"/>
      </w:tcPr>
    </w:tblStylePr>
    <w:tblStylePr w:type="lastCol">
      <w:rPr>
        <w:color w:val="FFFFFF" w:themeColor="background1"/>
      </w:rPr>
      <w:tblPr/>
      <w:tcPr>
        <w:shd w:val="clear" w:color="auto" w:fill="3E7718" w:themeFill="accent2" w:themeFillShade="BF"/>
      </w:tcPr>
    </w:tblStylePr>
    <w:tblStylePr w:type="band1Vert">
      <w:tblPr/>
      <w:tcPr>
        <w:shd w:val="clear" w:color="auto" w:fill="A5E47C" w:themeFill="accent2" w:themeFillTint="7F"/>
      </w:tcPr>
    </w:tblStylePr>
    <w:tblStylePr w:type="band1Horz">
      <w:tblPr/>
      <w:tcPr>
        <w:shd w:val="clear" w:color="auto" w:fill="A5E47C"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F0D2" w:themeFill="accent3" w:themeFillTint="33"/>
    </w:tcPr>
    <w:tblStylePr w:type="firstRow">
      <w:rPr>
        <w:b/>
        <w:bCs/>
      </w:rPr>
      <w:tblPr/>
      <w:tcPr>
        <w:shd w:val="clear" w:color="auto" w:fill="F5E2A5" w:themeFill="accent3" w:themeFillTint="66"/>
      </w:tcPr>
    </w:tblStylePr>
    <w:tblStylePr w:type="lastRow">
      <w:rPr>
        <w:b/>
        <w:bCs/>
        <w:color w:val="000000" w:themeColor="text1"/>
      </w:rPr>
      <w:tblPr/>
      <w:tcPr>
        <w:shd w:val="clear" w:color="auto" w:fill="F5E2A5" w:themeFill="accent3" w:themeFillTint="66"/>
      </w:tcPr>
    </w:tblStylePr>
    <w:tblStylePr w:type="firstCol">
      <w:rPr>
        <w:color w:val="FFFFFF" w:themeColor="background1"/>
      </w:rPr>
      <w:tblPr/>
      <w:tcPr>
        <w:shd w:val="clear" w:color="auto" w:fill="AF8B13" w:themeFill="accent3" w:themeFillShade="BF"/>
      </w:tcPr>
    </w:tblStylePr>
    <w:tblStylePr w:type="lastCol">
      <w:rPr>
        <w:color w:val="FFFFFF" w:themeColor="background1"/>
      </w:rPr>
      <w:tblPr/>
      <w:tcPr>
        <w:shd w:val="clear" w:color="auto" w:fill="AF8B13" w:themeFill="accent3" w:themeFillShade="BF"/>
      </w:tcPr>
    </w:tblStylePr>
    <w:tblStylePr w:type="band1Vert">
      <w:tblPr/>
      <w:tcPr>
        <w:shd w:val="clear" w:color="auto" w:fill="F2DB8E" w:themeFill="accent3" w:themeFillTint="7F"/>
      </w:tcPr>
    </w:tblStylePr>
    <w:tblStylePr w:type="band1Horz">
      <w:tblPr/>
      <w:tcPr>
        <w:shd w:val="clear" w:color="auto" w:fill="F2DB8E"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0D0" w:themeFill="accent4" w:themeFillTint="33"/>
    </w:tcPr>
    <w:tblStylePr w:type="firstRow">
      <w:rPr>
        <w:b/>
        <w:bCs/>
      </w:rPr>
      <w:tblPr/>
      <w:tcPr>
        <w:shd w:val="clear" w:color="auto" w:fill="F5C1A2" w:themeFill="accent4" w:themeFillTint="66"/>
      </w:tcPr>
    </w:tblStylePr>
    <w:tblStylePr w:type="lastRow">
      <w:rPr>
        <w:b/>
        <w:bCs/>
        <w:color w:val="000000" w:themeColor="text1"/>
      </w:rPr>
      <w:tblPr/>
      <w:tcPr>
        <w:shd w:val="clear" w:color="auto" w:fill="F5C1A2" w:themeFill="accent4" w:themeFillTint="66"/>
      </w:tcPr>
    </w:tblStylePr>
    <w:tblStylePr w:type="firstCol">
      <w:rPr>
        <w:color w:val="FFFFFF" w:themeColor="background1"/>
      </w:rPr>
      <w:tblPr/>
      <w:tcPr>
        <w:shd w:val="clear" w:color="auto" w:fill="AD4C12" w:themeFill="accent4" w:themeFillShade="BF"/>
      </w:tcPr>
    </w:tblStylePr>
    <w:tblStylePr w:type="lastCol">
      <w:rPr>
        <w:color w:val="FFFFFF" w:themeColor="background1"/>
      </w:rPr>
      <w:tblPr/>
      <w:tcPr>
        <w:shd w:val="clear" w:color="auto" w:fill="AD4C12" w:themeFill="accent4" w:themeFillShade="BF"/>
      </w:tcPr>
    </w:tblStylePr>
    <w:tblStylePr w:type="band1Vert">
      <w:tblPr/>
      <w:tcPr>
        <w:shd w:val="clear" w:color="auto" w:fill="F3B28B" w:themeFill="accent4" w:themeFillTint="7F"/>
      </w:tcPr>
    </w:tblStylePr>
    <w:tblStylePr w:type="band1Horz">
      <w:tblPr/>
      <w:tcPr>
        <w:shd w:val="clear" w:color="auto" w:fill="F3B28B"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1CC" w:themeFill="accent5" w:themeFillTint="33"/>
    </w:tcPr>
    <w:tblStylePr w:type="firstRow">
      <w:rPr>
        <w:b/>
        <w:bCs/>
      </w:rPr>
      <w:tblPr/>
      <w:tcPr>
        <w:shd w:val="clear" w:color="auto" w:fill="F1A399" w:themeFill="accent5" w:themeFillTint="66"/>
      </w:tcPr>
    </w:tblStylePr>
    <w:tblStylePr w:type="lastRow">
      <w:rPr>
        <w:b/>
        <w:bCs/>
        <w:color w:val="000000" w:themeColor="text1"/>
      </w:rPr>
      <w:tblPr/>
      <w:tcPr>
        <w:shd w:val="clear" w:color="auto" w:fill="F1A399" w:themeFill="accent5" w:themeFillTint="66"/>
      </w:tcPr>
    </w:tblStylePr>
    <w:tblStylePr w:type="firstCol">
      <w:rPr>
        <w:color w:val="FFFFFF" w:themeColor="background1"/>
      </w:rPr>
      <w:tblPr/>
      <w:tcPr>
        <w:shd w:val="clear" w:color="auto" w:fill="922213" w:themeFill="accent5" w:themeFillShade="BF"/>
      </w:tcPr>
    </w:tblStylePr>
    <w:tblStylePr w:type="lastCol">
      <w:rPr>
        <w:color w:val="FFFFFF" w:themeColor="background1"/>
      </w:rPr>
      <w:tblPr/>
      <w:tcPr>
        <w:shd w:val="clear" w:color="auto" w:fill="922213" w:themeFill="accent5" w:themeFillShade="BF"/>
      </w:tcPr>
    </w:tblStylePr>
    <w:tblStylePr w:type="band1Vert">
      <w:tblPr/>
      <w:tcPr>
        <w:shd w:val="clear" w:color="auto" w:fill="EE8D80" w:themeFill="accent5" w:themeFillTint="7F"/>
      </w:tcPr>
    </w:tblStylePr>
    <w:tblStylePr w:type="band1Horz">
      <w:tblPr/>
      <w:tcPr>
        <w:shd w:val="clear" w:color="auto" w:fill="EE8D80"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E7DB" w:themeFill="accent6" w:themeFillTint="33"/>
    </w:tcPr>
    <w:tblStylePr w:type="firstRow">
      <w:rPr>
        <w:b/>
        <w:bCs/>
      </w:rPr>
      <w:tblPr/>
      <w:tcPr>
        <w:shd w:val="clear" w:color="auto" w:fill="D5D0B8" w:themeFill="accent6" w:themeFillTint="66"/>
      </w:tcPr>
    </w:tblStylePr>
    <w:tblStylePr w:type="lastRow">
      <w:rPr>
        <w:b/>
        <w:bCs/>
        <w:color w:val="000000" w:themeColor="text1"/>
      </w:rPr>
      <w:tblPr/>
      <w:tcPr>
        <w:shd w:val="clear" w:color="auto" w:fill="D5D0B8" w:themeFill="accent6" w:themeFillTint="66"/>
      </w:tcPr>
    </w:tblStylePr>
    <w:tblStylePr w:type="firstCol">
      <w:rPr>
        <w:color w:val="FFFFFF" w:themeColor="background1"/>
      </w:rPr>
      <w:tblPr/>
      <w:tcPr>
        <w:shd w:val="clear" w:color="auto" w:fill="6C643F" w:themeFill="accent6" w:themeFillShade="BF"/>
      </w:tcPr>
    </w:tblStylePr>
    <w:tblStylePr w:type="lastCol">
      <w:rPr>
        <w:color w:val="FFFFFF" w:themeColor="background1"/>
      </w:rPr>
      <w:tblPr/>
      <w:tcPr>
        <w:shd w:val="clear" w:color="auto" w:fill="6C643F" w:themeFill="accent6" w:themeFillShade="BF"/>
      </w:tcPr>
    </w:tblStylePr>
    <w:tblStylePr w:type="band1Vert">
      <w:tblPr/>
      <w:tcPr>
        <w:shd w:val="clear" w:color="auto" w:fill="CBC4A6" w:themeFill="accent6" w:themeFillTint="7F"/>
      </w:tcPr>
    </w:tblStylePr>
    <w:tblStylePr w:type="band1Horz">
      <w:tblPr/>
      <w:tcPr>
        <w:shd w:val="clear" w:color="auto" w:fill="CBC4A6" w:themeFill="accent6" w:themeFillTint="7F"/>
      </w:tcPr>
    </w:tblStylePr>
  </w:style>
  <w:style w:type="paragraph" w:styleId="TOC1">
    <w:name w:val="toc 1"/>
    <w:basedOn w:val="Normal"/>
    <w:next w:val="Normal"/>
    <w:autoRedefine/>
    <w:uiPriority w:val="39"/>
    <w:unhideWhenUsed/>
    <w:rsid w:val="00034285"/>
    <w:pPr>
      <w:spacing w:after="100"/>
    </w:pPr>
  </w:style>
  <w:style w:type="paragraph" w:styleId="TOC2">
    <w:name w:val="toc 2"/>
    <w:basedOn w:val="Normal"/>
    <w:next w:val="Normal"/>
    <w:autoRedefine/>
    <w:uiPriority w:val="39"/>
    <w:unhideWhenUsed/>
    <w:rsid w:val="00034285"/>
    <w:pPr>
      <w:spacing w:after="100"/>
      <w:ind w:left="210"/>
    </w:pPr>
  </w:style>
  <w:style w:type="character" w:styleId="Hyperlink">
    <w:name w:val="Hyperlink"/>
    <w:basedOn w:val="DefaultParagraphFont"/>
    <w:uiPriority w:val="99"/>
    <w:unhideWhenUsed/>
    <w:rsid w:val="00034285"/>
    <w:rPr>
      <w:color w:val="99CA3C" w:themeColor="hyperlink"/>
      <w:u w:val="single"/>
    </w:rPr>
  </w:style>
  <w:style w:type="character" w:styleId="UnresolvedMention">
    <w:name w:val="Unresolved Mention"/>
    <w:basedOn w:val="DefaultParagraphFont"/>
    <w:uiPriority w:val="99"/>
    <w:semiHidden/>
    <w:unhideWhenUsed/>
    <w:rsid w:val="00C82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4468</Words>
  <Characters>25473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Living Well with Dementia: UK Information Booklet</vt:lpstr>
    </vt:vector>
  </TitlesOfParts>
  <Manager/>
  <Company/>
  <LinksUpToDate>false</LinksUpToDate>
  <CharactersWithSpaces>29882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Well with Dementia: Revised UK Information Booklet</dc:title>
  <dc:subject>Revised MSc information booklet</dc:subject>
  <dc:creator>python-docx</dc:creator>
  <cp:keywords/>
  <dc:description/>
  <cp:lastModifiedBy>Fateha Altafi (2309157)</cp:lastModifiedBy>
  <cp:revision>6</cp:revision>
  <dcterms:created xsi:type="dcterms:W3CDTF">2026-10-20T11:47:00Z</dcterms:created>
  <dcterms:modified xsi:type="dcterms:W3CDTF">2026-10-22T19:31:00Z</dcterms:modified>
  <cp:category/>
</cp:coreProperties>
</file>