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7A797" w14:textId="77777777" w:rsidR="00C13E49" w:rsidRDefault="009A7B1B" w:rsidP="0080732E">
      <w:pPr>
        <w:spacing w:line="360" w:lineRule="auto"/>
        <w:jc w:val="both"/>
        <w:rPr>
          <w:rFonts w:ascii="Arial" w:hAnsi="Arial" w:cs="Arial"/>
          <w:sz w:val="22"/>
          <w:szCs w:val="22"/>
        </w:rPr>
      </w:pPr>
      <w:r>
        <w:rPr>
          <w:noProof/>
        </w:rPr>
        <w:drawing>
          <wp:inline distT="0" distB="0" distL="0" distR="0" wp14:anchorId="19C5AF31" wp14:editId="4FDEB940">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ED95810" w14:textId="77777777" w:rsidR="00C13E49" w:rsidRDefault="00C13E49" w:rsidP="0080732E">
      <w:pPr>
        <w:spacing w:line="360" w:lineRule="auto"/>
        <w:jc w:val="both"/>
        <w:rPr>
          <w:rFonts w:ascii="Arial" w:hAnsi="Arial" w:cs="Arial"/>
          <w:sz w:val="22"/>
          <w:szCs w:val="22"/>
        </w:rPr>
      </w:pPr>
    </w:p>
    <w:p w14:paraId="3C6099AB" w14:textId="7895332E" w:rsidR="00F6209F" w:rsidRPr="00702A74" w:rsidRDefault="00EF624C" w:rsidP="0080732E">
      <w:pPr>
        <w:spacing w:line="360" w:lineRule="auto"/>
        <w:jc w:val="both"/>
        <w:rPr>
          <w:rFonts w:ascii="Arial" w:hAnsi="Arial" w:cs="Arial"/>
          <w:sz w:val="22"/>
          <w:szCs w:val="22"/>
        </w:rPr>
      </w:pPr>
      <w:r>
        <w:rPr>
          <w:rFonts w:ascii="Arial" w:hAnsi="Arial" w:cs="Arial"/>
          <w:sz w:val="22"/>
          <w:szCs w:val="22"/>
        </w:rPr>
        <w:t>ST</w:t>
      </w:r>
      <w:r w:rsidR="00B3199B">
        <w:rPr>
          <w:rFonts w:ascii="Arial" w:hAnsi="Arial" w:cs="Arial"/>
          <w:sz w:val="22"/>
          <w:szCs w:val="22"/>
        </w:rPr>
        <w:t>UDEN</w:t>
      </w:r>
      <w:r w:rsidR="00220AEC">
        <w:rPr>
          <w:rFonts w:ascii="Arial" w:hAnsi="Arial" w:cs="Arial"/>
          <w:sz w:val="22"/>
          <w:szCs w:val="22"/>
        </w:rPr>
        <w:t xml:space="preserve">T </w:t>
      </w:r>
      <w:r w:rsidR="00C75640">
        <w:rPr>
          <w:rFonts w:ascii="Arial" w:hAnsi="Arial" w:cs="Arial"/>
          <w:sz w:val="22"/>
          <w:szCs w:val="22"/>
        </w:rPr>
        <w:t>NAME: ESTELA</w:t>
      </w:r>
      <w:r w:rsidR="006451B7">
        <w:rPr>
          <w:rFonts w:ascii="Arial" w:hAnsi="Arial" w:cs="Arial"/>
          <w:sz w:val="22"/>
          <w:szCs w:val="22"/>
        </w:rPr>
        <w:t xml:space="preserve"> </w:t>
      </w:r>
      <w:r w:rsidR="00F63498">
        <w:rPr>
          <w:rFonts w:ascii="Arial" w:hAnsi="Arial" w:cs="Arial"/>
          <w:sz w:val="22"/>
          <w:szCs w:val="22"/>
        </w:rPr>
        <w:t>LUCI</w:t>
      </w:r>
      <w:r w:rsidR="002352A6">
        <w:rPr>
          <w:rFonts w:ascii="Arial" w:hAnsi="Arial" w:cs="Arial"/>
          <w:sz w:val="22"/>
          <w:szCs w:val="22"/>
        </w:rPr>
        <w:t xml:space="preserve">NA </w:t>
      </w:r>
      <w:r w:rsidR="00562190">
        <w:rPr>
          <w:rFonts w:ascii="Arial" w:hAnsi="Arial" w:cs="Arial"/>
          <w:sz w:val="22"/>
          <w:szCs w:val="22"/>
        </w:rPr>
        <w:t>PERA</w:t>
      </w:r>
      <w:r w:rsidR="00A80349">
        <w:rPr>
          <w:rFonts w:ascii="Arial" w:hAnsi="Arial" w:cs="Arial"/>
          <w:sz w:val="22"/>
          <w:szCs w:val="22"/>
        </w:rPr>
        <w:t>LTA</w:t>
      </w:r>
    </w:p>
    <w:p w14:paraId="1547BAD5" w14:textId="76F06B46" w:rsidR="006B7540" w:rsidRDefault="00D60AC4" w:rsidP="0080732E">
      <w:pPr>
        <w:spacing w:line="360" w:lineRule="auto"/>
        <w:jc w:val="both"/>
        <w:rPr>
          <w:rFonts w:ascii="Arial" w:hAnsi="Arial" w:cs="Arial"/>
          <w:sz w:val="22"/>
          <w:szCs w:val="22"/>
        </w:rPr>
      </w:pPr>
      <w:r>
        <w:rPr>
          <w:rFonts w:ascii="Arial" w:hAnsi="Arial" w:cs="Arial"/>
          <w:sz w:val="22"/>
          <w:szCs w:val="22"/>
        </w:rPr>
        <w:t>ST</w:t>
      </w:r>
      <w:r w:rsidR="0011648A">
        <w:rPr>
          <w:rFonts w:ascii="Arial" w:hAnsi="Arial" w:cs="Arial"/>
          <w:sz w:val="22"/>
          <w:szCs w:val="22"/>
        </w:rPr>
        <w:t>UDENT</w:t>
      </w:r>
      <w:r w:rsidR="001704A6">
        <w:rPr>
          <w:rFonts w:ascii="Arial" w:hAnsi="Arial" w:cs="Arial"/>
          <w:sz w:val="22"/>
          <w:szCs w:val="22"/>
        </w:rPr>
        <w:t>’</w:t>
      </w:r>
      <w:r w:rsidR="009D385F">
        <w:rPr>
          <w:rFonts w:ascii="Arial" w:hAnsi="Arial" w:cs="Arial"/>
          <w:sz w:val="22"/>
          <w:szCs w:val="22"/>
        </w:rPr>
        <w:t xml:space="preserve"> </w:t>
      </w:r>
      <w:r w:rsidR="007E1DA1">
        <w:rPr>
          <w:rFonts w:ascii="Arial" w:hAnsi="Arial" w:cs="Arial"/>
          <w:sz w:val="22"/>
          <w:szCs w:val="22"/>
        </w:rPr>
        <w:t>ID</w:t>
      </w:r>
      <w:r w:rsidR="0070535F">
        <w:rPr>
          <w:rFonts w:ascii="Arial" w:hAnsi="Arial" w:cs="Arial"/>
          <w:sz w:val="22"/>
          <w:szCs w:val="22"/>
        </w:rPr>
        <w:t>:</w:t>
      </w:r>
      <w:r w:rsidR="00F61915">
        <w:rPr>
          <w:rFonts w:ascii="Arial" w:hAnsi="Arial" w:cs="Arial"/>
          <w:sz w:val="22"/>
          <w:szCs w:val="22"/>
        </w:rPr>
        <w:t>252</w:t>
      </w:r>
      <w:r w:rsidR="00213817">
        <w:rPr>
          <w:rFonts w:ascii="Arial" w:hAnsi="Arial" w:cs="Arial"/>
          <w:sz w:val="22"/>
          <w:szCs w:val="22"/>
        </w:rPr>
        <w:t>75</w:t>
      </w:r>
      <w:r w:rsidR="000A377D">
        <w:rPr>
          <w:rFonts w:ascii="Arial" w:hAnsi="Arial" w:cs="Arial"/>
          <w:sz w:val="22"/>
          <w:szCs w:val="22"/>
        </w:rPr>
        <w:t>58</w:t>
      </w:r>
    </w:p>
    <w:p w14:paraId="3C882682" w14:textId="6AB84E05" w:rsidR="00502712" w:rsidRDefault="00E00A4F" w:rsidP="0080732E">
      <w:pPr>
        <w:spacing w:line="360" w:lineRule="auto"/>
        <w:jc w:val="both"/>
        <w:rPr>
          <w:rFonts w:ascii="Arial" w:hAnsi="Arial" w:cs="Arial"/>
          <w:sz w:val="22"/>
          <w:szCs w:val="22"/>
        </w:rPr>
      </w:pPr>
      <w:r>
        <w:rPr>
          <w:rFonts w:ascii="Arial" w:hAnsi="Arial" w:cs="Arial"/>
          <w:sz w:val="22"/>
          <w:szCs w:val="22"/>
        </w:rPr>
        <w:t>MODULE; INTRODUCTION</w:t>
      </w:r>
      <w:r w:rsidR="00E47267">
        <w:rPr>
          <w:rFonts w:ascii="Arial" w:hAnsi="Arial" w:cs="Arial"/>
          <w:sz w:val="22"/>
          <w:szCs w:val="22"/>
        </w:rPr>
        <w:t xml:space="preserve"> </w:t>
      </w:r>
      <w:r w:rsidR="00DF1D25">
        <w:rPr>
          <w:rFonts w:ascii="Arial" w:hAnsi="Arial" w:cs="Arial"/>
          <w:sz w:val="22"/>
          <w:szCs w:val="22"/>
        </w:rPr>
        <w:t xml:space="preserve">TO </w:t>
      </w:r>
      <w:r w:rsidR="003064DD">
        <w:rPr>
          <w:rFonts w:ascii="Arial" w:hAnsi="Arial" w:cs="Arial"/>
          <w:sz w:val="22"/>
          <w:szCs w:val="22"/>
        </w:rPr>
        <w:t>PUB</w:t>
      </w:r>
      <w:r w:rsidR="00D37FFA">
        <w:rPr>
          <w:rFonts w:ascii="Arial" w:hAnsi="Arial" w:cs="Arial"/>
          <w:sz w:val="22"/>
          <w:szCs w:val="22"/>
        </w:rPr>
        <w:t xml:space="preserve">LIC </w:t>
      </w:r>
      <w:r w:rsidR="009F5EC4">
        <w:rPr>
          <w:rFonts w:ascii="Arial" w:hAnsi="Arial" w:cs="Arial"/>
          <w:sz w:val="22"/>
          <w:szCs w:val="22"/>
        </w:rPr>
        <w:t>HE</w:t>
      </w:r>
      <w:r w:rsidR="005F326F">
        <w:rPr>
          <w:rFonts w:ascii="Arial" w:hAnsi="Arial" w:cs="Arial"/>
          <w:sz w:val="22"/>
          <w:szCs w:val="22"/>
        </w:rPr>
        <w:t>ALTH</w:t>
      </w:r>
    </w:p>
    <w:p w14:paraId="5F97A5EB" w14:textId="73AE3997" w:rsidR="0095064D" w:rsidRDefault="00C43D28" w:rsidP="0080732E">
      <w:pPr>
        <w:spacing w:line="360" w:lineRule="auto"/>
        <w:jc w:val="both"/>
        <w:rPr>
          <w:rFonts w:ascii="Arial" w:hAnsi="Arial" w:cs="Arial"/>
          <w:sz w:val="22"/>
          <w:szCs w:val="22"/>
        </w:rPr>
      </w:pPr>
      <w:r>
        <w:rPr>
          <w:rFonts w:ascii="Arial" w:hAnsi="Arial" w:cs="Arial"/>
          <w:sz w:val="22"/>
          <w:szCs w:val="22"/>
        </w:rPr>
        <w:t>M</w:t>
      </w:r>
      <w:r w:rsidR="007349A9">
        <w:rPr>
          <w:rFonts w:ascii="Arial" w:hAnsi="Arial" w:cs="Arial"/>
          <w:sz w:val="22"/>
          <w:szCs w:val="22"/>
        </w:rPr>
        <w:t>ODU</w:t>
      </w:r>
      <w:r w:rsidR="00C46A2B">
        <w:rPr>
          <w:rFonts w:ascii="Arial" w:hAnsi="Arial" w:cs="Arial"/>
          <w:sz w:val="22"/>
          <w:szCs w:val="22"/>
        </w:rPr>
        <w:t>LE</w:t>
      </w:r>
      <w:r w:rsidR="00CF43DC">
        <w:rPr>
          <w:rFonts w:ascii="Arial" w:hAnsi="Arial" w:cs="Arial"/>
          <w:sz w:val="22"/>
          <w:szCs w:val="22"/>
        </w:rPr>
        <w:t xml:space="preserve"> </w:t>
      </w:r>
      <w:r w:rsidR="00AD0DC0">
        <w:rPr>
          <w:rFonts w:ascii="Arial" w:hAnsi="Arial" w:cs="Arial"/>
          <w:sz w:val="22"/>
          <w:szCs w:val="22"/>
        </w:rPr>
        <w:t>CODE: LCHS</w:t>
      </w:r>
      <w:r w:rsidR="0080531B">
        <w:rPr>
          <w:rFonts w:ascii="Arial" w:hAnsi="Arial" w:cs="Arial"/>
          <w:sz w:val="22"/>
          <w:szCs w:val="22"/>
        </w:rPr>
        <w:t>4</w:t>
      </w:r>
      <w:r w:rsidR="00F5626C">
        <w:rPr>
          <w:rFonts w:ascii="Arial" w:hAnsi="Arial" w:cs="Arial"/>
          <w:sz w:val="22"/>
          <w:szCs w:val="22"/>
        </w:rPr>
        <w:t>008</w:t>
      </w:r>
    </w:p>
    <w:p w14:paraId="3E2CDAC4" w14:textId="04CF2C74" w:rsidR="00AB7F78" w:rsidRDefault="00D05387" w:rsidP="0080732E">
      <w:pPr>
        <w:spacing w:line="360" w:lineRule="auto"/>
        <w:jc w:val="both"/>
        <w:rPr>
          <w:rFonts w:ascii="Arial" w:hAnsi="Arial" w:cs="Arial"/>
          <w:sz w:val="22"/>
          <w:szCs w:val="22"/>
        </w:rPr>
      </w:pPr>
      <w:r>
        <w:rPr>
          <w:rFonts w:ascii="Arial" w:hAnsi="Arial" w:cs="Arial"/>
          <w:sz w:val="22"/>
          <w:szCs w:val="22"/>
        </w:rPr>
        <w:t xml:space="preserve">LECTURER: </w:t>
      </w:r>
      <w:r w:rsidR="0048198B">
        <w:rPr>
          <w:rFonts w:ascii="Arial" w:hAnsi="Arial" w:cs="Arial"/>
          <w:sz w:val="22"/>
          <w:szCs w:val="22"/>
        </w:rPr>
        <w:t xml:space="preserve">Dr. </w:t>
      </w:r>
      <w:r w:rsidR="00BC4409">
        <w:rPr>
          <w:rFonts w:ascii="Arial" w:hAnsi="Arial" w:cs="Arial"/>
          <w:sz w:val="22"/>
          <w:szCs w:val="22"/>
        </w:rPr>
        <w:t>PAT</w:t>
      </w:r>
      <w:r w:rsidR="00A600FB">
        <w:rPr>
          <w:rFonts w:ascii="Arial" w:hAnsi="Arial" w:cs="Arial"/>
          <w:sz w:val="22"/>
          <w:szCs w:val="22"/>
        </w:rPr>
        <w:t>R</w:t>
      </w:r>
      <w:r w:rsidR="00BC4409">
        <w:rPr>
          <w:rFonts w:ascii="Arial" w:hAnsi="Arial" w:cs="Arial"/>
          <w:sz w:val="22"/>
          <w:szCs w:val="22"/>
        </w:rPr>
        <w:t>ONELLA GANZA</w:t>
      </w:r>
    </w:p>
    <w:p w14:paraId="42434631" w14:textId="5F2CD828" w:rsidR="00380C8F" w:rsidRDefault="00E85DFB" w:rsidP="0080732E">
      <w:pPr>
        <w:spacing w:line="360" w:lineRule="auto"/>
        <w:jc w:val="both"/>
        <w:rPr>
          <w:rFonts w:ascii="Arial" w:hAnsi="Arial" w:cs="Arial"/>
          <w:sz w:val="22"/>
          <w:szCs w:val="22"/>
        </w:rPr>
      </w:pPr>
      <w:r>
        <w:rPr>
          <w:rFonts w:ascii="Arial" w:hAnsi="Arial" w:cs="Arial"/>
          <w:sz w:val="22"/>
          <w:szCs w:val="22"/>
        </w:rPr>
        <w:t>AS</w:t>
      </w:r>
      <w:r w:rsidR="00BB31F0">
        <w:rPr>
          <w:rFonts w:ascii="Arial" w:hAnsi="Arial" w:cs="Arial"/>
          <w:sz w:val="22"/>
          <w:szCs w:val="22"/>
        </w:rPr>
        <w:t>SIGN</w:t>
      </w:r>
      <w:r w:rsidR="006503E2">
        <w:rPr>
          <w:rFonts w:ascii="Arial" w:hAnsi="Arial" w:cs="Arial"/>
          <w:sz w:val="22"/>
          <w:szCs w:val="22"/>
        </w:rPr>
        <w:t>MEN</w:t>
      </w:r>
      <w:r w:rsidR="009153D2">
        <w:rPr>
          <w:rFonts w:ascii="Arial" w:hAnsi="Arial" w:cs="Arial"/>
          <w:sz w:val="22"/>
          <w:szCs w:val="22"/>
        </w:rPr>
        <w:t xml:space="preserve">T </w:t>
      </w:r>
      <w:r w:rsidR="003D607F">
        <w:rPr>
          <w:rFonts w:ascii="Arial" w:hAnsi="Arial" w:cs="Arial"/>
          <w:sz w:val="22"/>
          <w:szCs w:val="22"/>
        </w:rPr>
        <w:t>TITLE: COMPONENT</w:t>
      </w:r>
      <w:r w:rsidR="00074F97">
        <w:rPr>
          <w:rFonts w:ascii="Arial" w:hAnsi="Arial" w:cs="Arial"/>
          <w:sz w:val="22"/>
          <w:szCs w:val="22"/>
        </w:rPr>
        <w:t xml:space="preserve"> </w:t>
      </w:r>
      <w:r w:rsidR="00274CE8">
        <w:rPr>
          <w:rFonts w:ascii="Arial" w:hAnsi="Arial" w:cs="Arial"/>
          <w:sz w:val="22"/>
          <w:szCs w:val="22"/>
        </w:rPr>
        <w:t>2: REPORT</w:t>
      </w:r>
      <w:r w:rsidR="00A07FF5">
        <w:rPr>
          <w:rFonts w:ascii="Arial" w:hAnsi="Arial" w:cs="Arial"/>
          <w:sz w:val="22"/>
          <w:szCs w:val="22"/>
        </w:rPr>
        <w:t xml:space="preserve"> ON</w:t>
      </w:r>
      <w:r w:rsidR="0024160E">
        <w:rPr>
          <w:rFonts w:ascii="Arial" w:hAnsi="Arial" w:cs="Arial"/>
          <w:sz w:val="22"/>
          <w:szCs w:val="22"/>
        </w:rPr>
        <w:t xml:space="preserve"> A </w:t>
      </w:r>
      <w:r w:rsidR="0090513F">
        <w:rPr>
          <w:rFonts w:ascii="Arial" w:hAnsi="Arial" w:cs="Arial"/>
          <w:sz w:val="22"/>
          <w:szCs w:val="22"/>
        </w:rPr>
        <w:t>HE</w:t>
      </w:r>
      <w:r w:rsidR="00271495">
        <w:rPr>
          <w:rFonts w:ascii="Arial" w:hAnsi="Arial" w:cs="Arial"/>
          <w:sz w:val="22"/>
          <w:szCs w:val="22"/>
        </w:rPr>
        <w:t xml:space="preserve">ALTH </w:t>
      </w:r>
      <w:r w:rsidR="00C842AE">
        <w:rPr>
          <w:rFonts w:ascii="Arial" w:hAnsi="Arial" w:cs="Arial"/>
          <w:sz w:val="22"/>
          <w:szCs w:val="22"/>
        </w:rPr>
        <w:t>ISS</w:t>
      </w:r>
      <w:r w:rsidR="00EA21CA">
        <w:rPr>
          <w:rFonts w:ascii="Arial" w:hAnsi="Arial" w:cs="Arial"/>
          <w:sz w:val="22"/>
          <w:szCs w:val="22"/>
        </w:rPr>
        <w:t>UE</w:t>
      </w:r>
    </w:p>
    <w:p w14:paraId="1747DC94" w14:textId="12528078" w:rsidR="00E33989" w:rsidRDefault="00B3442C" w:rsidP="0080732E">
      <w:pPr>
        <w:spacing w:line="360" w:lineRule="auto"/>
        <w:jc w:val="both"/>
        <w:rPr>
          <w:rFonts w:ascii="Arial" w:hAnsi="Arial" w:cs="Arial"/>
          <w:sz w:val="22"/>
          <w:szCs w:val="22"/>
        </w:rPr>
      </w:pPr>
      <w:r>
        <w:rPr>
          <w:rFonts w:ascii="Arial" w:hAnsi="Arial" w:cs="Arial"/>
          <w:sz w:val="22"/>
          <w:szCs w:val="22"/>
        </w:rPr>
        <w:t>SU</w:t>
      </w:r>
      <w:r w:rsidR="00C97C4B">
        <w:rPr>
          <w:rFonts w:ascii="Arial" w:hAnsi="Arial" w:cs="Arial"/>
          <w:sz w:val="22"/>
          <w:szCs w:val="22"/>
        </w:rPr>
        <w:t>BMISSI</w:t>
      </w:r>
      <w:r w:rsidR="00135BCD">
        <w:rPr>
          <w:rFonts w:ascii="Arial" w:hAnsi="Arial" w:cs="Arial"/>
          <w:sz w:val="22"/>
          <w:szCs w:val="22"/>
        </w:rPr>
        <w:t xml:space="preserve">ON </w:t>
      </w:r>
      <w:r w:rsidR="0045285E">
        <w:rPr>
          <w:rFonts w:ascii="Arial" w:hAnsi="Arial" w:cs="Arial"/>
          <w:sz w:val="22"/>
          <w:szCs w:val="22"/>
        </w:rPr>
        <w:t>DEADLINE: AUGUST</w:t>
      </w:r>
      <w:r w:rsidR="00970E47">
        <w:rPr>
          <w:rFonts w:ascii="Arial" w:hAnsi="Arial" w:cs="Arial"/>
          <w:sz w:val="22"/>
          <w:szCs w:val="22"/>
        </w:rPr>
        <w:t xml:space="preserve"> </w:t>
      </w:r>
      <w:r w:rsidR="00013B34">
        <w:rPr>
          <w:rFonts w:ascii="Arial" w:hAnsi="Arial" w:cs="Arial"/>
          <w:sz w:val="22"/>
          <w:szCs w:val="22"/>
        </w:rPr>
        <w:t>1</w:t>
      </w:r>
      <w:r w:rsidR="002E6E52">
        <w:rPr>
          <w:rFonts w:ascii="Arial" w:hAnsi="Arial" w:cs="Arial"/>
          <w:sz w:val="22"/>
          <w:szCs w:val="22"/>
        </w:rPr>
        <w:t>8</w:t>
      </w:r>
      <w:r w:rsidR="002579F8">
        <w:rPr>
          <w:rFonts w:ascii="Arial" w:hAnsi="Arial" w:cs="Arial"/>
          <w:sz w:val="22"/>
          <w:szCs w:val="22"/>
        </w:rPr>
        <w:t>,20</w:t>
      </w:r>
      <w:r w:rsidR="00853E0D">
        <w:rPr>
          <w:rFonts w:ascii="Arial" w:hAnsi="Arial" w:cs="Arial"/>
          <w:sz w:val="22"/>
          <w:szCs w:val="22"/>
        </w:rPr>
        <w:t>26</w:t>
      </w:r>
      <w:r w:rsidR="00194C25">
        <w:rPr>
          <w:rFonts w:ascii="Arial" w:hAnsi="Arial" w:cs="Arial"/>
          <w:sz w:val="22"/>
          <w:szCs w:val="22"/>
        </w:rPr>
        <w:t xml:space="preserve"> </w:t>
      </w:r>
    </w:p>
    <w:p w14:paraId="0A8E9FA3" w14:textId="77777777" w:rsidR="006400B8" w:rsidRDefault="006400B8" w:rsidP="0080732E">
      <w:pPr>
        <w:spacing w:line="360" w:lineRule="auto"/>
        <w:jc w:val="both"/>
        <w:rPr>
          <w:rFonts w:ascii="Arial" w:hAnsi="Arial" w:cs="Arial"/>
          <w:sz w:val="22"/>
          <w:szCs w:val="22"/>
        </w:rPr>
      </w:pPr>
    </w:p>
    <w:p w14:paraId="315D07FE" w14:textId="77777777" w:rsidR="006400B8" w:rsidRDefault="006400B8" w:rsidP="0080732E">
      <w:pPr>
        <w:spacing w:line="360" w:lineRule="auto"/>
        <w:jc w:val="both"/>
        <w:rPr>
          <w:rFonts w:ascii="Arial" w:hAnsi="Arial" w:cs="Arial"/>
          <w:sz w:val="22"/>
          <w:szCs w:val="22"/>
        </w:rPr>
      </w:pPr>
    </w:p>
    <w:p w14:paraId="2FD5E102" w14:textId="46CBBDCA" w:rsidR="006400B8" w:rsidRDefault="006400B8" w:rsidP="0080732E">
      <w:pPr>
        <w:spacing w:line="360" w:lineRule="auto"/>
        <w:jc w:val="both"/>
        <w:rPr>
          <w:rFonts w:ascii="Arial" w:hAnsi="Arial" w:cs="Arial"/>
          <w:sz w:val="22"/>
          <w:szCs w:val="22"/>
        </w:rPr>
      </w:pPr>
      <w:r>
        <w:rPr>
          <w:rFonts w:ascii="Arial" w:hAnsi="Arial" w:cs="Arial"/>
          <w:sz w:val="22"/>
          <w:szCs w:val="22"/>
        </w:rPr>
        <w:t>TABLE OF CONTENTS</w:t>
      </w:r>
    </w:p>
    <w:p w14:paraId="3B967852" w14:textId="6914C19E" w:rsidR="00B85B05" w:rsidRDefault="006400B8" w:rsidP="0080732E">
      <w:pPr>
        <w:spacing w:line="360" w:lineRule="auto"/>
        <w:jc w:val="both"/>
        <w:rPr>
          <w:rFonts w:ascii="Arial" w:hAnsi="Arial" w:cs="Arial"/>
          <w:sz w:val="22"/>
          <w:szCs w:val="22"/>
        </w:rPr>
      </w:pPr>
      <w:r>
        <w:rPr>
          <w:rFonts w:ascii="Arial" w:hAnsi="Arial" w:cs="Arial"/>
          <w:sz w:val="22"/>
          <w:szCs w:val="22"/>
        </w:rPr>
        <w:t>TITLE PAGE</w:t>
      </w:r>
      <w:r w:rsidR="004E694F">
        <w:rPr>
          <w:rFonts w:ascii="Arial" w:hAnsi="Arial" w:cs="Arial"/>
          <w:sz w:val="22"/>
          <w:szCs w:val="22"/>
        </w:rPr>
        <w:t xml:space="preserve">                                                                                      </w:t>
      </w:r>
      <w:r w:rsidR="00B85B05">
        <w:rPr>
          <w:rFonts w:ascii="Arial" w:hAnsi="Arial" w:cs="Arial"/>
          <w:sz w:val="22"/>
          <w:szCs w:val="22"/>
        </w:rPr>
        <w:t xml:space="preserve">    ……………………</w:t>
      </w:r>
      <w:r w:rsidR="002C07DB">
        <w:rPr>
          <w:rFonts w:ascii="Arial" w:hAnsi="Arial" w:cs="Arial"/>
          <w:sz w:val="22"/>
          <w:szCs w:val="22"/>
        </w:rPr>
        <w:t>…..1</w:t>
      </w:r>
    </w:p>
    <w:p w14:paraId="3B8066EA" w14:textId="569E8A94" w:rsidR="004E1C3F" w:rsidRDefault="004E1C3F" w:rsidP="0080732E">
      <w:pPr>
        <w:spacing w:line="360" w:lineRule="auto"/>
        <w:jc w:val="both"/>
        <w:rPr>
          <w:rFonts w:ascii="Arial" w:hAnsi="Arial" w:cs="Arial"/>
          <w:sz w:val="22"/>
          <w:szCs w:val="22"/>
        </w:rPr>
      </w:pPr>
      <w:r>
        <w:rPr>
          <w:rFonts w:ascii="Arial" w:hAnsi="Arial" w:cs="Arial"/>
          <w:sz w:val="22"/>
          <w:szCs w:val="22"/>
        </w:rPr>
        <w:t>INTRODUCTION</w:t>
      </w:r>
      <w:r w:rsidR="00B85B05">
        <w:rPr>
          <w:rFonts w:ascii="Arial" w:hAnsi="Arial" w:cs="Arial"/>
          <w:sz w:val="22"/>
          <w:szCs w:val="22"/>
        </w:rPr>
        <w:t xml:space="preserve">                                                                                    ……………………</w:t>
      </w:r>
      <w:r w:rsidR="002C07DB">
        <w:rPr>
          <w:rFonts w:ascii="Arial" w:hAnsi="Arial" w:cs="Arial"/>
          <w:sz w:val="22"/>
          <w:szCs w:val="22"/>
        </w:rPr>
        <w:t>….2</w:t>
      </w:r>
    </w:p>
    <w:p w14:paraId="6E9BAC7E" w14:textId="1693335F" w:rsidR="004E1C3F" w:rsidRDefault="004E1C3F" w:rsidP="0080732E">
      <w:pPr>
        <w:spacing w:line="360" w:lineRule="auto"/>
        <w:jc w:val="both"/>
        <w:rPr>
          <w:rFonts w:ascii="Arial" w:hAnsi="Arial" w:cs="Arial"/>
          <w:sz w:val="22"/>
          <w:szCs w:val="22"/>
        </w:rPr>
      </w:pPr>
      <w:r>
        <w:rPr>
          <w:rFonts w:ascii="Arial" w:hAnsi="Arial" w:cs="Arial"/>
          <w:sz w:val="22"/>
          <w:szCs w:val="22"/>
        </w:rPr>
        <w:t>MEASURE AND MONITOR</w:t>
      </w:r>
      <w:r w:rsidR="00724F59">
        <w:rPr>
          <w:rFonts w:ascii="Arial" w:hAnsi="Arial" w:cs="Arial"/>
          <w:sz w:val="22"/>
          <w:szCs w:val="22"/>
        </w:rPr>
        <w:t xml:space="preserve">                                                                      </w:t>
      </w:r>
      <w:r w:rsidR="00C10AD1">
        <w:rPr>
          <w:rFonts w:ascii="Arial" w:hAnsi="Arial" w:cs="Arial"/>
          <w:sz w:val="22"/>
          <w:szCs w:val="22"/>
        </w:rPr>
        <w:t>,,,,,,,,,,,,,,,,,,,,,,,,,,,.</w:t>
      </w:r>
      <w:r w:rsidR="002C07DB">
        <w:rPr>
          <w:rFonts w:ascii="Arial" w:hAnsi="Arial" w:cs="Arial"/>
          <w:sz w:val="22"/>
          <w:szCs w:val="22"/>
        </w:rPr>
        <w:t>2-3</w:t>
      </w:r>
    </w:p>
    <w:p w14:paraId="266A0C7D" w14:textId="1D5511E9" w:rsidR="004E1C3F" w:rsidRDefault="00D43CBE" w:rsidP="0080732E">
      <w:pPr>
        <w:spacing w:line="360" w:lineRule="auto"/>
        <w:jc w:val="both"/>
        <w:rPr>
          <w:rFonts w:ascii="Arial" w:hAnsi="Arial" w:cs="Arial"/>
          <w:sz w:val="22"/>
          <w:szCs w:val="22"/>
        </w:rPr>
      </w:pPr>
      <w:r>
        <w:rPr>
          <w:rFonts w:ascii="Arial" w:hAnsi="Arial" w:cs="Arial"/>
          <w:sz w:val="22"/>
          <w:szCs w:val="22"/>
        </w:rPr>
        <w:t>CONTROL</w:t>
      </w:r>
      <w:r w:rsidR="002C07DB">
        <w:rPr>
          <w:rFonts w:ascii="Arial" w:hAnsi="Arial" w:cs="Arial"/>
          <w:sz w:val="22"/>
          <w:szCs w:val="22"/>
        </w:rPr>
        <w:t xml:space="preserve">                                                                                                 ……………………</w:t>
      </w:r>
      <w:r w:rsidR="00C10AD1">
        <w:rPr>
          <w:rFonts w:ascii="Arial" w:hAnsi="Arial" w:cs="Arial"/>
          <w:sz w:val="22"/>
          <w:szCs w:val="22"/>
        </w:rPr>
        <w:t>3-4</w:t>
      </w:r>
    </w:p>
    <w:p w14:paraId="5A71A3A5" w14:textId="14DB95AF" w:rsidR="00D43CBE" w:rsidRDefault="00D43CBE" w:rsidP="0080732E">
      <w:pPr>
        <w:spacing w:line="360" w:lineRule="auto"/>
        <w:jc w:val="both"/>
        <w:rPr>
          <w:rFonts w:ascii="Arial" w:hAnsi="Arial" w:cs="Arial"/>
          <w:sz w:val="22"/>
          <w:szCs w:val="22"/>
        </w:rPr>
      </w:pPr>
      <w:r>
        <w:rPr>
          <w:rFonts w:ascii="Arial" w:hAnsi="Arial" w:cs="Arial"/>
          <w:sz w:val="22"/>
          <w:szCs w:val="22"/>
        </w:rPr>
        <w:t>THE IMPACT OF DEPRESSION</w:t>
      </w:r>
      <w:r w:rsidR="009C2CBC">
        <w:rPr>
          <w:rFonts w:ascii="Arial" w:hAnsi="Arial" w:cs="Arial"/>
          <w:sz w:val="22"/>
          <w:szCs w:val="22"/>
        </w:rPr>
        <w:t xml:space="preserve"> ON PEOPLE IN THE COMMUNITY</w:t>
      </w:r>
      <w:r w:rsidR="002F338D">
        <w:rPr>
          <w:rFonts w:ascii="Arial" w:hAnsi="Arial" w:cs="Arial"/>
          <w:sz w:val="22"/>
          <w:szCs w:val="22"/>
        </w:rPr>
        <w:t xml:space="preserve">    …………………….</w:t>
      </w:r>
      <w:r w:rsidR="00D41005">
        <w:rPr>
          <w:rFonts w:ascii="Arial" w:hAnsi="Arial" w:cs="Arial"/>
          <w:sz w:val="22"/>
          <w:szCs w:val="22"/>
        </w:rPr>
        <w:t>.5</w:t>
      </w:r>
    </w:p>
    <w:p w14:paraId="524EA366" w14:textId="1FB322E4" w:rsidR="009C2CBC" w:rsidRDefault="009C2CBC" w:rsidP="0080732E">
      <w:pPr>
        <w:spacing w:line="360" w:lineRule="auto"/>
        <w:jc w:val="both"/>
        <w:rPr>
          <w:rFonts w:ascii="Arial" w:hAnsi="Arial" w:cs="Arial"/>
          <w:sz w:val="22"/>
          <w:szCs w:val="22"/>
        </w:rPr>
      </w:pPr>
      <w:r>
        <w:rPr>
          <w:rFonts w:ascii="Arial" w:hAnsi="Arial" w:cs="Arial"/>
          <w:sz w:val="22"/>
          <w:szCs w:val="22"/>
        </w:rPr>
        <w:t>HEALTH AND SOCIAL CARE SUPPORT SERVICES</w:t>
      </w:r>
      <w:r w:rsidR="00EF3951">
        <w:rPr>
          <w:rFonts w:ascii="Arial" w:hAnsi="Arial" w:cs="Arial"/>
          <w:sz w:val="22"/>
          <w:szCs w:val="22"/>
        </w:rPr>
        <w:t xml:space="preserve">                             …………………</w:t>
      </w:r>
      <w:r w:rsidR="00D41005">
        <w:rPr>
          <w:rFonts w:ascii="Arial" w:hAnsi="Arial" w:cs="Arial"/>
          <w:sz w:val="22"/>
          <w:szCs w:val="22"/>
        </w:rPr>
        <w:t>…...6</w:t>
      </w:r>
    </w:p>
    <w:p w14:paraId="2AF3B98F" w14:textId="7CBD2A74" w:rsidR="009C2CBC" w:rsidRDefault="0057040F" w:rsidP="0080732E">
      <w:pPr>
        <w:spacing w:line="360" w:lineRule="auto"/>
        <w:jc w:val="both"/>
        <w:rPr>
          <w:rFonts w:ascii="Arial" w:hAnsi="Arial" w:cs="Arial"/>
          <w:sz w:val="22"/>
          <w:szCs w:val="22"/>
        </w:rPr>
      </w:pPr>
      <w:r>
        <w:rPr>
          <w:rFonts w:ascii="Arial" w:hAnsi="Arial" w:cs="Arial"/>
          <w:sz w:val="22"/>
          <w:szCs w:val="22"/>
        </w:rPr>
        <w:t>CONCLUSION</w:t>
      </w:r>
      <w:r w:rsidR="00880AB0">
        <w:rPr>
          <w:rFonts w:ascii="Arial" w:hAnsi="Arial" w:cs="Arial"/>
          <w:sz w:val="22"/>
          <w:szCs w:val="22"/>
        </w:rPr>
        <w:t xml:space="preserve">                                                                                          …………………</w:t>
      </w:r>
      <w:r w:rsidR="00D41005">
        <w:rPr>
          <w:rFonts w:ascii="Arial" w:hAnsi="Arial" w:cs="Arial"/>
          <w:sz w:val="22"/>
          <w:szCs w:val="22"/>
        </w:rPr>
        <w:t>…...</w:t>
      </w:r>
      <w:r w:rsidR="00880AB0">
        <w:rPr>
          <w:rFonts w:ascii="Arial" w:hAnsi="Arial" w:cs="Arial"/>
          <w:sz w:val="22"/>
          <w:szCs w:val="22"/>
        </w:rPr>
        <w:t>7</w:t>
      </w:r>
    </w:p>
    <w:p w14:paraId="7F3997EF" w14:textId="10B9D5C0" w:rsidR="0057040F" w:rsidRDefault="0057040F" w:rsidP="0080732E">
      <w:pPr>
        <w:spacing w:line="360" w:lineRule="auto"/>
        <w:jc w:val="both"/>
        <w:rPr>
          <w:rFonts w:ascii="Arial" w:hAnsi="Arial" w:cs="Arial"/>
          <w:sz w:val="22"/>
          <w:szCs w:val="22"/>
        </w:rPr>
      </w:pPr>
      <w:r>
        <w:rPr>
          <w:rFonts w:ascii="Arial" w:hAnsi="Arial" w:cs="Arial"/>
          <w:sz w:val="22"/>
          <w:szCs w:val="22"/>
        </w:rPr>
        <w:t>REFERENCES</w:t>
      </w:r>
      <w:r w:rsidR="00880AB0">
        <w:rPr>
          <w:rFonts w:ascii="Arial" w:hAnsi="Arial" w:cs="Arial"/>
          <w:sz w:val="22"/>
          <w:szCs w:val="22"/>
        </w:rPr>
        <w:t xml:space="preserve">                                                                                         ………………………7</w:t>
      </w:r>
    </w:p>
    <w:p w14:paraId="625C581D" w14:textId="0AD48D92" w:rsidR="008C3883" w:rsidRDefault="008C3883" w:rsidP="0080732E">
      <w:pPr>
        <w:spacing w:line="360" w:lineRule="auto"/>
        <w:jc w:val="both"/>
        <w:rPr>
          <w:rFonts w:ascii="Arial" w:hAnsi="Arial" w:cs="Arial"/>
          <w:sz w:val="22"/>
          <w:szCs w:val="22"/>
        </w:rPr>
      </w:pPr>
    </w:p>
    <w:p w14:paraId="4C30EFC8" w14:textId="77777777" w:rsidR="0057040F" w:rsidRDefault="0057040F" w:rsidP="00F6209F"/>
    <w:p w14:paraId="586BDA12" w14:textId="77777777" w:rsidR="009103AF" w:rsidRDefault="009103AF" w:rsidP="00F6209F"/>
    <w:p w14:paraId="60F419C0" w14:textId="6F2E25C5" w:rsidR="00F6209F" w:rsidRDefault="00F6209F" w:rsidP="00F6209F">
      <w:r>
        <w:lastRenderedPageBreak/>
        <w:t>I</w:t>
      </w:r>
      <w:r w:rsidR="00BF213E">
        <w:t>NTR</w:t>
      </w:r>
      <w:r w:rsidR="00930854">
        <w:t>OD</w:t>
      </w:r>
      <w:r w:rsidR="00D0770A">
        <w:t>UCTION</w:t>
      </w:r>
    </w:p>
    <w:p w14:paraId="3980D0BB" w14:textId="77777777" w:rsidR="0039113E" w:rsidRDefault="00F6209F" w:rsidP="0039113E">
      <w:pPr>
        <w:spacing w:line="360" w:lineRule="auto"/>
        <w:jc w:val="both"/>
      </w:pPr>
      <w:r>
        <w:t xml:space="preserve">Depression is a prevalent mental health disorder characterized by a persistent low mood or loss of interest in activities, significantly impacting emotional well-being, cognition, </w:t>
      </w:r>
      <w:r w:rsidR="000C6EC8">
        <w:t>behaviour</w:t>
      </w:r>
      <w:r>
        <w:t>, relationships, and daily functioning (World Health Organization (WHO), 2025). Symptoms include sadness, hopelessness, low self-esteem, fatigue, poor concentration, disturbed sleep, changes in appetite, and thoughts of death or suicide (WHO, 2025). As a major global public health concern, the WHO estimates that about 332 million people worldwide suffer from depression, accounting for approximately 5.7% of adults (WHO, 2025). In Great Britain, 18% of adults aged 16 and over reported moderate-to-severe depressive symptoms in April 2025, up from 16% in autumn 2022 (Office for National Statistics (ONS), 2025). Among those aged 16–29, the rate was 26%, highlighting the particularly high prevalence among younger adults (ONS, 2025). This report explores how depression is measured and monitored, its management and</w:t>
      </w:r>
      <w:r w:rsidR="002A7DF6">
        <w:t xml:space="preserve"> </w:t>
      </w:r>
      <w:r>
        <w:t xml:space="preserve">control, its impact on communities, and the </w:t>
      </w:r>
      <w:r w:rsidRPr="00EA7CF3">
        <w:rPr>
          <w:rFonts w:ascii="Arial" w:hAnsi="Arial" w:cs="Arial"/>
          <w:sz w:val="22"/>
          <w:szCs w:val="22"/>
        </w:rPr>
        <w:t>necessary</w:t>
      </w:r>
      <w:r>
        <w:t xml:space="preserve"> health and social care services to</w:t>
      </w:r>
      <w:r w:rsidR="00D46DF9">
        <w:t xml:space="preserve"> </w:t>
      </w:r>
      <w:r>
        <w:t>support affected individuals.</w:t>
      </w:r>
    </w:p>
    <w:p w14:paraId="23A57A48" w14:textId="23316873" w:rsidR="00F6209F" w:rsidRDefault="00DA619B" w:rsidP="0039113E">
      <w:pPr>
        <w:spacing w:line="360" w:lineRule="auto"/>
        <w:jc w:val="both"/>
      </w:pPr>
      <w:r>
        <w:t>ME</w:t>
      </w:r>
      <w:r w:rsidR="00653DFC">
        <w:t>ASURE</w:t>
      </w:r>
      <w:r w:rsidR="00275346">
        <w:t xml:space="preserve"> </w:t>
      </w:r>
      <w:r w:rsidR="00187E59">
        <w:t xml:space="preserve">AND </w:t>
      </w:r>
      <w:r w:rsidR="004E6F46">
        <w:t>MONI</w:t>
      </w:r>
      <w:r w:rsidR="00517DCC">
        <w:t>TOR</w:t>
      </w:r>
    </w:p>
    <w:p w14:paraId="1E50D39B" w14:textId="77777777" w:rsidR="00F6209F" w:rsidRDefault="00F6209F" w:rsidP="00FF5833">
      <w:pPr>
        <w:jc w:val="both"/>
      </w:pPr>
      <w:r>
        <w:t>Accurate measurement of depression is crucial for identifying symptoms, assessing their severity, and determining suitable treatment. Depression is assessed through clinical evaluations and validated tools. The Patient Health Questionnaire-9 (PHQ-9) is a commonly used tool that evaluates nine depressive symptoms experienced over the past two weeks, providing a score that indicates symptom severity (Kroenke, Spitzer, and Williams, 2001). The PHQ-9 can aid in initial assessment and offer a baseline for comparing symptom changes during treatment.</w:t>
      </w:r>
    </w:p>
    <w:p w14:paraId="1DD2A4AC" w14:textId="77777777" w:rsidR="00F6209F" w:rsidRDefault="00F6209F" w:rsidP="00F6209F">
      <w:r>
        <w:t>The Beck Depression Inventory-II (BDI-II) is another self-report measure for assessing depressive symptoms, focusing on cognitive, emotional, and physical aspects of depression to determine symptom severity (Beck, Steer, and Brown, 1996). Other scales may be chosen based on the healthcare setting and individual needs.</w:t>
      </w:r>
    </w:p>
    <w:p w14:paraId="35041946" w14:textId="55362595" w:rsidR="00F6209F" w:rsidRPr="00E75319" w:rsidRDefault="00F6209F" w:rsidP="004F1A19">
      <w:pPr>
        <w:spacing w:line="360" w:lineRule="auto"/>
        <w:jc w:val="both"/>
        <w:rPr>
          <w:rFonts w:ascii="Arial" w:hAnsi="Arial" w:cs="Arial"/>
          <w:sz w:val="22"/>
          <w:szCs w:val="22"/>
        </w:rPr>
      </w:pPr>
      <w:r>
        <w:t>However, assessment tools should not be used alone to diagnose depression. NICE (2022) advises that validated measures can support assessment and evaluate treatment outcomes, but healthcare professionals should also consider the individual’s symptoms, history, functioning, relationships, and social circumstances. Clinical interviews allow professionals to explore contributing factors to depression and determine if another</w:t>
      </w:r>
      <w:r w:rsidR="00DB1C49">
        <w:t xml:space="preserve"> </w:t>
      </w:r>
      <w:r>
        <w:lastRenderedPageBreak/>
        <w:t>mental or physical health condition may be responsible for symptoms (N</w:t>
      </w:r>
      <w:r w:rsidR="00C52D90">
        <w:t xml:space="preserve">ational Institute of Health and </w:t>
      </w:r>
      <w:r w:rsidR="00175E61">
        <w:t xml:space="preserve">Care </w:t>
      </w:r>
      <w:r w:rsidR="004F1A19">
        <w:t>Excellence (</w:t>
      </w:r>
      <w:r w:rsidR="001C38EB" w:rsidRPr="004F1A19">
        <w:rPr>
          <w:rFonts w:ascii="Arial" w:hAnsi="Arial" w:cs="Arial"/>
          <w:sz w:val="22"/>
          <w:szCs w:val="22"/>
        </w:rPr>
        <w:t>NICE</w:t>
      </w:r>
      <w:r w:rsidR="001C38EB">
        <w:t>),</w:t>
      </w:r>
      <w:r w:rsidR="00BF55BF">
        <w:t>2022).</w:t>
      </w:r>
    </w:p>
    <w:p w14:paraId="794A7482" w14:textId="77777777" w:rsidR="00F6209F" w:rsidRDefault="00F6209F" w:rsidP="004F1A19">
      <w:pPr>
        <w:jc w:val="both"/>
      </w:pPr>
      <w:r>
        <w:t xml:space="preserve">Risk assessment is also a vital component of measurement. Professionals should evaluate suicidal thoughts, self-harm, neglect, and other risks when clinically appropriate. Assessment should also consider how </w:t>
      </w:r>
      <w:r w:rsidRPr="004F1A19">
        <w:rPr>
          <w:rFonts w:ascii="Arial" w:hAnsi="Arial" w:cs="Arial"/>
          <w:sz w:val="22"/>
          <w:szCs w:val="22"/>
        </w:rPr>
        <w:t>depression</w:t>
      </w:r>
      <w:r>
        <w:t xml:space="preserve"> affects employment, education, family relationships, self-care, and community participation. Therefore, effective measurement involves more than obtaining a questionnaire score; it requires a comprehensive assessment of the individual’s mental health and circumstances.</w:t>
      </w:r>
    </w:p>
    <w:p w14:paraId="05EF0007" w14:textId="77777777" w:rsidR="00F6209F" w:rsidRDefault="00F6209F" w:rsidP="00D178AB">
      <w:pPr>
        <w:jc w:val="both"/>
      </w:pPr>
      <w:r>
        <w:t>Ongoing monitoring of depression is essential to determine if symptoms are improving, remaining unchanged, or worsening. NICE (2022) recommends reviewing treatment effectiveness between two and four weeks after initiation. Monitoring should include treatment adherence, side effects, suicidal thoughts, and overall response.</w:t>
      </w:r>
    </w:p>
    <w:p w14:paraId="3CE0B741" w14:textId="77777777" w:rsidR="00F6209F" w:rsidRDefault="00F6209F" w:rsidP="00D178AB">
      <w:pPr>
        <w:jc w:val="both"/>
      </w:pPr>
      <w:r>
        <w:t>Repeated use of tools like the PHQ-9 can help professionals identify changes in symptom severity. For instance, a reduced score may indicate a positive treatment effect (Kroenke, Spitzer, and Williams, 2001). However, questionnaire scores should be interpreted alongside clinical judgment and the individual’s experience. A person may have fewer depressive symptoms but still face challenges with employment, relationships, or daily living.</w:t>
      </w:r>
    </w:p>
    <w:p w14:paraId="13E3009F" w14:textId="48D2D531" w:rsidR="00F6209F" w:rsidRDefault="00F6209F" w:rsidP="00D178AB">
      <w:pPr>
        <w:jc w:val="both"/>
      </w:pPr>
      <w:r>
        <w:t>Monitoring should encompass psychological and social functioning. Professionals can assess sleep, appetite, energy, concentration, motivation, relationships, and the ability to complete daily activities. Monitoring medication is also critical, as antidepressants can cause adverse effects, and some individuals may struggle with consistent medication intake (N</w:t>
      </w:r>
      <w:r w:rsidR="000F4F99">
        <w:t>a</w:t>
      </w:r>
      <w:r w:rsidR="00454259">
        <w:t>tion</w:t>
      </w:r>
      <w:r w:rsidR="00026C50">
        <w:t xml:space="preserve">al </w:t>
      </w:r>
      <w:r w:rsidR="00615912">
        <w:t>I</w:t>
      </w:r>
      <w:r w:rsidR="00EC6FCD">
        <w:t>nstit</w:t>
      </w:r>
      <w:r w:rsidR="005069E5">
        <w:t>ute</w:t>
      </w:r>
      <w:r w:rsidR="00B04FD7">
        <w:t xml:space="preserve"> </w:t>
      </w:r>
      <w:r w:rsidR="005E38C0">
        <w:t xml:space="preserve">of </w:t>
      </w:r>
      <w:r w:rsidR="005028D7">
        <w:t>Hea</w:t>
      </w:r>
      <w:r w:rsidR="00C02A7A">
        <w:t>lth a</w:t>
      </w:r>
      <w:r w:rsidR="00572F84">
        <w:t>n</w:t>
      </w:r>
      <w:r w:rsidR="000E6396">
        <w:t xml:space="preserve">d </w:t>
      </w:r>
      <w:r w:rsidR="005158C9">
        <w:t>C</w:t>
      </w:r>
      <w:r w:rsidR="006328A4">
        <w:t>are</w:t>
      </w:r>
      <w:r w:rsidR="001706FE">
        <w:t xml:space="preserve"> </w:t>
      </w:r>
      <w:r w:rsidR="00E75319">
        <w:t>Excellence (</w:t>
      </w:r>
      <w:r w:rsidR="00443422">
        <w:t>NICE</w:t>
      </w:r>
      <w:r w:rsidR="00ED36B6">
        <w:t>)</w:t>
      </w:r>
      <w:r w:rsidR="00153743">
        <w:t>,</w:t>
      </w:r>
      <w:r>
        <w:t xml:space="preserve"> 2022).</w:t>
      </w:r>
    </w:p>
    <w:p w14:paraId="069B9C99" w14:textId="77777777" w:rsidR="00F6209F" w:rsidRDefault="00F6209F" w:rsidP="00F6209F">
      <w:r>
        <w:t>Suicide and self-harm risk should be given particular attention. Individuals with worsening depression or significant treatment changes may need additional assessment and support (NICE, 2022). Monitoring also aids in relapse prevention. Those who have experienced previous depressive episodes can be encouraged to recognize early warning signs and seek help before symptoms become severe.</w:t>
      </w:r>
    </w:p>
    <w:p w14:paraId="1AD33BFA" w14:textId="77777777" w:rsidR="00F6209F" w:rsidRDefault="00F6209F" w:rsidP="00F6209F">
      <w:r>
        <w:t>Consequently, effective monitoring should be regular, person-centered, and collaborative. NICE (2022) recommends routine outcome monitoring using validated measures and follow-up as part of depression care. Combining measurement tools with clinical assessment and information about the individual’s daily functioning provides a more comprehensive picture of recovery.</w:t>
      </w:r>
    </w:p>
    <w:p w14:paraId="2F8E7AA2" w14:textId="77777777" w:rsidR="00E75319" w:rsidRDefault="00E75319" w:rsidP="00F6209F"/>
    <w:p w14:paraId="041DA6F7" w14:textId="77777777" w:rsidR="00E75319" w:rsidRDefault="00E75319" w:rsidP="00F6209F"/>
    <w:p w14:paraId="66E18931" w14:textId="77777777" w:rsidR="00D178AB" w:rsidRDefault="00D178AB" w:rsidP="00E75319">
      <w:pPr>
        <w:jc w:val="both"/>
      </w:pPr>
    </w:p>
    <w:p w14:paraId="34B0A79C" w14:textId="4597AD56" w:rsidR="00F6209F" w:rsidRDefault="008B7BC5" w:rsidP="00E75319">
      <w:pPr>
        <w:jc w:val="both"/>
      </w:pPr>
      <w:r>
        <w:lastRenderedPageBreak/>
        <w:t>CONT</w:t>
      </w:r>
      <w:r w:rsidR="00A54636">
        <w:t>ROL A</w:t>
      </w:r>
      <w:r w:rsidR="00C606A8">
        <w:t xml:space="preserve">ND </w:t>
      </w:r>
      <w:r w:rsidR="00D3705B">
        <w:t>MANA</w:t>
      </w:r>
      <w:r w:rsidR="002B62CA">
        <w:t>GE</w:t>
      </w:r>
    </w:p>
    <w:p w14:paraId="1021597C" w14:textId="77777777" w:rsidR="00000AEF" w:rsidRDefault="00000AEF" w:rsidP="00E75319">
      <w:pPr>
        <w:jc w:val="both"/>
      </w:pPr>
    </w:p>
    <w:p w14:paraId="781AD194" w14:textId="77777777" w:rsidR="00F6209F" w:rsidRDefault="00F6209F" w:rsidP="009D7608">
      <w:pPr>
        <w:jc w:val="both"/>
      </w:pPr>
      <w:r>
        <w:t xml:space="preserve">Depression is managed through psychological, pharmacological, lifestyle, and social interventions. Treatment should be </w:t>
      </w:r>
      <w:r w:rsidRPr="003D1C30">
        <w:rPr>
          <w:rFonts w:ascii="Arial" w:hAnsi="Arial" w:cs="Arial"/>
          <w:sz w:val="22"/>
          <w:szCs w:val="22"/>
        </w:rPr>
        <w:t>based</w:t>
      </w:r>
      <w:r>
        <w:t xml:space="preserve"> on depression severity, personal preferences, previous treatment experiences, physical health, and individual circumstances (NICE, 2022).</w:t>
      </w:r>
    </w:p>
    <w:p w14:paraId="37E706AA" w14:textId="07CCF46E" w:rsidR="00F6209F" w:rsidRDefault="00F6209F" w:rsidP="00C9451C">
      <w:pPr>
        <w:jc w:val="both"/>
      </w:pPr>
      <w:r>
        <w:t xml:space="preserve">Psychological therapies are a key approach. Cognitive Behavioural Therapy (CBT) helps individuals identify negative thinking and behavior patterns and develop alternative coping strategies. Behavioral activation encourages increased engagement in meaningful activities and reduced avoidance </w:t>
      </w:r>
      <w:r w:rsidR="00F538D5">
        <w:t>behaviours</w:t>
      </w:r>
      <w:r>
        <w:t>. Other psychological approaches may be considered based on individual needs (NICE, 2022).</w:t>
      </w:r>
    </w:p>
    <w:p w14:paraId="34F770D0" w14:textId="77777777" w:rsidR="00F6209F" w:rsidRDefault="00F6209F" w:rsidP="00AF0560">
      <w:pPr>
        <w:jc w:val="both"/>
      </w:pPr>
      <w:r>
        <w:t>Antidepressant medication may be suitable for some, particularly when depression is severe or psychological treatment alone is insufficient. Selective Serotonin Reuptake Inhibitors (SSRIs) are commonly prescribed antidepressants. Treatment should be reviewed as individuals may experience side effects, withdrawal symptoms, or inadequate response. NICE (2022) recommends monitoring treatment effectiveness, adherence, and adverse effects.</w:t>
      </w:r>
    </w:p>
    <w:p w14:paraId="13AFB93A" w14:textId="77777777" w:rsidR="00F6209F" w:rsidRDefault="00F6209F" w:rsidP="00AF0560">
      <w:pPr>
        <w:jc w:val="both"/>
      </w:pPr>
      <w:r>
        <w:t>Lifestyle approaches can complement professional treatment. Regular physical activity, maintaining a healthy sleep pattern, eating a balanced diet, and sustaining social relationships contribute to overall wellbeing (WHO, 2025). Reducing harmful alcohol use and avoiding recreational drugs can also aid recovery.</w:t>
      </w:r>
    </w:p>
    <w:p w14:paraId="57619B7E" w14:textId="77777777" w:rsidR="00F6209F" w:rsidRDefault="00F6209F" w:rsidP="00AF0560">
      <w:pPr>
        <w:jc w:val="both"/>
      </w:pPr>
      <w:r>
        <w:t>Self-management and relapse prevention are crucial for long-term care. Individuals can learn to recognize mood changes, identify triggers, maintain beneficial routines, and develop coping strategies. Those who have recovered from depression may need ongoing treatment or monitoring if they have a heightened risk of relapse (NICE, 2022).</w:t>
      </w:r>
    </w:p>
    <w:p w14:paraId="56971E2B" w14:textId="77777777" w:rsidR="00F6209F" w:rsidRDefault="00F6209F" w:rsidP="005E371F">
      <w:pPr>
        <w:jc w:val="both"/>
      </w:pPr>
      <w:r>
        <w:t xml:space="preserve">Depression should be managed using a person-centered biopsychosocial approach, considering psychological symptoms, physical </w:t>
      </w:r>
      <w:r w:rsidRPr="00D22B49">
        <w:rPr>
          <w:rFonts w:ascii="Arial" w:hAnsi="Arial" w:cs="Arial"/>
          <w:sz w:val="22"/>
          <w:szCs w:val="22"/>
        </w:rPr>
        <w:t>health</w:t>
      </w:r>
      <w:r>
        <w:t>, and social circumstances. Collaboration among GPs, psychological therapists, psychiatrists, mental health nurses, occupational therapists, and social workers can provide comprehensive care. NICE (2022) recommends collaborative care that includes patient-centered assessment, symptom monitoring, medication management, active care planning, psychological and psychosocial treatment, physical and mental healthcare integration, and joint service collaboration.</w:t>
      </w:r>
    </w:p>
    <w:p w14:paraId="214EA704" w14:textId="77777777" w:rsidR="00EB7177" w:rsidRDefault="00EB7177" w:rsidP="00074B3B">
      <w:pPr>
        <w:jc w:val="both"/>
        <w:rPr>
          <w:rFonts w:ascii="Arial" w:hAnsi="Arial" w:cs="Arial"/>
          <w:sz w:val="22"/>
          <w:szCs w:val="22"/>
        </w:rPr>
      </w:pPr>
    </w:p>
    <w:p w14:paraId="3B89BDEA" w14:textId="77777777" w:rsidR="00EB7177" w:rsidRDefault="00EB7177" w:rsidP="00074B3B">
      <w:pPr>
        <w:jc w:val="both"/>
        <w:rPr>
          <w:rFonts w:ascii="Arial" w:hAnsi="Arial" w:cs="Arial"/>
          <w:sz w:val="22"/>
          <w:szCs w:val="22"/>
        </w:rPr>
      </w:pPr>
    </w:p>
    <w:p w14:paraId="0B3C1ACB" w14:textId="77777777" w:rsidR="00EB7177" w:rsidRDefault="00EB7177" w:rsidP="00074B3B">
      <w:pPr>
        <w:jc w:val="both"/>
        <w:rPr>
          <w:rFonts w:ascii="Arial" w:hAnsi="Arial" w:cs="Arial"/>
          <w:sz w:val="22"/>
          <w:szCs w:val="22"/>
        </w:rPr>
      </w:pPr>
    </w:p>
    <w:p w14:paraId="1238823B" w14:textId="77777777" w:rsidR="00EB7177" w:rsidRDefault="00EB7177" w:rsidP="00074B3B">
      <w:pPr>
        <w:jc w:val="both"/>
        <w:rPr>
          <w:rFonts w:ascii="Arial" w:hAnsi="Arial" w:cs="Arial"/>
          <w:sz w:val="22"/>
          <w:szCs w:val="22"/>
        </w:rPr>
      </w:pPr>
    </w:p>
    <w:p w14:paraId="7E6D38F3" w14:textId="6B6FD651" w:rsidR="00F6209F" w:rsidRDefault="00720239" w:rsidP="00074B3B">
      <w:pPr>
        <w:jc w:val="both"/>
        <w:rPr>
          <w:rFonts w:ascii="Arial" w:hAnsi="Arial" w:cs="Arial"/>
          <w:sz w:val="22"/>
          <w:szCs w:val="22"/>
        </w:rPr>
      </w:pPr>
      <w:r>
        <w:rPr>
          <w:rFonts w:ascii="Arial" w:hAnsi="Arial" w:cs="Arial"/>
          <w:sz w:val="22"/>
          <w:szCs w:val="22"/>
        </w:rPr>
        <w:t>IM</w:t>
      </w:r>
      <w:r w:rsidR="00911668">
        <w:rPr>
          <w:rFonts w:ascii="Arial" w:hAnsi="Arial" w:cs="Arial"/>
          <w:sz w:val="22"/>
          <w:szCs w:val="22"/>
        </w:rPr>
        <w:t>PACT</w:t>
      </w:r>
      <w:r w:rsidR="00B30047">
        <w:rPr>
          <w:rFonts w:ascii="Arial" w:hAnsi="Arial" w:cs="Arial"/>
          <w:sz w:val="22"/>
          <w:szCs w:val="22"/>
        </w:rPr>
        <w:t xml:space="preserve"> </w:t>
      </w:r>
      <w:r w:rsidR="00560E81">
        <w:t>OF</w:t>
      </w:r>
      <w:r w:rsidR="001F46AC">
        <w:t xml:space="preserve"> </w:t>
      </w:r>
      <w:r w:rsidR="00F6209F">
        <w:t>D</w:t>
      </w:r>
      <w:r w:rsidR="00514DC0">
        <w:t>EP</w:t>
      </w:r>
      <w:r w:rsidR="000E394A">
        <w:rPr>
          <w:rFonts w:ascii="Arial" w:hAnsi="Arial" w:cs="Arial"/>
          <w:sz w:val="22"/>
          <w:szCs w:val="22"/>
        </w:rPr>
        <w:t xml:space="preserve">RESSION ON </w:t>
      </w:r>
      <w:r w:rsidR="00AF2546">
        <w:rPr>
          <w:rFonts w:ascii="Arial" w:hAnsi="Arial" w:cs="Arial"/>
          <w:sz w:val="22"/>
          <w:szCs w:val="22"/>
        </w:rPr>
        <w:t>PEOPLE IN THE COMMUNITY</w:t>
      </w:r>
    </w:p>
    <w:p w14:paraId="4D8187C7" w14:textId="77777777" w:rsidR="00000AEF" w:rsidRPr="000E394A" w:rsidRDefault="00000AEF" w:rsidP="00074B3B">
      <w:pPr>
        <w:jc w:val="both"/>
        <w:rPr>
          <w:rFonts w:ascii="Arial" w:hAnsi="Arial" w:cs="Arial"/>
          <w:sz w:val="22"/>
          <w:szCs w:val="22"/>
        </w:rPr>
      </w:pPr>
    </w:p>
    <w:p w14:paraId="3F2EC09B" w14:textId="77777777" w:rsidR="00F6209F" w:rsidRDefault="00F6209F" w:rsidP="00F6209F">
      <w:r>
        <w:t>Depression can have profound psychological, physical, social, and economic effects. On an individual level, symptoms like fatigue, low motivation, and poor concentration can disrupt education, employment, and daily activities (WHO, 2025). Individuals may struggle to maintain routines, self-care, or participate in previously enjoyable activities.</w:t>
      </w:r>
    </w:p>
    <w:p w14:paraId="7F9FDD96" w14:textId="77777777" w:rsidR="00F6209F" w:rsidRDefault="00F6209F" w:rsidP="0021540B">
      <w:pPr>
        <w:jc w:val="both"/>
      </w:pPr>
      <w:r>
        <w:t>Depression can also impact physical health. Changes in sleep, appetite, and physical activity can detract from wellbeing. Furthermore, managing existing physical health conditions may become challenging for those with depression. The interplay between physical and mental health can increase the complexity of required care.</w:t>
      </w:r>
    </w:p>
    <w:p w14:paraId="3304B72F" w14:textId="30A13BF4" w:rsidR="00F6209F" w:rsidRDefault="00F6209F" w:rsidP="0021540B">
      <w:pPr>
        <w:jc w:val="both"/>
      </w:pPr>
      <w:r>
        <w:t xml:space="preserve">Social isolation is another significant consequence. People with depression may withdraw from family and friends due to low mood, hopelessness, or lack of motivation, reducing social support and increasing loneliness. ONS (2025) found that 55% of adults with moderate-to-severe depressive symptoms reported feeling lonely often, always, or sometimes, compared to 16% of adults with no or mild depressive symptoms. The same survey revealed that only 35% of adults with moderate-to-severe depressive symptoms felt a sense of belonging to their </w:t>
      </w:r>
      <w:r w:rsidR="007E7BB8">
        <w:t>neighbourhood</w:t>
      </w:r>
      <w:r>
        <w:t>, compared to 57% of those with no or mild symptoms (ONS, 2025).</w:t>
      </w:r>
    </w:p>
    <w:p w14:paraId="56F44AEF" w14:textId="77777777" w:rsidR="00F6209F" w:rsidRDefault="00F6209F" w:rsidP="0021540B">
      <w:pPr>
        <w:jc w:val="both"/>
      </w:pPr>
      <w:r>
        <w:t>Depression can also affect employment and financial situations. Poor concentration, fatigue, and reduced motivation can lead to sickness absence, decreased productivity, or unemployment. ONS (2023) reported that depression, anxiety, or bad nerves affected approximately 5 million working-age people in 2023, representing 12% of the working-age population. These effects can create financial pressure for individuals and increase costs for employers and public services.</w:t>
      </w:r>
    </w:p>
    <w:p w14:paraId="74EB89E3" w14:textId="77777777" w:rsidR="00F6209F" w:rsidRDefault="00F6209F" w:rsidP="0021540B">
      <w:pPr>
        <w:jc w:val="both"/>
      </w:pPr>
      <w:r>
        <w:t>Families may also face emotional and practical challenges when supporting someone with depression. Family members might provide informal care, encouragement, and assistance with appointments or daily activities. At the community level, depression can heighten demand for healthcare, social care, welfare, and voluntary-sector services. The risk of suicide is particularly serious, as depression can be linked to suicidal thoughts and behaviors (WHO, 2025). Early recognition and proper treatment are essential for mitigating severe consequences.</w:t>
      </w:r>
    </w:p>
    <w:p w14:paraId="0D205EEE" w14:textId="77777777" w:rsidR="007E7BB8" w:rsidRDefault="007E7BB8" w:rsidP="00F6209F"/>
    <w:p w14:paraId="7F0463FF" w14:textId="77777777" w:rsidR="007E7BB8" w:rsidRDefault="007E7BB8" w:rsidP="00F6209F"/>
    <w:p w14:paraId="680748DF" w14:textId="77777777" w:rsidR="007E7BB8" w:rsidRDefault="007E7BB8" w:rsidP="00F6209F"/>
    <w:p w14:paraId="23466714" w14:textId="77777777" w:rsidR="007E7BB8" w:rsidRDefault="007E7BB8" w:rsidP="00F6209F"/>
    <w:p w14:paraId="4D3E29CB" w14:textId="77777777" w:rsidR="007E7BB8" w:rsidRDefault="007E7BB8" w:rsidP="00F6209F"/>
    <w:p w14:paraId="083AC203" w14:textId="77777777" w:rsidR="007E7BB8" w:rsidRDefault="007E7BB8" w:rsidP="00F6209F"/>
    <w:p w14:paraId="0B15CC38" w14:textId="291FC817" w:rsidR="00F6209F" w:rsidRPr="00B67E7A" w:rsidRDefault="00F6209F" w:rsidP="00B67E7A">
      <w:pPr>
        <w:jc w:val="both"/>
        <w:rPr>
          <w:rFonts w:ascii="Arial" w:hAnsi="Arial" w:cs="Arial"/>
          <w:sz w:val="22"/>
          <w:szCs w:val="22"/>
        </w:rPr>
      </w:pPr>
      <w:r>
        <w:t>H</w:t>
      </w:r>
      <w:r w:rsidR="00F6237C">
        <w:rPr>
          <w:rFonts w:ascii="Arial" w:hAnsi="Arial" w:cs="Arial"/>
          <w:sz w:val="22"/>
          <w:szCs w:val="22"/>
        </w:rPr>
        <w:t xml:space="preserve">EALTH AND SOCIAL CARE SUPPORT </w:t>
      </w:r>
      <w:r w:rsidR="00DF0B00">
        <w:rPr>
          <w:rFonts w:ascii="Arial" w:hAnsi="Arial" w:cs="Arial"/>
          <w:sz w:val="22"/>
          <w:szCs w:val="22"/>
        </w:rPr>
        <w:t>SERVICES</w:t>
      </w:r>
    </w:p>
    <w:p w14:paraId="7748B396" w14:textId="77777777" w:rsidR="007E7BB8" w:rsidRDefault="007E7BB8" w:rsidP="00F6209F"/>
    <w:p w14:paraId="5E483278" w14:textId="77777777" w:rsidR="00F6209F" w:rsidRDefault="00F6209F" w:rsidP="0021540B">
      <w:pPr>
        <w:jc w:val="both"/>
      </w:pPr>
      <w:r>
        <w:t>Individuals affected by depression need accessible and coordinated health and social care services. General Practitioners (GPs) often serve as the initial contact point, assessing symptoms, discussing treatment options, prescribing medication when appropriate, monitoring progress, and referring individuals to specialist services.</w:t>
      </w:r>
    </w:p>
    <w:p w14:paraId="12C5134B" w14:textId="77777777" w:rsidR="00F6209F" w:rsidRDefault="00F6209F" w:rsidP="0021540B">
      <w:pPr>
        <w:jc w:val="both"/>
      </w:pPr>
      <w:r>
        <w:t>NHS Talking Therapies offer psychological interventions for adults experiencing depression and anxiety, providing treatments such as CBT and other evidence-based psychological approaches. Community-based psychological services can enhance access to treatment and reduce reliance on hospital-based services.</w:t>
      </w:r>
    </w:p>
    <w:p w14:paraId="2D81D4BA" w14:textId="77777777" w:rsidR="00F6209F" w:rsidRDefault="00F6209F" w:rsidP="0021540B">
      <w:pPr>
        <w:jc w:val="both"/>
      </w:pPr>
      <w:r>
        <w:t>Those with more severe, complex, or persistent depression may need community mental health services. Psychiatrists can provide specialized assessment and treatment, while mental health nurses can monitor symptoms, support treatment adherence, and identify deterioration. Occupational therapists can assist individuals in regaining skills and confidence needed for independent living, education, and employment.</w:t>
      </w:r>
    </w:p>
    <w:p w14:paraId="68CAAB0D" w14:textId="77777777" w:rsidR="00F6209F" w:rsidRDefault="00F6209F" w:rsidP="0021540B">
      <w:pPr>
        <w:jc w:val="both"/>
      </w:pPr>
      <w:r>
        <w:t>Social workers can address social factors affecting mental health, such as housing issues, financial difficulties, safeguarding concerns, social isolation, and access to welfare or community resources. Addressing these broader determinants is crucial because mental health is influenced by social and environmental factors.</w:t>
      </w:r>
    </w:p>
    <w:p w14:paraId="4210F680" w14:textId="77777777" w:rsidR="00F6209F" w:rsidRDefault="00F6209F" w:rsidP="0021540B">
      <w:pPr>
        <w:jc w:val="both"/>
      </w:pPr>
      <w:r>
        <w:t>Voluntary and community organizations can offer peer support, advocacy, information, and practical help. These services can alleviate loneliness and stigma while providing support alongside statutory healthcare.</w:t>
      </w:r>
    </w:p>
    <w:p w14:paraId="1FCD721B" w14:textId="77777777" w:rsidR="00F6209F" w:rsidRDefault="00F6209F" w:rsidP="0021540B">
      <w:pPr>
        <w:jc w:val="both"/>
      </w:pPr>
      <w:r>
        <w:t>Family members and carers can also aid recovery, with the individual’s consent. They may offer emotional support and help identify early warning signs. NICE (2022) advocates for coordinated and collaborative care involving various professionals and agencies based on the individual’s needs.</w:t>
      </w:r>
    </w:p>
    <w:p w14:paraId="279F34FA" w14:textId="77777777" w:rsidR="00F6209F" w:rsidRDefault="00F6209F" w:rsidP="0021540B">
      <w:pPr>
        <w:jc w:val="both"/>
      </w:pPr>
      <w:r>
        <w:t>Overall, effective community support requires integration between primary healthcare, specialist mental health services, social care, voluntary organizations, and families. This integrated approach acknowledges that depression affects multiple life areas and that treatment should address both symptoms and broader social needs.</w:t>
      </w:r>
    </w:p>
    <w:p w14:paraId="28593582" w14:textId="77777777" w:rsidR="007B410E" w:rsidRDefault="007B410E" w:rsidP="00F6209F"/>
    <w:p w14:paraId="558C8C64" w14:textId="77777777" w:rsidR="00665430" w:rsidRDefault="00665430" w:rsidP="00F6209F"/>
    <w:p w14:paraId="7E106CE5" w14:textId="77777777" w:rsidR="00472A4D" w:rsidRDefault="00472A4D" w:rsidP="00FE68FD">
      <w:pPr>
        <w:jc w:val="both"/>
      </w:pPr>
    </w:p>
    <w:p w14:paraId="21C01305" w14:textId="5AE42947" w:rsidR="00F6209F" w:rsidRDefault="00165306" w:rsidP="00FE68FD">
      <w:pPr>
        <w:jc w:val="both"/>
      </w:pPr>
      <w:r>
        <w:lastRenderedPageBreak/>
        <w:t>CONC</w:t>
      </w:r>
      <w:r w:rsidR="005E07B6">
        <w:t>LUSIO</w:t>
      </w:r>
      <w:r w:rsidR="00A705BD">
        <w:t>N</w:t>
      </w:r>
    </w:p>
    <w:p w14:paraId="3D49E631" w14:textId="77777777" w:rsidR="00472A4D" w:rsidRDefault="00472A4D" w:rsidP="00FE68FD">
      <w:pPr>
        <w:jc w:val="both"/>
      </w:pPr>
    </w:p>
    <w:p w14:paraId="60A66322" w14:textId="77777777" w:rsidR="00F6209F" w:rsidRDefault="00F6209F" w:rsidP="00605B1D">
      <w:pPr>
        <w:jc w:val="both"/>
      </w:pPr>
      <w:r>
        <w:t>Depression is a significant public health issue impacting millions globally and a considerable portion of adults in Great Britain. Current data highlights the problem's magnitude, with approximately 332 million people worldwide experiencing depression and 18% of adults in Great Britain reporting moderate-to-severe depressive symptoms in April 2025 (WHO, 2025; ONS, 2025). Depression can affect emotional wellbeing, physical health, relationships, employment, and community involvement. Accurate measurement through validated tools like the PHQ-9, combined with clinical assessment, aids in identifying and assessing severity. Continuous monitoring allows for the review of treatment response, side effects, functioning, and risk. Effective management may involve psychological therapies, medication, lifestyle interventions, social support, and relapse prevention (NICE, 2022). Because depression impacts both individuals and communities, coordinated health and social care services are vital. A person-centered and integrated approach involving healthcare professionals, social workers, voluntary organizations, families, and carers can foster recovery, reduce relapse, and enhance quality of life.</w:t>
      </w:r>
    </w:p>
    <w:p w14:paraId="5CD7459F" w14:textId="77777777" w:rsidR="0020566E" w:rsidRDefault="0020566E" w:rsidP="009C4939">
      <w:pPr>
        <w:jc w:val="both"/>
      </w:pPr>
    </w:p>
    <w:p w14:paraId="6A35F1A8" w14:textId="40058CBB" w:rsidR="00F6209F" w:rsidRPr="008F5F7F" w:rsidRDefault="00F6209F" w:rsidP="009C4939">
      <w:pPr>
        <w:jc w:val="both"/>
        <w:rPr>
          <w:rFonts w:ascii="Arial" w:hAnsi="Arial" w:cs="Arial"/>
          <w:sz w:val="22"/>
          <w:szCs w:val="22"/>
        </w:rPr>
      </w:pPr>
      <w:r>
        <w:t>R</w:t>
      </w:r>
      <w:r w:rsidR="009E27B0">
        <w:t>EF</w:t>
      </w:r>
      <w:r w:rsidR="00A159D4">
        <w:t>ERENC</w:t>
      </w:r>
      <w:r w:rsidR="00247284">
        <w:t>ES</w:t>
      </w:r>
    </w:p>
    <w:p w14:paraId="32849FDC" w14:textId="77777777" w:rsidR="00F6209F" w:rsidRDefault="00F6209F" w:rsidP="00F6209F"/>
    <w:p w14:paraId="24F58EFE" w14:textId="77777777" w:rsidR="00F6209F" w:rsidRDefault="00F6209F" w:rsidP="00F6209F">
      <w:r>
        <w:t>Beck, A.T., Steer, R.A., and Brown, G.K. (1996) Beck Depression Inventory-II Manual. San Antonio, TX: Psychological Corporation.</w:t>
      </w:r>
    </w:p>
    <w:p w14:paraId="7B7B7877" w14:textId="77777777" w:rsidR="00F6209F" w:rsidRDefault="00F6209F" w:rsidP="00F6209F">
      <w:r>
        <w:t>Kroenke, K., Spitzer, R.L., and Williams, J.B.W. (2001) "The PHQ-9: validity of a brief depression severity measure," Journal of General Internal Medicine, 16(9), pp. 606–613.</w:t>
      </w:r>
    </w:p>
    <w:p w14:paraId="4AC97766" w14:textId="77777777" w:rsidR="00F6209F" w:rsidRDefault="00F6209F" w:rsidP="0021540B">
      <w:pPr>
        <w:jc w:val="both"/>
      </w:pPr>
      <w:r>
        <w:t>National Institute for Health and Care Excellence (NICE) (2022) Depression in adults: treatment and management (NG222). London: NICE. Available at: https://www.nice.org.uk/guidance/ng222 (Accessed: 10 August 2026).</w:t>
      </w:r>
    </w:p>
    <w:p w14:paraId="2DF65BCC" w14:textId="77777777" w:rsidR="00F6209F" w:rsidRDefault="00F6209F" w:rsidP="0021540B">
      <w:pPr>
        <w:jc w:val="both"/>
      </w:pPr>
      <w:r>
        <w:t>Office for National Statistics (ONS) (2023) Rising ill-health and economic inactivity because of long-term sickness, UK: 2019 to 2023. Newport: ONS. Available at: https://www.ons.gov.uk/ (Accessed: 10 August 2026).</w:t>
      </w:r>
    </w:p>
    <w:p w14:paraId="5F2C6F7C" w14:textId="77777777" w:rsidR="00F6209F" w:rsidRDefault="00F6209F" w:rsidP="0021540B">
      <w:pPr>
        <w:jc w:val="both"/>
      </w:pPr>
      <w:r>
        <w:t>Office for National Statistics (ONS) (2025) Public opinions and social trends, Great Britain: April 2025. Newport: ONS. Available at: https://www.ons.gov.uk/ (Accessed: 10 August 2026).</w:t>
      </w:r>
    </w:p>
    <w:p w14:paraId="2A2948E2" w14:textId="46BDC1BC" w:rsidR="00F6209F" w:rsidRDefault="00F6209F" w:rsidP="0021540B">
      <w:pPr>
        <w:jc w:val="both"/>
      </w:pPr>
      <w:r>
        <w:t>World Health Organization (WHO) (2025) Depressive disorder (depression). Geneva: WHO. Available at: https://www.who.int/news-room/fact-sheets/detail/depression (Accessed: 10 August 2026).</w:t>
      </w:r>
    </w:p>
    <w:sectPr w:rsidR="00F620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09F"/>
    <w:rsid w:val="00000686"/>
    <w:rsid w:val="00000AEF"/>
    <w:rsid w:val="00004E9C"/>
    <w:rsid w:val="00005C4A"/>
    <w:rsid w:val="0000763B"/>
    <w:rsid w:val="00013B34"/>
    <w:rsid w:val="000240C2"/>
    <w:rsid w:val="00025F67"/>
    <w:rsid w:val="00026C50"/>
    <w:rsid w:val="000405FE"/>
    <w:rsid w:val="00074B3B"/>
    <w:rsid w:val="00074F97"/>
    <w:rsid w:val="000A377D"/>
    <w:rsid w:val="000C6EC8"/>
    <w:rsid w:val="000E394A"/>
    <w:rsid w:val="000E6396"/>
    <w:rsid w:val="000F4F99"/>
    <w:rsid w:val="00105CF3"/>
    <w:rsid w:val="0011648A"/>
    <w:rsid w:val="00132F63"/>
    <w:rsid w:val="00135BCD"/>
    <w:rsid w:val="0014081D"/>
    <w:rsid w:val="00144CC8"/>
    <w:rsid w:val="00153743"/>
    <w:rsid w:val="00165306"/>
    <w:rsid w:val="001704A6"/>
    <w:rsid w:val="001706FE"/>
    <w:rsid w:val="00174CDC"/>
    <w:rsid w:val="00175E61"/>
    <w:rsid w:val="00187E59"/>
    <w:rsid w:val="0019363B"/>
    <w:rsid w:val="00194C25"/>
    <w:rsid w:val="001C1203"/>
    <w:rsid w:val="001C38EB"/>
    <w:rsid w:val="001E06D0"/>
    <w:rsid w:val="001F46AC"/>
    <w:rsid w:val="0020401C"/>
    <w:rsid w:val="0020566E"/>
    <w:rsid w:val="00213817"/>
    <w:rsid w:val="0021540B"/>
    <w:rsid w:val="002154EE"/>
    <w:rsid w:val="00220AEC"/>
    <w:rsid w:val="00221145"/>
    <w:rsid w:val="002352A6"/>
    <w:rsid w:val="0024160E"/>
    <w:rsid w:val="00244792"/>
    <w:rsid w:val="00246ECF"/>
    <w:rsid w:val="00247284"/>
    <w:rsid w:val="002579F8"/>
    <w:rsid w:val="00271495"/>
    <w:rsid w:val="00274CE8"/>
    <w:rsid w:val="00275346"/>
    <w:rsid w:val="002A42E2"/>
    <w:rsid w:val="002A7DF6"/>
    <w:rsid w:val="002B5A44"/>
    <w:rsid w:val="002B62A0"/>
    <w:rsid w:val="002B62CA"/>
    <w:rsid w:val="002C07DB"/>
    <w:rsid w:val="002E0C32"/>
    <w:rsid w:val="002E6E52"/>
    <w:rsid w:val="002F338D"/>
    <w:rsid w:val="002F4F7A"/>
    <w:rsid w:val="002F4FC9"/>
    <w:rsid w:val="003064DD"/>
    <w:rsid w:val="0031169F"/>
    <w:rsid w:val="00316A66"/>
    <w:rsid w:val="00323B58"/>
    <w:rsid w:val="0033518B"/>
    <w:rsid w:val="00380C8F"/>
    <w:rsid w:val="00382F46"/>
    <w:rsid w:val="0039113E"/>
    <w:rsid w:val="003925AD"/>
    <w:rsid w:val="00396624"/>
    <w:rsid w:val="003C3AF5"/>
    <w:rsid w:val="003D1C30"/>
    <w:rsid w:val="003D607F"/>
    <w:rsid w:val="003E0885"/>
    <w:rsid w:val="003E113F"/>
    <w:rsid w:val="003F1F00"/>
    <w:rsid w:val="00413F9E"/>
    <w:rsid w:val="00443422"/>
    <w:rsid w:val="0045285E"/>
    <w:rsid w:val="00454259"/>
    <w:rsid w:val="00454E47"/>
    <w:rsid w:val="00462A6E"/>
    <w:rsid w:val="004676E4"/>
    <w:rsid w:val="00472A4D"/>
    <w:rsid w:val="0048198B"/>
    <w:rsid w:val="004A34F5"/>
    <w:rsid w:val="004A3ACF"/>
    <w:rsid w:val="004C7A38"/>
    <w:rsid w:val="004D3545"/>
    <w:rsid w:val="004E1C3F"/>
    <w:rsid w:val="004E60B6"/>
    <w:rsid w:val="004E694F"/>
    <w:rsid w:val="004E6F46"/>
    <w:rsid w:val="004F1A19"/>
    <w:rsid w:val="004F1DFA"/>
    <w:rsid w:val="00502712"/>
    <w:rsid w:val="005028D7"/>
    <w:rsid w:val="005069E5"/>
    <w:rsid w:val="00514DC0"/>
    <w:rsid w:val="005158C9"/>
    <w:rsid w:val="00516ED8"/>
    <w:rsid w:val="00517DCC"/>
    <w:rsid w:val="00536D9E"/>
    <w:rsid w:val="005547E0"/>
    <w:rsid w:val="00554D0D"/>
    <w:rsid w:val="005603FE"/>
    <w:rsid w:val="00560E81"/>
    <w:rsid w:val="00562190"/>
    <w:rsid w:val="0057040F"/>
    <w:rsid w:val="00572F84"/>
    <w:rsid w:val="005745D8"/>
    <w:rsid w:val="005C6388"/>
    <w:rsid w:val="005E07B6"/>
    <w:rsid w:val="005E2933"/>
    <w:rsid w:val="005E371F"/>
    <w:rsid w:val="005E38C0"/>
    <w:rsid w:val="005F326F"/>
    <w:rsid w:val="005F57B6"/>
    <w:rsid w:val="00605B1D"/>
    <w:rsid w:val="00615912"/>
    <w:rsid w:val="00621FE2"/>
    <w:rsid w:val="006328A4"/>
    <w:rsid w:val="006400B8"/>
    <w:rsid w:val="006451B7"/>
    <w:rsid w:val="006503E2"/>
    <w:rsid w:val="00652C3D"/>
    <w:rsid w:val="00653DFC"/>
    <w:rsid w:val="00660DF7"/>
    <w:rsid w:val="006621AB"/>
    <w:rsid w:val="00665430"/>
    <w:rsid w:val="006661C5"/>
    <w:rsid w:val="006B7540"/>
    <w:rsid w:val="006C3AA8"/>
    <w:rsid w:val="006D250E"/>
    <w:rsid w:val="00702A74"/>
    <w:rsid w:val="0070535F"/>
    <w:rsid w:val="00712485"/>
    <w:rsid w:val="007133C2"/>
    <w:rsid w:val="00720239"/>
    <w:rsid w:val="00724F59"/>
    <w:rsid w:val="007260B2"/>
    <w:rsid w:val="007349A9"/>
    <w:rsid w:val="007758F5"/>
    <w:rsid w:val="00791BC1"/>
    <w:rsid w:val="007934DC"/>
    <w:rsid w:val="007B410E"/>
    <w:rsid w:val="007C390E"/>
    <w:rsid w:val="007D36FE"/>
    <w:rsid w:val="007E1DA1"/>
    <w:rsid w:val="007E7BB8"/>
    <w:rsid w:val="00804E89"/>
    <w:rsid w:val="0080531B"/>
    <w:rsid w:val="0080732E"/>
    <w:rsid w:val="0081336B"/>
    <w:rsid w:val="00840E47"/>
    <w:rsid w:val="00853E0D"/>
    <w:rsid w:val="008579D1"/>
    <w:rsid w:val="00875C8C"/>
    <w:rsid w:val="0087721E"/>
    <w:rsid w:val="00880AB0"/>
    <w:rsid w:val="0088500A"/>
    <w:rsid w:val="00896513"/>
    <w:rsid w:val="008B7BC5"/>
    <w:rsid w:val="008C3883"/>
    <w:rsid w:val="008F1CEB"/>
    <w:rsid w:val="008F4A4C"/>
    <w:rsid w:val="008F4C6A"/>
    <w:rsid w:val="008F591D"/>
    <w:rsid w:val="008F597F"/>
    <w:rsid w:val="008F5F7F"/>
    <w:rsid w:val="0090513F"/>
    <w:rsid w:val="009103AF"/>
    <w:rsid w:val="00911668"/>
    <w:rsid w:val="00911C71"/>
    <w:rsid w:val="009153D2"/>
    <w:rsid w:val="00930854"/>
    <w:rsid w:val="00933FFE"/>
    <w:rsid w:val="0095064D"/>
    <w:rsid w:val="0096064C"/>
    <w:rsid w:val="00963B95"/>
    <w:rsid w:val="009647BB"/>
    <w:rsid w:val="00970E47"/>
    <w:rsid w:val="009A7B1B"/>
    <w:rsid w:val="009C2CBC"/>
    <w:rsid w:val="009C4939"/>
    <w:rsid w:val="009D385F"/>
    <w:rsid w:val="009D4E63"/>
    <w:rsid w:val="009D6594"/>
    <w:rsid w:val="009D7608"/>
    <w:rsid w:val="009E27B0"/>
    <w:rsid w:val="009F1215"/>
    <w:rsid w:val="009F1569"/>
    <w:rsid w:val="009F1BDB"/>
    <w:rsid w:val="009F5EC4"/>
    <w:rsid w:val="00A07FF5"/>
    <w:rsid w:val="00A159D4"/>
    <w:rsid w:val="00A23A40"/>
    <w:rsid w:val="00A423B1"/>
    <w:rsid w:val="00A47ED5"/>
    <w:rsid w:val="00A535BD"/>
    <w:rsid w:val="00A54636"/>
    <w:rsid w:val="00A568AE"/>
    <w:rsid w:val="00A600FB"/>
    <w:rsid w:val="00A66D2A"/>
    <w:rsid w:val="00A705BD"/>
    <w:rsid w:val="00A738D9"/>
    <w:rsid w:val="00A767AB"/>
    <w:rsid w:val="00A80349"/>
    <w:rsid w:val="00A830E0"/>
    <w:rsid w:val="00A9089F"/>
    <w:rsid w:val="00AA4951"/>
    <w:rsid w:val="00AB4F94"/>
    <w:rsid w:val="00AB7F78"/>
    <w:rsid w:val="00AD0DC0"/>
    <w:rsid w:val="00AF0560"/>
    <w:rsid w:val="00AF2546"/>
    <w:rsid w:val="00B04FD7"/>
    <w:rsid w:val="00B05CF1"/>
    <w:rsid w:val="00B27206"/>
    <w:rsid w:val="00B30047"/>
    <w:rsid w:val="00B3199B"/>
    <w:rsid w:val="00B3442C"/>
    <w:rsid w:val="00B368F8"/>
    <w:rsid w:val="00B46EAB"/>
    <w:rsid w:val="00B47BF7"/>
    <w:rsid w:val="00B67E7A"/>
    <w:rsid w:val="00B712A9"/>
    <w:rsid w:val="00B75863"/>
    <w:rsid w:val="00B85B05"/>
    <w:rsid w:val="00BB31F0"/>
    <w:rsid w:val="00BB63CF"/>
    <w:rsid w:val="00BC4409"/>
    <w:rsid w:val="00BE4792"/>
    <w:rsid w:val="00BF213E"/>
    <w:rsid w:val="00BF377D"/>
    <w:rsid w:val="00BF55BF"/>
    <w:rsid w:val="00C02A7A"/>
    <w:rsid w:val="00C05744"/>
    <w:rsid w:val="00C10AD1"/>
    <w:rsid w:val="00C10C4D"/>
    <w:rsid w:val="00C13E49"/>
    <w:rsid w:val="00C36349"/>
    <w:rsid w:val="00C374F4"/>
    <w:rsid w:val="00C414CC"/>
    <w:rsid w:val="00C43D28"/>
    <w:rsid w:val="00C461AF"/>
    <w:rsid w:val="00C46A2B"/>
    <w:rsid w:val="00C52D90"/>
    <w:rsid w:val="00C60522"/>
    <w:rsid w:val="00C606A8"/>
    <w:rsid w:val="00C75640"/>
    <w:rsid w:val="00C772BB"/>
    <w:rsid w:val="00C842AE"/>
    <w:rsid w:val="00C9451C"/>
    <w:rsid w:val="00C94720"/>
    <w:rsid w:val="00C97C4B"/>
    <w:rsid w:val="00CD0B13"/>
    <w:rsid w:val="00CD5FEC"/>
    <w:rsid w:val="00CF43DC"/>
    <w:rsid w:val="00CF6255"/>
    <w:rsid w:val="00CF74AB"/>
    <w:rsid w:val="00D00089"/>
    <w:rsid w:val="00D0503C"/>
    <w:rsid w:val="00D05387"/>
    <w:rsid w:val="00D0770A"/>
    <w:rsid w:val="00D178AB"/>
    <w:rsid w:val="00D22B49"/>
    <w:rsid w:val="00D3705B"/>
    <w:rsid w:val="00D37FFA"/>
    <w:rsid w:val="00D41005"/>
    <w:rsid w:val="00D43CBE"/>
    <w:rsid w:val="00D46DF9"/>
    <w:rsid w:val="00D47922"/>
    <w:rsid w:val="00D60AC4"/>
    <w:rsid w:val="00D66676"/>
    <w:rsid w:val="00D718F3"/>
    <w:rsid w:val="00DA619B"/>
    <w:rsid w:val="00DB1C49"/>
    <w:rsid w:val="00DB38B7"/>
    <w:rsid w:val="00DE794F"/>
    <w:rsid w:val="00DF0B00"/>
    <w:rsid w:val="00DF1D25"/>
    <w:rsid w:val="00DF723E"/>
    <w:rsid w:val="00E00A4F"/>
    <w:rsid w:val="00E3253B"/>
    <w:rsid w:val="00E33989"/>
    <w:rsid w:val="00E43040"/>
    <w:rsid w:val="00E46487"/>
    <w:rsid w:val="00E47267"/>
    <w:rsid w:val="00E51EB4"/>
    <w:rsid w:val="00E727CF"/>
    <w:rsid w:val="00E75319"/>
    <w:rsid w:val="00E85DFB"/>
    <w:rsid w:val="00E90E29"/>
    <w:rsid w:val="00EA21CA"/>
    <w:rsid w:val="00EA6500"/>
    <w:rsid w:val="00EA7CF3"/>
    <w:rsid w:val="00EB3AAE"/>
    <w:rsid w:val="00EB7177"/>
    <w:rsid w:val="00EC6FCD"/>
    <w:rsid w:val="00ED36B6"/>
    <w:rsid w:val="00EF3951"/>
    <w:rsid w:val="00EF624C"/>
    <w:rsid w:val="00F101F9"/>
    <w:rsid w:val="00F12351"/>
    <w:rsid w:val="00F16C7A"/>
    <w:rsid w:val="00F538D5"/>
    <w:rsid w:val="00F5626C"/>
    <w:rsid w:val="00F61915"/>
    <w:rsid w:val="00F6209F"/>
    <w:rsid w:val="00F6237C"/>
    <w:rsid w:val="00F63498"/>
    <w:rsid w:val="00F83BF0"/>
    <w:rsid w:val="00FE0365"/>
    <w:rsid w:val="00FE4208"/>
    <w:rsid w:val="00FE68FD"/>
    <w:rsid w:val="00FF2F4C"/>
    <w:rsid w:val="00FF5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F7DF3"/>
  <w15:chartTrackingRefBased/>
  <w15:docId w15:val="{DEC5EE9F-4D38-A949-AC67-C2FB57A9D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20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20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20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20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20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20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20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20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20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0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20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20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20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20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20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20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20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209F"/>
    <w:rPr>
      <w:rFonts w:eastAsiaTheme="majorEastAsia" w:cstheme="majorBidi"/>
      <w:color w:val="272727" w:themeColor="text1" w:themeTint="D8"/>
    </w:rPr>
  </w:style>
  <w:style w:type="paragraph" w:styleId="Title">
    <w:name w:val="Title"/>
    <w:basedOn w:val="Normal"/>
    <w:next w:val="Normal"/>
    <w:link w:val="TitleChar"/>
    <w:uiPriority w:val="10"/>
    <w:qFormat/>
    <w:rsid w:val="00F620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20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20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20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209F"/>
    <w:pPr>
      <w:spacing w:before="160"/>
      <w:jc w:val="center"/>
    </w:pPr>
    <w:rPr>
      <w:i/>
      <w:iCs/>
      <w:color w:val="404040" w:themeColor="text1" w:themeTint="BF"/>
    </w:rPr>
  </w:style>
  <w:style w:type="character" w:customStyle="1" w:styleId="QuoteChar">
    <w:name w:val="Quote Char"/>
    <w:basedOn w:val="DefaultParagraphFont"/>
    <w:link w:val="Quote"/>
    <w:uiPriority w:val="29"/>
    <w:rsid w:val="00F6209F"/>
    <w:rPr>
      <w:i/>
      <w:iCs/>
      <w:color w:val="404040" w:themeColor="text1" w:themeTint="BF"/>
    </w:rPr>
  </w:style>
  <w:style w:type="paragraph" w:styleId="ListParagraph">
    <w:name w:val="List Paragraph"/>
    <w:basedOn w:val="Normal"/>
    <w:uiPriority w:val="34"/>
    <w:qFormat/>
    <w:rsid w:val="00F6209F"/>
    <w:pPr>
      <w:ind w:left="720"/>
      <w:contextualSpacing/>
    </w:pPr>
  </w:style>
  <w:style w:type="character" w:styleId="IntenseEmphasis">
    <w:name w:val="Intense Emphasis"/>
    <w:basedOn w:val="DefaultParagraphFont"/>
    <w:uiPriority w:val="21"/>
    <w:qFormat/>
    <w:rsid w:val="00F6209F"/>
    <w:rPr>
      <w:i/>
      <w:iCs/>
      <w:color w:val="0F4761" w:themeColor="accent1" w:themeShade="BF"/>
    </w:rPr>
  </w:style>
  <w:style w:type="paragraph" w:styleId="IntenseQuote">
    <w:name w:val="Intense Quote"/>
    <w:basedOn w:val="Normal"/>
    <w:next w:val="Normal"/>
    <w:link w:val="IntenseQuoteChar"/>
    <w:uiPriority w:val="30"/>
    <w:qFormat/>
    <w:rsid w:val="00F620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209F"/>
    <w:rPr>
      <w:i/>
      <w:iCs/>
      <w:color w:val="0F4761" w:themeColor="accent1" w:themeShade="BF"/>
    </w:rPr>
  </w:style>
  <w:style w:type="character" w:styleId="IntenseReference">
    <w:name w:val="Intense Reference"/>
    <w:basedOn w:val="DefaultParagraphFont"/>
    <w:uiPriority w:val="32"/>
    <w:qFormat/>
    <w:rsid w:val="00F6209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5" ma:contentTypeDescription="Create a new document." ma:contentTypeScope="" ma:versionID="1b2f707f0bd4a297c504550196ce898a">
  <xsd:schema xmlns:xsd="http://www.w3.org/2001/XMLSchema" xmlns:xs="http://www.w3.org/2001/XMLSchema" xmlns:p="http://schemas.microsoft.com/office/2006/metadata/properties" xmlns:ns3="295d9055-6e6f-4fed-aaa1-e2183dd25008" targetNamespace="http://schemas.microsoft.com/office/2006/metadata/properties" ma:root="true" ma:fieldsID="124b5d0a7b26763798fde7d64f51dc38"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Props1.xml><?xml version="1.0" encoding="utf-8"?>
<ds:datastoreItem xmlns:ds="http://schemas.openxmlformats.org/officeDocument/2006/customXml" ds:itemID="{8C163E28-0372-4A9E-8E9B-15730AB31D23}">
  <ds:schemaRefs>
    <ds:schemaRef ds:uri="http://schemas.openxmlformats.org/officeDocument/2006/bibliography"/>
  </ds:schemaRefs>
</ds:datastoreItem>
</file>

<file path=customXml/itemProps2.xml><?xml version="1.0" encoding="utf-8"?>
<ds:datastoreItem xmlns:ds="http://schemas.openxmlformats.org/officeDocument/2006/customXml" ds:itemID="{776C4681-268D-4D7B-A47D-81CA56ED54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B12F39-23F1-4026-8F78-7D9E74A8E099}">
  <ds:schemaRefs>
    <ds:schemaRef ds:uri="http://schemas.microsoft.com/sharepoint/v3/contenttype/forms"/>
  </ds:schemaRefs>
</ds:datastoreItem>
</file>

<file path=customXml/itemProps4.xml><?xml version="1.0" encoding="utf-8"?>
<ds:datastoreItem xmlns:ds="http://schemas.openxmlformats.org/officeDocument/2006/customXml" ds:itemID="{FCD57437-3126-4A79-8FE4-85AC818FCB22}">
  <ds:schemaRefs>
    <ds:schemaRef ds:uri="http://schemas.microsoft.com/office/2006/metadata/properties"/>
    <ds:schemaRef ds:uri="http://schemas.microsoft.com/office/infopath/2007/PartnerControls"/>
    <ds:schemaRef ds:uri="295d9055-6e6f-4fed-aaa1-e2183dd25008"/>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2303</Words>
  <Characters>13128</Characters>
  <Application>Microsoft Office Word</Application>
  <DocSecurity>0</DocSecurity>
  <Lines>109</Lines>
  <Paragraphs>30</Paragraphs>
  <ScaleCrop>false</ScaleCrop>
  <Company/>
  <LinksUpToDate>false</LinksUpToDate>
  <CharactersWithSpaces>15401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Estela Lucina Peralta (2527558)</dc:creator>
  <cp:keywords/>
  <dc:description/>
  <cp:lastModifiedBy>Estela Lucina Peralta (2527558)</cp:lastModifiedBy>
  <cp:revision>3</cp:revision>
  <dcterms:created xsi:type="dcterms:W3CDTF">2026-08-10T20:58:00Z</dcterms:created>
  <dcterms:modified xsi:type="dcterms:W3CDTF">2026-08-10T21:01:00Z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