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2">
      <w:pPr>
        <w:spacing w:after="0" w:line="36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sz w:val="22"/>
          <w:szCs w:val="22"/>
        </w:rPr>
        <w:drawing>
          <wp:inline distB="0" distT="0" distL="0" distR="0">
            <wp:extent cx="4838634" cy="2540162"/>
            <wp:effectExtent b="0" l="0" r="0" t="0"/>
            <wp:docPr id="160335655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838634" cy="254016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0" w:line="36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4">
      <w:pPr>
        <w:spacing w:after="0" w:line="360" w:lineRule="auto"/>
        <w:jc w:val="center"/>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BSC (HONS) HEALTH AND SOCIAL CARE</w:t>
      </w: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7">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STUDENT NAME &amp; ID.</w:t>
      </w:r>
    </w:p>
    <w:p w:rsidR="00000000" w:rsidDel="00000000" w:rsidP="00000000" w:rsidRDefault="00000000" w:rsidRPr="00000000" w14:paraId="00000008">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JOELLY OYONO</w:t>
      </w:r>
    </w:p>
    <w:p w:rsidR="00000000" w:rsidDel="00000000" w:rsidP="00000000" w:rsidRDefault="00000000" w:rsidRPr="00000000" w14:paraId="00000009">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2317543</w:t>
      </w:r>
    </w:p>
    <w:p w:rsidR="00000000" w:rsidDel="00000000" w:rsidP="00000000" w:rsidRDefault="00000000" w:rsidRPr="00000000" w14:paraId="0000000A">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B">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C">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MODULE &amp; CODE</w:t>
      </w:r>
    </w:p>
    <w:p w:rsidR="00000000" w:rsidDel="00000000" w:rsidP="00000000" w:rsidRDefault="00000000" w:rsidRPr="00000000" w14:paraId="0000000D">
      <w:pPr>
        <w:spacing w:after="0" w:line="360" w:lineRule="auto"/>
        <w:jc w:val="center"/>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DIGITAL TRANSFORMATION IN THE HEALTH AND CARE PROFESSIONS</w:t>
      </w:r>
      <w:r w:rsidDel="00000000" w:rsidR="00000000" w:rsidRPr="00000000">
        <w:rPr>
          <w:rtl w:val="0"/>
        </w:rPr>
      </w:r>
    </w:p>
    <w:p w:rsidR="00000000" w:rsidDel="00000000" w:rsidP="00000000" w:rsidRDefault="00000000" w:rsidRPr="00000000" w14:paraId="0000000E">
      <w:pPr>
        <w:spacing w:after="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36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BMHP6026</w:t>
      </w:r>
    </w:p>
    <w:p w:rsidR="00000000" w:rsidDel="00000000" w:rsidP="00000000" w:rsidRDefault="00000000" w:rsidRPr="00000000" w14:paraId="00000010">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LECTURER(S)</w:t>
      </w:r>
    </w:p>
    <w:p w:rsidR="00000000" w:rsidDel="00000000" w:rsidP="00000000" w:rsidRDefault="00000000" w:rsidRPr="00000000" w14:paraId="00000011">
      <w:pPr>
        <w:spacing w:line="36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Muhammed Khan</w:t>
      </w:r>
    </w:p>
    <w:p w:rsidR="00000000" w:rsidDel="00000000" w:rsidP="00000000" w:rsidRDefault="00000000" w:rsidRPr="00000000" w14:paraId="00000012">
      <w:pPr>
        <w:spacing w:line="360" w:lineRule="auto"/>
        <w:jc w:val="center"/>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13 Mar, 2025</w:t>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1"/>
          <w:bCs w:val="1"/>
          <w:i w:val="0"/>
          <w:iCs w:val="0"/>
          <w:smallCaps w:val="0"/>
          <w:strike w:val="0"/>
          <w:color w:val="2f5496"/>
          <w:sz w:val="32"/>
          <w:szCs w:val="32"/>
          <w:u w:val="none"/>
          <w:shd w:fill="auto" w:val="clear"/>
          <w:vertAlign w:val="baseline"/>
        </w:rPr>
      </w:pPr>
      <w:r w:rsidDel="00000000" w:rsidR="00000000" w:rsidRPr="00000000">
        <w:rPr>
          <w:rFonts w:ascii="Play" w:cs="Play" w:eastAsia="Play" w:hAnsi="Play"/>
          <w:b w:val="1"/>
          <w:bCs w:val="1"/>
          <w:i w:val="0"/>
          <w:iCs w:val="0"/>
          <w:smallCaps w:val="0"/>
          <w:strike w:val="0"/>
          <w:color w:val="2f5496"/>
          <w:sz w:val="32"/>
          <w:szCs w:val="32"/>
          <w:u w:val="none"/>
          <w:shd w:fill="auto" w:val="clear"/>
          <w:vertAlign w:val="baseline"/>
          <w:rtl w:val="0"/>
        </w:rPr>
        <w:t xml:space="preserve">Table of Contents</w:t>
      </w:r>
    </w:p>
    <w:sdt>
      <w:sdtPr>
        <w:id w:val="-1432139032"/>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48idvoamn8bu">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 CRITICAL EVALUATION OF THE NHS APP’S DIGITAL TRANSFORMATION IMPACTS ON WORKFORCE, SERVICE DELIVERY, PATIENTS AND COMMUNITIES.</w:t>
            </w:r>
          </w:hyperlink>
          <w:hyperlink w:anchor="_heading=h.48idvoamn8b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2</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efjjgmty7f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r>
          </w:hyperlink>
          <w:hyperlink w:anchor="_heading=h.2efjjgmty7f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d406de4hx8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Impact on Workforce</w:t>
            </w:r>
          </w:hyperlink>
          <w:hyperlink w:anchor="_heading=h.hd406de4hx8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1p8tgrm4ly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Impact on Service Delivery</w:t>
            </w:r>
          </w:hyperlink>
          <w:hyperlink w:anchor="_heading=h.1p8tgrm4ly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mwwzovuk65y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Impact on Patients</w:t>
            </w:r>
          </w:hyperlink>
          <w:hyperlink w:anchor="_heading=h.mwwzovuk65y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jskb1e32wq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Impact on Community</w:t>
            </w:r>
          </w:hyperlink>
          <w:hyperlink w:anchor="_heading=h.jskb1e32wq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7</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1on2qbra306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r>
          </w:hyperlink>
          <w:hyperlink w:anchor="_heading=h.1on2qbra306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8</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57ykcowylip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r>
          </w:hyperlink>
          <w:hyperlink w:anchor="_heading=h.57ykcowylip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9</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rPr/>
      </w:pPr>
      <w:bookmarkStart w:colFirst="0" w:colLast="0" w:name="_heading=h.48idvoamn8bu" w:id="0"/>
      <w:bookmarkEnd w:id="0"/>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A CRITICAL EVALUATION OF THE NHS APP’S DIGITAL TRANSFORMATION IMPACTS ON WORKFORCE, SERVICE DELIVERY, PATIENTS AND COMMUNITIES.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Style w:val="Heading2"/>
        <w:spacing w:line="360" w:lineRule="auto"/>
        <w:rPr/>
      </w:pPr>
      <w:bookmarkStart w:colFirst="0" w:colLast="0" w:name="_heading=h.2efjjgmty7fv" w:id="1"/>
      <w:bookmarkEnd w:id="1"/>
      <w:r w:rsidDel="00000000" w:rsidR="00000000" w:rsidRPr="00000000">
        <w:rPr>
          <w:rFonts w:ascii="Arial" w:cs="Arial" w:eastAsia="Arial" w:hAnsi="Arial"/>
          <w:b w:val="1"/>
          <w:bCs w:val="1"/>
          <w:sz w:val="22"/>
          <w:szCs w:val="22"/>
          <w:rtl w:val="0"/>
        </w:rPr>
        <w:t xml:space="preserve">Introduction</w:t>
      </w:r>
      <w:r w:rsidDel="00000000" w:rsidR="00000000" w:rsidRPr="00000000">
        <w:rPr>
          <w:rtl w:val="0"/>
        </w:rPr>
      </w:r>
    </w:p>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Over the past decade, the United Kingdom has invested heavily in digital technologies to transform the National Health Service (NHS), with the NHS App positioned as a central “digital front door” to health and care services in England (NHS England, 2019). The NHS App was launched nationally in 2019 and allows patients to book general practice (GP) appointments, order repeat prescriptions, view parts of their medical records, check symptoms, and, more recently, access COVID-19 vaccination certification and other new features (Kc et al., 2023). This app is part of a wider strategy to enhance access, patient empowerment, and system efficiency, in line with the NHS Long Term Plan and the 10-year Health Plan for England (UK Government, 2025).</w:t>
      </w:r>
    </w:p>
    <w:p w:rsidR="00000000" w:rsidDel="00000000" w:rsidP="00000000" w:rsidRDefault="00000000" w:rsidRPr="00000000" w14:paraId="00000023">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the NHS App has accelerated, particularly during and after the COVID-19 pandemic, signalling both the potential and the challenges of large-scale digital transformation (NHS England, 2025). Observational data show substantial growth in registrations associated with the introduction of the NHS COVID Pass and other features, but also persistent inequalities in use by deprivation and practice characteristics (Allcock et al., 2024). At the same time, qualitative evaluations highlight how implementation has unfolded unevenly across practices and regions, shaped by local infrastructures, digital maturity, and the pandemic context (Reidy et al., 2025).</w:t>
      </w:r>
    </w:p>
    <w:p w:rsidR="00000000" w:rsidDel="00000000" w:rsidP="00000000" w:rsidRDefault="00000000" w:rsidRPr="00000000" w14:paraId="00000024">
      <w:pPr>
        <w:pStyle w:val="Heading2"/>
        <w:spacing w:line="360" w:lineRule="auto"/>
        <w:rPr>
          <w:rFonts w:ascii="Arial" w:cs="Arial" w:eastAsia="Arial" w:hAnsi="Arial"/>
          <w:sz w:val="22"/>
          <w:szCs w:val="22"/>
        </w:rPr>
      </w:pPr>
      <w:bookmarkStart w:colFirst="0" w:colLast="0" w:name="_heading=h.qgr9lf3lqhbk" w:id="2"/>
      <w:bookmarkEnd w:id="2"/>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Heading2"/>
        <w:spacing w:line="360" w:lineRule="auto"/>
        <w:rPr>
          <w:rFonts w:ascii="Arial" w:cs="Arial" w:eastAsia="Arial" w:hAnsi="Arial"/>
          <w:sz w:val="22"/>
          <w:szCs w:val="22"/>
        </w:rPr>
      </w:pPr>
      <w:bookmarkStart w:colFirst="0" w:colLast="0" w:name="_heading=h.zftyd951ggcr" w:id="3"/>
      <w:bookmarkEnd w:id="3"/>
      <w:r w:rsidDel="00000000" w:rsidR="00000000" w:rsidRPr="00000000">
        <w:rPr>
          <w:rtl w:val="0"/>
        </w:rPr>
      </w:r>
    </w:p>
    <w:p w:rsidR="00000000" w:rsidDel="00000000" w:rsidP="00000000" w:rsidRDefault="00000000" w:rsidRPr="00000000" w14:paraId="0000002C">
      <w:pPr>
        <w:pStyle w:val="Heading2"/>
        <w:spacing w:line="360" w:lineRule="auto"/>
        <w:rPr>
          <w:rFonts w:ascii="Arial" w:cs="Arial" w:eastAsia="Arial" w:hAnsi="Arial"/>
          <w:sz w:val="22"/>
          <w:szCs w:val="22"/>
        </w:rPr>
      </w:pPr>
      <w:bookmarkStart w:colFirst="0" w:colLast="0" w:name="_heading=h.sxl3znir7r2z" w:id="4"/>
      <w:bookmarkEnd w:id="4"/>
      <w:r w:rsidDel="00000000" w:rsidR="00000000" w:rsidRPr="00000000">
        <w:rPr>
          <w:rtl w:val="0"/>
        </w:rPr>
      </w:r>
    </w:p>
    <w:p w:rsidR="00000000" w:rsidDel="00000000" w:rsidP="00000000" w:rsidRDefault="00000000" w:rsidRPr="00000000" w14:paraId="0000002D">
      <w:pPr>
        <w:pStyle w:val="Heading2"/>
        <w:spacing w:line="360" w:lineRule="auto"/>
        <w:rPr>
          <w:rFonts w:ascii="Arial" w:cs="Arial" w:eastAsia="Arial" w:hAnsi="Arial"/>
          <w:sz w:val="22"/>
          <w:szCs w:val="22"/>
        </w:rPr>
      </w:pPr>
      <w:bookmarkStart w:colFirst="0" w:colLast="0" w:name="_heading=h.at5jdjvuurfm" w:id="5"/>
      <w:bookmarkEnd w:id="5"/>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2"/>
        <w:spacing w:line="360" w:lineRule="auto"/>
        <w:rPr>
          <w:rFonts w:ascii="Arial" w:cs="Arial" w:eastAsia="Arial" w:hAnsi="Arial"/>
          <w:b w:val="1"/>
          <w:bCs w:val="1"/>
          <w:sz w:val="22"/>
          <w:szCs w:val="22"/>
        </w:rPr>
      </w:pPr>
      <w:bookmarkStart w:colFirst="0" w:colLast="0" w:name="_heading=h.hd406de4hx8u" w:id="6"/>
      <w:bookmarkEnd w:id="6"/>
      <w:r w:rsidDel="00000000" w:rsidR="00000000" w:rsidRPr="00000000">
        <w:rPr>
          <w:rFonts w:ascii="Arial" w:cs="Arial" w:eastAsia="Arial" w:hAnsi="Arial"/>
          <w:b w:val="1"/>
          <w:bCs w:val="1"/>
          <w:sz w:val="22"/>
          <w:szCs w:val="22"/>
          <w:rtl w:val="0"/>
        </w:rPr>
        <w:t xml:space="preserve">Impact on workforce</w:t>
      </w:r>
    </w:p>
    <w:p w:rsidR="00000000" w:rsidDel="00000000" w:rsidP="00000000" w:rsidRDefault="00000000" w:rsidRPr="00000000" w14:paraId="0000003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Digital transformation through the NHS App has contributed to significant changes in the roles, competencies, and daily work of healthcare staff, particularly within general practice. The app connects directly to existing clinical systems, meaning that staff must support patients to register, troubleshoot technical problems, and manage digital workflows such as online prescription requests and appointment bookings (Reidy et al., 2025). In many practices, this has led to new or expanded responsibilities for receptionists, practice managers, and digital champions, who require enhanced digital and communication skills to assist patients with varying levels of digital literacy.</w:t>
      </w:r>
    </w:p>
    <w:p w:rsidR="00000000" w:rsidDel="00000000" w:rsidP="00000000" w:rsidRDefault="00000000" w:rsidRPr="00000000" w14:paraId="0000003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From a positive perspective, the NHS App can streamline administrative tasks and reduce certain aspects of workload. Digital repeat prescription requests and online appointment booking may reduce telephone traffic and time spent processing paper forms. Over time, this has the potential to free staff to focus more on direct patient care and more complex interactions. In addition, digital access to records via the app can support more informed consultations, as patients arrive with a clearer understanding of their medication lists and test results, potentially improving the quality and efficiency of clinical encounters (Walter et al., 2025).</w:t>
      </w:r>
    </w:p>
    <w:p w:rsidR="00000000" w:rsidDel="00000000" w:rsidP="00000000" w:rsidRDefault="00000000" w:rsidRPr="00000000" w14:paraId="00000032">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evidence also points to additional burdens and tensions for the workforce. The qualitative evaluation of the NHS App’s roll-out describes staff concerns about increased expectations from patients for rapid responses to messages and prescription requests, with digital channels perceived as “always open,” blurring boundaries and intensifying work. Staff have also reported anxiety about errors or misunderstandings when patients interpret clinical notes or test results without sufficient context, creating extra work to explain and reassure (Reidy et al., 2025). The opening up of online record access via the app requires a shift in documentation practices, with clinicians needing to write consultation notes that are simultaneously clinically meaningful and understandable to lay audiences, which many perceive as a significant cultural and practical change.</w:t>
      </w:r>
    </w:p>
    <w:p w:rsidR="00000000" w:rsidDel="00000000" w:rsidP="00000000" w:rsidRDefault="00000000" w:rsidRPr="00000000" w14:paraId="00000033">
      <w:pPr>
        <w:spacing w:after="240" w:before="240" w:lineRule="auto"/>
        <w:rPr/>
      </w:pPr>
      <w:r w:rsidDel="00000000" w:rsidR="00000000" w:rsidRPr="00000000">
        <w:rPr>
          <w:rFonts w:ascii="Arial" w:cs="Arial" w:eastAsia="Arial" w:hAnsi="Arial"/>
          <w:sz w:val="22"/>
          <w:szCs w:val="22"/>
          <w:rtl w:val="0"/>
        </w:rPr>
        <w:t xml:space="preserve">In terms of competency, digital transformation through the NHS App reveals uneven digital maturity across organisations and staff groups. Earlier commentary on digital readiness in the NHS highlighted variable digital infrastructure and skills as key barriers to effective technology use (Klein, 2017). Recent analyses of digital technologies across NHS organisations similarly show that some regions remain “digitally disengaged,” with limited capability and support. This variation can exacerbate workforce stress in under-resourced areas, where staff must deliver digital services without adequate training, time, or technical support, potentially undermining morale and widening inequalities between more and less digitally mature providers.</w:t>
      </w:r>
      <w:r w:rsidDel="00000000" w:rsidR="00000000" w:rsidRPr="00000000">
        <w:rPr>
          <w:rtl w:val="0"/>
        </w:rPr>
      </w:r>
    </w:p>
    <w:p w:rsidR="00000000" w:rsidDel="00000000" w:rsidP="00000000" w:rsidRDefault="00000000" w:rsidRPr="00000000" w14:paraId="00000034">
      <w:pPr>
        <w:spacing w:after="240" w:before="240" w:lineRule="auto"/>
        <w:rPr/>
      </w:pPr>
      <w:r w:rsidDel="00000000" w:rsidR="00000000" w:rsidRPr="00000000">
        <w:rPr>
          <w:rtl w:val="0"/>
        </w:rPr>
      </w:r>
    </w:p>
    <w:p w:rsidR="00000000" w:rsidDel="00000000" w:rsidP="00000000" w:rsidRDefault="00000000" w:rsidRPr="00000000" w14:paraId="00000035">
      <w:pPr>
        <w:pStyle w:val="Heading2"/>
        <w:spacing w:line="360" w:lineRule="auto"/>
        <w:rPr>
          <w:rFonts w:ascii="Arial" w:cs="Arial" w:eastAsia="Arial" w:hAnsi="Arial"/>
          <w:b w:val="1"/>
          <w:bCs w:val="1"/>
          <w:sz w:val="22"/>
          <w:szCs w:val="22"/>
        </w:rPr>
      </w:pPr>
      <w:bookmarkStart w:colFirst="0" w:colLast="0" w:name="_heading=h.1p8tgrm4lyv" w:id="7"/>
      <w:bookmarkEnd w:id="7"/>
      <w:r w:rsidDel="00000000" w:rsidR="00000000" w:rsidRPr="00000000">
        <w:rPr>
          <w:rFonts w:ascii="Arial" w:cs="Arial" w:eastAsia="Arial" w:hAnsi="Arial"/>
          <w:b w:val="1"/>
          <w:bCs w:val="1"/>
          <w:sz w:val="22"/>
          <w:szCs w:val="22"/>
          <w:rtl w:val="0"/>
        </w:rPr>
        <w:t xml:space="preserve">Impact on service delivery</w:t>
      </w:r>
    </w:p>
    <w:p w:rsidR="00000000" w:rsidDel="00000000" w:rsidP="00000000" w:rsidRDefault="00000000" w:rsidRPr="00000000" w14:paraId="0000003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NHS App has reshaped aspects of day-to-day service delivery, particularly in primary care, by introducing new modes of access and interaction between patients and services (Kc et al., 2023). As a patient portal, it enables digital booking, repeat prescriptions, and access to records, complementing other remote modalities such as telephone and online consultations. Policy ambitions frame the app as a “full front door” to the NHS, supporting triage, navigation, and self-service for non-urgent needs (Full Fact, 2026).</w:t>
      </w:r>
    </w:p>
    <w:p w:rsidR="00000000" w:rsidDel="00000000" w:rsidP="00000000" w:rsidRDefault="00000000" w:rsidRPr="00000000" w14:paraId="00000037">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Empirical data demonstrate substantial growth in activity through the app. Between January 2019 and May 2021, there were more than 8.5 million downloads and 4.4 million registrations, with a four-fold increase in downloads when the COVID Pass feature was introduced. NHS England has since reported “record numbers” using the app to manage appointments, prescriptions, and records, indicating that digital access has become a mainstream component of service delivery. This growth can enhance system capacity by diverting some demand away from telephone lines and in-person visits, particularly for administrative tasks.</w:t>
      </w:r>
    </w:p>
    <w:p w:rsidR="00000000" w:rsidDel="00000000" w:rsidP="00000000" w:rsidRDefault="00000000" w:rsidRPr="00000000" w14:paraId="00000038">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 the same time, service delivery via the NHS App is uneven and contingent on local systems. Because the app functions as a gateway to existing GP infrastructures and third-party services, not all features are available in every practice or region, creating variability in what patients can actually do through the app. Practices with more advanced digital systems can offer richer functionality, such as integrated messaging and wider record access, while others may provide only basic features, limiting the app’s transformative potential in those contexts (Reidy et al., 2025). This heterogeneity challenges the notion of a uniform “digital front door” and raises issues of fairness in service access.</w:t>
      </w:r>
    </w:p>
    <w:p w:rsidR="00000000" w:rsidDel="00000000" w:rsidP="00000000" w:rsidRDefault="00000000" w:rsidRPr="00000000" w14:paraId="0000003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Digital service delivery also presents risks of new bottlenecks and unintended consequences. If an influx of digital appointment requests or prescription orders is not matched by capacity, practices may face increased pressure and longer queues across channels (Reidy et al., 2025). Furthermore, the NHS App sits within a broader ecosystem of digital tools, including online consultation platforms and telehealth services; without coherent design and integration, patients and staff can experience fragmentation, duplicated processes, or confusion about which route to use for different problems (Shaw et al., 2021).</w:t>
      </w:r>
    </w:p>
    <w:p w:rsidR="00000000" w:rsidDel="00000000" w:rsidP="00000000" w:rsidRDefault="00000000" w:rsidRPr="00000000" w14:paraId="0000003A">
      <w:pPr>
        <w:spacing w:after="240" w:before="240" w:lineRule="auto"/>
        <w:rPr/>
      </w:pPr>
      <w:r w:rsidDel="00000000" w:rsidR="00000000" w:rsidRPr="00000000">
        <w:rPr>
          <w:rFonts w:ascii="Arial" w:cs="Arial" w:eastAsia="Arial" w:hAnsi="Arial"/>
          <w:sz w:val="22"/>
          <w:szCs w:val="22"/>
          <w:rtl w:val="0"/>
        </w:rPr>
        <w:t xml:space="preserve">From a strategic perspective, the NHS App supports data-driven service planning and learning health system ambitions by generating usage data that can inform resource allocation, demand management, and quality improvement. However, critical analyses caution that the </w:t>
      </w:r>
      <w:r w:rsidDel="00000000" w:rsidR="00000000" w:rsidRPr="00000000">
        <w:rPr>
          <w:rFonts w:ascii="Arial" w:cs="Arial" w:eastAsia="Arial" w:hAnsi="Arial"/>
          <w:sz w:val="22"/>
          <w:szCs w:val="22"/>
          <w:rtl w:val="0"/>
        </w:rPr>
        <w:t xml:space="preserve">platformisation</w:t>
      </w:r>
      <w:r w:rsidDel="00000000" w:rsidR="00000000" w:rsidRPr="00000000">
        <w:rPr>
          <w:rFonts w:ascii="Arial" w:cs="Arial" w:eastAsia="Arial" w:hAnsi="Arial"/>
          <w:sz w:val="22"/>
          <w:szCs w:val="22"/>
          <w:rtl w:val="0"/>
        </w:rPr>
        <w:t xml:space="preserve"> of the NHS may reconfigure public services in ways that prioritise data extraction and private technology partnerships, requiring careful governance to protect public value. In this sense, the app is not only a service delivery tool but also part of a broader reconfiguration of how health services are organised and governed in the digital age.</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pStyle w:val="Heading2"/>
        <w:spacing w:line="360" w:lineRule="auto"/>
        <w:rPr>
          <w:rFonts w:ascii="Arial" w:cs="Arial" w:eastAsia="Arial" w:hAnsi="Arial"/>
          <w:b w:val="1"/>
          <w:bCs w:val="1"/>
          <w:sz w:val="22"/>
          <w:szCs w:val="22"/>
        </w:rPr>
      </w:pPr>
      <w:bookmarkStart w:colFirst="0" w:colLast="0" w:name="_heading=h.mwwzovuk65yg" w:id="8"/>
      <w:bookmarkEnd w:id="8"/>
      <w:r w:rsidDel="00000000" w:rsidR="00000000" w:rsidRPr="00000000">
        <w:rPr>
          <w:rFonts w:ascii="Arial" w:cs="Arial" w:eastAsia="Arial" w:hAnsi="Arial"/>
          <w:b w:val="1"/>
          <w:bCs w:val="1"/>
          <w:sz w:val="22"/>
          <w:szCs w:val="22"/>
          <w:rtl w:val="0"/>
        </w:rPr>
        <w:t xml:space="preserve">Impact on patients</w:t>
      </w:r>
    </w:p>
    <w:p w:rsidR="00000000" w:rsidDel="00000000" w:rsidP="00000000" w:rsidRDefault="00000000" w:rsidRPr="00000000" w14:paraId="0000003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patients and service users, the NHS App offers both opportunities for greater empowerment and risks of exclusion or harm. On the positive side, the app provides convenient 24/7 access to key services such as booking appointments, ordering repeat prescriptions, and viewing selected elements of medical records, which can support self-management and engagement with care. During the COVID-19 pandemic, the addition of the COVID Pass function allowed patients to access vaccination status quickly, which was essential for travel, employment, and social participation (Kc et al., 2023).</w:t>
      </w:r>
    </w:p>
    <w:p w:rsidR="00000000" w:rsidDel="00000000" w:rsidP="00000000" w:rsidRDefault="00000000" w:rsidRPr="00000000" w14:paraId="0000003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Qualitative evaluations report that many patients value the ease of ordering prescriptions and the ability to see results or documentation without needing to contact the practice, describing these features as particularly useful (Reidy et al., 2025). Digital record access can strengthen patients’ understanding of their conditions and treatments, aligning with wider evidence that patient portals can empower individuals to participate more actively in their care and safety (Howes et al., 2019). When combined with supportive communication from clinicians, these capabilities may enhance shared decision-making and satisfaction.</w:t>
      </w:r>
    </w:p>
    <w:p w:rsidR="00000000" w:rsidDel="00000000" w:rsidP="00000000" w:rsidRDefault="00000000" w:rsidRPr="00000000" w14:paraId="0000003F">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the NHS App also raises important concerns about digital inequality, comprehension, and trust. Observational data show that app registrations are significantly lower in the most deprived practices, indicating socioeconomic disparities in adoption. A related analysis of the NHS App as a patient portal found marked differences in use across sociodemographic groups, with lower engagement among older adults, people in more deprived areas, and some minority ethnic communities. This suggests that those who may have the greatest need for convenient access and self-management tools could be the least likely to benefit, exacerbating existing health inequalities (Allcock et al., 2024b).</w:t>
      </w:r>
    </w:p>
    <w:p w:rsidR="00000000" w:rsidDel="00000000" w:rsidP="00000000" w:rsidRDefault="00000000" w:rsidRPr="00000000" w14:paraId="0000004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Even among users, experiences of viewing records and consultation notes via the app are mixed. A qualitative study exploring online access to primary care electronic health records found that many participants struggled to understand medical acronyms, shorthand, and technical language in consultation notes, and some felt upset or offended by wording they perceived as judgmental. Without clear explanations or plain language, record access through the app can create anxiety, confusion, or damage to the therapeutic relationship rather than reassurance and empowerment (Walter et al., 2025).</w:t>
      </w:r>
    </w:p>
    <w:p w:rsidR="00000000" w:rsidDel="00000000" w:rsidP="00000000" w:rsidRDefault="00000000" w:rsidRPr="00000000" w14:paraId="00000041">
      <w:pPr>
        <w:spacing w:after="240" w:before="240" w:lineRule="auto"/>
        <w:rPr/>
      </w:pPr>
      <w:r w:rsidDel="00000000" w:rsidR="00000000" w:rsidRPr="00000000">
        <w:rPr>
          <w:rFonts w:ascii="Arial" w:cs="Arial" w:eastAsia="Arial" w:hAnsi="Arial"/>
          <w:sz w:val="22"/>
          <w:szCs w:val="22"/>
          <w:rtl w:val="0"/>
        </w:rPr>
        <w:t xml:space="preserve">Privacy and data concerns also influence patient perceptions. While the NHS brand provides a degree of trust, some stakeholders worry about data sharing with third-party technology providers and the potential commercialisation of patient data within a </w:t>
      </w:r>
      <w:r w:rsidDel="00000000" w:rsidR="00000000" w:rsidRPr="00000000">
        <w:rPr>
          <w:rFonts w:ascii="Arial" w:cs="Arial" w:eastAsia="Arial" w:hAnsi="Arial"/>
          <w:sz w:val="22"/>
          <w:szCs w:val="22"/>
          <w:rtl w:val="0"/>
        </w:rPr>
        <w:t xml:space="preserve">platformised</w:t>
      </w:r>
      <w:r w:rsidDel="00000000" w:rsidR="00000000" w:rsidRPr="00000000">
        <w:rPr>
          <w:rFonts w:ascii="Arial" w:cs="Arial" w:eastAsia="Arial" w:hAnsi="Arial"/>
          <w:sz w:val="22"/>
          <w:szCs w:val="22"/>
          <w:rtl w:val="0"/>
        </w:rPr>
        <w:t xml:space="preserve"> NHS. Addressing these concerns requires transparent communication about data use, robust governance, and meaningful public engagement to maintain confidence and legitimacy (Shaw et al., 2021).</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2"/>
        <w:spacing w:line="360" w:lineRule="auto"/>
        <w:rPr>
          <w:rFonts w:ascii="Arial" w:cs="Arial" w:eastAsia="Arial" w:hAnsi="Arial"/>
          <w:b w:val="1"/>
          <w:bCs w:val="1"/>
          <w:sz w:val="22"/>
          <w:szCs w:val="22"/>
        </w:rPr>
      </w:pPr>
      <w:bookmarkStart w:colFirst="0" w:colLast="0" w:name="_heading=h.jskb1e32wqr" w:id="9"/>
      <w:bookmarkEnd w:id="9"/>
      <w:r w:rsidDel="00000000" w:rsidR="00000000" w:rsidRPr="00000000">
        <w:rPr>
          <w:rFonts w:ascii="Arial" w:cs="Arial" w:eastAsia="Arial" w:hAnsi="Arial"/>
          <w:b w:val="1"/>
          <w:bCs w:val="1"/>
          <w:sz w:val="22"/>
          <w:szCs w:val="22"/>
          <w:rtl w:val="0"/>
        </w:rPr>
        <w:t xml:space="preserve">Impact on community</w:t>
      </w:r>
    </w:p>
    <w:p w:rsidR="00000000" w:rsidDel="00000000" w:rsidP="00000000" w:rsidRDefault="00000000" w:rsidRPr="00000000" w14:paraId="00000044">
      <w:pPr>
        <w:spacing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NHS App also has wider community-level implications, affecting patterns of service use across locations, family involvement in care, co-production, and public health. By enabling remote access to appointments, prescriptions, and information, the app can reduce the need for travel to GP practices or pharmacies, which is particularly valuable for people in rural areas, those with mobility difficulties, and carers supporting relatives with complex needs. This can ease burdens on families, who may otherwise need to take time off work or arrange transport for routine administrative tasks. (Reidy et al., 2025)</w:t>
      </w:r>
    </w:p>
    <w:p w:rsidR="00000000" w:rsidDel="00000000" w:rsidP="00000000" w:rsidRDefault="00000000" w:rsidRPr="00000000" w14:paraId="00000045">
      <w:pPr>
        <w:spacing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At the population level, digital tools like the NHS App can support public health goals by facilitating vaccination campaigns, screening programmes, and health promotion initiatives. During the COVID-19 pandemic, digital systems including the NHS COVID Pass played a key role in enabling safer reopening of society and monitoring vaccine uptake. (Kendall et al., 2024) Current policy plans envisage the app supporting wider preventive and personalised care, including reminders, self-management resources, and integration with wearables and AI-driven services, with the aim of shifting the system towards more proactive, community-based care.</w:t>
      </w:r>
    </w:p>
    <w:p w:rsidR="00000000" w:rsidDel="00000000" w:rsidP="00000000" w:rsidRDefault="00000000" w:rsidRPr="00000000" w14:paraId="00000046">
      <w:pPr>
        <w:spacing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Co-production and citizen involvement are also relevant. The NHS App creates channels through which patients and carers can provide feedback, monitor aspects of their health, and interact with services in ways that blur the boundaries between care settings and everyday life. (Howes et al., 2019) Studies of participatory digital health interventions suggest that when apps are designed with user input, they can empower communities to contribute to service safety and quality. However, if communities feel excluded from design decisions or perceive the app as imposed from above, this can generate resistance, mistrust, or low engagement, especially among groups who already feel marginalised by the health system.</w:t>
      </w:r>
    </w:p>
    <w:p w:rsidR="00000000" w:rsidDel="00000000" w:rsidP="00000000" w:rsidRDefault="00000000" w:rsidRPr="00000000" w14:paraId="00000047">
      <w:pPr>
        <w:spacing w:line="36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At the same time, community-level digital divides risk reinforcing geographic and social disparities. Content analyses of digital capability across NHS organisations show that many regions remain “digitally disengaged”, with limited access to advanced digital tools and support for digital health literacy. In such areas, the benefits of the NHS App may be minimal, while more affluent or digitally mature communities gain additional convenience and access, potentially widening health gaps. There is also a risk that over-reliance on digital channels could reduce investment in physical or non-digital services in deprived areas, undermining face-to-face access for those who need it most. (Klein, 2017)</w:t>
      </w:r>
      <w:r w:rsidDel="00000000" w:rsidR="00000000" w:rsidRPr="00000000">
        <w:rPr>
          <w:rtl w:val="0"/>
        </w:rPr>
      </w:r>
    </w:p>
    <w:p w:rsidR="00000000" w:rsidDel="00000000" w:rsidP="00000000" w:rsidRDefault="00000000" w:rsidRPr="00000000" w14:paraId="00000048">
      <w:pPr>
        <w:pStyle w:val="Heading2"/>
        <w:spacing w:line="360" w:lineRule="auto"/>
        <w:rPr>
          <w:rFonts w:ascii="Arial" w:cs="Arial" w:eastAsia="Arial" w:hAnsi="Arial"/>
          <w:b w:val="1"/>
          <w:bCs w:val="1"/>
          <w:sz w:val="22"/>
          <w:szCs w:val="22"/>
        </w:rPr>
      </w:pPr>
      <w:bookmarkStart w:colFirst="0" w:colLast="0" w:name="_heading=h.1on2qbra306e" w:id="10"/>
      <w:bookmarkEnd w:id="10"/>
      <w:r w:rsidDel="00000000" w:rsidR="00000000" w:rsidRPr="00000000">
        <w:rPr>
          <w:rFonts w:ascii="Arial" w:cs="Arial" w:eastAsia="Arial" w:hAnsi="Arial"/>
          <w:b w:val="1"/>
          <w:bCs w:val="1"/>
          <w:sz w:val="22"/>
          <w:szCs w:val="22"/>
          <w:rtl w:val="0"/>
        </w:rPr>
        <w:t xml:space="preserve">Conclusion</w:t>
      </w:r>
    </w:p>
    <w:p w:rsidR="00000000" w:rsidDel="00000000" w:rsidP="00000000" w:rsidRDefault="00000000" w:rsidRPr="00000000" w14:paraId="0000004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NHS App exemplifies contemporary digital transformation in the NHS, acting as a patient portal and “digital front door” to health and care services. Its implementation over the last decade has brought significant changes across the workforce, service delivery, patients’ experiences, and community dynamics. On the positive side, the app can streamline administrative processes, enhance convenience, and support patient engagement and public health initiatives, particularly when integrated effectively into local systems and supported by adequate training and infrastructure.</w:t>
      </w:r>
    </w:p>
    <w:p w:rsidR="00000000" w:rsidDel="00000000" w:rsidP="00000000" w:rsidRDefault="00000000" w:rsidRPr="00000000" w14:paraId="0000004A">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the evidence also reveals substantial challenges and risks. For staff, digital transformation introduces new workloads, competencies, and cultural shifts in documentation and communication, which can generate stress if not matched by support. For service delivery, variability in digital maturity and system integration means that benefits are uneven and sometimes accompanied by new bottlenecks or fragmentation. For patients and communities, digital inequalities, limited comprehension of clinical information, and concerns about data and governance threaten to reproduce or deepen existing health disparities.</w:t>
      </w:r>
    </w:p>
    <w:p w:rsidR="00000000" w:rsidDel="00000000" w:rsidP="00000000" w:rsidRDefault="00000000" w:rsidRPr="00000000" w14:paraId="0000004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pStyle w:val="Heading2"/>
        <w:spacing w:line="360" w:lineRule="auto"/>
        <w:rPr>
          <w:rFonts w:ascii="Arial" w:cs="Arial" w:eastAsia="Arial" w:hAnsi="Arial"/>
          <w:b w:val="1"/>
          <w:bCs w:val="1"/>
          <w:sz w:val="22"/>
          <w:szCs w:val="22"/>
        </w:rPr>
      </w:pPr>
      <w:bookmarkStart w:colFirst="0" w:colLast="0" w:name="_heading=h.57ykcowylip1" w:id="11"/>
      <w:bookmarkEnd w:id="11"/>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Allcock, J.A. et al. (2024) ‘Landscape of digital technologies used in the National Health Service in England: content analysis’,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JMIR Formative Research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8, e51859. Available at: </w:t>
      </w:r>
      <w:hyperlink r:id="rId8">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https://www.jmir.org/2024/1/e51859</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10 March 2026).</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Allcock, J.A. et al. (2024b) ‘Differences in use of a patient portal across sociodemographic groups: observational study of the NHS App in England’,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JMIR Medical Informatics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12(1), e56320. Available at: </w:t>
      </w:r>
      <w:hyperlink r:id="rId9">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https://www.jmir.org/2024/1/e56320</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11 March 2026).</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Fact (2026)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Is the government on track to make the NHS App a “full front door to the NHS”?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0">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https://fullfact.org/government-tracker/nhs-app-improvements/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10 March 2026).</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Howes, N. et al. (2019) ‘A smartphone app designed to empower patients to contribute toward safer surgical care: community-based evaluation using a participatory approach’,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JMIR mHealth and uHealth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7(7), e12859. Available at: </w:t>
      </w:r>
      <w:hyperlink r:id="rId11">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https://mhealth.jmir.org/2019/7/e12859</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13 March 2026).</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Kc, S. et al. (2023) ‘Uptake and adoption of the NHS App in England: an observational study’,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British Journal of General Practice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73(737), pp. e932–e940. Available at: </w:t>
      </w:r>
      <w:hyperlink r:id="rId12">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https://bjgp.org/content/73/737/e932</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10 March 2026).</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Kendall, M. et al. (2024) ‘Drivers of epidemic dynamics in real time from daily digital COVID-19 measurements’,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Science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385(6712), pp. 128–133. Available at: </w:t>
      </w:r>
      <w:hyperlink r:id="rId13">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https://www.science.org/doi/10.1126/science.adm8103</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10 March 2026).</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Klein, J. (2017) ‘Digital maturity: are we ready to use technology in the NHS?’,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Future Healthcare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4(3), pp. 189–192. Available at: </w:t>
      </w:r>
      <w:hyperlink r:id="rId14">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https://pmc.ncbi.nlm.nih.gov/articles/PMC6502583</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13 March 2026).</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(2019)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NHS Long Term Plan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London: NHS England. Available at: </w:t>
      </w:r>
      <w:hyperlink r:id="rId15">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https://www.longtermplan.nhs.uk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12 March 2026).</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(2025a)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NHS App roadmap 2023–2028</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London: NHS England. Available at: </w:t>
      </w:r>
      <w:hyperlink r:id="rId16">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https://htn.co.uk/2025/05/01/nhs-app-roadmap-outlines-health-records-appointments-prescriptions-integrated-services-and-messaging</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11 March 2026).</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(2025b) ‘Record numbers using NHS App to manage health’,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NHS England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Available at: </w:t>
      </w:r>
      <w:hyperlink r:id="rId17">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https://www.england.nhs.uk/2025/12/record-numbers-using-nhs-app-to-manage-health/</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11 March 2026).</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Reidy, C. et al. (2025) ‘Qualitative evaluation of the implementation and national roll-out of the NHS App in England’,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BMC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23, 20. Available at: </w:t>
      </w:r>
      <w:hyperlink r:id="rId18">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https://bmcmedicine.biomedcentral.com/articles/10.1186/s12916-024-03842-w</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10 March 2026).</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Shaw, J. et al. (2021) ‘Platform NHS: reconfiguring a public service in the age of digital capitalism’,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Science, Technology, &amp; Human Values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46(6), pp. 151–177. Available at: </w:t>
      </w:r>
      <w:hyperlink r:id="rId19">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https://journals.sagepub.com/doi/10.1177/01622439211055697</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10 March 2026).</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Government (2025)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Fit for the future: 10 year health plan for England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London: Department of Health and Social Care. Available at: </w:t>
      </w:r>
      <w:hyperlink r:id="rId20">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https://www.gov.uk/government/publications/10-year-health-plan-for-england-fit-for-the-future</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11 March 2026).</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Walter, F.M. et al. (2025) ‘“Getting it write” in an era of online electronic health records access in primary care: a qualitative study’,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Patient Education and Counseling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138, 109192. Available at: </w:t>
      </w:r>
      <w:hyperlink r:id="rId21">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https://pubmed.ncbi.nlm.nih.gov/40449207</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13 March 2026).</w:t>
      </w:r>
    </w:p>
    <w:sectPr>
      <w:footerReference r:id="rId2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pBdr>
        <w:left w:color="4472c4" w:space="11" w:sz="12" w:val="single"/>
      </w:pBdr>
      <w:tabs>
        <w:tab w:val="left" w:leader="none" w:pos="622"/>
      </w:tabs>
      <w:spacing w:after="0" w:lineRule="auto"/>
      <w:rPr>
        <w:rFonts w:ascii="Play" w:cs="Play" w:eastAsia="Play" w:hAnsi="Play"/>
        <w:color w:val="2f5496"/>
        <w:sz w:val="26"/>
        <w:szCs w:val="26"/>
      </w:rPr>
    </w:pPr>
    <w:r w:rsidDel="00000000" w:rsidR="00000000" w:rsidRPr="00000000">
      <w:rPr>
        <w:rFonts w:ascii="Play" w:cs="Play" w:eastAsia="Play" w:hAnsi="Play"/>
        <w:color w:val="2f5496"/>
        <w:sz w:val="26"/>
        <w:szCs w:val="26"/>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Play" w:cs="Play" w:eastAsia="Play" w:hAnsi="Play"/>
      <w:color w:val="2f5496"/>
      <w:sz w:val="32"/>
      <w:szCs w:val="32"/>
    </w:rPr>
  </w:style>
  <w:style w:type="paragraph" w:styleId="Heading2">
    <w:name w:val="heading 2"/>
    <w:basedOn w:val="Normal"/>
    <w:next w:val="Normal"/>
    <w:pPr>
      <w:keepNext w:val="1"/>
      <w:keepLines w:val="1"/>
      <w:spacing w:after="0" w:before="40" w:lineRule="auto"/>
    </w:pPr>
    <w:rPr>
      <w:rFonts w:ascii="Play" w:cs="Play" w:eastAsia="Play" w:hAnsi="Play"/>
      <w:color w:val="2f5496"/>
      <w:sz w:val="26"/>
      <w:szCs w:val="26"/>
    </w:rPr>
  </w:style>
  <w:style w:type="paragraph" w:styleId="Heading3">
    <w:name w:val="heading 3"/>
    <w:basedOn w:val="Normal"/>
    <w:next w:val="Normal"/>
    <w:pPr>
      <w:keepNext w:val="1"/>
      <w:keepLines w:val="1"/>
      <w:spacing w:after="0" w:before="40" w:lineRule="auto"/>
    </w:pPr>
    <w:rPr>
      <w:rFonts w:ascii="Play" w:cs="Play" w:eastAsia="Play" w:hAnsi="Play"/>
      <w:color w:val="1f3863"/>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7612CB"/>
    <w:rPr>
      <w:color w:val="0563c1" w:themeColor="hyperlink"/>
      <w:u w:val="single"/>
    </w:rPr>
  </w:style>
  <w:style w:type="character" w:styleId="Heading1Char" w:customStyle="1">
    <w:name w:val="Heading 1 Char"/>
    <w:basedOn w:val="DefaultParagraphFont"/>
    <w:link w:val="Heading1"/>
    <w:uiPriority w:val="9"/>
    <w:rsid w:val="0041787C"/>
    <w:rPr>
      <w:rFonts w:asciiTheme="majorHAnsi" w:cstheme="majorBidi" w:eastAsiaTheme="majorEastAsia" w:hAnsiTheme="majorHAnsi"/>
      <w:color w:val="2f5496" w:themeColor="accent1" w:themeShade="0000BF"/>
      <w:sz w:val="32"/>
      <w:szCs w:val="32"/>
      <w:lang w:val="en-GB"/>
    </w:rPr>
  </w:style>
  <w:style w:type="character" w:styleId="Heading2Char" w:customStyle="1">
    <w:name w:val="Heading 2 Char"/>
    <w:basedOn w:val="DefaultParagraphFont"/>
    <w:link w:val="Heading2"/>
    <w:uiPriority w:val="9"/>
    <w:rsid w:val="0041787C"/>
    <w:rPr>
      <w:rFonts w:asciiTheme="majorHAnsi" w:cstheme="majorBidi" w:eastAsiaTheme="majorEastAsia" w:hAnsiTheme="majorHAnsi"/>
      <w:color w:val="2f5496" w:themeColor="accent1" w:themeShade="0000BF"/>
      <w:sz w:val="26"/>
      <w:szCs w:val="26"/>
      <w:lang w:val="en-GB"/>
    </w:rPr>
  </w:style>
  <w:style w:type="character" w:styleId="Heading3Char" w:customStyle="1">
    <w:name w:val="Heading 3 Char"/>
    <w:basedOn w:val="DefaultParagraphFont"/>
    <w:link w:val="Heading3"/>
    <w:uiPriority w:val="9"/>
    <w:rsid w:val="0041787C"/>
    <w:rPr>
      <w:rFonts w:asciiTheme="majorHAnsi" w:cstheme="majorBidi" w:eastAsiaTheme="majorEastAsia" w:hAnsiTheme="majorHAnsi"/>
      <w:color w:val="1f3763" w:themeColor="accent1" w:themeShade="00007F"/>
      <w:lang w:val="en-GB"/>
    </w:rPr>
  </w:style>
  <w:style w:type="paragraph" w:styleId="ListParagraph">
    <w:name w:val="List Paragraph"/>
    <w:basedOn w:val="Normal"/>
    <w:uiPriority w:val="34"/>
    <w:qFormat w:val="1"/>
    <w:rsid w:val="008601D9"/>
    <w:pPr>
      <w:ind w:left="720"/>
      <w:contextualSpacing w:val="1"/>
    </w:pPr>
  </w:style>
  <w:style w:type="paragraph" w:styleId="TOCHeading">
    <w:name w:val="TOC Heading"/>
    <w:basedOn w:val="Heading1"/>
    <w:next w:val="Normal"/>
    <w:uiPriority w:val="39"/>
    <w:unhideWhenUsed w:val="1"/>
    <w:qFormat w:val="1"/>
    <w:rsid w:val="000E5F4C"/>
    <w:pPr>
      <w:spacing w:line="259" w:lineRule="auto"/>
      <w:outlineLvl w:val="9"/>
    </w:pPr>
    <w:rPr>
      <w:kern w:val="0"/>
      <w:lang w:val="en-US"/>
    </w:rPr>
  </w:style>
  <w:style w:type="paragraph" w:styleId="TOC1">
    <w:name w:val="toc 1"/>
    <w:basedOn w:val="Normal"/>
    <w:next w:val="Normal"/>
    <w:autoRedefine w:val="1"/>
    <w:uiPriority w:val="39"/>
    <w:unhideWhenUsed w:val="1"/>
    <w:rsid w:val="000E5F4C"/>
    <w:pPr>
      <w:spacing w:after="100"/>
    </w:pPr>
  </w:style>
  <w:style w:type="paragraph" w:styleId="TOC2">
    <w:name w:val="toc 2"/>
    <w:basedOn w:val="Normal"/>
    <w:next w:val="Normal"/>
    <w:autoRedefine w:val="1"/>
    <w:uiPriority w:val="39"/>
    <w:unhideWhenUsed w:val="1"/>
    <w:rsid w:val="000E5F4C"/>
    <w:pPr>
      <w:spacing w:after="100"/>
      <w:ind w:left="240"/>
    </w:pPr>
  </w:style>
  <w:style w:type="paragraph" w:styleId="TOC3">
    <w:name w:val="toc 3"/>
    <w:basedOn w:val="Normal"/>
    <w:next w:val="Normal"/>
    <w:autoRedefine w:val="1"/>
    <w:uiPriority w:val="39"/>
    <w:unhideWhenUsed w:val="1"/>
    <w:rsid w:val="000E5F4C"/>
    <w:pPr>
      <w:spacing w:after="100"/>
      <w:ind w:left="480"/>
    </w:pPr>
  </w:style>
  <w:style w:type="paragraph" w:styleId="Header">
    <w:name w:val="header"/>
    <w:basedOn w:val="Normal"/>
    <w:link w:val="HeaderChar"/>
    <w:uiPriority w:val="99"/>
    <w:unhideWhenUsed w:val="1"/>
    <w:rsid w:val="000E5F4C"/>
    <w:pPr>
      <w:tabs>
        <w:tab w:val="center" w:pos="4680"/>
        <w:tab w:val="right" w:pos="9360"/>
      </w:tabs>
      <w:spacing w:after="0" w:line="240" w:lineRule="auto"/>
    </w:pPr>
  </w:style>
  <w:style w:type="character" w:styleId="HeaderChar" w:customStyle="1">
    <w:name w:val="Header Char"/>
    <w:basedOn w:val="DefaultParagraphFont"/>
    <w:link w:val="Header"/>
    <w:uiPriority w:val="99"/>
    <w:rsid w:val="000E5F4C"/>
    <w:rPr>
      <w:lang w:val="en-GB"/>
    </w:rPr>
  </w:style>
  <w:style w:type="paragraph" w:styleId="Footer">
    <w:name w:val="footer"/>
    <w:basedOn w:val="Normal"/>
    <w:link w:val="FooterChar"/>
    <w:uiPriority w:val="99"/>
    <w:unhideWhenUsed w:val="1"/>
    <w:rsid w:val="000E5F4C"/>
    <w:pPr>
      <w:tabs>
        <w:tab w:val="center" w:pos="4680"/>
        <w:tab w:val="right" w:pos="9360"/>
      </w:tabs>
      <w:spacing w:after="0" w:line="240" w:lineRule="auto"/>
    </w:pPr>
  </w:style>
  <w:style w:type="character" w:styleId="FooterChar" w:customStyle="1">
    <w:name w:val="Footer Char"/>
    <w:basedOn w:val="DefaultParagraphFont"/>
    <w:link w:val="Footer"/>
    <w:uiPriority w:val="99"/>
    <w:rsid w:val="000E5F4C"/>
    <w:rPr>
      <w:lang w:val="en-GB"/>
    </w:rPr>
  </w:style>
  <w:style w:type="character" w:styleId="UnresolvedMention">
    <w:name w:val="Unresolved Mention"/>
    <w:basedOn w:val="DefaultParagraphFont"/>
    <w:uiPriority w:val="99"/>
    <w:semiHidden w:val="1"/>
    <w:unhideWhenUsed w:val="1"/>
    <w:rsid w:val="0035171D"/>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10-year-health-plan-for-england-fit-for-the-future" TargetMode="External"/><Relationship Id="rId11" Type="http://schemas.openxmlformats.org/officeDocument/2006/relationships/hyperlink" Target="https://mhealth.jmir.org/2019/7/e12859" TargetMode="External"/><Relationship Id="rId22" Type="http://schemas.openxmlformats.org/officeDocument/2006/relationships/footer" Target="footer1.xml"/><Relationship Id="rId10" Type="http://schemas.openxmlformats.org/officeDocument/2006/relationships/hyperlink" Target="https://fullfact.org/government-tracker/nhs-app-improvements/" TargetMode="External"/><Relationship Id="rId21" Type="http://schemas.openxmlformats.org/officeDocument/2006/relationships/hyperlink" Target="https://pubmed.ncbi.nlm.nih.gov/40449207" TargetMode="External"/><Relationship Id="rId13" Type="http://schemas.openxmlformats.org/officeDocument/2006/relationships/hyperlink" Target="https://www.science.org/doi/10.1126/science.adm8103" TargetMode="External"/><Relationship Id="rId12" Type="http://schemas.openxmlformats.org/officeDocument/2006/relationships/hyperlink" Target="https://bjgp.org/content/73/737/e93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mir.org/2024/1/e56320" TargetMode="External"/><Relationship Id="rId15" Type="http://schemas.openxmlformats.org/officeDocument/2006/relationships/hyperlink" Target="https://www.longtermplan.nhs.uk/" TargetMode="External"/><Relationship Id="rId14" Type="http://schemas.openxmlformats.org/officeDocument/2006/relationships/hyperlink" Target="https://pmc.ncbi.nlm.nih.gov/articles/PMC6502583" TargetMode="External"/><Relationship Id="rId17" Type="http://schemas.openxmlformats.org/officeDocument/2006/relationships/hyperlink" Target="https://www.england.nhs.uk/2025/12/record-numbers-using-nhs-app-to-manage-health/" TargetMode="External"/><Relationship Id="rId16" Type="http://schemas.openxmlformats.org/officeDocument/2006/relationships/hyperlink" Target="https://htn.co.uk/2025/05/01/nhs-app-roadmap-outlines-health-records-appointments-prescriptions-integrated-services-and-messaging" TargetMode="External"/><Relationship Id="rId5" Type="http://schemas.openxmlformats.org/officeDocument/2006/relationships/styles" Target="styles.xml"/><Relationship Id="rId19" Type="http://schemas.openxmlformats.org/officeDocument/2006/relationships/hyperlink" Target="https://journals.sagepub.com/doi/10.1177/01622439211055697" TargetMode="External"/><Relationship Id="rId6" Type="http://schemas.openxmlformats.org/officeDocument/2006/relationships/customXml" Target="../customXML/item1.xml"/><Relationship Id="rId18" Type="http://schemas.openxmlformats.org/officeDocument/2006/relationships/hyperlink" Target="https://bmcmedicine.biomedcentral.com/articles/10.1186/s12916-024-03842-w" TargetMode="External"/><Relationship Id="rId7" Type="http://schemas.openxmlformats.org/officeDocument/2006/relationships/image" Target="media/image1.png"/><Relationship Id="rId8" Type="http://schemas.openxmlformats.org/officeDocument/2006/relationships/hyperlink" Target="https://www.jmir.org/2024/1/e5185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cshl+GyFjMaQghsWV4liRKnWDg==">CgMxLjAyDmguNDhpZHZvYW1uOGJ1Mg5oLjJlZmpqZ210eTdmdjIOaC5xZ3I5bGYzbHFoYmsyDmguemZ0eWQ5NTFnZ2NyMg5oLnN4bDN6bmlyN3IyejIOaC5hdDVqZGp2dXVyZm0yDmguaGQ0MDZkZTRoeDh1Mg1oLjFwOHRncm00bHl2Mg5oLm13d3pvdnVrNjV5ZzINaC5qc2tiMWUzMndxcjIOaC4xb24ycWJyYTMwNmUyDmguNTd5a2Nvd3lsaXAxOAByITF1QmYzV3RjTjU1TXZHUXRaMGJMTmdRRG5lSDVRNjNk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2026-03-04T13:20:00Z</dcterms:created>
  <dc:creator>Artemis Vyudantrome</dc:creator>
</cp:coreProperties>
</file>