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SimSun" w:cs="Arial"/>
          <w:b/>
          <w:sz w:val="22"/>
          <w:szCs w:val="22"/>
          <w:lang w:val="en-US" w:eastAsia="zh-CN"/>
        </w:rPr>
      </w:pPr>
      <w:r>
        <w:rPr>
          <w:rFonts w:hint="eastAsia" w:eastAsia="SimSun" w:cs="Arial"/>
          <w:b/>
          <w:sz w:val="22"/>
          <w:szCs w:val="22"/>
          <w:lang w:val="en-US" w:eastAsia="zh-CN"/>
        </w:rPr>
        <w:t xml:space="preserve"> </w:t>
      </w:r>
    </w:p>
    <w:tbl>
      <w:tblPr>
        <w:tblStyle w:val="16"/>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76" w:type="dxa"/>
          </w:tcPr>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cs="Arial"/>
                <w:sz w:val="22"/>
                <w:szCs w:val="22"/>
              </w:rPr>
            </w:pPr>
            <w:r>
              <w:rPr>
                <w:rFonts w:cs="Arial"/>
                <w:sz w:val="22"/>
                <w:szCs w:val="22"/>
              </w:rPr>
              <w:t xml:space="preserve">This form is to be completed by both the student and supervisory team within </w:t>
            </w:r>
            <w:r>
              <w:rPr>
                <w:rFonts w:cs="Arial"/>
                <w:b/>
                <w:sz w:val="22"/>
                <w:szCs w:val="22"/>
              </w:rPr>
              <w:t>THREE</w:t>
            </w:r>
            <w:r>
              <w:rPr>
                <w:rFonts w:cs="Arial"/>
                <w:sz w:val="22"/>
                <w:szCs w:val="22"/>
              </w:rPr>
              <w:t xml:space="preserve"> months for full-time students and </w:t>
            </w:r>
            <w:r>
              <w:rPr>
                <w:rFonts w:cs="Arial"/>
                <w:b/>
                <w:sz w:val="22"/>
                <w:szCs w:val="22"/>
              </w:rPr>
              <w:t xml:space="preserve">SIX </w:t>
            </w:r>
            <w:r>
              <w:rPr>
                <w:rFonts w:cs="Arial"/>
                <w:sz w:val="22"/>
                <w:szCs w:val="22"/>
              </w:rPr>
              <w:t xml:space="preserve">months for part time students, after the commencement of the research degree or Part Two. </w:t>
            </w:r>
            <w:r>
              <w:rPr>
                <w:rFonts w:cs="Arial"/>
                <w:bCs/>
                <w:sz w:val="22"/>
                <w:szCs w:val="22"/>
              </w:rPr>
              <w:t xml:space="preserve">Return the completed form to the </w:t>
            </w:r>
            <w:r>
              <w:rPr>
                <w:rFonts w:cs="Arial"/>
                <w:b/>
                <w:bCs/>
                <w:sz w:val="22"/>
                <w:szCs w:val="22"/>
              </w:rPr>
              <w:t xml:space="preserve">Academic Office </w:t>
            </w:r>
            <w:r>
              <w:fldChar w:fldCharType="begin"/>
            </w:r>
            <w:r>
              <w:instrText xml:space="preserve"> HYPERLINK "mailto:pgresearch@uwtsd.ac.uk" </w:instrText>
            </w:r>
            <w:r>
              <w:fldChar w:fldCharType="separate"/>
            </w:r>
            <w:r>
              <w:rPr>
                <w:rStyle w:val="21"/>
                <w:rFonts w:cs="Arial"/>
                <w:sz w:val="22"/>
                <w:szCs w:val="22"/>
              </w:rPr>
              <w:t>pgresearch@uwtsd.ac.uk</w:t>
            </w:r>
            <w:r>
              <w:rPr>
                <w:rStyle w:val="21"/>
                <w:rFonts w:cs="Arial"/>
                <w:sz w:val="22"/>
                <w:szCs w:val="22"/>
              </w:rPr>
              <w:fldChar w:fldCharType="end"/>
            </w:r>
            <w:r>
              <w:rPr>
                <w:rFonts w:cs="Arial"/>
                <w:b/>
                <w:bCs/>
                <w:sz w:val="22"/>
                <w:szCs w:val="22"/>
              </w:rPr>
              <w:t xml:space="preserve">. </w:t>
            </w:r>
          </w:p>
        </w:tc>
      </w:tr>
    </w:tbl>
    <w:p>
      <w:pPr>
        <w:rPr>
          <w:rFonts w:cs="Arial"/>
          <w:b/>
          <w:sz w:val="22"/>
          <w:szCs w:val="22"/>
        </w:rPr>
      </w:pPr>
    </w:p>
    <w:p>
      <w:pPr>
        <w:spacing w:before="240"/>
        <w:rPr>
          <w:rFonts w:cs="Arial"/>
          <w:b/>
          <w:sz w:val="22"/>
          <w:szCs w:val="22"/>
        </w:rPr>
      </w:pPr>
      <w:r>
        <w:rPr>
          <w:rFonts w:cs="Arial"/>
          <w:b/>
          <w:sz w:val="22"/>
          <w:szCs w:val="22"/>
        </w:rPr>
        <w:t xml:space="preserve">Student Details </w:t>
      </w:r>
    </w:p>
    <w:tbl>
      <w:tblPr>
        <w:tblStyle w:val="15"/>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5"/>
        <w:gridCol w:w="2056"/>
        <w:gridCol w:w="2835"/>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pPr>
              <w:tabs>
                <w:tab w:val="center" w:pos="2202"/>
              </w:tabs>
              <w:rPr>
                <w:rFonts w:cs="Arial"/>
                <w:sz w:val="22"/>
                <w:szCs w:val="22"/>
              </w:rPr>
            </w:pPr>
            <w:r>
              <w:rPr>
                <w:rFonts w:cs="Arial"/>
                <w:sz w:val="22"/>
                <w:szCs w:val="22"/>
              </w:rPr>
              <w:t>Student Family / Surname:</w:t>
            </w:r>
          </w:p>
          <w:p>
            <w:pPr>
              <w:rPr>
                <w:rFonts w:cs="Arial"/>
                <w:sz w:val="22"/>
                <w:szCs w:val="22"/>
              </w:rPr>
            </w:pPr>
          </w:p>
        </w:tc>
        <w:tc>
          <w:tcPr>
            <w:tcW w:w="5670" w:type="dxa"/>
            <w:gridSpan w:val="2"/>
            <w:shd w:val="clear" w:color="auto" w:fill="auto"/>
          </w:tcPr>
          <w:p>
            <w:pPr>
              <w:rPr>
                <w:rFonts w:hint="default" w:cs="Arial"/>
                <w:sz w:val="22"/>
                <w:szCs w:val="22"/>
                <w:lang w:val="en-US" w:eastAsia="zh-Hans"/>
              </w:rPr>
            </w:pPr>
            <w:r>
              <w:rPr>
                <w:rFonts w:hint="default" w:cs="Arial"/>
                <w:sz w:val="22"/>
                <w:szCs w:val="22"/>
                <w:lang w:val="en-US" w:eastAsia="zh-Hans"/>
              </w:rPr>
              <w:t>Zhu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pPr>
              <w:rPr>
                <w:rFonts w:cs="Arial"/>
                <w:sz w:val="22"/>
                <w:szCs w:val="22"/>
              </w:rPr>
            </w:pPr>
            <w:r>
              <w:rPr>
                <w:rFonts w:cs="Arial"/>
                <w:sz w:val="22"/>
                <w:szCs w:val="22"/>
              </w:rPr>
              <w:t>Student Given / First name:</w:t>
            </w:r>
          </w:p>
          <w:p>
            <w:pPr>
              <w:rPr>
                <w:rFonts w:cs="Arial"/>
                <w:sz w:val="22"/>
                <w:szCs w:val="22"/>
              </w:rPr>
            </w:pPr>
          </w:p>
        </w:tc>
        <w:tc>
          <w:tcPr>
            <w:tcW w:w="5670" w:type="dxa"/>
            <w:gridSpan w:val="2"/>
            <w:shd w:val="clear" w:color="auto" w:fill="auto"/>
          </w:tcPr>
          <w:p>
            <w:pPr>
              <w:rPr>
                <w:rFonts w:hint="default" w:cs="Arial"/>
                <w:sz w:val="22"/>
                <w:szCs w:val="22"/>
                <w:lang w:val="en-US" w:eastAsia="zh-Hans"/>
              </w:rPr>
            </w:pPr>
            <w:r>
              <w:rPr>
                <w:rFonts w:hint="default" w:cs="Arial"/>
                <w:sz w:val="22"/>
                <w:szCs w:val="22"/>
                <w:lang w:val="en-US" w:eastAsia="zh-Hans"/>
              </w:rPr>
              <w:t>Xuanjing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pPr>
              <w:rPr>
                <w:rFonts w:cs="Arial"/>
                <w:sz w:val="22"/>
                <w:szCs w:val="22"/>
              </w:rPr>
            </w:pPr>
            <w:r>
              <w:rPr>
                <w:rFonts w:cs="Arial"/>
                <w:sz w:val="22"/>
                <w:szCs w:val="22"/>
              </w:rPr>
              <w:t>Student Number</w:t>
            </w:r>
          </w:p>
          <w:p>
            <w:pPr>
              <w:tabs>
                <w:tab w:val="center" w:pos="2202"/>
              </w:tabs>
              <w:rPr>
                <w:rFonts w:cs="Arial"/>
                <w:sz w:val="22"/>
                <w:szCs w:val="22"/>
              </w:rPr>
            </w:pPr>
          </w:p>
        </w:tc>
        <w:tc>
          <w:tcPr>
            <w:tcW w:w="5670" w:type="dxa"/>
            <w:gridSpan w:val="2"/>
            <w:shd w:val="clear" w:color="auto" w:fill="auto"/>
          </w:tcPr>
          <w:p>
            <w:pPr>
              <w:rPr>
                <w:rFonts w:hint="default" w:cs="Arial"/>
                <w:sz w:val="22"/>
                <w:szCs w:val="22"/>
                <w:lang w:val="en-US"/>
              </w:rPr>
            </w:pPr>
            <w:r>
              <w:rPr>
                <w:rFonts w:hint="default" w:cs="Arial"/>
                <w:sz w:val="22"/>
                <w:szCs w:val="22"/>
                <w:lang w:val="en-US"/>
              </w:rPr>
              <w:t>1915468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3" w:hRule="atLeast"/>
        </w:trPr>
        <w:tc>
          <w:tcPr>
            <w:tcW w:w="4111" w:type="dxa"/>
            <w:gridSpan w:val="2"/>
            <w:shd w:val="clear" w:color="auto" w:fill="F1F1F1" w:themeFill="background1" w:themeFillShade="F2"/>
          </w:tcPr>
          <w:p>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Institute</w:t>
            </w:r>
          </w:p>
        </w:tc>
        <w:tc>
          <w:tcPr>
            <w:tcW w:w="5670" w:type="dxa"/>
            <w:gridSpan w:val="2"/>
            <w:shd w:val="clear" w:color="auto" w:fill="auto"/>
          </w:tcPr>
          <w:p>
            <w:pPr>
              <w:rPr>
                <w:rFonts w:hint="default" w:eastAsia="SimSun" w:cs="Arial"/>
                <w:sz w:val="22"/>
                <w:szCs w:val="22"/>
                <w:lang w:val="en-US" w:eastAsia="zh-CN"/>
              </w:rPr>
            </w:pPr>
            <w:r>
              <w:rPr>
                <w:rFonts w:hint="default" w:cs="Arial"/>
                <w:sz w:val="22"/>
                <w:szCs w:val="22"/>
                <w:lang w:val="en-US" w:eastAsia="zh-Hans"/>
              </w:rPr>
              <w:t xml:space="preserve">Wales Institute of Science &amp; Art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3" w:hRule="atLeast"/>
        </w:trPr>
        <w:tc>
          <w:tcPr>
            <w:tcW w:w="4111" w:type="dxa"/>
            <w:gridSpan w:val="2"/>
            <w:shd w:val="clear" w:color="auto" w:fill="F1F1F1" w:themeFill="background1" w:themeFillShade="F2"/>
          </w:tcPr>
          <w:p>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Partner Institute (if appropriate)</w:t>
            </w:r>
          </w:p>
        </w:tc>
        <w:tc>
          <w:tcPr>
            <w:tcW w:w="5670" w:type="dxa"/>
            <w:gridSpan w:val="2"/>
            <w:shd w:val="clear" w:color="auto" w:fill="auto"/>
          </w:tcPr>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55" w:type="dxa"/>
            <w:shd w:val="clear" w:color="auto" w:fill="F1F1F1" w:themeFill="background1" w:themeFillShade="F2"/>
          </w:tcPr>
          <w:p>
            <w:pPr>
              <w:rPr>
                <w:rFonts w:cs="Arial"/>
                <w:sz w:val="22"/>
                <w:szCs w:val="22"/>
              </w:rPr>
            </w:pPr>
            <w:r>
              <w:rPr>
                <w:rFonts w:cs="Arial"/>
                <w:sz w:val="22"/>
                <w:szCs w:val="22"/>
              </w:rPr>
              <w:t>Start Date</w:t>
            </w:r>
          </w:p>
        </w:tc>
        <w:tc>
          <w:tcPr>
            <w:tcW w:w="2056" w:type="dxa"/>
            <w:shd w:val="clear" w:color="auto" w:fill="FFFFFF" w:themeFill="background1"/>
          </w:tcPr>
          <w:p>
            <w:pPr>
              <w:rPr>
                <w:rFonts w:hint="default" w:cs="Arial"/>
                <w:sz w:val="22"/>
                <w:szCs w:val="22"/>
                <w:lang w:val="en-US"/>
              </w:rPr>
            </w:pPr>
            <w:r>
              <w:rPr>
                <w:rFonts w:hint="default" w:cs="Arial"/>
                <w:sz w:val="22"/>
                <w:szCs w:val="22"/>
                <w:lang w:val="en-US"/>
              </w:rPr>
              <w:t>27/01/2024</w:t>
            </w:r>
          </w:p>
        </w:tc>
        <w:tc>
          <w:tcPr>
            <w:tcW w:w="2835" w:type="dxa"/>
            <w:shd w:val="clear" w:color="auto" w:fill="F1F1F1" w:themeFill="background1" w:themeFillShade="F2"/>
          </w:tcPr>
          <w:p>
            <w:pPr>
              <w:rPr>
                <w:rFonts w:cs="Arial"/>
                <w:sz w:val="22"/>
                <w:szCs w:val="22"/>
              </w:rPr>
            </w:pPr>
          </w:p>
        </w:tc>
        <w:tc>
          <w:tcPr>
            <w:tcW w:w="2835" w:type="dxa"/>
            <w:shd w:val="clear" w:color="auto" w:fill="auto"/>
          </w:tcPr>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pPr>
              <w:rPr>
                <w:rFonts w:cs="Arial"/>
                <w:sz w:val="22"/>
                <w:szCs w:val="22"/>
              </w:rPr>
            </w:pPr>
            <w:r>
              <w:rPr>
                <w:rFonts w:cs="Arial"/>
                <w:sz w:val="22"/>
                <w:szCs w:val="22"/>
              </w:rPr>
              <w:t>Mode of Study</w:t>
            </w:r>
          </w:p>
          <w:p>
            <w:pPr>
              <w:rPr>
                <w:rFonts w:cs="Arial"/>
                <w:sz w:val="22"/>
                <w:szCs w:val="22"/>
              </w:rPr>
            </w:pPr>
          </w:p>
        </w:tc>
        <w:tc>
          <w:tcPr>
            <w:tcW w:w="2835" w:type="dxa"/>
            <w:shd w:val="clear" w:color="auto" w:fill="auto"/>
          </w:tcPr>
          <w:p>
            <w:pPr>
              <w:rPr>
                <w:rFonts w:cs="Arial"/>
                <w:sz w:val="22"/>
                <w:szCs w:val="22"/>
              </w:rPr>
            </w:pPr>
            <w:r>
              <w:rPr>
                <w:rFonts w:cs="Arial"/>
                <w:sz w:val="22"/>
                <w:szCs w:val="22"/>
              </w:rPr>
              <w:t xml:space="preserve">Part time   </w:t>
            </w:r>
            <w:sdt>
              <w:sdtPr>
                <w:rPr>
                  <w:rFonts w:cs="Arial"/>
                  <w:sz w:val="22"/>
                  <w:szCs w:val="22"/>
                </w:rPr>
                <w:id w:val="714779916"/>
                <w14:checkbox>
                  <w14:checked w14:val="0"/>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lang w:val="en-GB" w:eastAsia="en-GB" w:bidi="ar-SA"/>
                  </w:rPr>
                  <w:t>☐</w:t>
                </w:r>
              </w:sdtContent>
            </w:sdt>
          </w:p>
        </w:tc>
        <w:tc>
          <w:tcPr>
            <w:tcW w:w="2835" w:type="dxa"/>
            <w:shd w:val="clear" w:color="auto" w:fill="auto"/>
          </w:tcPr>
          <w:p>
            <w:pPr>
              <w:rPr>
                <w:rFonts w:cs="Arial"/>
                <w:sz w:val="22"/>
                <w:szCs w:val="22"/>
              </w:rPr>
            </w:pPr>
            <w:r>
              <w:rPr>
                <w:rFonts w:cs="Arial"/>
                <w:sz w:val="22"/>
                <w:szCs w:val="22"/>
              </w:rPr>
              <w:t xml:space="preserve">Full time   </w:t>
            </w:r>
            <w:sdt>
              <w:sdtPr>
                <w:rPr>
                  <w:rFonts w:cs="Arial"/>
                  <w:sz w:val="22"/>
                  <w:szCs w:val="22"/>
                </w:rPr>
                <w:id w:val="324639206"/>
                <w14:checkbox>
                  <w14:checked w14:val="1"/>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lang w:val="en-GB" w:eastAsia="en-GB" w:bidi="ar-SA"/>
                  </w:rPr>
                  <w:t>☒</w:t>
                </w:r>
              </w:sdtContent>
            </w:sdt>
          </w:p>
        </w:tc>
      </w:tr>
    </w:tbl>
    <w:tbl>
      <w:tblPr>
        <w:tblStyle w:val="16"/>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1660"/>
        <w:gridCol w:w="1648"/>
        <w:gridCol w:w="1662"/>
        <w:gridCol w:w="1629"/>
        <w:gridCol w:w="1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shd w:val="clear" w:color="auto" w:fill="F1F1F1" w:themeFill="background1" w:themeFillShade="F2"/>
          </w:tcPr>
          <w:p>
            <w:pPr>
              <w:rPr>
                <w:rFonts w:cs="Arial"/>
                <w:sz w:val="22"/>
                <w:szCs w:val="22"/>
              </w:rPr>
            </w:pPr>
            <w:r>
              <w:rPr>
                <w:rFonts w:cs="Arial"/>
                <w:sz w:val="22"/>
                <w:szCs w:val="22"/>
              </w:rPr>
              <w:t>PhD</w:t>
            </w:r>
          </w:p>
          <w:p>
            <w:pPr>
              <w:rPr>
                <w:rFonts w:cs="Arial"/>
                <w:sz w:val="22"/>
                <w:szCs w:val="22"/>
              </w:rPr>
            </w:pPr>
            <w:r>
              <w:rPr>
                <w:rFonts w:cs="Arial"/>
                <w:sz w:val="22"/>
                <w:szCs w:val="22"/>
              </w:rPr>
              <w:t>by Research</w:t>
            </w:r>
          </w:p>
        </w:tc>
        <w:tc>
          <w:tcPr>
            <w:tcW w:w="1660" w:type="dxa"/>
            <w:shd w:val="clear" w:color="auto" w:fill="F1F1F1" w:themeFill="background1" w:themeFillShade="F2"/>
          </w:tcPr>
          <w:p>
            <w:pPr>
              <w:rPr>
                <w:rFonts w:cs="Arial"/>
                <w:sz w:val="22"/>
                <w:szCs w:val="22"/>
              </w:rPr>
            </w:pPr>
            <w:r>
              <w:rPr>
                <w:rFonts w:cs="Arial"/>
                <w:sz w:val="22"/>
                <w:szCs w:val="22"/>
              </w:rPr>
              <w:t xml:space="preserve">PhD </w:t>
            </w:r>
          </w:p>
          <w:p>
            <w:pPr>
              <w:rPr>
                <w:rFonts w:cs="Arial"/>
                <w:sz w:val="22"/>
                <w:szCs w:val="22"/>
              </w:rPr>
            </w:pPr>
            <w:r>
              <w:rPr>
                <w:rFonts w:cs="Arial"/>
                <w:sz w:val="22"/>
                <w:szCs w:val="22"/>
              </w:rPr>
              <w:t>Practice Based</w:t>
            </w:r>
          </w:p>
        </w:tc>
        <w:tc>
          <w:tcPr>
            <w:tcW w:w="1648" w:type="dxa"/>
            <w:shd w:val="clear" w:color="auto" w:fill="F1F1F1" w:themeFill="background1" w:themeFillShade="F2"/>
          </w:tcPr>
          <w:p>
            <w:pPr>
              <w:rPr>
                <w:rFonts w:cs="Arial"/>
                <w:sz w:val="22"/>
                <w:szCs w:val="22"/>
              </w:rPr>
            </w:pPr>
            <w:r>
              <w:rPr>
                <w:rFonts w:cs="Arial"/>
                <w:sz w:val="22"/>
                <w:szCs w:val="22"/>
              </w:rPr>
              <w:t xml:space="preserve">PhD by </w:t>
            </w:r>
          </w:p>
          <w:p>
            <w:pPr>
              <w:rPr>
                <w:rFonts w:cs="Arial"/>
                <w:sz w:val="22"/>
                <w:szCs w:val="22"/>
              </w:rPr>
            </w:pPr>
            <w:r>
              <w:rPr>
                <w:rFonts w:cs="Arial"/>
                <w:sz w:val="22"/>
                <w:szCs w:val="22"/>
              </w:rPr>
              <w:t>Published Works</w:t>
            </w:r>
          </w:p>
        </w:tc>
        <w:tc>
          <w:tcPr>
            <w:tcW w:w="1662" w:type="dxa"/>
            <w:shd w:val="clear" w:color="auto" w:fill="F1F1F1" w:themeFill="background1" w:themeFillShade="F2"/>
          </w:tcPr>
          <w:p>
            <w:pPr>
              <w:rPr>
                <w:rFonts w:cs="Arial"/>
                <w:sz w:val="22"/>
                <w:szCs w:val="22"/>
              </w:rPr>
            </w:pPr>
            <w:r>
              <w:rPr>
                <w:rFonts w:cs="Arial"/>
                <w:sz w:val="22"/>
                <w:szCs w:val="22"/>
              </w:rPr>
              <w:t>Professional Doctorate</w:t>
            </w:r>
          </w:p>
          <w:p>
            <w:pPr>
              <w:rPr>
                <w:rFonts w:cs="Arial"/>
                <w:sz w:val="22"/>
                <w:szCs w:val="22"/>
              </w:rPr>
            </w:pPr>
            <w:r>
              <w:rPr>
                <w:rFonts w:cs="Arial"/>
                <w:szCs w:val="22"/>
              </w:rPr>
              <w:t>(including DBA, DProf, Ed D)</w:t>
            </w:r>
          </w:p>
        </w:tc>
        <w:tc>
          <w:tcPr>
            <w:tcW w:w="1629" w:type="dxa"/>
            <w:shd w:val="clear" w:color="auto" w:fill="F1F1F1" w:themeFill="background1" w:themeFillShade="F2"/>
          </w:tcPr>
          <w:p>
            <w:pPr>
              <w:rPr>
                <w:rFonts w:cs="Arial"/>
                <w:sz w:val="22"/>
                <w:szCs w:val="22"/>
              </w:rPr>
            </w:pPr>
            <w:r>
              <w:rPr>
                <w:rFonts w:cs="Arial"/>
                <w:sz w:val="22"/>
                <w:szCs w:val="22"/>
              </w:rPr>
              <w:t>MPhil by Research</w:t>
            </w:r>
          </w:p>
          <w:p>
            <w:pPr>
              <w:rPr>
                <w:rFonts w:cs="Arial"/>
                <w:sz w:val="22"/>
                <w:szCs w:val="22"/>
              </w:rPr>
            </w:pPr>
          </w:p>
        </w:tc>
        <w:tc>
          <w:tcPr>
            <w:tcW w:w="1525" w:type="dxa"/>
            <w:shd w:val="clear" w:color="auto" w:fill="F1F1F1" w:themeFill="background1" w:themeFillShade="F2"/>
          </w:tcPr>
          <w:p>
            <w:pPr>
              <w:rPr>
                <w:rFonts w:cs="Arial"/>
                <w:sz w:val="22"/>
                <w:szCs w:val="22"/>
              </w:rPr>
            </w:pPr>
            <w:r>
              <w:rPr>
                <w:rFonts w:cs="Arial"/>
                <w:sz w:val="22"/>
                <w:szCs w:val="22"/>
              </w:rPr>
              <w:t>MPhil</w:t>
            </w:r>
          </w:p>
          <w:p>
            <w:pPr>
              <w:rPr>
                <w:rFonts w:cs="Arial"/>
                <w:sz w:val="22"/>
                <w:szCs w:val="22"/>
              </w:rPr>
            </w:pPr>
            <w:r>
              <w:rPr>
                <w:rFonts w:cs="Arial"/>
                <w:sz w:val="22"/>
                <w:szCs w:val="22"/>
              </w:rPr>
              <w:t xml:space="preserve">Practice Based </w:t>
            </w:r>
          </w:p>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tcPr>
          <w:sdt>
            <w:sdtPr>
              <w:rPr>
                <w:rFonts w:cs="Arial"/>
                <w:sz w:val="22"/>
                <w:szCs w:val="22"/>
              </w:rPr>
              <w:id w:val="746380728"/>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sdt>
          <w:sdtPr>
            <w:rPr>
              <w:rFonts w:cs="Arial"/>
              <w:sz w:val="22"/>
              <w:szCs w:val="22"/>
            </w:rPr>
            <w:id w:val="1301043622"/>
            <w14:checkbox>
              <w14:checked w14:val="0"/>
              <w14:checkedState w14:val="2612" w14:font="MS Gothic"/>
              <w14:uncheckedState w14:val="2610" w14:font="MS Gothic"/>
            </w14:checkbox>
          </w:sdtPr>
          <w:sdtEndPr>
            <w:rPr>
              <w:rFonts w:cs="Arial"/>
              <w:sz w:val="22"/>
              <w:szCs w:val="22"/>
            </w:rPr>
          </w:sdtEndPr>
          <w:sdtContent>
            <w:tc>
              <w:tcPr>
                <w:tcW w:w="1660"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rPr>
              <w:rFonts w:cs="Arial"/>
              <w:sz w:val="22"/>
              <w:szCs w:val="22"/>
            </w:rPr>
          </w:sdtEndPr>
          <w:sdtContent>
            <w:tc>
              <w:tcPr>
                <w:tcW w:w="1648"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
            <w14:checkbox>
              <w14:checked w14:val="1"/>
              <w14:checkedState w14:val="2612" w14:font="MS Gothic"/>
              <w14:uncheckedState w14:val="2610" w14:font="MS Gothic"/>
            </w14:checkbox>
          </w:sdtPr>
          <w:sdtEndPr>
            <w:rPr>
              <w:rFonts w:cs="Arial"/>
              <w:sz w:val="22"/>
              <w:szCs w:val="22"/>
            </w:rPr>
          </w:sdtEndPr>
          <w:sdtContent>
            <w:tc>
              <w:tcPr>
                <w:tcW w:w="1662" w:type="dxa"/>
              </w:tcPr>
              <w:p>
                <w:pPr>
                  <w:jc w:val="center"/>
                  <w:rPr>
                    <w:rFonts w:cs="Arial"/>
                    <w:sz w:val="22"/>
                    <w:szCs w:val="22"/>
                  </w:rPr>
                </w:pPr>
                <w:r>
                  <w:rPr>
                    <w:rFonts w:ascii="MS Gothic" w:hAnsi="MS Gothic" w:eastAsia="MS Gothic" w:cs="Arial"/>
                    <w:sz w:val="22"/>
                    <w:szCs w:val="22"/>
                    <w:lang w:val="en-GB" w:eastAsia="en-GB" w:bidi="ar-SA"/>
                  </w:rPr>
                  <w:t>☒</w:t>
                </w:r>
              </w:p>
            </w:tc>
          </w:sdtContent>
        </w:sdt>
        <w:sdt>
          <w:sdtPr>
            <w:rPr>
              <w:rFonts w:cs="Arial"/>
              <w:sz w:val="22"/>
              <w:szCs w:val="22"/>
            </w:rPr>
            <w:id w:val="239523278"/>
            <w14:checkbox>
              <w14:checked w14:val="0"/>
              <w14:checkedState w14:val="2612" w14:font="MS Gothic"/>
              <w14:uncheckedState w14:val="2610" w14:font="MS Gothic"/>
            </w14:checkbox>
          </w:sdtPr>
          <w:sdtEndPr>
            <w:rPr>
              <w:rFonts w:cs="Arial"/>
              <w:sz w:val="22"/>
              <w:szCs w:val="22"/>
            </w:rPr>
          </w:sdtEndPr>
          <w:sdtContent>
            <w:tc>
              <w:tcPr>
                <w:tcW w:w="1629"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rPr>
              <w:rFonts w:cs="Arial"/>
              <w:sz w:val="22"/>
              <w:szCs w:val="22"/>
            </w:rPr>
          </w:sdtEndPr>
          <w:sdtContent>
            <w:tc>
              <w:tcPr>
                <w:tcW w:w="1525" w:type="dxa"/>
              </w:tcPr>
              <w:p>
                <w:pPr>
                  <w:jc w:val="center"/>
                  <w:rPr>
                    <w:rFonts w:cs="Arial"/>
                    <w:sz w:val="22"/>
                    <w:szCs w:val="22"/>
                  </w:rPr>
                </w:pPr>
                <w:r>
                  <w:rPr>
                    <w:rFonts w:ascii="MS Gothic" w:hAnsi="MS Gothic" w:eastAsia="MS Gothic" w:cs="Arial"/>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shd w:val="clear" w:color="auto" w:fill="D8D8D8" w:themeFill="background1" w:themeFillShade="D9"/>
          </w:tcPr>
          <w:p>
            <w:pPr>
              <w:jc w:val="center"/>
              <w:rPr>
                <w:rFonts w:cs="Arial"/>
                <w:sz w:val="22"/>
                <w:szCs w:val="22"/>
              </w:rPr>
            </w:pPr>
            <w:r>
              <w:rPr>
                <w:rFonts w:cs="Arial"/>
                <w:sz w:val="22"/>
                <w:szCs w:val="22"/>
              </w:rPr>
              <w:t>MA by Research</w:t>
            </w:r>
          </w:p>
        </w:tc>
        <w:tc>
          <w:tcPr>
            <w:tcW w:w="1660" w:type="dxa"/>
            <w:shd w:val="clear" w:color="auto" w:fill="D8D8D8" w:themeFill="background1" w:themeFillShade="D9"/>
          </w:tcPr>
          <w:p>
            <w:pPr>
              <w:jc w:val="center"/>
              <w:rPr>
                <w:rFonts w:cs="Arial"/>
                <w:sz w:val="22"/>
                <w:szCs w:val="22"/>
              </w:rPr>
            </w:pPr>
            <w:r>
              <w:rPr>
                <w:rFonts w:cs="Arial"/>
                <w:sz w:val="22"/>
                <w:szCs w:val="22"/>
              </w:rPr>
              <w:t>MSc by Research</w:t>
            </w:r>
          </w:p>
        </w:tc>
        <w:tc>
          <w:tcPr>
            <w:tcW w:w="1648" w:type="dxa"/>
            <w:shd w:val="clear" w:color="auto" w:fill="D8D8D8" w:themeFill="background1" w:themeFillShade="D9"/>
          </w:tcPr>
          <w:p>
            <w:pPr>
              <w:jc w:val="center"/>
              <w:rPr>
                <w:rFonts w:cs="Arial"/>
                <w:sz w:val="22"/>
                <w:szCs w:val="22"/>
              </w:rPr>
            </w:pPr>
            <w:r>
              <w:rPr>
                <w:rFonts w:cs="Arial"/>
                <w:sz w:val="22"/>
                <w:szCs w:val="22"/>
              </w:rPr>
              <w:t>MRes</w:t>
            </w:r>
          </w:p>
        </w:tc>
        <w:tc>
          <w:tcPr>
            <w:tcW w:w="1662" w:type="dxa"/>
            <w:shd w:val="clear" w:color="auto" w:fill="D8D8D8" w:themeFill="background1" w:themeFillShade="D9"/>
          </w:tcPr>
          <w:p>
            <w:pPr>
              <w:jc w:val="center"/>
              <w:rPr>
                <w:rFonts w:cs="Arial"/>
                <w:sz w:val="22"/>
                <w:szCs w:val="22"/>
              </w:rPr>
            </w:pPr>
          </w:p>
        </w:tc>
        <w:tc>
          <w:tcPr>
            <w:tcW w:w="1629" w:type="dxa"/>
            <w:shd w:val="clear" w:color="auto" w:fill="D8D8D8" w:themeFill="background1" w:themeFillShade="D9"/>
          </w:tcPr>
          <w:p>
            <w:pPr>
              <w:jc w:val="center"/>
              <w:rPr>
                <w:rFonts w:cs="Arial"/>
                <w:sz w:val="22"/>
                <w:szCs w:val="22"/>
              </w:rPr>
            </w:pPr>
          </w:p>
        </w:tc>
        <w:tc>
          <w:tcPr>
            <w:tcW w:w="1525" w:type="dxa"/>
            <w:shd w:val="clear" w:color="auto" w:fill="D8D8D8" w:themeFill="background1" w:themeFillShade="D9"/>
          </w:tcPr>
          <w:p>
            <w:pPr>
              <w:jc w:val="cente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tcPr>
          <w:sdt>
            <w:sdtPr>
              <w:rPr>
                <w:rFonts w:cs="Arial"/>
                <w:sz w:val="22"/>
                <w:szCs w:val="22"/>
              </w:rPr>
              <w:id w:val="1366476584"/>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62" w:type="dxa"/>
          </w:tcPr>
          <w:p>
            <w:pPr>
              <w:jc w:val="center"/>
              <w:rPr>
                <w:rFonts w:cs="Arial"/>
                <w:sz w:val="22"/>
                <w:szCs w:val="22"/>
              </w:rPr>
            </w:pPr>
          </w:p>
        </w:tc>
        <w:tc>
          <w:tcPr>
            <w:tcW w:w="1629" w:type="dxa"/>
          </w:tcPr>
          <w:p>
            <w:pPr>
              <w:jc w:val="center"/>
              <w:rPr>
                <w:rFonts w:cs="Arial"/>
                <w:sz w:val="22"/>
                <w:szCs w:val="22"/>
              </w:rPr>
            </w:pPr>
          </w:p>
        </w:tc>
        <w:tc>
          <w:tcPr>
            <w:tcW w:w="1525" w:type="dxa"/>
          </w:tcPr>
          <w:p>
            <w:pPr>
              <w:jc w:val="center"/>
              <w:rPr>
                <w:rFonts w:cs="Arial"/>
                <w:sz w:val="22"/>
                <w:szCs w:val="22"/>
              </w:rPr>
            </w:pPr>
          </w:p>
        </w:tc>
      </w:tr>
    </w:tbl>
    <w:p>
      <w:pPr>
        <w:ind w:left="180" w:hanging="270"/>
        <w:rPr>
          <w:rFonts w:cs="Arial"/>
          <w:b/>
          <w:sz w:val="22"/>
          <w:szCs w:val="22"/>
        </w:rPr>
      </w:pPr>
    </w:p>
    <w:p>
      <w:pPr>
        <w:rPr>
          <w:rFonts w:cs="Arial"/>
          <w:sz w:val="22"/>
          <w:szCs w:val="22"/>
        </w:rPr>
      </w:pPr>
    </w:p>
    <w:p>
      <w:pPr>
        <w:ind w:left="-142"/>
        <w:rPr>
          <w:rFonts w:hint="default" w:cs="Arial"/>
          <w:bCs/>
          <w:sz w:val="22"/>
          <w:szCs w:val="22"/>
          <w:lang w:val="en-US"/>
        </w:rPr>
      </w:pPr>
      <w:r>
        <w:rPr>
          <w:rFonts w:cs="Arial"/>
          <w:b/>
          <w:bCs/>
          <w:sz w:val="22"/>
          <w:szCs w:val="22"/>
        </w:rPr>
        <w:t>Proposed Research</w:t>
      </w:r>
    </w:p>
    <w:p>
      <w:pPr>
        <w:rPr>
          <w:rFonts w:cs="Arial"/>
          <w:sz w:val="22"/>
          <w:szCs w:val="22"/>
        </w:rPr>
      </w:pPr>
    </w:p>
    <w:tbl>
      <w:tblPr>
        <w:tblStyle w:val="15"/>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Current Proposed Title (20 / 30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rPr>
                <w:rFonts w:hint="eastAsia" w:cs="Arial"/>
                <w:sz w:val="22"/>
                <w:szCs w:val="22"/>
              </w:rPr>
            </w:pPr>
          </w:p>
          <w:p>
            <w:pPr>
              <w:jc w:val="both"/>
              <w:rPr>
                <w:rFonts w:hint="eastAsia" w:eastAsia="SimSun" w:cs="Arial"/>
                <w:sz w:val="24"/>
                <w:szCs w:val="24"/>
                <w:lang w:val="en-US" w:eastAsia="zh-CN"/>
              </w:rPr>
            </w:pPr>
            <w:r>
              <w:rPr>
                <w:rFonts w:hint="eastAsia" w:eastAsia="SimSun" w:cs="Arial"/>
                <w:sz w:val="24"/>
                <w:szCs w:val="24"/>
                <w:lang w:val="en-US" w:eastAsia="zh-CN"/>
              </w:rPr>
              <w:t xml:space="preserve">Exploring the extension of Jingdezhen blue-and-white porcelain patterns (from the late Ming Dynasty to the Present) in </w:t>
            </w:r>
            <w:r>
              <w:rPr>
                <w:rFonts w:hint="default" w:eastAsia="SimSun" w:cs="Arial"/>
                <w:sz w:val="24"/>
                <w:szCs w:val="24"/>
                <w:lang w:val="en-US" w:eastAsia="zh-CN"/>
              </w:rPr>
              <w:t xml:space="preserve">local </w:t>
            </w:r>
            <w:r>
              <w:rPr>
                <w:rFonts w:hint="eastAsia" w:eastAsia="SimSun" w:cs="Arial"/>
                <w:sz w:val="24"/>
                <w:szCs w:val="24"/>
                <w:lang w:val="en-US" w:eastAsia="zh-CN"/>
              </w:rPr>
              <w:t>urban cultural innovation brand design based on symbolic visual analysis</w:t>
            </w:r>
          </w:p>
          <w:p>
            <w:pPr>
              <w:rPr>
                <w:rFonts w:hint="eastAsia" w:eastAsia="SimSun" w:cs="Arial"/>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 xml:space="preserve"> </w:t>
            </w:r>
          </w:p>
          <w:p>
            <w:pPr>
              <w:rPr>
                <w:rFonts w:hint="eastAsia" w:eastAsia="SimSun" w:cs="Arial"/>
                <w:color w:val="FF0000"/>
                <w:sz w:val="22"/>
                <w:szCs w:val="22"/>
                <w:lang w:val="en-US" w:eastAsia="zh-CN"/>
              </w:rPr>
            </w:pPr>
            <w:r>
              <w:rPr>
                <w:rFonts w:cs="Arial"/>
                <w:sz w:val="22"/>
                <w:szCs w:val="22"/>
              </w:rPr>
              <w:t>Background &amp; Context (approx. 500 words)</w:t>
            </w:r>
            <w:r>
              <w:rPr>
                <w:rFonts w:hint="default" w:cs="Arial"/>
                <w:sz w:val="22"/>
                <w:szCs w:val="22"/>
                <w:lang w:val="en-US"/>
              </w:rPr>
              <w:t xml:space="preserve"> </w:t>
            </w:r>
          </w:p>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rPr>
                <w:rFonts w:cs="Arial"/>
                <w:sz w:val="22"/>
                <w:szCs w:val="22"/>
              </w:rPr>
            </w:pPr>
            <w:r>
              <w:rPr>
                <w:rFonts w:cs="Arial"/>
                <w:sz w:val="22"/>
                <w:szCs w:val="22"/>
              </w:rPr>
              <w:t>In this section you will need to:</w:t>
            </w:r>
          </w:p>
          <w:p>
            <w:pPr>
              <w:pStyle w:val="29"/>
              <w:numPr>
                <w:ilvl w:val="0"/>
                <w:numId w:val="1"/>
              </w:numPr>
              <w:autoSpaceDE w:val="0"/>
              <w:autoSpaceDN w:val="0"/>
              <w:adjustRightInd w:val="0"/>
              <w:contextualSpacing/>
              <w:rPr>
                <w:rFonts w:cs="Arial"/>
                <w:sz w:val="22"/>
                <w:szCs w:val="22"/>
              </w:rPr>
            </w:pPr>
            <w:r>
              <w:rPr>
                <w:rFonts w:cs="Arial"/>
                <w:sz w:val="22"/>
                <w:szCs w:val="22"/>
              </w:rPr>
              <w:t>Place the research topic in its historical, cultural and social context.</w:t>
            </w:r>
          </w:p>
          <w:p>
            <w:pPr>
              <w:pStyle w:val="29"/>
              <w:numPr>
                <w:ilvl w:val="0"/>
                <w:numId w:val="1"/>
              </w:numPr>
              <w:autoSpaceDE w:val="0"/>
              <w:autoSpaceDN w:val="0"/>
              <w:adjustRightInd w:val="0"/>
              <w:contextualSpacing/>
              <w:rPr>
                <w:rFonts w:cs="Arial"/>
                <w:sz w:val="22"/>
                <w:szCs w:val="22"/>
              </w:rPr>
            </w:pPr>
            <w:r>
              <w:rPr>
                <w:rFonts w:cs="Arial"/>
                <w:sz w:val="22"/>
                <w:szCs w:val="22"/>
              </w:rPr>
              <w:t>Explain why the research is significant and important.</w:t>
            </w:r>
          </w:p>
          <w:p>
            <w:pPr>
              <w:pStyle w:val="29"/>
              <w:numPr>
                <w:ilvl w:val="0"/>
                <w:numId w:val="1"/>
              </w:numPr>
              <w:autoSpaceDE w:val="0"/>
              <w:autoSpaceDN w:val="0"/>
              <w:adjustRightInd w:val="0"/>
              <w:contextualSpacing/>
            </w:pPr>
            <w:r>
              <w:rPr>
                <w:rFonts w:cs="Arial"/>
                <w:sz w:val="22"/>
                <w:szCs w:val="22"/>
              </w:rPr>
              <w:t>Place the research in the current academic context.</w:t>
            </w:r>
          </w:p>
          <w:p>
            <w:pPr>
              <w:pStyle w:val="13"/>
              <w:keepNext w:val="0"/>
              <w:keepLines w:val="0"/>
              <w:widowControl/>
              <w:suppressLineNumbers w:val="0"/>
              <w:jc w:val="both"/>
              <w:rPr>
                <w:rFonts w:hint="default" w:ascii="Arial Regular" w:hAnsi="Arial Regular" w:eastAsia="SimSun" w:cs="Arial Regular"/>
                <w:color w:val="auto"/>
                <w:sz w:val="24"/>
                <w:szCs w:val="24"/>
                <w:lang w:val="en-US" w:eastAsia="zh-CN"/>
              </w:rPr>
            </w:pPr>
            <w:r>
              <w:rPr>
                <w:rFonts w:hint="default" w:ascii="Arial Regular" w:hAnsi="Arial Regular" w:cs="Arial Regular"/>
                <w:sz w:val="24"/>
                <w:szCs w:val="24"/>
              </w:rPr>
              <w:t>Blue</w:t>
            </w:r>
            <w:r>
              <w:rPr>
                <w:rFonts w:hint="default" w:ascii="Arial Regular" w:hAnsi="Arial Regular" w:cs="Arial Regular"/>
                <w:sz w:val="24"/>
                <w:szCs w:val="24"/>
                <w:lang w:val="en-US"/>
              </w:rPr>
              <w:t>-</w:t>
            </w:r>
            <w:r>
              <w:rPr>
                <w:rFonts w:hint="default" w:ascii="Arial Regular" w:hAnsi="Arial Regular" w:cs="Arial Regular"/>
                <w:sz w:val="24"/>
                <w:szCs w:val="24"/>
              </w:rPr>
              <w:t>and</w:t>
            </w:r>
            <w:r>
              <w:rPr>
                <w:rFonts w:hint="default" w:ascii="Arial Regular" w:hAnsi="Arial Regular" w:cs="Arial Regular"/>
                <w:sz w:val="24"/>
                <w:szCs w:val="24"/>
                <w:lang w:val="en-US"/>
              </w:rPr>
              <w:t>-</w:t>
            </w:r>
            <w:r>
              <w:rPr>
                <w:rFonts w:hint="default" w:ascii="Arial Regular" w:hAnsi="Arial Regular" w:cs="Arial Regular"/>
                <w:sz w:val="24"/>
                <w:szCs w:val="24"/>
              </w:rPr>
              <w:t>white porcelain, as a hallmark of traditional Chinese ceramic art, embodies a profound historical legacy, intricate craftsmanship, and rich cultural significance. Jingdezhen, known as the "Porcelain Capital," emerged as China’s preeminent center for ceramic production during the Song Dynasty. By the Ming and Qing Dynasties, the distinctive blue-and-white tones and delicate patterns of its porcelain had achieved global renown, serving as a critical medium for cultural exchange between East and West. These artifacts not only symbolize Chinese cultural identity but also carry historical memory (Huang, 2008). In the context of globalization and the rapid evolution of modern design, an important research focus lies in integrating Jingdezhen's blue and white porcelain patterns into contemporary urban brand design to achieve both cultural preservation and innovation.</w:t>
            </w:r>
            <w:r>
              <w:rPr>
                <w:rFonts w:hint="eastAsia" w:ascii="Arial Regular" w:hAnsi="Arial Regular" w:eastAsia="SimSun" w:cs="Arial Regular"/>
                <w:color w:val="auto"/>
                <w:sz w:val="24"/>
                <w:szCs w:val="24"/>
                <w:lang w:val="en-US" w:eastAsia="zh-CN"/>
              </w:rPr>
              <w:t xml:space="preserve"> By embedding blue-and-white porcelain elements into Jiangxi’s tourism-related designs, the objective is to create a distinctive urban cultural brand that enhances its visibility and appeal. Leveraging social media platforms like Douyin (TikTok), creative content will emphasize the connection between blue-and-white porcelain and Jiangxi</w:t>
            </w:r>
            <w:r>
              <w:rPr>
                <w:rFonts w:hint="default" w:ascii="Arial Regular" w:hAnsi="Arial Regular" w:eastAsia="SimSun" w:cs="Arial Regular"/>
                <w:color w:val="auto"/>
                <w:sz w:val="24"/>
                <w:szCs w:val="24"/>
                <w:lang w:val="en-US" w:eastAsia="zh-CN"/>
              </w:rPr>
              <w:t>’</w:t>
            </w:r>
            <w:r>
              <w:rPr>
                <w:rFonts w:hint="eastAsia" w:ascii="Arial Regular" w:hAnsi="Arial Regular" w:eastAsia="SimSun" w:cs="Arial Regular"/>
                <w:color w:val="auto"/>
                <w:sz w:val="24"/>
                <w:szCs w:val="24"/>
                <w:lang w:val="en-US" w:eastAsia="zh-CN"/>
              </w:rPr>
              <w:t>s cultural landmarks, illustrating its historical significance alongside its modern design applications to attract younger audiences.</w:t>
            </w:r>
          </w:p>
          <w:p>
            <w:pPr>
              <w:pStyle w:val="13"/>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This research explores three key questions:</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eastAsia" w:ascii="Arial Regular" w:hAnsi="Arial Regular" w:eastAsia="SimSun" w:cs="Arial Regular"/>
                <w:sz w:val="24"/>
                <w:szCs w:val="24"/>
                <w:lang w:val="en-US" w:eastAsia="zh-CN"/>
              </w:rPr>
              <w:t>1.</w:t>
            </w:r>
            <w:r>
              <w:rPr>
                <w:rStyle w:val="18"/>
                <w:rFonts w:hint="default" w:ascii="Arial Regular" w:hAnsi="Arial Regular" w:cs="Arial Regular"/>
                <w:sz w:val="24"/>
                <w:szCs w:val="24"/>
              </w:rPr>
              <w:t>Which specific cultural, aesthetic, and symbolic elements of Jingdezhen blue and white porcelain patterns can be effectively incorporated into urban cultural branding to engage contemporary audiences?</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eastAsia" w:ascii="Arial Regular" w:hAnsi="Arial Regular" w:eastAsia="SimSun" w:cs="Arial Regular"/>
                <w:sz w:val="24"/>
                <w:szCs w:val="24"/>
                <w:lang w:val="en-US" w:eastAsia="zh-CN"/>
              </w:rPr>
              <w:t>2.</w:t>
            </w:r>
            <w:r>
              <w:rPr>
                <w:rStyle w:val="18"/>
                <w:rFonts w:hint="default" w:ascii="Arial Regular" w:hAnsi="Arial Regular" w:cs="Arial Regular"/>
                <w:sz w:val="24"/>
                <w:szCs w:val="24"/>
              </w:rPr>
              <w:t>How can these patterns be adapted to create innovative and modern brand identities that honor cultural heritage, appeal to contemporary consumers, and address challenges related to preserving and modernizing traditional symbols?</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eastAsia" w:ascii="Arial Regular" w:hAnsi="Arial Regular" w:eastAsia="SimSun" w:cs="Arial Regular"/>
                <w:sz w:val="24"/>
                <w:szCs w:val="24"/>
                <w:lang w:val="en-US" w:eastAsia="zh-CN"/>
              </w:rPr>
              <w:t>3.</w:t>
            </w:r>
            <w:r>
              <w:rPr>
                <w:rStyle w:val="18"/>
                <w:rFonts w:hint="default" w:ascii="Arial Regular" w:hAnsi="Arial Regular" w:cs="Arial Regular"/>
                <w:sz w:val="24"/>
                <w:szCs w:val="24"/>
              </w:rPr>
              <w:t>Why is it crucial to extend Jingdezhen blue and white porcelain patterns into modern brand identities, and what unique value does this fusion bring to both traditional culture and modern branding?</w:t>
            </w:r>
          </w:p>
          <w:p>
            <w:pPr>
              <w:pStyle w:val="13"/>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The global influence and symbolic significance of blue and white porcelain highlight its potential to bridge cultures, making its reinterpretation in contemporary design a compelling area for exploration.</w:t>
            </w:r>
          </w:p>
          <w:p>
            <w:pPr>
              <w:pStyle w:val="13"/>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Semiotic theories provide valuable frameworks for analyzing blue and white porcelain patterns as cultural symbols in visual communication. Peirce's (1958) triadic </w:t>
            </w:r>
            <w:r>
              <w:rPr>
                <w:rFonts w:hint="eastAsia" w:ascii="Arial Regular" w:hAnsi="Arial Regular" w:eastAsia="SimSun" w:cs="Arial Regular"/>
                <w:sz w:val="24"/>
                <w:szCs w:val="24"/>
                <w:lang w:val="en-US" w:eastAsia="zh-CN"/>
              </w:rPr>
              <w:t>relationship</w:t>
            </w:r>
            <w:r>
              <w:rPr>
                <w:rFonts w:hint="default" w:ascii="Arial Regular" w:hAnsi="Arial Regular" w:cs="Arial Regular"/>
                <w:sz w:val="24"/>
                <w:szCs w:val="24"/>
              </w:rPr>
              <w:t xml:space="preserve"> of the sign—comprising representation, object, and interpretation—offers insights into how these patterns function as symbols. This model helps uncover the cultural messages embedded within blue and white porcelain across historical periods and their relevance to modern design. Barthes’ (1972) theory of the dual structure of signs—signifier and signified—further elucidates this process. The </w:t>
            </w:r>
            <w:r>
              <w:rPr>
                <w:rStyle w:val="20"/>
                <w:rFonts w:hint="default" w:ascii="Arial Regular" w:hAnsi="Arial Regular" w:cs="Arial Regular"/>
                <w:sz w:val="24"/>
                <w:szCs w:val="24"/>
              </w:rPr>
              <w:t>signifier</w:t>
            </w:r>
            <w:r>
              <w:rPr>
                <w:rFonts w:hint="default" w:ascii="Arial Regular" w:hAnsi="Arial Regular" w:cs="Arial Regular"/>
                <w:sz w:val="24"/>
                <w:szCs w:val="24"/>
              </w:rPr>
              <w:t xml:space="preserve"> represents the external form of the porcelain patterns (their shapes and motifs), while the </w:t>
            </w:r>
            <w:r>
              <w:rPr>
                <w:rStyle w:val="20"/>
                <w:rFonts w:hint="default" w:ascii="Arial Regular" w:hAnsi="Arial Regular" w:cs="Arial Regular"/>
                <w:sz w:val="24"/>
                <w:szCs w:val="24"/>
              </w:rPr>
              <w:t>signified</w:t>
            </w:r>
            <w:r>
              <w:rPr>
                <w:rFonts w:hint="default" w:ascii="Arial Regular" w:hAnsi="Arial Regular" w:cs="Arial Regular"/>
                <w:sz w:val="24"/>
                <w:szCs w:val="24"/>
              </w:rPr>
              <w:t xml:space="preserve"> refers to the deeper meanings they convey, shaped by cultural traditions and social identity. A semiotic perspective thus allows a reinterpretation of blue and white porcelain, uncovering its potential as a rich source of inspiration for contemporary visual design.</w:t>
            </w:r>
          </w:p>
          <w:p>
            <w:pPr>
              <w:pStyle w:val="13"/>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Eco (1997) emphasized that symbols are not merely cultural carriers but also generators of meaning. Blue and white porcelain, as a visual symbol, encapsulates not only aesthetic values but also ancient Chinese philosophical, religious, and social dimensions. Its historical, social, and artistic significance makes it an invaluable resource for modern design. Smith (2017) highlighted that in a globalized context, designers can create works of both historical depth and contemporary appeal by combining traditional symbols with modern techniques. Blue and white porcelain patterns, when reimagined, can serve as a bridge between tradition and modernity, enriching both.</w:t>
            </w:r>
          </w:p>
          <w:p>
            <w:pPr>
              <w:pStyle w:val="13"/>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Urban cultural brand design, as a tool for visual communication, demands both innovation and cultural depth. Reinterpreting blue and white porcelain patterns through semiotic analysis and modern design techniques imbues contemporary designs with unique cultural resonance. Keller (2013) argued that successful branding requires a balance between tradition and innovation to achieve distinction in a competitive global market. The universal appeal of blue and white porcelain as a cultural symbol positions it as an ideal element in modern urban brand design.</w:t>
            </w:r>
          </w:p>
          <w:p>
            <w:pPr>
              <w:pStyle w:val="13"/>
              <w:keepNext w:val="0"/>
              <w:keepLines w:val="0"/>
              <w:widowControl/>
              <w:suppressLineNumbers w:val="0"/>
              <w:jc w:val="both"/>
              <w:rPr>
                <w:rFonts w:hint="default" w:ascii="Arial Regular" w:hAnsi="Arial Regular" w:cs="Arial Regular"/>
                <w:sz w:val="24"/>
                <w:szCs w:val="24"/>
                <w:lang w:val="en-US" w:eastAsia="zh-CN"/>
              </w:rPr>
            </w:pPr>
            <w:r>
              <w:rPr>
                <w:rFonts w:hint="default" w:ascii="Arial Regular" w:hAnsi="Arial Regular" w:cs="Arial Regular"/>
                <w:sz w:val="24"/>
                <w:szCs w:val="24"/>
              </w:rPr>
              <w:t>In conclusion, this study investigates the integration of Jingdezhen blue and white porcelain patterns into urban cultural brand design, leveraging semiotic theory and modern design approaches. The research not only seeks to illuminate the cultural significance of these patterns but also aims to explore their potential to enhance brand identity and digitalize traditional symbols. By bridging semiotics and brand design, this study offers an innovative path for urban cultural branding, breathing new life into blue and white porcelain as a vibrant cultural symbol in the global market.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lang w:eastAsia="zh-CN"/>
              </w:rPr>
            </w:pPr>
          </w:p>
          <w:p>
            <w:pPr>
              <w:rPr>
                <w:rFonts w:hint="eastAsia" w:eastAsia="SimSun" w:cs="Arial"/>
                <w:sz w:val="22"/>
                <w:szCs w:val="22"/>
                <w:lang w:val="en-US" w:eastAsia="zh-CN"/>
              </w:rPr>
            </w:pPr>
            <w:r>
              <w:rPr>
                <w:rFonts w:cs="Arial"/>
                <w:sz w:val="22"/>
                <w:szCs w:val="22"/>
              </w:rPr>
              <w:t>Aims and Objectives (approx.. 250 – 500 words)</w:t>
            </w:r>
            <w:r>
              <w:rPr>
                <w:rFonts w:hint="eastAsia" w:eastAsia="SimSun" w:cs="Arial"/>
                <w:sz w:val="22"/>
                <w:szCs w:val="22"/>
                <w:lang w:val="en-US" w:eastAsia="zh-CN"/>
              </w:rPr>
              <w:t xml:space="preserve"> </w:t>
            </w:r>
          </w:p>
          <w:p>
            <w:pPr>
              <w:rPr>
                <w:rFonts w:hint="default" w:eastAsia="SimSun" w:cs="Arial"/>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rPr>
                <w:rFonts w:cs="Arial"/>
                <w:sz w:val="22"/>
                <w:szCs w:val="22"/>
              </w:rPr>
            </w:pPr>
            <w:r>
              <w:rPr>
                <w:rFonts w:cs="Arial"/>
                <w:sz w:val="22"/>
                <w:szCs w:val="22"/>
              </w:rPr>
              <w:t>In this section you will need to:</w:t>
            </w:r>
          </w:p>
          <w:p>
            <w:pPr>
              <w:pStyle w:val="29"/>
              <w:numPr>
                <w:ilvl w:val="0"/>
                <w:numId w:val="2"/>
              </w:numPr>
              <w:autoSpaceDE w:val="0"/>
              <w:autoSpaceDN w:val="0"/>
              <w:adjustRightInd w:val="0"/>
              <w:contextualSpacing/>
              <w:rPr>
                <w:rFonts w:hint="default" w:ascii="Microsoft YaHei" w:hAnsi="Microsoft YaHei" w:eastAsia="Microsoft YaHei" w:cs="Microsoft YaHei"/>
                <w:sz w:val="22"/>
                <w:szCs w:val="22"/>
                <w:lang w:val="en-US" w:eastAsia="zh-CN"/>
              </w:rPr>
            </w:pPr>
            <w:r>
              <w:rPr>
                <w:rFonts w:cs="Arial"/>
                <w:sz w:val="22"/>
                <w:szCs w:val="22"/>
              </w:rPr>
              <w:t>Explain what you want to achieve through the research.</w:t>
            </w:r>
          </w:p>
          <w:p>
            <w:pPr>
              <w:pStyle w:val="29"/>
              <w:numPr>
                <w:ilvl w:val="0"/>
                <w:numId w:val="2"/>
              </w:numPr>
              <w:autoSpaceDE w:val="0"/>
              <w:autoSpaceDN w:val="0"/>
              <w:adjustRightInd w:val="0"/>
              <w:contextualSpacing/>
              <w:rPr>
                <w:rFonts w:hint="default" w:ascii="Microsoft YaHei" w:hAnsi="Microsoft YaHei" w:eastAsia="Microsoft YaHei" w:cs="Microsoft YaHei"/>
                <w:sz w:val="22"/>
                <w:szCs w:val="22"/>
                <w:lang w:val="en-US" w:eastAsia="zh-CN"/>
              </w:rPr>
            </w:pPr>
            <w:r>
              <w:rPr>
                <w:rFonts w:cs="Arial"/>
                <w:sz w:val="22"/>
                <w:szCs w:val="22"/>
              </w:rPr>
              <w:t>Outline the aims of the research.</w:t>
            </w:r>
            <w:r>
              <w:rPr>
                <w:rFonts w:hint="eastAsia" w:cs="Arial"/>
                <w:sz w:val="22"/>
                <w:szCs w:val="22"/>
              </w:rPr>
              <w:t xml:space="preserve"> </w:t>
            </w:r>
          </w:p>
          <w:p>
            <w:pPr>
              <w:pStyle w:val="13"/>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This study employs symbolic visual analysis to identify and interpret the visual elements and symbolic patterns of Jingdezhen blue and white porcelain. It explores the cultural values embedded within these patterns and applies them innovatively in urban cultural brand design. By conducting an in-depth analysis of the symbolic system and aesthetic value of blue and white porcelain, the research integrates traditional cultural connotations into modern design. This provides both theoretical and practical support for enhancing the communication and innovation of blue and white porcelain as a traditional cultural symbol in contemporary design, endowing it with renewed cultural and commercial value.</w:t>
            </w:r>
          </w:p>
          <w:p>
            <w:pPr>
              <w:pStyle w:val="13"/>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At the core of this study is the connection between symbols and cultural values. The symbolic nature of blue and white porcelain extends beyond being a representation of traditional art forms—it encapsulates Chinese history, philosophy, and aesthetic principles. By critically interpreting these symbolic systems, this research extracts their cultural essence and transforms them into design concepts with contemporary relevance. This process infuses modern brand design with historical depth and cultural resonance.</w:t>
            </w:r>
          </w:p>
          <w:p>
            <w:pPr>
              <w:pStyle w:val="13"/>
              <w:keepNext w:val="0"/>
              <w:keepLines w:val="0"/>
              <w:widowControl/>
              <w:numPr>
                <w:ilvl w:val="0"/>
                <w:numId w:val="0"/>
              </w:numPr>
              <w:suppressLineNumbers w:val="0"/>
              <w:jc w:val="both"/>
              <w:rPr>
                <w:rStyle w:val="18"/>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1.</w:t>
            </w:r>
            <w:r>
              <w:rPr>
                <w:rStyle w:val="18"/>
                <w:rFonts w:hint="default" w:ascii="Arial Regular" w:hAnsi="Arial Regular" w:cs="Arial Regular"/>
                <w:sz w:val="24"/>
                <w:szCs w:val="24"/>
              </w:rPr>
              <w:t xml:space="preserve">Identification </w:t>
            </w:r>
            <w:r>
              <w:rPr>
                <w:rStyle w:val="18"/>
                <w:rFonts w:hint="default" w:ascii="Arial Regular" w:hAnsi="Arial Regular" w:eastAsia="SimSun" w:cs="Arial Regular"/>
                <w:sz w:val="24"/>
                <w:szCs w:val="24"/>
                <w:lang w:val="en-US" w:eastAsia="zh-CN"/>
              </w:rPr>
              <w:t>the c</w:t>
            </w:r>
            <w:r>
              <w:rPr>
                <w:rStyle w:val="18"/>
                <w:rFonts w:hint="default" w:ascii="Arial Regular" w:hAnsi="Arial Regular" w:cs="Arial Regular"/>
                <w:sz w:val="24"/>
                <w:szCs w:val="24"/>
              </w:rPr>
              <w:t xml:space="preserve">ore </w:t>
            </w:r>
            <w:r>
              <w:rPr>
                <w:rStyle w:val="18"/>
                <w:rFonts w:hint="default" w:ascii="Arial Regular" w:hAnsi="Arial Regular" w:eastAsia="SimSun" w:cs="Arial Regular"/>
                <w:sz w:val="24"/>
                <w:szCs w:val="24"/>
                <w:lang w:val="en-US" w:eastAsia="zh-CN"/>
              </w:rPr>
              <w:t>v</w:t>
            </w:r>
            <w:r>
              <w:rPr>
                <w:rStyle w:val="18"/>
                <w:rFonts w:hint="default" w:ascii="Arial Regular" w:hAnsi="Arial Regular" w:cs="Arial Regular"/>
                <w:sz w:val="24"/>
                <w:szCs w:val="24"/>
              </w:rPr>
              <w:t xml:space="preserve">isual </w:t>
            </w:r>
            <w:r>
              <w:rPr>
                <w:rStyle w:val="18"/>
                <w:rFonts w:hint="default" w:ascii="Arial Regular" w:hAnsi="Arial Regular" w:eastAsia="SimSun" w:cs="Arial Regular"/>
                <w:sz w:val="24"/>
                <w:szCs w:val="24"/>
                <w:lang w:val="en-US" w:eastAsia="zh-CN"/>
              </w:rPr>
              <w:t>e</w:t>
            </w:r>
            <w:r>
              <w:rPr>
                <w:rStyle w:val="18"/>
                <w:rFonts w:hint="default" w:ascii="Arial Regular" w:hAnsi="Arial Regular" w:cs="Arial Regular"/>
                <w:sz w:val="24"/>
                <w:szCs w:val="24"/>
              </w:rPr>
              <w:t xml:space="preserve">lements and </w:t>
            </w:r>
            <w:r>
              <w:rPr>
                <w:rStyle w:val="18"/>
                <w:rFonts w:hint="default" w:ascii="Arial Regular" w:hAnsi="Arial Regular" w:eastAsia="SimSun" w:cs="Arial Regular"/>
                <w:sz w:val="24"/>
                <w:szCs w:val="24"/>
                <w:lang w:val="en-US" w:eastAsia="zh-CN"/>
              </w:rPr>
              <w:t>s</w:t>
            </w:r>
            <w:r>
              <w:rPr>
                <w:rStyle w:val="18"/>
                <w:rFonts w:hint="default" w:ascii="Arial Regular" w:hAnsi="Arial Regular" w:cs="Arial Regular"/>
                <w:sz w:val="24"/>
                <w:szCs w:val="24"/>
              </w:rPr>
              <w:t xml:space="preserve">ymbolic </w:t>
            </w:r>
            <w:r>
              <w:rPr>
                <w:rStyle w:val="18"/>
                <w:rFonts w:hint="default" w:ascii="Arial Regular" w:hAnsi="Arial Regular" w:eastAsia="SimSun" w:cs="Arial Regular"/>
                <w:sz w:val="24"/>
                <w:szCs w:val="24"/>
                <w:lang w:val="en-US" w:eastAsia="zh-CN"/>
              </w:rPr>
              <w:t>p</w:t>
            </w:r>
            <w:r>
              <w:rPr>
                <w:rStyle w:val="18"/>
                <w:rFonts w:hint="default" w:ascii="Arial Regular" w:hAnsi="Arial Regular" w:cs="Arial Regular"/>
                <w:sz w:val="24"/>
                <w:szCs w:val="24"/>
              </w:rPr>
              <w:t>atterns</w:t>
            </w:r>
            <w:r>
              <w:rPr>
                <w:rStyle w:val="18"/>
                <w:rFonts w:hint="default" w:ascii="Arial Regular" w:hAnsi="Arial Regular" w:eastAsia="SimSun" w:cs="Arial Regular"/>
                <w:sz w:val="24"/>
                <w:szCs w:val="24"/>
                <w:lang w:val="en-US" w:eastAsia="zh-CN"/>
              </w:rPr>
              <w:t xml:space="preserve"> of Jingdezhen blue and white porcelain</w:t>
            </w:r>
          </w:p>
          <w:p>
            <w:pPr>
              <w:pStyle w:val="13"/>
              <w:keepNext w:val="0"/>
              <w:keepLines w:val="0"/>
              <w:widowControl/>
              <w:numPr>
                <w:ilvl w:val="0"/>
                <w:numId w:val="0"/>
              </w:numPr>
              <w:suppressLineNumbers w:val="0"/>
              <w:jc w:val="both"/>
              <w:rPr>
                <w:rFonts w:hint="default" w:ascii="Arial Regular" w:hAnsi="Arial Regular" w:cs="Arial Regular"/>
                <w:sz w:val="24"/>
                <w:szCs w:val="24"/>
              </w:rPr>
            </w:pPr>
            <w:r>
              <w:rPr>
                <w:rFonts w:hint="default" w:ascii="Arial Regular" w:hAnsi="Arial Regular" w:eastAsia="SimSun" w:cs="Arial Regular"/>
                <w:sz w:val="24"/>
                <w:szCs w:val="24"/>
                <w:lang w:val="en-US" w:eastAsia="zh-CN"/>
              </w:rPr>
              <w:t>-</w:t>
            </w:r>
            <w:r>
              <w:rPr>
                <w:rFonts w:hint="default" w:ascii="Arial Regular" w:hAnsi="Arial Regular" w:cs="Arial Regular"/>
                <w:sz w:val="24"/>
                <w:szCs w:val="24"/>
              </w:rPr>
              <w:t>Conduct a systematic analysis of the visual elements (color, motifs, and patterns) and symbolic characteristics of Jingdezhen blue and white porcelain.Examine the evolution of these elements from the late Ming Dynasty to the present, establishing a theoretical basis for subsequent cultural and design applications.</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Fonts w:hint="default" w:ascii="Arial Regular" w:hAnsi="Arial Regular" w:eastAsia="SimSun" w:cs="Arial Regular"/>
                <w:sz w:val="24"/>
                <w:szCs w:val="24"/>
                <w:lang w:val="en-US" w:eastAsia="zh-CN"/>
              </w:rPr>
              <w:t>-</w:t>
            </w:r>
            <w:r>
              <w:rPr>
                <w:rFonts w:hint="default" w:ascii="Arial Regular" w:hAnsi="Arial Regular" w:cs="Arial Regular"/>
                <w:sz w:val="24"/>
                <w:szCs w:val="24"/>
              </w:rPr>
              <w:t>Collect and categorize historical documentation and imagery of blue and white porcelain decorations. Employ semiotic frameworks, such as Peirce’s triadic relationship and Barthes’ dual structure of signs, to deconstruct these visual elements and uncover their cultural significance across historical contexts.</w:t>
            </w:r>
          </w:p>
          <w:p>
            <w:pPr>
              <w:pStyle w:val="13"/>
              <w:keepNext w:val="0"/>
              <w:keepLines w:val="0"/>
              <w:widowControl/>
              <w:numPr>
                <w:ilvl w:val="0"/>
                <w:numId w:val="0"/>
              </w:numPr>
              <w:suppressLineNumbers w:val="0"/>
              <w:ind w:leftChars="0"/>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2.</w:t>
            </w:r>
            <w:r>
              <w:rPr>
                <w:rStyle w:val="18"/>
                <w:rFonts w:hint="default" w:ascii="Arial Regular" w:hAnsi="Arial Regular" w:cs="Arial Regular"/>
                <w:sz w:val="24"/>
                <w:szCs w:val="24"/>
              </w:rPr>
              <w:t xml:space="preserve">Exploration of </w:t>
            </w:r>
            <w:r>
              <w:rPr>
                <w:rStyle w:val="18"/>
                <w:rFonts w:hint="default" w:ascii="Arial Regular" w:hAnsi="Arial Regular" w:eastAsia="SimSun" w:cs="Arial Regular"/>
                <w:sz w:val="24"/>
                <w:szCs w:val="24"/>
                <w:lang w:val="en-US" w:eastAsia="zh-CN"/>
              </w:rPr>
              <w:t>c</w:t>
            </w:r>
            <w:r>
              <w:rPr>
                <w:rStyle w:val="18"/>
                <w:rFonts w:hint="default" w:ascii="Arial Regular" w:hAnsi="Arial Regular" w:cs="Arial Regular"/>
                <w:sz w:val="24"/>
                <w:szCs w:val="24"/>
              </w:rPr>
              <w:t xml:space="preserve">ultural </w:t>
            </w:r>
            <w:r>
              <w:rPr>
                <w:rStyle w:val="18"/>
                <w:rFonts w:hint="default" w:ascii="Arial Regular" w:hAnsi="Arial Regular" w:eastAsia="SimSun" w:cs="Arial Regular"/>
                <w:sz w:val="24"/>
                <w:szCs w:val="24"/>
                <w:lang w:val="en-US" w:eastAsia="zh-CN"/>
              </w:rPr>
              <w:t>c</w:t>
            </w:r>
            <w:r>
              <w:rPr>
                <w:rStyle w:val="18"/>
                <w:rFonts w:hint="default" w:ascii="Arial Regular" w:hAnsi="Arial Regular" w:cs="Arial Regular"/>
                <w:sz w:val="24"/>
                <w:szCs w:val="24"/>
              </w:rPr>
              <w:t xml:space="preserve">onnotations and </w:t>
            </w:r>
            <w:r>
              <w:rPr>
                <w:rStyle w:val="18"/>
                <w:rFonts w:hint="default" w:ascii="Arial Regular" w:hAnsi="Arial Regular" w:eastAsia="SimSun" w:cs="Arial Regular"/>
                <w:sz w:val="24"/>
                <w:szCs w:val="24"/>
                <w:lang w:val="en-US" w:eastAsia="zh-CN"/>
              </w:rPr>
              <w:t>v</w:t>
            </w:r>
            <w:r>
              <w:rPr>
                <w:rStyle w:val="18"/>
                <w:rFonts w:hint="default" w:ascii="Arial Regular" w:hAnsi="Arial Regular" w:cs="Arial Regular"/>
                <w:sz w:val="24"/>
                <w:szCs w:val="24"/>
              </w:rPr>
              <w:t>alues</w:t>
            </w:r>
            <w:r>
              <w:rPr>
                <w:rStyle w:val="18"/>
                <w:rFonts w:hint="default" w:ascii="Arial Regular" w:hAnsi="Arial Regular" w:eastAsia="SimSun" w:cs="Arial Regular"/>
                <w:sz w:val="24"/>
                <w:szCs w:val="24"/>
                <w:lang w:val="en-US" w:eastAsia="zh-CN"/>
              </w:rPr>
              <w:t xml:space="preserve"> of blue and white porcelain decoration</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Fonts w:hint="default" w:ascii="Arial Regular" w:hAnsi="Arial Regular" w:eastAsia="SimSun" w:cs="Arial Regular"/>
                <w:sz w:val="24"/>
                <w:szCs w:val="24"/>
                <w:lang w:val="en-US" w:eastAsia="zh-CN"/>
              </w:rPr>
              <w:t>-</w:t>
            </w:r>
            <w:r>
              <w:rPr>
                <w:rFonts w:hint="default" w:ascii="Arial Regular" w:hAnsi="Arial Regular" w:cs="Arial Regular"/>
                <w:sz w:val="24"/>
                <w:szCs w:val="24"/>
              </w:rPr>
              <w:t>Investigate the historical and cultural symbolism embedded in blue and white porcelain decorations, with a focus on their roles in identity formation, philosophical thought, cultural representation, and aesthetic significance during different eras.</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Fonts w:hint="default" w:ascii="Arial Regular" w:hAnsi="Arial Regular" w:eastAsia="SimSun" w:cs="Arial Regular"/>
                <w:sz w:val="24"/>
                <w:szCs w:val="24"/>
                <w:lang w:val="en-US" w:eastAsia="zh-CN"/>
              </w:rPr>
              <w:t>-</w:t>
            </w:r>
            <w:r>
              <w:rPr>
                <w:rFonts w:hint="default" w:ascii="Arial Regular" w:hAnsi="Arial Regular" w:cs="Arial Regular"/>
                <w:sz w:val="24"/>
                <w:szCs w:val="24"/>
              </w:rPr>
              <w:t>Analyze literature and historical documents to interpret the cultural meanings of these symbols, particularly within the frameworks of ancient Chinese philosophy and religion, forming the foundation for design applications.</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Fonts w:hint="default" w:ascii="Arial Regular" w:hAnsi="Arial Regular" w:eastAsia="SimSun" w:cs="Arial Regular"/>
                <w:sz w:val="24"/>
                <w:szCs w:val="24"/>
                <w:lang w:val="en-US" w:eastAsia="zh-CN"/>
              </w:rPr>
              <w:t>-</w:t>
            </w:r>
            <w:r>
              <w:rPr>
                <w:rFonts w:hint="default" w:ascii="Arial Regular" w:hAnsi="Arial Regular" w:cs="Arial Regular"/>
                <w:sz w:val="24"/>
                <w:szCs w:val="24"/>
              </w:rPr>
              <w:t>Examine the urban cultural value of blue and white porcelain as a symbol of urban identity and memory. This includes exploring its role in linking tradition with modernity and local heritage with global culture, thereby enhancing the cultural depth and social identity of urban brands.</w:t>
            </w:r>
          </w:p>
          <w:p>
            <w:pPr>
              <w:keepNext w:val="0"/>
              <w:keepLines w:val="0"/>
              <w:widowControl/>
              <w:suppressLineNumbers w:val="0"/>
              <w:jc w:val="left"/>
              <w:rPr>
                <w:rFonts w:hint="default" w:ascii="Arial Regular" w:hAnsi="Arial Regular" w:eastAsia="宋体" w:cs="Arial Regular"/>
                <w:color w:val="auto"/>
                <w:kern w:val="0"/>
                <w:sz w:val="24"/>
                <w:szCs w:val="24"/>
                <w:lang w:val="en-US" w:eastAsia="zh-CN" w:bidi="ar"/>
              </w:rPr>
            </w:pPr>
            <w:r>
              <w:rPr>
                <w:rFonts w:hint="default" w:ascii="Arial Regular" w:hAnsi="Arial Regular" w:eastAsia="SimSun" w:cs="Arial Regular"/>
                <w:color w:val="auto"/>
                <w:sz w:val="24"/>
                <w:szCs w:val="24"/>
                <w:lang w:val="en-US" w:eastAsia="zh-CN"/>
              </w:rPr>
              <w:t>-</w:t>
            </w:r>
            <w:r>
              <w:rPr>
                <w:rFonts w:hint="default" w:ascii="Arial Regular" w:hAnsi="Arial Regular" w:eastAsia="宋体" w:cs="Arial Regular"/>
                <w:color w:val="auto"/>
                <w:kern w:val="0"/>
                <w:sz w:val="24"/>
                <w:szCs w:val="24"/>
                <w:lang w:val="en-US" w:eastAsia="zh-CN" w:bidi="ar"/>
              </w:rPr>
              <w:t xml:space="preserve">Centered around Jingdezhen, we aim to build a globally recognized regional brand by integrating blue-and-white porcelain heritage. By incorporating blue-and-white porcelain elements into Jiangxi's tourism and city brand designs, we will enhance the city's cultural significance and create unique urban experiences that blend tradition with modern aesthetics. </w:t>
            </w:r>
          </w:p>
          <w:p>
            <w:pPr>
              <w:keepNext w:val="0"/>
              <w:keepLines w:val="0"/>
              <w:widowControl/>
              <w:suppressLineNumbers w:val="0"/>
              <w:jc w:val="left"/>
              <w:rPr>
                <w:rFonts w:hint="default" w:ascii="Arial Regular" w:hAnsi="Arial Regular" w:eastAsia="宋体" w:cs="Arial Regular"/>
                <w:color w:val="auto"/>
                <w:kern w:val="0"/>
                <w:sz w:val="24"/>
                <w:szCs w:val="24"/>
                <w:lang w:val="en-US" w:eastAsia="zh-CN" w:bidi="ar"/>
              </w:rPr>
            </w:pPr>
          </w:p>
          <w:p>
            <w:pPr>
              <w:keepNext w:val="0"/>
              <w:keepLines w:val="0"/>
              <w:widowControl/>
              <w:suppressLineNumbers w:val="0"/>
              <w:jc w:val="left"/>
              <w:rPr>
                <w:rFonts w:hint="default" w:ascii="Arial Regular" w:hAnsi="Arial Regular" w:eastAsia="宋体" w:cs="Arial Regular"/>
                <w:color w:val="auto"/>
                <w:kern w:val="0"/>
                <w:sz w:val="24"/>
                <w:szCs w:val="24"/>
                <w:lang w:val="en-US" w:eastAsia="zh-CN" w:bidi="ar"/>
              </w:rPr>
            </w:pPr>
            <w:r>
              <w:rPr>
                <w:rFonts w:hint="eastAsia" w:ascii="Arial Regular" w:hAnsi="Arial Regular" w:eastAsia="宋体" w:cs="Arial Regular"/>
                <w:color w:val="auto"/>
                <w:kern w:val="0"/>
                <w:sz w:val="24"/>
                <w:szCs w:val="24"/>
                <w:lang w:val="en-US" w:eastAsia="zh-CN" w:bidi="ar"/>
              </w:rPr>
              <w:t>-</w:t>
            </w:r>
            <w:r>
              <w:rPr>
                <w:rFonts w:hint="default" w:ascii="Arial Regular" w:hAnsi="Arial Regular" w:eastAsia="宋体" w:cs="Arial Regular"/>
                <w:color w:val="auto"/>
                <w:kern w:val="0"/>
                <w:sz w:val="24"/>
                <w:szCs w:val="24"/>
                <w:lang w:val="en-US" w:eastAsia="zh-CN" w:bidi="ar"/>
              </w:rPr>
              <w:t>We extracted the patterns of Jingdezhen porcelain and combined them with traditional Chinese stories to design a modern semi-real and semi-virtual porcelain pattern, building a bridge between traditional and modern design and promoting cultural innovation. Using digital platforms such as Douyin(TikTok), we will use creative videos to show the connection between blue and white porcelain and Jiangxi cultural landmarks, attract young audiences, and enhance the global influence of Jiangxi cultural tourism.</w:t>
            </w:r>
          </w:p>
          <w:p>
            <w:pPr>
              <w:keepNext w:val="0"/>
              <w:keepLines w:val="0"/>
              <w:widowControl/>
              <w:suppressLineNumbers w:val="0"/>
              <w:jc w:val="left"/>
              <w:rPr>
                <w:rFonts w:hint="default" w:ascii="Arial Regular" w:hAnsi="Arial Regular" w:eastAsia="宋体" w:cs="Arial Regular"/>
                <w:kern w:val="0"/>
                <w:sz w:val="24"/>
                <w:szCs w:val="24"/>
                <w:lang w:val="en-US" w:eastAsia="zh-CN" w:bidi="ar"/>
              </w:rPr>
            </w:pPr>
          </w:p>
          <w:p>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SimSun" w:cs="Arial Regular"/>
                <w:sz w:val="24"/>
                <w:szCs w:val="24"/>
                <w:lang w:val="en-US" w:eastAsia="zh-CN"/>
              </w:rPr>
              <w:t>-</w:t>
            </w:r>
            <w:r>
              <w:rPr>
                <w:rFonts w:hint="default" w:ascii="Arial Regular" w:hAnsi="Arial Regular" w:cs="Arial Regular"/>
                <w:sz w:val="24"/>
                <w:szCs w:val="24"/>
              </w:rPr>
              <w:t>Assess the potential of blue and white porcelain decorations to serve as cultural symbols for cities, with a particular focus on Jingdezhen as the birthplace of this art form. Study how these symbols can strengthen a city’s uniqueness and symbolic significance in contemporary society.</w:t>
            </w:r>
          </w:p>
          <w:p>
            <w:pPr>
              <w:pStyle w:val="13"/>
              <w:keepNext w:val="0"/>
              <w:keepLines w:val="0"/>
              <w:widowControl/>
              <w:numPr>
                <w:ilvl w:val="0"/>
                <w:numId w:val="0"/>
              </w:numPr>
              <w:suppressLineNumbers w:val="0"/>
              <w:ind w:leftChars="0"/>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3.</w:t>
            </w:r>
            <w:r>
              <w:rPr>
                <w:rStyle w:val="18"/>
                <w:rFonts w:hint="default" w:ascii="Arial Regular" w:hAnsi="Arial Regular" w:cs="Arial Regular"/>
                <w:sz w:val="24"/>
                <w:szCs w:val="24"/>
              </w:rPr>
              <w:t>Innovative Applications in Modern Urban Cultural Brand Design</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Fonts w:hint="default" w:ascii="Arial Regular" w:hAnsi="Arial Regular" w:eastAsia="SimSun" w:cs="Arial Regular"/>
                <w:sz w:val="24"/>
                <w:szCs w:val="24"/>
                <w:lang w:val="en-US" w:eastAsia="zh-CN"/>
              </w:rPr>
              <w:t>-</w:t>
            </w:r>
            <w:r>
              <w:rPr>
                <w:rFonts w:hint="default" w:ascii="Arial Regular" w:hAnsi="Arial Regular" w:cs="Arial Regular"/>
                <w:sz w:val="24"/>
                <w:szCs w:val="24"/>
              </w:rPr>
              <w:t>Explore the integration of blue and white porcelain patterns into modern urban cultural brand design, creating innovative elements that combine cultural depth with visual appeal while embodying symbolic significance.</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Fonts w:hint="default" w:ascii="Arial Regular" w:hAnsi="Arial Regular" w:eastAsia="SimSun" w:cs="Arial Regular"/>
                <w:sz w:val="24"/>
                <w:szCs w:val="24"/>
                <w:lang w:val="en-US" w:eastAsia="zh-CN"/>
              </w:rPr>
              <w:t>-</w:t>
            </w:r>
            <w:r>
              <w:rPr>
                <w:rFonts w:hint="default" w:ascii="Arial Regular" w:hAnsi="Arial Regular" w:cs="Arial Regular"/>
                <w:sz w:val="24"/>
                <w:szCs w:val="24"/>
              </w:rPr>
              <w:t>Use symbolic visual analysis, case studies, and data</w:t>
            </w:r>
            <w:r>
              <w:rPr>
                <w:rFonts w:hint="default" w:ascii="Arial Regular" w:hAnsi="Arial Regular" w:eastAsia="SimSun" w:cs="Arial Regular"/>
                <w:sz w:val="24"/>
                <w:szCs w:val="24"/>
                <w:lang w:val="en-US" w:eastAsia="zh-CN"/>
              </w:rPr>
              <w:t xml:space="preserve"> collection</w:t>
            </w:r>
            <w:r>
              <w:rPr>
                <w:rFonts w:hint="default" w:ascii="Arial Regular" w:hAnsi="Arial Regular" w:cs="Arial Regular"/>
                <w:sz w:val="24"/>
                <w:szCs w:val="24"/>
              </w:rPr>
              <w:t xml:space="preserve"> approaches to design blue and white porcelain-inspired visuals that align with brand needs. Evaluate the outcomes through design samples and user feedback.</w:t>
            </w:r>
          </w:p>
          <w:p>
            <w:pPr>
              <w:pStyle w:val="13"/>
              <w:keepNext w:val="0"/>
              <w:keepLines w:val="0"/>
              <w:widowControl/>
              <w:numPr>
                <w:ilvl w:val="0"/>
                <w:numId w:val="0"/>
              </w:numPr>
              <w:suppressLineNumbers w:val="0"/>
              <w:ind w:leftChars="0"/>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4.</w:t>
            </w:r>
            <w:r>
              <w:rPr>
                <w:rStyle w:val="18"/>
                <w:rFonts w:hint="default" w:ascii="Arial Regular" w:hAnsi="Arial Regular" w:cs="Arial Regular"/>
                <w:sz w:val="24"/>
                <w:szCs w:val="24"/>
              </w:rPr>
              <w:t>Cross-Cultural Applications in Modern Design</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Fonts w:hint="default" w:ascii="Arial Regular" w:hAnsi="Arial Regular" w:eastAsia="SimSun" w:cs="Arial Regular"/>
                <w:sz w:val="24"/>
                <w:szCs w:val="24"/>
                <w:lang w:val="en-US" w:eastAsia="zh-CN"/>
              </w:rPr>
              <w:t>-</w:t>
            </w:r>
            <w:r>
              <w:rPr>
                <w:rFonts w:hint="default" w:ascii="Arial Regular" w:hAnsi="Arial Regular" w:cs="Arial Regular"/>
                <w:sz w:val="24"/>
                <w:szCs w:val="24"/>
              </w:rPr>
              <w:t>Analyze the symbolic value of blue and white porcelain in the context of globalization, assessing its acceptance and appeal in diverse cultural markets.</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Fonts w:hint="default" w:ascii="Arial Regular" w:hAnsi="Arial Regular" w:eastAsia="SimSun" w:cs="Arial Regular"/>
                <w:sz w:val="24"/>
                <w:szCs w:val="24"/>
                <w:lang w:val="en-US" w:eastAsia="zh-CN"/>
              </w:rPr>
              <w:t>-</w:t>
            </w:r>
            <w:r>
              <w:rPr>
                <w:rFonts w:hint="default" w:ascii="Arial Regular" w:hAnsi="Arial Regular" w:cs="Arial Regular"/>
                <w:sz w:val="24"/>
                <w:szCs w:val="24"/>
              </w:rPr>
              <w:t>Conduct surveys and case studies to identify application scenarios and explore the adaptability of blue and white porcelain patterns in cross-cultural brand design. This will elucidate the reasons behind their widespread appeal in the global market.</w:t>
            </w:r>
          </w:p>
          <w:p>
            <w:pPr>
              <w:pStyle w:val="13"/>
              <w:keepNext w:val="0"/>
              <w:keepLines w:val="0"/>
              <w:widowControl/>
              <w:numPr>
                <w:ilvl w:val="0"/>
                <w:numId w:val="0"/>
              </w:numPr>
              <w:suppressLineNumbers w:val="0"/>
              <w:ind w:leftChars="0"/>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5.</w:t>
            </w:r>
            <w:r>
              <w:rPr>
                <w:rStyle w:val="18"/>
                <w:rFonts w:hint="default" w:ascii="Arial Regular" w:hAnsi="Arial Regular" w:cs="Arial Regular"/>
                <w:sz w:val="24"/>
                <w:szCs w:val="24"/>
              </w:rPr>
              <w:t>Cultural and Commercial Value in Modern Design</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Fonts w:hint="default" w:ascii="Arial Regular" w:hAnsi="Arial Regular" w:eastAsia="SimSun" w:cs="Arial Regular"/>
                <w:sz w:val="24"/>
                <w:szCs w:val="24"/>
                <w:lang w:val="en-US" w:eastAsia="zh-CN"/>
              </w:rPr>
              <w:t>-</w:t>
            </w:r>
            <w:r>
              <w:rPr>
                <w:rFonts w:hint="default" w:ascii="Arial Regular" w:hAnsi="Arial Regular" w:cs="Arial Regular"/>
                <w:sz w:val="24"/>
                <w:szCs w:val="24"/>
              </w:rPr>
              <w:t>Evaluate the cultural and commercial potential of blue and white porcelain decorations, focusing on their roles in cross-cultural communication and visual storytelling.</w:t>
            </w:r>
          </w:p>
          <w:p>
            <w:pPr>
              <w:keepNext w:val="0"/>
              <w:keepLines w:val="0"/>
              <w:widowControl/>
              <w:numPr>
                <w:ilvl w:val="0"/>
                <w:numId w:val="0"/>
              </w:numPr>
              <w:suppressLineNumbers w:val="0"/>
              <w:spacing w:before="0" w:beforeAutospacing="1" w:after="0" w:afterAutospacing="1"/>
              <w:jc w:val="both"/>
              <w:rPr>
                <w:rFonts w:hint="default"/>
                <w:lang w:val="en-US" w:eastAsia="zh-CN"/>
              </w:rPr>
            </w:pPr>
            <w:r>
              <w:rPr>
                <w:rFonts w:hint="default" w:ascii="Arial Regular" w:hAnsi="Arial Regular" w:eastAsia="SimSun" w:cs="Arial Regular"/>
                <w:sz w:val="24"/>
                <w:szCs w:val="24"/>
                <w:lang w:val="en-US" w:eastAsia="zh-CN"/>
              </w:rPr>
              <w:t>-</w:t>
            </w:r>
            <w:r>
              <w:rPr>
                <w:rFonts w:hint="default" w:ascii="Arial Regular" w:hAnsi="Arial Regular" w:cs="Arial Regular"/>
                <w:sz w:val="24"/>
                <w:szCs w:val="24"/>
              </w:rPr>
              <w:t>Summarize insights from design outcomes and data feedback to analyze the cultural depth, commercial appeal, and communication power of blue and white porcelain symbols in urban brand design. These findings will provide theoretical guidance and practical strategies for future applications.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p>
          <w:p>
            <w:pPr>
              <w:rPr>
                <w:rFonts w:cs="Arial"/>
                <w:sz w:val="22"/>
                <w:szCs w:val="22"/>
              </w:rPr>
            </w:pPr>
            <w:r>
              <w:rPr>
                <w:rFonts w:cs="Arial"/>
                <w:sz w:val="22"/>
                <w:szCs w:val="22"/>
              </w:rPr>
              <w:t xml:space="preserve">Proposed plan of work including timetable </w:t>
            </w:r>
          </w:p>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tcPr>
          <w:p>
            <w:pPr>
              <w:rPr>
                <w:rFonts w:cs="Arial"/>
                <w:i/>
                <w:sz w:val="22"/>
                <w:szCs w:val="22"/>
              </w:rPr>
            </w:pPr>
            <w:r>
              <w:rPr>
                <w:rFonts w:cs="Arial"/>
                <w:i/>
                <w:sz w:val="22"/>
                <w:szCs w:val="22"/>
              </w:rPr>
              <w:t>Proposed plan of work</w:t>
            </w:r>
          </w:p>
          <w:p>
            <w:pPr>
              <w:rPr>
                <w:rFonts w:cs="Arial"/>
                <w:sz w:val="22"/>
                <w:szCs w:val="22"/>
              </w:rPr>
            </w:pPr>
          </w:p>
          <w:p>
            <w:pPr>
              <w:rPr>
                <w:rFonts w:cs="Arial"/>
                <w:sz w:val="22"/>
                <w:szCs w:val="22"/>
              </w:rPr>
            </w:pPr>
            <w:r>
              <w:rPr>
                <w:rFonts w:cs="Arial"/>
                <w:sz w:val="22"/>
                <w:szCs w:val="22"/>
              </w:rPr>
              <w:t>In this section you will need to complete a proposed plan of your work explaining the timeline for key elements of the thesis. This can be set out as a table like below or as a gantt chart (for example)</w:t>
            </w:r>
          </w:p>
          <w:p>
            <w:pPr>
              <w:rPr>
                <w:rFonts w:cs="Arial"/>
                <w:sz w:val="22"/>
                <w:szCs w:val="22"/>
              </w:rPr>
            </w:pPr>
          </w:p>
          <w:p>
            <w:pPr>
              <w:rPr>
                <w:rFonts w:cs="Arial"/>
                <w:sz w:val="22"/>
                <w:szCs w:val="22"/>
              </w:rPr>
            </w:pPr>
            <w:r>
              <w:rPr>
                <w:rFonts w:cs="Arial"/>
                <w:sz w:val="22"/>
                <w:szCs w:val="22"/>
              </w:rPr>
              <w:t>This plan should indicate that the research will be completed by the end of the fee paying period (the minimum period of candidature.</w:t>
            </w:r>
          </w:p>
          <w:p>
            <w:pPr>
              <w:rPr>
                <w:rFonts w:cs="Arial"/>
                <w:sz w:val="22"/>
                <w:szCs w:val="22"/>
                <w:lang w:eastAsia="zh-CN"/>
              </w:rPr>
            </w:pPr>
          </w:p>
          <w:p>
            <w:pPr>
              <w:rPr>
                <w:rFonts w:cs="Arial"/>
                <w:sz w:val="22"/>
                <w:szCs w:val="22"/>
                <w:lang w:eastAsia="zh-CN"/>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7"/>
              <w:gridCol w:w="47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tcPr>
                <w:p>
                  <w:pPr>
                    <w:rPr>
                      <w:rFonts w:cs="Arial"/>
                      <w:sz w:val="22"/>
                      <w:szCs w:val="22"/>
                    </w:rPr>
                  </w:pPr>
                  <w:r>
                    <w:rPr>
                      <w:rFonts w:cs="Arial"/>
                      <w:sz w:val="22"/>
                      <w:szCs w:val="22"/>
                    </w:rPr>
                    <w:t>Planned Development (e.g. submission of form, completion of chapter, submission of thesis)</w:t>
                  </w:r>
                </w:p>
              </w:tc>
              <w:tc>
                <w:tcPr>
                  <w:tcW w:w="4778" w:type="dxa"/>
                </w:tcPr>
                <w:p>
                  <w:pPr>
                    <w:rPr>
                      <w:rFonts w:cs="Arial"/>
                      <w:sz w:val="22"/>
                      <w:szCs w:val="22"/>
                    </w:rPr>
                  </w:pPr>
                  <w:r>
                    <w:rPr>
                      <w:rFonts w:cs="Arial"/>
                      <w:sz w:val="22"/>
                      <w:szCs w:val="22"/>
                    </w:rPr>
                    <w:t>Target 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tcPr>
                <w:p>
                  <w:pPr>
                    <w:spacing w:line="240" w:lineRule="auto"/>
                    <w:rPr>
                      <w:rFonts w:hint="default" w:eastAsia="SimSun" w:cs="Arial"/>
                      <w:sz w:val="24"/>
                      <w:szCs w:val="24"/>
                      <w:lang w:val="en-US" w:eastAsia="zh-CN"/>
                    </w:rPr>
                  </w:pPr>
                  <w:r>
                    <w:rPr>
                      <w:rFonts w:hint="eastAsia" w:eastAsia="SimSun" w:cs="Arial"/>
                      <w:sz w:val="24"/>
                      <w:szCs w:val="24"/>
                      <w:lang w:val="en-US" w:eastAsia="zh-CN"/>
                    </w:rPr>
                    <w:t>PG1/PG</w:t>
                  </w:r>
                  <w:r>
                    <w:rPr>
                      <w:rFonts w:hint="default" w:eastAsia="SimSun" w:cs="Arial"/>
                      <w:sz w:val="24"/>
                      <w:szCs w:val="24"/>
                      <w:lang w:val="en-US" w:eastAsia="zh-CN"/>
                    </w:rPr>
                    <w:t>2 Draft</w:t>
                  </w:r>
                </w:p>
              </w:tc>
              <w:tc>
                <w:tcPr>
                  <w:tcW w:w="4778" w:type="dxa"/>
                </w:tcPr>
                <w:p>
                  <w:pPr>
                    <w:spacing w:line="240" w:lineRule="auto"/>
                    <w:rPr>
                      <w:rFonts w:hint="default" w:cs="Arial"/>
                      <w:sz w:val="24"/>
                      <w:szCs w:val="24"/>
                      <w:lang w:val="en-US"/>
                    </w:rPr>
                  </w:pPr>
                  <w:r>
                    <w:rPr>
                      <w:rFonts w:hint="default" w:cs="Arial"/>
                      <w:sz w:val="24"/>
                      <w:szCs w:val="24"/>
                      <w:lang w:val="en-US"/>
                    </w:rPr>
                    <w:t>January 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tcPr>
                <w:p>
                  <w:pPr>
                    <w:spacing w:line="240" w:lineRule="auto"/>
                    <w:rPr>
                      <w:rFonts w:hint="default" w:cs="Arial"/>
                      <w:sz w:val="24"/>
                      <w:szCs w:val="24"/>
                      <w:lang w:val="en-US"/>
                    </w:rPr>
                  </w:pPr>
                  <w:r>
                    <w:rPr>
                      <w:rFonts w:hint="default" w:cs="Arial"/>
                      <w:sz w:val="24"/>
                      <w:szCs w:val="24"/>
                      <w:lang w:val="en-US"/>
                    </w:rPr>
                    <w:t>Step to Part 2</w:t>
                  </w:r>
                </w:p>
              </w:tc>
              <w:tc>
                <w:tcPr>
                  <w:tcW w:w="4778" w:type="dxa"/>
                </w:tcPr>
                <w:p>
                  <w:pPr>
                    <w:spacing w:line="240" w:lineRule="auto"/>
                    <w:rPr>
                      <w:rFonts w:hint="default" w:cs="Arial"/>
                      <w:sz w:val="24"/>
                      <w:szCs w:val="24"/>
                      <w:lang w:val="en-US"/>
                    </w:rPr>
                  </w:pPr>
                  <w:r>
                    <w:rPr>
                      <w:rFonts w:hint="default" w:cs="Arial"/>
                      <w:sz w:val="24"/>
                      <w:szCs w:val="24"/>
                      <w:lang w:val="en-US"/>
                    </w:rPr>
                    <w:t>February 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PG1 submitted</w:t>
                  </w:r>
                </w:p>
              </w:tc>
              <w:tc>
                <w:tcPr>
                  <w:tcW w:w="4778"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March 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PG2 submitted</w:t>
                  </w:r>
                </w:p>
              </w:tc>
              <w:tc>
                <w:tcPr>
                  <w:tcW w:w="4778"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April 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Initial Literature Review Completed</w:t>
                  </w:r>
                </w:p>
              </w:tc>
              <w:tc>
                <w:tcPr>
                  <w:tcW w:w="4778"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June 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Research Proposal Submission</w:t>
                  </w:r>
                </w:p>
              </w:tc>
              <w:tc>
                <w:tcPr>
                  <w:tcW w:w="4778"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July/August 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vAlign w:val="top"/>
                </w:tcPr>
                <w:p>
                  <w:pPr>
                    <w:spacing w:line="240" w:lineRule="auto"/>
                    <w:rPr>
                      <w:rFonts w:hint="default" w:ascii="Arial" w:hAnsi="Arial" w:eastAsia="Times New Roman" w:cs="Arial"/>
                      <w:sz w:val="24"/>
                      <w:szCs w:val="24"/>
                      <w:lang w:val="en-US" w:eastAsia="zh-CN" w:bidi="ar-SA"/>
                    </w:rPr>
                  </w:pPr>
                  <w:r>
                    <w:rPr>
                      <w:rFonts w:hint="default" w:cs="Arial"/>
                      <w:sz w:val="24"/>
                      <w:szCs w:val="24"/>
                      <w:lang w:val="en-US"/>
                    </w:rPr>
                    <w:t>Methodology Design</w:t>
                  </w:r>
                </w:p>
              </w:tc>
              <w:tc>
                <w:tcPr>
                  <w:tcW w:w="4778"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September 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vAlign w:val="top"/>
                </w:tcPr>
                <w:p>
                  <w:pPr>
                    <w:spacing w:line="240" w:lineRule="auto"/>
                    <w:rPr>
                      <w:rFonts w:hint="default" w:ascii="Arial" w:hAnsi="Arial" w:eastAsia="SimSun" w:cs="Arial"/>
                      <w:sz w:val="24"/>
                      <w:szCs w:val="24"/>
                      <w:lang w:val="en-US" w:eastAsia="zh-CN" w:bidi="ar-SA"/>
                    </w:rPr>
                  </w:pPr>
                  <w:r>
                    <w:rPr>
                      <w:rFonts w:hint="default" w:eastAsia="SimSun" w:cs="Arial"/>
                      <w:sz w:val="24"/>
                      <w:szCs w:val="24"/>
                      <w:lang w:val="en-US" w:eastAsia="zh-CN" w:bidi="ar-SA"/>
                    </w:rPr>
                    <w:t>Fieldwork Preparation (Interview&amp; Survey design)</w:t>
                  </w:r>
                </w:p>
              </w:tc>
              <w:tc>
                <w:tcPr>
                  <w:tcW w:w="4778"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eastAsia="en-GB" w:bidi="ar-SA"/>
                    </w:rPr>
                    <w:t>December 2024- January 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vAlign w:val="top"/>
                </w:tcPr>
                <w:p>
                  <w:pPr>
                    <w:spacing w:line="240" w:lineRule="auto"/>
                    <w:rPr>
                      <w:rFonts w:hint="default" w:ascii="Arial" w:hAnsi="Arial" w:eastAsia="SimSun" w:cs="Arial"/>
                      <w:sz w:val="24"/>
                      <w:szCs w:val="24"/>
                      <w:lang w:val="en-US" w:eastAsia="en-GB" w:bidi="ar-SA"/>
                    </w:rPr>
                  </w:pPr>
                  <w:r>
                    <w:rPr>
                      <w:rFonts w:hint="eastAsia" w:eastAsia="SimSun" w:cs="Arial"/>
                      <w:sz w:val="24"/>
                      <w:szCs w:val="24"/>
                      <w:lang w:val="en-US" w:eastAsia="zh-CN"/>
                    </w:rPr>
                    <w:t>Collect Data</w:t>
                  </w:r>
                  <w:r>
                    <w:rPr>
                      <w:rFonts w:hint="default" w:eastAsia="SimSun" w:cs="Arial"/>
                      <w:sz w:val="24"/>
                      <w:szCs w:val="24"/>
                      <w:lang w:val="en-US" w:eastAsia="zh-CN"/>
                    </w:rPr>
                    <w:t xml:space="preserve"> (Interviews &amp; Online </w:t>
                  </w:r>
                  <w:r>
                    <w:rPr>
                      <w:rFonts w:hint="eastAsia" w:eastAsia="SimSun" w:cs="Arial"/>
                      <w:sz w:val="24"/>
                      <w:szCs w:val="24"/>
                      <w:lang w:val="en-US" w:eastAsia="zh-CN"/>
                    </w:rPr>
                    <w:t>Questionnaires</w:t>
                  </w:r>
                  <w:r>
                    <w:rPr>
                      <w:rFonts w:hint="default" w:eastAsia="SimSun" w:cs="Arial"/>
                      <w:sz w:val="24"/>
                      <w:szCs w:val="24"/>
                      <w:lang w:val="en-US" w:eastAsia="zh-CN"/>
                    </w:rPr>
                    <w:t>)</w:t>
                  </w:r>
                </w:p>
              </w:tc>
              <w:tc>
                <w:tcPr>
                  <w:tcW w:w="4778"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November 2024- January 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vAlign w:val="top"/>
                </w:tcPr>
                <w:p>
                  <w:pPr>
                    <w:spacing w:line="240" w:lineRule="auto"/>
                    <w:rPr>
                      <w:rFonts w:hint="default" w:ascii="Arial" w:hAnsi="Arial" w:eastAsia="Times New Roman" w:cs="Arial"/>
                      <w:sz w:val="24"/>
                      <w:szCs w:val="24"/>
                      <w:lang w:val="en-US" w:eastAsia="zh-CN" w:bidi="ar-SA"/>
                    </w:rPr>
                  </w:pPr>
                  <w:r>
                    <w:rPr>
                      <w:rFonts w:hint="default" w:cs="Arial"/>
                      <w:sz w:val="24"/>
                      <w:szCs w:val="24"/>
                      <w:lang w:val="en-US"/>
                    </w:rPr>
                    <w:t>Research trip to China for porcelain research</w:t>
                  </w:r>
                </w:p>
              </w:tc>
              <w:tc>
                <w:tcPr>
                  <w:tcW w:w="4778"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December 2024- June2025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Data Analysis and Coding (</w:t>
                  </w:r>
                  <w:r>
                    <w:rPr>
                      <w:rFonts w:hint="eastAsia" w:cs="Arial"/>
                      <w:sz w:val="24"/>
                      <w:szCs w:val="24"/>
                      <w:lang w:val="en-US" w:eastAsia="zh-CN"/>
                    </w:rPr>
                    <w:t>Q</w:t>
                  </w:r>
                  <w:r>
                    <w:rPr>
                      <w:rFonts w:hint="default" w:cs="Arial"/>
                      <w:sz w:val="24"/>
                      <w:szCs w:val="24"/>
                      <w:lang w:val="en-US" w:eastAsia="zh-CN"/>
                    </w:rPr>
                    <w:t>ualitative research</w:t>
                  </w:r>
                  <w:r>
                    <w:rPr>
                      <w:rFonts w:hint="default" w:cs="Arial"/>
                      <w:sz w:val="24"/>
                      <w:szCs w:val="24"/>
                      <w:lang w:val="en-US"/>
                    </w:rPr>
                    <w:t>)</w:t>
                  </w:r>
                </w:p>
              </w:tc>
              <w:tc>
                <w:tcPr>
                  <w:tcW w:w="4778"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June 2025- December 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vAlign w:val="top"/>
                </w:tcPr>
                <w:p>
                  <w:pPr>
                    <w:spacing w:line="240" w:lineRule="auto"/>
                    <w:rPr>
                      <w:rFonts w:hint="default" w:ascii="Arial" w:hAnsi="Arial" w:eastAsia="SimSun" w:cs="Arial"/>
                      <w:sz w:val="24"/>
                      <w:szCs w:val="24"/>
                      <w:lang w:val="en-US" w:eastAsia="en-GB" w:bidi="ar-SA"/>
                    </w:rPr>
                  </w:pPr>
                  <w:r>
                    <w:rPr>
                      <w:rFonts w:hint="eastAsia" w:eastAsia="SimSun" w:cs="Arial"/>
                      <w:sz w:val="24"/>
                      <w:szCs w:val="24"/>
                      <w:lang w:val="en-US" w:eastAsia="zh-CN"/>
                    </w:rPr>
                    <w:t>First Draft of</w:t>
                  </w:r>
                  <w:r>
                    <w:rPr>
                      <w:rFonts w:hint="default" w:eastAsia="SimSun" w:cs="Arial"/>
                      <w:sz w:val="24"/>
                      <w:szCs w:val="24"/>
                      <w:lang w:val="en-US" w:eastAsia="zh-CN"/>
                    </w:rPr>
                    <w:t xml:space="preserve"> Core Chapters (Data analysis )</w:t>
                  </w:r>
                </w:p>
              </w:tc>
              <w:tc>
                <w:tcPr>
                  <w:tcW w:w="4778"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August 2026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Supervisor Feedback on First Draft</w:t>
                  </w:r>
                </w:p>
              </w:tc>
              <w:tc>
                <w:tcPr>
                  <w:tcW w:w="4778"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September 2026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eastAsia="en-GB" w:bidi="ar-SA"/>
                    </w:rPr>
                    <w:t>Revision and Redrafting of Porcelain  Chapters</w:t>
                  </w:r>
                </w:p>
              </w:tc>
              <w:tc>
                <w:tcPr>
                  <w:tcW w:w="4778"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eastAsia="en-GB" w:bidi="ar-SA"/>
                    </w:rPr>
                    <w:t>April 2026- September 2026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Final Draft of Thesis</w:t>
                  </w:r>
                </w:p>
              </w:tc>
              <w:tc>
                <w:tcPr>
                  <w:tcW w:w="4778" w:type="dxa"/>
                  <w:vAlign w:val="top"/>
                </w:tcPr>
                <w:p>
                  <w:pPr>
                    <w:spacing w:line="240" w:lineRule="auto"/>
                    <w:rPr>
                      <w:rFonts w:hint="default" w:ascii="Arial" w:hAnsi="Arial" w:eastAsia="Times New Roman" w:cs="Arial"/>
                      <w:sz w:val="24"/>
                      <w:szCs w:val="24"/>
                      <w:lang w:val="en-US" w:eastAsia="zh-CN" w:bidi="ar-SA"/>
                    </w:rPr>
                  </w:pPr>
                  <w:r>
                    <w:rPr>
                      <w:rFonts w:hint="default" w:cs="Arial"/>
                      <w:sz w:val="24"/>
                      <w:szCs w:val="24"/>
                      <w:lang w:val="en-US"/>
                    </w:rPr>
                    <w:t>October 2026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Final Supervisor Review and Revisions</w:t>
                  </w:r>
                </w:p>
              </w:tc>
              <w:tc>
                <w:tcPr>
                  <w:tcW w:w="4778" w:type="dxa"/>
                  <w:vAlign w:val="top"/>
                </w:tcPr>
                <w:p>
                  <w:pPr>
                    <w:spacing w:line="240" w:lineRule="auto"/>
                    <w:rPr>
                      <w:rFonts w:hint="eastAsia" w:ascii="Arial" w:hAnsi="Arial" w:eastAsia="Times New Roman" w:cs="Arial"/>
                      <w:sz w:val="24"/>
                      <w:szCs w:val="24"/>
                      <w:lang w:val="en-US" w:eastAsia="zh-CN" w:bidi="ar-SA"/>
                    </w:rPr>
                  </w:pPr>
                  <w:r>
                    <w:rPr>
                      <w:rFonts w:hint="default" w:cs="Arial"/>
                      <w:sz w:val="24"/>
                      <w:szCs w:val="24"/>
                      <w:lang w:val="en-US"/>
                    </w:rPr>
                    <w:t>November 2026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vAlign w:val="top"/>
                </w:tcPr>
                <w:p>
                  <w:pPr>
                    <w:spacing w:line="240" w:lineRule="auto"/>
                    <w:rPr>
                      <w:rFonts w:hint="default" w:ascii="Arial" w:hAnsi="Arial" w:eastAsia="Times New Roman" w:cs="Arial"/>
                      <w:sz w:val="24"/>
                      <w:szCs w:val="24"/>
                      <w:lang w:val="en-US" w:eastAsia="en-GB" w:bidi="ar-SA"/>
                    </w:rPr>
                  </w:pPr>
                  <w:r>
                    <w:rPr>
                      <w:rFonts w:hint="default" w:cs="Arial"/>
                      <w:sz w:val="24"/>
                      <w:szCs w:val="24"/>
                      <w:lang w:val="en-US"/>
                    </w:rPr>
                    <w:t>Thesis Submission</w:t>
                  </w:r>
                </w:p>
              </w:tc>
              <w:tc>
                <w:tcPr>
                  <w:tcW w:w="4778" w:type="dxa"/>
                  <w:vAlign w:val="top"/>
                </w:tcPr>
                <w:p>
                  <w:pPr>
                    <w:spacing w:line="240" w:lineRule="auto"/>
                    <w:rPr>
                      <w:rFonts w:hint="eastAsia" w:ascii="Arial" w:hAnsi="Arial" w:eastAsia="SimSun" w:cs="Arial"/>
                      <w:sz w:val="24"/>
                      <w:szCs w:val="24"/>
                      <w:lang w:val="en-US" w:eastAsia="zh-CN" w:bidi="ar-SA"/>
                    </w:rPr>
                  </w:pPr>
                  <w:r>
                    <w:rPr>
                      <w:rFonts w:hint="eastAsia" w:eastAsia="SimSun" w:cs="Arial"/>
                      <w:sz w:val="24"/>
                      <w:szCs w:val="24"/>
                      <w:lang w:val="en-US" w:eastAsia="zh-CN"/>
                    </w:rPr>
                    <w:t xml:space="preserve">December </w:t>
                  </w:r>
                  <w:r>
                    <w:rPr>
                      <w:rFonts w:hint="default" w:eastAsia="SimSun" w:cs="Arial"/>
                      <w:sz w:val="24"/>
                      <w:szCs w:val="24"/>
                      <w:lang w:val="en-US" w:eastAsia="zh-CN"/>
                    </w:rPr>
                    <w:t>2026</w:t>
                  </w:r>
                </w:p>
              </w:tc>
            </w:tr>
          </w:tbl>
          <w:p>
            <w:pPr>
              <w:rPr>
                <w:rFonts w:cs="Arial"/>
                <w:sz w:val="22"/>
                <w:szCs w:val="22"/>
              </w:rPr>
            </w:pPr>
          </w:p>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Proposed methodology (approx.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rPr>
                <w:rFonts w:cs="Arial"/>
                <w:sz w:val="22"/>
                <w:szCs w:val="22"/>
              </w:rPr>
            </w:pPr>
            <w:r>
              <w:rPr>
                <w:rFonts w:cs="Arial"/>
                <w:sz w:val="22"/>
                <w:szCs w:val="22"/>
              </w:rPr>
              <w:t>In this section you will need to explain how you will achieve your aims and objectives:</w:t>
            </w:r>
          </w:p>
          <w:p>
            <w:pPr>
              <w:rPr>
                <w:rFonts w:cs="Arial"/>
                <w:sz w:val="22"/>
                <w:szCs w:val="22"/>
              </w:rPr>
            </w:pPr>
          </w:p>
          <w:p>
            <w:pPr>
              <w:numPr>
                <w:ilvl w:val="0"/>
                <w:numId w:val="3"/>
              </w:numPr>
              <w:rPr>
                <w:rFonts w:cs="Arial"/>
                <w:sz w:val="22"/>
                <w:szCs w:val="22"/>
              </w:rPr>
            </w:pPr>
            <w:r>
              <w:rPr>
                <w:rFonts w:cs="Arial"/>
                <w:sz w:val="22"/>
                <w:szCs w:val="22"/>
              </w:rPr>
              <w:t>Explain your disciplinary orientation/ approach</w:t>
            </w:r>
          </w:p>
          <w:p>
            <w:pPr>
              <w:numPr>
                <w:ilvl w:val="0"/>
                <w:numId w:val="3"/>
              </w:numPr>
              <w:rPr>
                <w:rFonts w:cs="Arial"/>
                <w:sz w:val="22"/>
                <w:szCs w:val="22"/>
              </w:rPr>
            </w:pPr>
            <w:r>
              <w:rPr>
                <w:rFonts w:cs="Arial"/>
                <w:sz w:val="22"/>
                <w:szCs w:val="22"/>
              </w:rPr>
              <w:t>Describe the methods you will use to carry out your research: (eg library-based research, on-line research, fieldwork (interviews/ participant-observation), analysis of visual data, combinations of these)</w:t>
            </w:r>
          </w:p>
          <w:p>
            <w:pPr>
              <w:numPr>
                <w:ilvl w:val="0"/>
                <w:numId w:val="0"/>
              </w:numPr>
              <w:rPr>
                <w:rFonts w:cs="Arial"/>
                <w:sz w:val="22"/>
                <w:szCs w:val="22"/>
              </w:rPr>
            </w:pPr>
          </w:p>
          <w:p>
            <w:pPr>
              <w:keepNext w:val="0"/>
              <w:keepLines w:val="0"/>
              <w:widowControl/>
              <w:suppressLineNumbers w:val="0"/>
              <w:jc w:val="both"/>
              <w:rPr>
                <w:rFonts w:hint="default" w:ascii="Arial Regular" w:hAnsi="Arial Regular" w:eastAsia="宋体" w:cs="Arial Regular"/>
                <w:kern w:val="0"/>
                <w:sz w:val="24"/>
                <w:szCs w:val="24"/>
                <w:lang w:val="en-US" w:eastAsia="zh-CN" w:bidi="ar"/>
              </w:rPr>
            </w:pPr>
            <w:r>
              <w:rPr>
                <w:rFonts w:hint="default" w:ascii="Arial Regular" w:hAnsi="Arial Regular" w:eastAsia="宋体" w:cs="Arial Regular"/>
                <w:kern w:val="0"/>
                <w:sz w:val="24"/>
                <w:szCs w:val="24"/>
                <w:lang w:val="en-US" w:eastAsia="zh-CN" w:bidi="ar"/>
              </w:rPr>
              <w:t>This study employs an interdisciplinary methodology, combining semiotic analysis, interpretative phenomenology, and visual communication design theory to investigate the symbolic applications and cultural heritage of Jingdezhen blue and white porcelain in modern urban cultural brand design. By integrating the cultural symbolic analysis of semiotics with the subjective experiential insights of interpretive phenomenology, this research offers both theoretical foundations and practical strategies for applying blue and white porcelain patterns in contemporary design contexts.</w:t>
            </w:r>
          </w:p>
          <w:p>
            <w:pPr>
              <w:keepNext w:val="0"/>
              <w:keepLines w:val="0"/>
              <w:widowControl/>
              <w:suppressLineNumbers w:val="0"/>
              <w:jc w:val="both"/>
              <w:rPr>
                <w:rFonts w:hint="default" w:ascii="Arial Regular" w:hAnsi="Arial Regular" w:eastAsia="宋体" w:cs="Arial Regular"/>
                <w:kern w:val="0"/>
                <w:sz w:val="24"/>
                <w:szCs w:val="24"/>
                <w:lang w:val="en-US" w:eastAsia="zh-CN" w:bidi="ar"/>
              </w:rPr>
            </w:pPr>
            <w:bookmarkStart w:id="0" w:name="_GoBack"/>
            <w:bookmarkEnd w:id="0"/>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Semiotic analysis serves as the core theoretical framework of this study, focusing on the cultural and symbolic characteristics of blue and white porcelain patterns. As Gombrich (1987) observed in </w:t>
            </w:r>
            <w:r>
              <w:rPr>
                <w:rStyle w:val="20"/>
                <w:rFonts w:hint="default" w:ascii="Arial Regular" w:hAnsi="Arial Regular" w:cs="Arial Regular"/>
                <w:sz w:val="24"/>
                <w:szCs w:val="24"/>
              </w:rPr>
              <w:t>The Sense of Order</w:t>
            </w:r>
            <w:r>
              <w:rPr>
                <w:rFonts w:hint="default" w:ascii="Arial Regular" w:hAnsi="Arial Regular" w:cs="Arial Regular"/>
                <w:sz w:val="24"/>
                <w:szCs w:val="24"/>
              </w:rPr>
              <w:t>, all patterns are initially conceived as symbols, even though their meanings may diminish over time. Semiotics provides a lens to understand how blue and white porcelain patterns function as cultural symbols in visual communication.</w:t>
            </w:r>
          </w:p>
          <w:p>
            <w:pPr>
              <w:pStyle w:val="13"/>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Through semiotic analysis, this study examines the visual elements of blue and white porcelain, such as color, motifs, and forms, treating them as components of a visual symbol system. These elements are analyzed to uncover how they convey cultural meanings and evoke emotional resonance. Cassirer (1953) emphasized that symbolic thinking is a defining characteristic of human life, as symbols transmit embedded information through tangible or visual stimuli. The dual structure of signifier and signified further reveals the historical and cultural layers of blue and white porcelain symbols. By applying this framework, the study explores how the "signifier" (visual form) conveys the "signified" (cultural meaning) and assesses the capacity of these symbols to adapt and regenerate in modern design contexts.</w:t>
            </w:r>
          </w:p>
          <w:p>
            <w:pPr>
              <w:pStyle w:val="13"/>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Interpretive phenomenology provides an additional perspective, emphasizing the emotions and cultural identity evoked by blue and white porcelain among contemporary audiences. Husserl’s concept of “returning to the things themselves” (2009) refers to the focus on lived experience. This study employs interpretive phenomenology to explore the cultural identity and aesthetic resonance that blue and white porcelain, as a cultural symbol, elicits from different audiences.</w:t>
            </w:r>
            <w:r>
              <w:rPr>
                <w:rFonts w:hint="default" w:ascii="Arial Regular" w:hAnsi="Arial Regular" w:eastAsia="SimSun" w:cs="Arial Regular"/>
                <w:sz w:val="24"/>
                <w:szCs w:val="24"/>
                <w:lang w:val="en-US" w:eastAsia="zh-CN"/>
              </w:rPr>
              <w:t xml:space="preserve"> </w:t>
            </w:r>
            <w:r>
              <w:rPr>
                <w:rFonts w:hint="default" w:ascii="Arial Regular" w:hAnsi="Arial Regular" w:cs="Arial Regular"/>
                <w:sz w:val="24"/>
                <w:szCs w:val="24"/>
              </w:rPr>
              <w:t>Blue and white porcelain patterns are not merely visual symbols; they encapsulate historical memories and emotional narratives. By analyzing these dimensions, this research seeks to uncover the emotional responses evoked by these patterns and to provide deeper interpretations of the cultural values they convey.</w:t>
            </w:r>
          </w:p>
          <w:p>
            <w:pPr>
              <w:pStyle w:val="13"/>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This study examines how blue and white porcelain patterns, as cultural symbols, can bridge tradition and modernity in urban cultural brand design. According to Hegel (1835) in </w:t>
            </w:r>
            <w:r>
              <w:rPr>
                <w:rStyle w:val="20"/>
                <w:rFonts w:hint="default" w:ascii="Arial Regular" w:hAnsi="Arial Regular" w:cs="Arial Regular"/>
                <w:sz w:val="24"/>
                <w:szCs w:val="24"/>
              </w:rPr>
              <w:t>Aesthetics</w:t>
            </w:r>
            <w:r>
              <w:rPr>
                <w:rFonts w:hint="default" w:ascii="Arial Regular" w:hAnsi="Arial Regular" w:cs="Arial Regular"/>
                <w:sz w:val="24"/>
                <w:szCs w:val="24"/>
              </w:rPr>
              <w:t>, beauty comprises both internal content and external expression. Blue and white porcelain patterns embody a distinctive visual beauty while carrying significant cultural connotations, making them integral to China’s traditional cultural identity.</w:t>
            </w:r>
            <w:r>
              <w:rPr>
                <w:rFonts w:hint="default" w:ascii="Arial Regular" w:hAnsi="Arial Regular" w:eastAsia="SimSun" w:cs="Arial Regular"/>
                <w:sz w:val="24"/>
                <w:szCs w:val="24"/>
                <w:lang w:val="en-US" w:eastAsia="zh-CN"/>
              </w:rPr>
              <w:t xml:space="preserve"> </w:t>
            </w:r>
            <w:r>
              <w:rPr>
                <w:rFonts w:hint="default" w:ascii="Arial Regular" w:hAnsi="Arial Regular" w:cs="Arial Regular"/>
                <w:sz w:val="24"/>
                <w:szCs w:val="24"/>
              </w:rPr>
              <w:t>Hodge and Kress (1988) emphasized that cultural symbols are not merely conveyors of information but also repositories of historical and social significance, serving as bridges between the past and the future. Through semiotic deconstruction and visual communication design methodologies, this research revitalizes the symbolic characteristics of blue and white porcelain, imbuing urban cultural brands with historical depth and visual appeal.</w:t>
            </w:r>
          </w:p>
          <w:p>
            <w:pPr>
              <w:pStyle w:val="13"/>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This study adopts a multifaceted research approach that includes:</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1.</w:t>
            </w:r>
            <w:r>
              <w:rPr>
                <w:rStyle w:val="18"/>
                <w:rFonts w:hint="default" w:ascii="Arial Regular" w:hAnsi="Arial Regular" w:cs="Arial Regular"/>
                <w:sz w:val="24"/>
                <w:szCs w:val="24"/>
              </w:rPr>
              <w:t>Data Collection and Analysis</w:t>
            </w:r>
            <w:r>
              <w:rPr>
                <w:rFonts w:hint="default" w:ascii="Arial Regular" w:hAnsi="Arial Regular" w:cs="Arial Regular"/>
                <w:sz w:val="24"/>
                <w:szCs w:val="24"/>
              </w:rPr>
              <w:t>: Library research, image analysis, and systematic classification of blue and white porcelain patterns are conducted, integrating semiotic theories to interpret their visual and cultural significance.</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2.</w:t>
            </w:r>
            <w:r>
              <w:rPr>
                <w:rStyle w:val="18"/>
                <w:rFonts w:hint="default" w:ascii="Arial Regular" w:hAnsi="Arial Regular" w:cs="Arial Regular"/>
                <w:sz w:val="24"/>
                <w:szCs w:val="24"/>
              </w:rPr>
              <w:t>Survey and Feedback</w:t>
            </w:r>
            <w:r>
              <w:rPr>
                <w:rFonts w:hint="default" w:ascii="Arial Regular" w:hAnsi="Arial Regular" w:cs="Arial Regular"/>
                <w:sz w:val="24"/>
                <w:szCs w:val="24"/>
              </w:rPr>
              <w:t>: Questionnaire surveys target groups such as designers, consumers, and urban residents to assess their perceptions, attitudes, and acceptance of blue and white porcelain patterns in urban brand design. This evaluates the cultural resonance and communicative power of these symbols.</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3.</w:t>
            </w:r>
            <w:r>
              <w:rPr>
                <w:rStyle w:val="18"/>
                <w:rFonts w:hint="default" w:ascii="Arial Regular" w:hAnsi="Arial Regular" w:cs="Arial Regular"/>
                <w:sz w:val="24"/>
                <w:szCs w:val="24"/>
              </w:rPr>
              <w:t>Field Research in Jingdezhen</w:t>
            </w:r>
            <w:r>
              <w:rPr>
                <w:rFonts w:hint="default" w:ascii="Arial Regular" w:hAnsi="Arial Regular" w:cs="Arial Regular"/>
                <w:sz w:val="24"/>
                <w:szCs w:val="24"/>
              </w:rPr>
              <w:t>: On-site surveys and observations in Jingdezhen provide insights into the historical context, cultural connotations, and innovative uses of blue and white porcelain patterns by local designers. This fieldwork captures the local cultural atmosphere and artistic practices, offering real-world feedback for design research.</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4.</w:t>
            </w:r>
            <w:r>
              <w:rPr>
                <w:rStyle w:val="18"/>
                <w:rFonts w:hint="default" w:ascii="Arial Regular" w:hAnsi="Arial Regular" w:cs="Arial Regular"/>
                <w:sz w:val="24"/>
                <w:szCs w:val="24"/>
              </w:rPr>
              <w:t>Visual Data Analysis and Design Practice</w:t>
            </w:r>
            <w:r>
              <w:rPr>
                <w:rFonts w:hint="default" w:ascii="Arial Regular" w:hAnsi="Arial Regular" w:cs="Arial Regular"/>
                <w:sz w:val="24"/>
                <w:szCs w:val="24"/>
              </w:rPr>
              <w:t>: Visual data analysis examines the application and symbolic representation of blue and white porcelain patterns in modern brand design, evaluating audience responses. Design samples are created and analyzed to verify the cultural and communicative effectiveness of these symbols in contemporary design.</w:t>
            </w:r>
          </w:p>
          <w:p>
            <w:pPr>
              <w:keepNext w:val="0"/>
              <w:keepLines w:val="0"/>
              <w:widowControl/>
              <w:suppressLineNumbers w:val="0"/>
              <w:jc w:val="both"/>
              <w:rPr>
                <w:rFonts w:hint="default" w:ascii="宋体" w:hAnsi="宋体" w:eastAsia="宋体" w:cs="宋体"/>
                <w:kern w:val="0"/>
                <w:sz w:val="24"/>
                <w:szCs w:val="24"/>
                <w:lang w:val="en-US" w:eastAsia="zh-CN" w:bidi="ar"/>
              </w:rPr>
            </w:pPr>
            <w:r>
              <w:rPr>
                <w:rFonts w:hint="default" w:ascii="Arial Regular" w:hAnsi="Arial Regular" w:eastAsia="宋体" w:cs="Arial Regular"/>
                <w:kern w:val="0"/>
                <w:sz w:val="24"/>
                <w:szCs w:val="24"/>
                <w:lang w:val="en-US" w:eastAsia="zh-CN" w:bidi="ar"/>
              </w:rPr>
              <w:t>By employing this interdisciplinary approach, the study comprehensively explores the symbolic applications and cultural innovations of Jingdezhen blue and white porcelain in modern urban brand design. The findings aim to provide both cultural insights and practical guidance for enriching urban cultural branding with historical significance and modern visual appeal.</w:t>
            </w:r>
          </w:p>
          <w:p>
            <w:pPr>
              <w:rPr>
                <w:rFonts w:hint="eastAsia" w:eastAsia="SimSun" w:cs="Arial"/>
                <w:sz w:val="20"/>
                <w:szCs w:val="20"/>
                <w:lang w:val="en-US" w:eastAsia="zh-CN"/>
              </w:rPr>
            </w:pPr>
            <w:r>
              <w:rPr>
                <w:rFonts w:hint="eastAsia" w:asciiTheme="minorEastAsia" w:hAnsiTheme="minorEastAsia" w:eastAsiaTheme="minorEastAsia" w:cstheme="minorEastAsia"/>
                <w:sz w:val="18"/>
                <w:szCs w:val="18"/>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Introductory bibliography: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rPr>
                <w:rFonts w:cs="Arial"/>
                <w:sz w:val="22"/>
                <w:szCs w:val="22"/>
              </w:rPr>
            </w:pPr>
            <w:r>
              <w:rPr>
                <w:rFonts w:cs="Arial"/>
                <w:sz w:val="22"/>
                <w:szCs w:val="22"/>
              </w:rPr>
              <w:t xml:space="preserve">In this section you should list a minimum of 30 titles that are relevant to your research. </w:t>
            </w:r>
          </w:p>
          <w:p>
            <w:pPr>
              <w:rPr>
                <w:rFonts w:cs="Arial"/>
                <w:sz w:val="22"/>
                <w:szCs w:val="22"/>
              </w:rPr>
            </w:pPr>
            <w:r>
              <w:rPr>
                <w:rFonts w:cs="Arial"/>
                <w:sz w:val="22"/>
                <w:szCs w:val="22"/>
              </w:rPr>
              <w:t xml:space="preserve">You should include all works cited in this form. </w:t>
            </w:r>
          </w:p>
          <w:p>
            <w:pPr>
              <w:rPr>
                <w:rFonts w:cs="Arial"/>
                <w:sz w:val="22"/>
                <w:szCs w:val="22"/>
              </w:rPr>
            </w:pPr>
            <w:r>
              <w:rPr>
                <w:rFonts w:cs="Arial"/>
                <w:sz w:val="22"/>
                <w:szCs w:val="22"/>
              </w:rPr>
              <w:t>The list should be alphabetical using the referencing system appropriate to your discipline.</w:t>
            </w:r>
          </w:p>
          <w:p>
            <w:pPr>
              <w:rPr>
                <w:rFonts w:hint="eastAsia" w:eastAsia="SimSun" w:cs="Arial"/>
                <w:sz w:val="22"/>
                <w:szCs w:val="22"/>
                <w:lang w:val="en-US" w:eastAsia="zh-CN"/>
              </w:rPr>
            </w:pPr>
          </w:p>
          <w:p>
            <w:pPr>
              <w:jc w:val="both"/>
              <w:rPr>
                <w:rFonts w:hint="default" w:ascii="Arial Regular" w:hAnsi="Arial Regular" w:eastAsia="SimSun" w:cs="Arial Regular"/>
                <w:sz w:val="24"/>
                <w:szCs w:val="24"/>
                <w:lang w:val="en-US" w:eastAsia="zh-CN"/>
              </w:rPr>
            </w:pPr>
            <w:r>
              <w:rPr>
                <w:rFonts w:hint="default" w:ascii="Arial Regular" w:hAnsi="Arial Regular" w:eastAsia="SimSun" w:cs="Arial Regular"/>
                <w:sz w:val="24"/>
                <w:szCs w:val="24"/>
                <w:lang w:val="en-US" w:eastAsia="zh-CN"/>
              </w:rPr>
              <w:t>Books:</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Augustine, S. (2017). </w:t>
            </w:r>
            <w:r>
              <w:rPr>
                <w:rStyle w:val="20"/>
                <w:rFonts w:hint="default" w:ascii="Arial Regular" w:hAnsi="Arial Regular" w:cs="Arial Regular"/>
                <w:sz w:val="24"/>
                <w:szCs w:val="24"/>
              </w:rPr>
              <w:t>Signs in Design</w:t>
            </w:r>
            <w:r>
              <w:rPr>
                <w:rFonts w:hint="default" w:ascii="Arial Regular" w:hAnsi="Arial Regular" w:cs="Arial Regular"/>
                <w:sz w:val="24"/>
                <w:szCs w:val="24"/>
              </w:rPr>
              <w:t>. Cambridge: Cambridge University Press.</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Bai, M. (2002). </w:t>
            </w:r>
            <w:r>
              <w:rPr>
                <w:rStyle w:val="20"/>
                <w:rFonts w:hint="default" w:ascii="Arial Regular" w:hAnsi="Arial Regular" w:cs="Arial Regular"/>
                <w:sz w:val="24"/>
                <w:szCs w:val="24"/>
              </w:rPr>
              <w:t>The Traditional Crafts of Porcelain Making in Jingdezhen</w:t>
            </w:r>
            <w:r>
              <w:rPr>
                <w:rFonts w:hint="default" w:ascii="Arial Regular" w:hAnsi="Arial Regular" w:cs="Arial Regular"/>
                <w:sz w:val="24"/>
                <w:szCs w:val="24"/>
              </w:rPr>
              <w:t>. Jiangxi: Jiangxi Fine Arts of Publishing House.</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lang w:val="en-US" w:eastAsia="zh-CN"/>
              </w:rPr>
              <w:t xml:space="preserve">Bai, Z.P.(2019). </w:t>
            </w:r>
            <w:r>
              <w:rPr>
                <w:rFonts w:hint="default" w:ascii="Arial Italic" w:hAnsi="Arial Italic" w:cs="Arial Italic"/>
                <w:i/>
                <w:iCs/>
                <w:sz w:val="24"/>
                <w:szCs w:val="24"/>
                <w:lang w:val="en-US" w:eastAsia="zh-CN"/>
              </w:rPr>
              <w:t>Analysis of Ceramic Decorative Art Under Traditional Culture</w:t>
            </w:r>
            <w:r>
              <w:rPr>
                <w:rFonts w:hint="default" w:ascii="Arial Regular" w:hAnsi="Arial Regular" w:cs="Arial Regular"/>
                <w:sz w:val="24"/>
                <w:szCs w:val="24"/>
                <w:lang w:val="en-US" w:eastAsia="zh-CN"/>
              </w:rPr>
              <w:t>. Art and Technology.</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Beijing Municipal Bureau of Cultural Heritage and Beijing Cultural Appreciation Editorial Committee (2006). </w:t>
            </w:r>
            <w:r>
              <w:rPr>
                <w:rStyle w:val="20"/>
                <w:rFonts w:hint="default" w:ascii="Arial Regular" w:hAnsi="Arial Regular" w:cs="Arial Regular"/>
                <w:sz w:val="24"/>
                <w:szCs w:val="24"/>
              </w:rPr>
              <w:t>Ming Dynasty Blue and White Porcelain</w:t>
            </w:r>
            <w:r>
              <w:rPr>
                <w:rFonts w:hint="default" w:ascii="Arial Regular" w:hAnsi="Arial Regular" w:cs="Arial Regular"/>
                <w:sz w:val="24"/>
                <w:szCs w:val="24"/>
              </w:rPr>
              <w:t>. Beijing: Beijing Publishing House.</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Eco, U. (1997). </w:t>
            </w:r>
            <w:r>
              <w:rPr>
                <w:rStyle w:val="20"/>
                <w:rFonts w:hint="default" w:ascii="Arial Regular" w:hAnsi="Arial Regular" w:cs="Arial Regular"/>
                <w:sz w:val="24"/>
                <w:szCs w:val="24"/>
              </w:rPr>
              <w:t>A Theory of Semiotics</w:t>
            </w:r>
            <w:r>
              <w:rPr>
                <w:rFonts w:hint="default" w:ascii="Arial Regular" w:hAnsi="Arial Regular" w:cs="Arial Regular"/>
                <w:sz w:val="24"/>
                <w:szCs w:val="24"/>
              </w:rPr>
              <w:t>. Bloomington: Indiana University Press.</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Fang, L.L. (2013). </w:t>
            </w:r>
            <w:r>
              <w:rPr>
                <w:rStyle w:val="20"/>
                <w:rFonts w:hint="default" w:ascii="Arial Regular" w:hAnsi="Arial Regular" w:cs="Arial Regular"/>
                <w:sz w:val="24"/>
                <w:szCs w:val="24"/>
              </w:rPr>
              <w:t>History of Chinese Ceramics</w:t>
            </w:r>
            <w:r>
              <w:rPr>
                <w:rFonts w:hint="default" w:ascii="Arial Regular" w:hAnsi="Arial Regular" w:cs="Arial Regular"/>
                <w:sz w:val="24"/>
                <w:szCs w:val="24"/>
              </w:rPr>
              <w:t>. Jinan: Qilu Publishing House.</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lang w:val="en-US" w:eastAsia="zh-CN"/>
              </w:rPr>
              <w:t xml:space="preserve">Fang,L.L. (2015). </w:t>
            </w:r>
            <w:r>
              <w:rPr>
                <w:rFonts w:hint="default" w:ascii="Arial Italic" w:hAnsi="Arial Italic" w:cs="Arial Italic"/>
                <w:i/>
                <w:iCs/>
                <w:sz w:val="24"/>
                <w:szCs w:val="24"/>
                <w:lang w:val="en-US" w:eastAsia="zh-CN"/>
              </w:rPr>
              <w:t>On the Inheritance of Intangible Cultural Heritage and the Diverse Development of Contemporary Society—Taking the Revival of Traditional Crafts in Jingdezhen as an Example</w:t>
            </w:r>
            <w:r>
              <w:rPr>
                <w:rFonts w:hint="default" w:ascii="Arial Regular" w:hAnsi="Arial Regular" w:cs="Arial Regular"/>
                <w:sz w:val="24"/>
                <w:szCs w:val="24"/>
                <w:lang w:val="en-US" w:eastAsia="zh-CN"/>
              </w:rPr>
              <w:t>. Ethnic Arts.</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eastAsia="宋体" w:cs="Arial Regular"/>
                <w:kern w:val="0"/>
                <w:sz w:val="24"/>
                <w:szCs w:val="24"/>
                <w:lang w:val="en-US" w:eastAsia="zh-CN" w:bidi="ar"/>
              </w:rPr>
              <w:t>Giorgi, A. (</w:t>
            </w:r>
            <w:r>
              <w:rPr>
                <w:rFonts w:hint="eastAsia" w:ascii="Arial Regular" w:hAnsi="Arial Regular" w:eastAsia="宋体" w:cs="Arial Regular"/>
                <w:kern w:val="0"/>
                <w:sz w:val="24"/>
                <w:szCs w:val="24"/>
                <w:lang w:val="en-US" w:eastAsia="zh-CN" w:bidi="ar"/>
              </w:rPr>
              <w:t>2009</w:t>
            </w:r>
            <w:r>
              <w:rPr>
                <w:rFonts w:hint="default" w:ascii="Arial Regular" w:hAnsi="Arial Regular" w:eastAsia="宋体" w:cs="Arial Regular"/>
                <w:kern w:val="0"/>
                <w:sz w:val="24"/>
                <w:szCs w:val="24"/>
                <w:lang w:val="en-US" w:eastAsia="zh-CN" w:bidi="ar"/>
              </w:rPr>
              <w:t xml:space="preserve">). </w:t>
            </w:r>
            <w:r>
              <w:rPr>
                <w:rStyle w:val="20"/>
                <w:rFonts w:hint="default" w:ascii="Arial Regular" w:hAnsi="Arial Regular" w:eastAsia="宋体" w:cs="Arial Regular"/>
                <w:kern w:val="0"/>
                <w:sz w:val="24"/>
                <w:szCs w:val="24"/>
                <w:lang w:val="en-US" w:eastAsia="zh-CN" w:bidi="ar"/>
              </w:rPr>
              <w:t>The Descriptive Phenomenological Method in Psychology: A Modified Huss.</w:t>
            </w:r>
            <w:r>
              <w:rPr>
                <w:rFonts w:hint="default" w:ascii="Arial Regular" w:hAnsi="Arial Regular" w:eastAsia="宋体" w:cs="Arial Regular"/>
                <w:kern w:val="0"/>
                <w:sz w:val="24"/>
                <w:szCs w:val="24"/>
                <w:lang w:val="en-US" w:eastAsia="zh-CN" w:bidi="ar"/>
              </w:rPr>
              <w:t xml:space="preserve"> Duquesne University Press. </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Gombrich, E.H. (1987). </w:t>
            </w:r>
            <w:r>
              <w:rPr>
                <w:rStyle w:val="20"/>
                <w:rFonts w:hint="default" w:ascii="Arial Regular" w:hAnsi="Arial Regular" w:cs="Arial Regular"/>
                <w:sz w:val="24"/>
                <w:szCs w:val="24"/>
              </w:rPr>
              <w:t>Sense of Order: A Study in the Psychology of Decorative Art</w:t>
            </w:r>
            <w:r>
              <w:rPr>
                <w:rFonts w:hint="default" w:ascii="Arial Regular" w:hAnsi="Arial Regular" w:cs="Arial Regular"/>
                <w:sz w:val="24"/>
                <w:szCs w:val="24"/>
              </w:rPr>
              <w:t>. Hangzhou: Zhejiang Photography Publishing House.</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Gombrich, E.H. (2004). </w:t>
            </w:r>
            <w:r>
              <w:rPr>
                <w:rStyle w:val="20"/>
                <w:rFonts w:hint="default" w:ascii="Arial Regular" w:hAnsi="Arial Regular" w:cs="Arial Regular"/>
                <w:sz w:val="24"/>
                <w:szCs w:val="24"/>
              </w:rPr>
              <w:t>The Story of Art</w:t>
            </w:r>
            <w:r>
              <w:rPr>
                <w:rFonts w:hint="default" w:ascii="Arial Regular" w:hAnsi="Arial Regular" w:cs="Arial Regular"/>
                <w:sz w:val="24"/>
                <w:szCs w:val="24"/>
              </w:rPr>
              <w:t>. Tianjin: Tianjin People's Fine Arts Publishing House.</w:t>
            </w:r>
          </w:p>
          <w:p>
            <w:pPr>
              <w:keepNext w:val="0"/>
              <w:keepLines w:val="0"/>
              <w:widowControl/>
              <w:suppressLineNumbers w:val="0"/>
              <w:jc w:val="both"/>
              <w:rPr>
                <w:rFonts w:hint="default" w:ascii="Arial Regular" w:hAnsi="Arial Regular" w:cs="Arial Regular"/>
                <w:sz w:val="24"/>
                <w:szCs w:val="24"/>
                <w:lang w:val="en-US"/>
              </w:rPr>
            </w:pPr>
            <w:r>
              <w:rPr>
                <w:rFonts w:hint="default" w:ascii="Arial Regular" w:hAnsi="Arial Regular" w:cs="Arial Regular"/>
                <w:sz w:val="24"/>
                <w:szCs w:val="24"/>
              </w:rPr>
              <w:t xml:space="preserve">Gerritsen, A. (2020). </w:t>
            </w:r>
            <w:r>
              <w:rPr>
                <w:rStyle w:val="20"/>
                <w:rFonts w:hint="default" w:ascii="Arial Regular" w:hAnsi="Arial Regular" w:cs="Arial Regular"/>
                <w:sz w:val="24"/>
                <w:szCs w:val="24"/>
              </w:rPr>
              <w:t>The Shard Market of Jingdezhen</w:t>
            </w:r>
            <w:r>
              <w:rPr>
                <w:rFonts w:hint="default" w:ascii="Arial Regular" w:hAnsi="Arial Regular" w:cs="Arial Regular"/>
                <w:sz w:val="24"/>
                <w:szCs w:val="24"/>
              </w:rPr>
              <w:t xml:space="preserve">. In: </w:t>
            </w:r>
            <w:r>
              <w:rPr>
                <w:rStyle w:val="20"/>
                <w:rFonts w:hint="default" w:ascii="Arial Regular" w:hAnsi="Arial Regular" w:cs="Arial Regular"/>
                <w:sz w:val="24"/>
                <w:szCs w:val="24"/>
              </w:rPr>
              <w:t>The City of Blue and White: Chinese Porcelain and the Early Modern World</w:t>
            </w:r>
            <w:r>
              <w:rPr>
                <w:rFonts w:hint="default" w:ascii="Arial Regular" w:hAnsi="Arial Regular" w:cs="Arial Regular"/>
                <w:sz w:val="24"/>
                <w:szCs w:val="24"/>
              </w:rPr>
              <w:t>. Cambridge: Cambridge University Press</w:t>
            </w:r>
            <w:r>
              <w:rPr>
                <w:rFonts w:hint="default" w:ascii="Arial Regular" w:hAnsi="Arial Regular" w:cs="Arial Regular"/>
                <w:sz w:val="24"/>
                <w:szCs w:val="24"/>
                <w:lang w:val="en-US"/>
              </w:rPr>
              <w:t>.</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Huang, Y. (2008). </w:t>
            </w:r>
            <w:r>
              <w:rPr>
                <w:rStyle w:val="20"/>
                <w:rFonts w:hint="default" w:ascii="Arial Regular" w:hAnsi="Arial Regular" w:cs="Arial Regular"/>
                <w:sz w:val="24"/>
                <w:szCs w:val="24"/>
              </w:rPr>
              <w:t>Chinese Blue and White Porcelain: A Cultural History</w:t>
            </w:r>
            <w:r>
              <w:rPr>
                <w:rFonts w:hint="default" w:ascii="Arial Regular" w:hAnsi="Arial Regular" w:cs="Arial Regular"/>
                <w:sz w:val="24"/>
                <w:szCs w:val="24"/>
              </w:rPr>
              <w:t>. Berkeley: University of California Press.</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Keller, K.L. (2013). </w:t>
            </w:r>
            <w:r>
              <w:rPr>
                <w:rStyle w:val="20"/>
                <w:rFonts w:hint="default" w:ascii="Arial Regular" w:hAnsi="Arial Regular" w:cs="Arial Regular"/>
                <w:sz w:val="24"/>
                <w:szCs w:val="24"/>
              </w:rPr>
              <w:t>Strategic Brand Management: Building, Measuring, and Managing Brand Equity</w:t>
            </w:r>
            <w:r>
              <w:rPr>
                <w:rFonts w:hint="default" w:ascii="Arial Regular" w:hAnsi="Arial Regular" w:cs="Arial Regular"/>
                <w:sz w:val="24"/>
                <w:szCs w:val="24"/>
              </w:rPr>
              <w:t xml:space="preserve">. Harlow: Pearson Education. Lakoff, G. (2010). </w:t>
            </w:r>
            <w:r>
              <w:rPr>
                <w:rStyle w:val="20"/>
                <w:rFonts w:hint="default" w:ascii="Arial Regular" w:hAnsi="Arial Regular" w:cs="Arial Regular"/>
                <w:sz w:val="24"/>
                <w:szCs w:val="24"/>
              </w:rPr>
              <w:t>Signs and Meaning</w:t>
            </w:r>
            <w:r>
              <w:rPr>
                <w:rFonts w:hint="default" w:ascii="Arial Regular" w:hAnsi="Arial Regular" w:cs="Arial Regular"/>
                <w:sz w:val="24"/>
                <w:szCs w:val="24"/>
              </w:rPr>
              <w:t>. Stanford: Stanford University Press.</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Peirce, C.S. (1958). </w:t>
            </w:r>
            <w:r>
              <w:rPr>
                <w:rStyle w:val="20"/>
                <w:rFonts w:hint="default" w:ascii="Arial Regular" w:hAnsi="Arial Regular" w:cs="Arial Regular"/>
                <w:sz w:val="24"/>
                <w:szCs w:val="24"/>
              </w:rPr>
              <w:t>Collected Papers of Charles Sanders Peirce</w:t>
            </w:r>
            <w:r>
              <w:rPr>
                <w:rFonts w:hint="default" w:ascii="Arial Regular" w:hAnsi="Arial Regular" w:cs="Arial Regular"/>
                <w:sz w:val="24"/>
                <w:szCs w:val="24"/>
              </w:rPr>
              <w:t>. Cambridge, MA: Harvard University Press.</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lang w:val="en-US" w:eastAsia="zh-CN"/>
              </w:rPr>
              <w:t>Peirce, C.S. (1955).</w:t>
            </w:r>
            <w:r>
              <w:rPr>
                <w:rFonts w:hint="default" w:ascii="Arial Italic" w:hAnsi="Arial Italic" w:cs="Arial Italic"/>
                <w:i/>
                <w:iCs/>
                <w:sz w:val="24"/>
                <w:szCs w:val="24"/>
                <w:lang w:val="en-US" w:eastAsia="zh-CN"/>
              </w:rPr>
              <w:t xml:space="preserve"> Introduction to Semiotics</w:t>
            </w:r>
            <w:r>
              <w:rPr>
                <w:rFonts w:hint="default" w:ascii="Arial Regular" w:hAnsi="Arial Regular" w:cs="Arial Regular"/>
                <w:sz w:val="24"/>
                <w:szCs w:val="24"/>
                <w:lang w:val="en-US" w:eastAsia="zh-CN"/>
              </w:rPr>
              <w:t>. Harvard University Press.</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Saussure, F. (1980). </w:t>
            </w:r>
            <w:r>
              <w:rPr>
                <w:rStyle w:val="20"/>
                <w:rFonts w:hint="default" w:ascii="Arial Regular" w:hAnsi="Arial Regular" w:cs="Arial Regular"/>
                <w:sz w:val="24"/>
                <w:szCs w:val="24"/>
              </w:rPr>
              <w:t>Course in General Linguistics</w:t>
            </w:r>
            <w:r>
              <w:rPr>
                <w:rFonts w:hint="default" w:ascii="Arial Regular" w:hAnsi="Arial Regular" w:cs="Arial Regular"/>
                <w:sz w:val="24"/>
                <w:szCs w:val="24"/>
              </w:rPr>
              <w:t>. Beijing: Commercial Press.</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Tian, Z.B., Wu, S.S. &amp; Tian, Q. (2003). </w:t>
            </w:r>
            <w:r>
              <w:rPr>
                <w:rStyle w:val="20"/>
                <w:rFonts w:hint="default" w:ascii="Arial Regular" w:hAnsi="Arial Regular" w:cs="Arial Regular"/>
                <w:sz w:val="24"/>
                <w:szCs w:val="24"/>
              </w:rPr>
              <w:t>History of Chinese Patterns</w:t>
            </w:r>
            <w:r>
              <w:rPr>
                <w:rFonts w:hint="default" w:ascii="Arial Regular" w:hAnsi="Arial Regular" w:cs="Arial Regular"/>
                <w:sz w:val="24"/>
                <w:szCs w:val="24"/>
              </w:rPr>
              <w:t>. Beijing: Higher Education Press.</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Valenstein, S. (1986). </w:t>
            </w:r>
            <w:r>
              <w:rPr>
                <w:rStyle w:val="20"/>
                <w:rFonts w:hint="default" w:ascii="Arial Regular" w:hAnsi="Arial Regular" w:cs="Arial Regular"/>
                <w:sz w:val="24"/>
                <w:szCs w:val="24"/>
              </w:rPr>
              <w:t>A Handbook of Chinese Ceramics</w:t>
            </w:r>
            <w:r>
              <w:rPr>
                <w:rFonts w:hint="default" w:ascii="Arial Regular" w:hAnsi="Arial Regular" w:cs="Arial Regular"/>
                <w:sz w:val="24"/>
                <w:szCs w:val="24"/>
              </w:rPr>
              <w:t>. New York: Metropolitan Museum of Art.</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Xiong, L. (1989). </w:t>
            </w:r>
            <w:r>
              <w:rPr>
                <w:rStyle w:val="20"/>
                <w:rFonts w:hint="default" w:ascii="Arial Regular" w:hAnsi="Arial Regular" w:cs="Arial Regular"/>
                <w:sz w:val="24"/>
                <w:szCs w:val="24"/>
              </w:rPr>
              <w:t>Ceramic Aesthetics and the National Characteristics of Chinese Ceramic Aesthetics</w:t>
            </w:r>
            <w:r>
              <w:rPr>
                <w:rFonts w:hint="default" w:ascii="Arial Regular" w:hAnsi="Arial Regular" w:cs="Arial Regular"/>
                <w:sz w:val="24"/>
                <w:szCs w:val="24"/>
              </w:rPr>
              <w:t>. Hangzhou: Zhejiang Academy of Fine Arts Publishing House.</w:t>
            </w:r>
          </w:p>
          <w:p>
            <w:pPr>
              <w:keepNext w:val="0"/>
              <w:keepLines w:val="0"/>
              <w:widowControl/>
              <w:suppressLineNumbers w:val="0"/>
              <w:jc w:val="both"/>
              <w:rPr>
                <w:rFonts w:hint="default" w:ascii="Arial Regular" w:hAnsi="Arial Regular" w:cs="Arial Regular"/>
                <w:sz w:val="24"/>
                <w:szCs w:val="24"/>
                <w:lang w:val="en-US"/>
              </w:rPr>
            </w:pPr>
            <w:r>
              <w:rPr>
                <w:rFonts w:hint="default" w:ascii="Arial Regular" w:hAnsi="Arial Regular" w:cs="Arial Regular"/>
                <w:sz w:val="24"/>
                <w:szCs w:val="24"/>
                <w:lang w:val="en-US" w:eastAsia="zh-CN"/>
              </w:rPr>
              <w:t xml:space="preserve">Zhu, Y.P. (2015). </w:t>
            </w:r>
            <w:r>
              <w:rPr>
                <w:rFonts w:hint="default" w:ascii="Arial Italic" w:hAnsi="Arial Italic" w:cs="Arial Italic"/>
                <w:i/>
                <w:iCs/>
                <w:sz w:val="24"/>
                <w:szCs w:val="24"/>
                <w:lang w:val="en-US" w:eastAsia="zh-CN"/>
              </w:rPr>
              <w:t>Ming Dynasty Blue and White Porcelain</w:t>
            </w:r>
            <w:r>
              <w:rPr>
                <w:rFonts w:hint="default" w:ascii="Arial Regular" w:hAnsi="Arial Regular" w:cs="Arial Regular"/>
                <w:sz w:val="24"/>
                <w:szCs w:val="24"/>
                <w:lang w:val="en-US" w:eastAsia="zh-CN"/>
              </w:rPr>
              <w:t>. Shanghai: Shanghai Scientific Publishing House.</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 xml:space="preserve">Zheng, Y.Y. (2017). </w:t>
            </w:r>
            <w:r>
              <w:rPr>
                <w:rStyle w:val="20"/>
                <w:rFonts w:hint="default" w:ascii="Arial Regular" w:hAnsi="Arial Regular" w:cs="Arial Regular"/>
                <w:sz w:val="24"/>
                <w:szCs w:val="24"/>
              </w:rPr>
              <w:t>Cultures of Ceramics: Revealing Oriental and Western Values on Artistic Creation</w:t>
            </w:r>
            <w:r>
              <w:rPr>
                <w:rFonts w:hint="default" w:ascii="Arial Regular" w:hAnsi="Arial Regular" w:cs="Arial Regular"/>
                <w:sz w:val="24"/>
                <w:szCs w:val="24"/>
              </w:rPr>
              <w:t>. Jiangxi: Jiangxi Fine Arts Publishing House.</w:t>
            </w:r>
          </w:p>
          <w:p>
            <w:pPr>
              <w:keepNext w:val="0"/>
              <w:keepLines w:val="0"/>
              <w:widowControl/>
              <w:suppressLineNumbers w:val="0"/>
              <w:jc w:val="both"/>
              <w:rPr>
                <w:rFonts w:hint="default" w:ascii="Arial Regular" w:hAnsi="Arial Regular" w:cs="Arial Regular"/>
                <w:sz w:val="24"/>
                <w:szCs w:val="24"/>
              </w:rPr>
            </w:pPr>
          </w:p>
          <w:p>
            <w:pPr>
              <w:keepNext w:val="0"/>
              <w:keepLines w:val="0"/>
              <w:widowControl/>
              <w:suppressLineNumbers w:val="0"/>
              <w:jc w:val="both"/>
              <w:rPr>
                <w:rFonts w:hint="default" w:ascii="Arial Regular" w:hAnsi="Arial Regular" w:cs="Arial Regular"/>
                <w:sz w:val="24"/>
                <w:szCs w:val="24"/>
                <w:lang w:val="en-US"/>
              </w:rPr>
            </w:pPr>
            <w:r>
              <w:rPr>
                <w:rFonts w:hint="default" w:ascii="Arial Regular" w:hAnsi="Arial Regular" w:cs="Arial Regular"/>
                <w:sz w:val="24"/>
                <w:szCs w:val="24"/>
                <w:lang w:val="en-US"/>
              </w:rPr>
              <w:t>Journal Articles:</w:t>
            </w:r>
          </w:p>
          <w:p>
            <w:pPr>
              <w:jc w:val="both"/>
              <w:rPr>
                <w:rFonts w:hint="default" w:ascii="Arial Regular" w:hAnsi="Arial Regular" w:cs="Arial Regular"/>
                <w:sz w:val="24"/>
                <w:szCs w:val="24"/>
              </w:rPr>
            </w:pPr>
            <w:r>
              <w:rPr>
                <w:rFonts w:hint="default" w:ascii="Arial Regular" w:hAnsi="Arial Regular" w:cs="Arial Regular"/>
                <w:sz w:val="24"/>
                <w:szCs w:val="24"/>
              </w:rPr>
              <w:t>Gao, Y. (2014). Innovative Strategies for Blue and White Porcelain Patterns in Modern Design. Zhuangshi, (2), pp. 137–138.</w:t>
            </w:r>
          </w:p>
          <w:p>
            <w:pPr>
              <w:jc w:val="both"/>
              <w:rPr>
                <w:rFonts w:hint="default" w:ascii="Arial Regular" w:hAnsi="Arial Regular" w:cs="Arial Regular"/>
                <w:sz w:val="24"/>
                <w:szCs w:val="24"/>
              </w:rPr>
            </w:pPr>
            <w:r>
              <w:rPr>
                <w:rFonts w:hint="default" w:ascii="Arial Regular" w:hAnsi="Arial Regular" w:cs="Arial Regular"/>
                <w:sz w:val="24"/>
                <w:szCs w:val="24"/>
              </w:rPr>
              <w:t xml:space="preserve">Hodge, R. &amp; Kress, G. (1988). Social Semiotics. Cambridge: Polity Press.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"https://scirp.org/reference/referencespapers?referenceid=2135260" \t "/Users/jenova/Documents\\x/_new"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https://scirp.org/reference/referencespapers?referenceid=2135260</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w:t>
            </w:r>
          </w:p>
          <w:p>
            <w:pPr>
              <w:jc w:val="both"/>
              <w:rPr>
                <w:rFonts w:hint="default" w:ascii="Arial Regular" w:hAnsi="Arial Regular" w:cs="Arial Regular"/>
                <w:sz w:val="24"/>
                <w:szCs w:val="24"/>
              </w:rPr>
            </w:pPr>
            <w:r>
              <w:rPr>
                <w:rFonts w:hint="default" w:ascii="Arial Regular" w:hAnsi="Arial Regular" w:cs="Arial Regular"/>
                <w:sz w:val="24"/>
                <w:szCs w:val="24"/>
              </w:rPr>
              <w:t>Huo, W.T. &amp; Liu, G.M. (2023). Research and Analysis of Traditional Auspicious Patterns in Ceramic Decoration. Ceramics, (1), pp. 188-190.</w:t>
            </w:r>
          </w:p>
          <w:p>
            <w:pPr>
              <w:jc w:val="both"/>
              <w:rPr>
                <w:rFonts w:hint="default" w:ascii="Arial Regular" w:hAnsi="Arial Regular" w:cs="Arial Regular"/>
                <w:sz w:val="24"/>
                <w:szCs w:val="24"/>
              </w:rPr>
            </w:pPr>
            <w:r>
              <w:rPr>
                <w:rFonts w:hint="default" w:ascii="Arial Regular" w:hAnsi="Arial Regular" w:cs="Arial Regular"/>
                <w:sz w:val="24"/>
                <w:szCs w:val="24"/>
              </w:rPr>
              <w:t>Jie, H.Y. &amp; Halabi, K.N.M. (2024). Research on the Inheritance and Innovation of Blue and White Porcelain from the Perspective of Cultural and Creative Products.</w:t>
            </w:r>
          </w:p>
          <w:p>
            <w:pPr>
              <w:jc w:val="both"/>
              <w:rPr>
                <w:rFonts w:hint="default" w:ascii="Arial Regular" w:hAnsi="Arial Regular" w:cs="Arial Regular"/>
                <w:sz w:val="24"/>
                <w:szCs w:val="24"/>
              </w:rPr>
            </w:pPr>
            <w:r>
              <w:rPr>
                <w:rFonts w:hint="default" w:ascii="Arial Regular" w:hAnsi="Arial Regular" w:cs="Arial Regular"/>
                <w:sz w:val="24"/>
                <w:szCs w:val="24"/>
              </w:rPr>
              <w:t>Juan, W., Leung, P.L. &amp; Jiazhi, L. (2007). A Study of the Composition of Chinese Blue and White Porcelain. Studies in Conservation, 52(3), pp. 188–198.</w:t>
            </w:r>
          </w:p>
          <w:p>
            <w:pPr>
              <w:jc w:val="both"/>
              <w:rPr>
                <w:rFonts w:hint="default" w:ascii="Arial Regular" w:hAnsi="Arial Regular" w:cs="Arial Regular"/>
                <w:sz w:val="24"/>
                <w:szCs w:val="24"/>
              </w:rPr>
            </w:pPr>
            <w:r>
              <w:rPr>
                <w:rFonts w:hint="default" w:ascii="Arial Regular" w:hAnsi="Arial Regular" w:cs="Arial Regular"/>
                <w:sz w:val="24"/>
                <w:szCs w:val="24"/>
              </w:rPr>
              <w:t>Pan, W.J. (1985). Folk Blue and White Porcelain Shining Again. Jingdezhen Ceramics, (4).</w:t>
            </w:r>
          </w:p>
          <w:p>
            <w:pPr>
              <w:jc w:val="both"/>
              <w:rPr>
                <w:rFonts w:hint="default" w:ascii="Arial Regular" w:hAnsi="Arial Regular" w:cs="Arial Regular"/>
                <w:sz w:val="24"/>
                <w:szCs w:val="24"/>
              </w:rPr>
            </w:pPr>
            <w:r>
              <w:rPr>
                <w:rFonts w:hint="default" w:ascii="Arial Regular" w:hAnsi="Arial Regular" w:cs="Arial Regular"/>
                <w:sz w:val="24"/>
                <w:szCs w:val="24"/>
              </w:rPr>
              <w:t>Song, Y.X. (1933). The Exploitation of Nature. Shanghai: Commercial Press.</w:t>
            </w:r>
          </w:p>
          <w:p>
            <w:pPr>
              <w:jc w:val="both"/>
              <w:rPr>
                <w:rFonts w:hint="default" w:ascii="Arial Regular" w:hAnsi="Arial Regular" w:cs="Arial Regular"/>
                <w:sz w:val="24"/>
                <w:szCs w:val="24"/>
              </w:rPr>
            </w:pPr>
            <w:r>
              <w:rPr>
                <w:rFonts w:hint="default" w:ascii="Arial Regular" w:hAnsi="Arial Regular" w:cs="Arial Regular"/>
                <w:sz w:val="24"/>
                <w:szCs w:val="24"/>
              </w:rPr>
              <w:t>Tang, C.J. (2019). Research on the Creative Combination of Traditional Auspicious Patterns in China—Focusing on Plant Patterns. Chinese Character Culture, (12), pp. 161-162.</w:t>
            </w:r>
          </w:p>
          <w:p>
            <w:pPr>
              <w:jc w:val="both"/>
              <w:rPr>
                <w:rFonts w:hint="default" w:ascii="Arial Regular" w:hAnsi="Arial Regular" w:cs="Arial Regular"/>
                <w:sz w:val="24"/>
                <w:szCs w:val="24"/>
              </w:rPr>
            </w:pPr>
            <w:r>
              <w:rPr>
                <w:rFonts w:hint="default" w:ascii="Arial Regular" w:hAnsi="Arial Regular" w:cs="Arial Regular"/>
                <w:sz w:val="24"/>
                <w:szCs w:val="24"/>
              </w:rPr>
              <w:t>Wan, H.N. (2024). Research on the Application of Texture Language in Ceramic Art Creation. National Building Materials Science and Technology Journal—Ceramics, (2), pp. 106-108.</w:t>
            </w:r>
          </w:p>
          <w:p>
            <w:pPr>
              <w:jc w:val="both"/>
              <w:rPr>
                <w:rFonts w:hint="default" w:ascii="Arial Regular" w:hAnsi="Arial Regular" w:cs="Arial Regular"/>
                <w:sz w:val="24"/>
                <w:szCs w:val="24"/>
              </w:rPr>
            </w:pPr>
            <w:r>
              <w:rPr>
                <w:rFonts w:hint="default" w:ascii="Arial Regular" w:hAnsi="Arial Regular" w:cs="Arial Regular"/>
                <w:sz w:val="24"/>
                <w:szCs w:val="24"/>
              </w:rPr>
              <w:t>Yan, G.A. (2019). Exploring the Aesthetic Interests of Shadow Blue Ceramic Carvings. Ceramic Research, 34(6), pp. 81-83.</w:t>
            </w:r>
          </w:p>
          <w:p>
            <w:pPr>
              <w:jc w:val="both"/>
              <w:rPr>
                <w:rFonts w:hint="default" w:ascii="Arial Regular" w:hAnsi="Arial Regular" w:cs="Arial Regular"/>
                <w:sz w:val="24"/>
                <w:szCs w:val="24"/>
              </w:rPr>
            </w:pPr>
            <w:r>
              <w:rPr>
                <w:rFonts w:hint="default" w:ascii="Arial Regular" w:hAnsi="Arial Regular" w:cs="Arial Regular"/>
                <w:sz w:val="24"/>
                <w:szCs w:val="24"/>
              </w:rPr>
              <w:t>Zhao, W.D., Hu, W.Z., Zhang, Y.D., et al. (2024). Analysis of the Multidimensional Transformation of Traditional Chinese Cultural Symbols in Cultural and Creative Products in Contemporary Contexts. Packaging Engineering, 45(4), pp. 362–370.</w:t>
            </w:r>
          </w:p>
          <w:p>
            <w:pPr>
              <w:jc w:val="both"/>
              <w:rPr>
                <w:rFonts w:hint="default" w:ascii="Arial Regular" w:hAnsi="Arial Regular" w:cs="Arial Regular"/>
                <w:sz w:val="24"/>
                <w:szCs w:val="24"/>
              </w:rPr>
            </w:pPr>
          </w:p>
          <w:p>
            <w:pPr>
              <w:keepNext w:val="0"/>
              <w:keepLines w:val="0"/>
              <w:widowControl/>
              <w:numPr>
                <w:ilvl w:val="0"/>
                <w:numId w:val="0"/>
              </w:numPr>
              <w:suppressLineNumbers w:val="0"/>
              <w:jc w:val="both"/>
              <w:rPr>
                <w:rFonts w:hint="default" w:ascii="Arial Regular" w:hAnsi="Arial Regular" w:eastAsia="Helvetica" w:cs="Arial Regular"/>
                <w:i w:val="0"/>
                <w:iCs w:val="0"/>
                <w:caps w:val="0"/>
                <w:color w:val="181817"/>
                <w:spacing w:val="0"/>
                <w:kern w:val="0"/>
                <w:sz w:val="20"/>
                <w:szCs w:val="20"/>
                <w:shd w:val="clear"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Facilities and resources available for the investigation: please indicate if you expect to need any special resources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rPr>
                <w:rFonts w:cs="Arial"/>
                <w:sz w:val="22"/>
                <w:szCs w:val="22"/>
              </w:rPr>
            </w:pPr>
            <w:r>
              <w:rPr>
                <w:rFonts w:cs="Arial"/>
                <w:sz w:val="22"/>
                <w:szCs w:val="22"/>
              </w:rPr>
              <w:t>In this section you should indicate:</w:t>
            </w:r>
          </w:p>
          <w:p>
            <w:pPr>
              <w:rPr>
                <w:rFonts w:cs="Arial"/>
                <w:sz w:val="22"/>
                <w:szCs w:val="22"/>
              </w:rPr>
            </w:pPr>
          </w:p>
          <w:p>
            <w:pPr>
              <w:pStyle w:val="29"/>
              <w:numPr>
                <w:ilvl w:val="0"/>
                <w:numId w:val="4"/>
              </w:numPr>
              <w:autoSpaceDE w:val="0"/>
              <w:autoSpaceDN w:val="0"/>
              <w:adjustRightInd w:val="0"/>
              <w:contextualSpacing/>
              <w:rPr>
                <w:rFonts w:cs="Arial"/>
                <w:sz w:val="22"/>
                <w:szCs w:val="22"/>
              </w:rPr>
            </w:pPr>
            <w:r>
              <w:rPr>
                <w:rFonts w:cs="Arial"/>
                <w:sz w:val="22"/>
                <w:szCs w:val="22"/>
              </w:rPr>
              <w:t>What facilities you will need access to including libraries, archives, institutions, specialist IT facilities</w:t>
            </w:r>
          </w:p>
          <w:p>
            <w:pPr>
              <w:pStyle w:val="29"/>
              <w:numPr>
                <w:ilvl w:val="0"/>
                <w:numId w:val="4"/>
              </w:numPr>
              <w:autoSpaceDE w:val="0"/>
              <w:autoSpaceDN w:val="0"/>
              <w:adjustRightInd w:val="0"/>
              <w:contextualSpacing/>
              <w:rPr>
                <w:rFonts w:cs="Arial"/>
                <w:sz w:val="22"/>
                <w:szCs w:val="22"/>
              </w:rPr>
            </w:pPr>
            <w:r>
              <w:rPr>
                <w:rFonts w:cs="Arial"/>
                <w:sz w:val="22"/>
                <w:szCs w:val="22"/>
              </w:rPr>
              <w:t>Whether you have permission to access the facilities and resources</w:t>
            </w:r>
          </w:p>
          <w:p>
            <w:pPr>
              <w:pStyle w:val="29"/>
              <w:numPr>
                <w:ilvl w:val="0"/>
                <w:numId w:val="4"/>
              </w:numPr>
              <w:autoSpaceDE w:val="0"/>
              <w:autoSpaceDN w:val="0"/>
              <w:adjustRightInd w:val="0"/>
              <w:contextualSpacing/>
              <w:rPr>
                <w:rFonts w:cs="Arial"/>
                <w:sz w:val="22"/>
                <w:szCs w:val="22"/>
              </w:rPr>
            </w:pPr>
            <w:r>
              <w:rPr>
                <w:rFonts w:cs="Arial"/>
                <w:sz w:val="22"/>
                <w:szCs w:val="22"/>
              </w:rPr>
              <w:t>Whether you need to travel to access the facilities and resources – where do you need to go, for how long, and how will this be financed</w:t>
            </w:r>
          </w:p>
          <w:p>
            <w:pPr>
              <w:pStyle w:val="29"/>
              <w:numPr>
                <w:ilvl w:val="0"/>
                <w:numId w:val="4"/>
              </w:numPr>
              <w:autoSpaceDE w:val="0"/>
              <w:autoSpaceDN w:val="0"/>
              <w:adjustRightInd w:val="0"/>
              <w:contextualSpacing/>
              <w:rPr>
                <w:rFonts w:cs="Arial"/>
                <w:sz w:val="22"/>
                <w:szCs w:val="22"/>
              </w:rPr>
            </w:pPr>
            <w:r>
              <w:rPr>
                <w:rFonts w:cs="Arial"/>
                <w:sz w:val="22"/>
                <w:szCs w:val="22"/>
              </w:rPr>
              <w:t>Whether you will be carrying out fieldwork or interviews and whether you have followed the correct protocols, secured permission and ethical clearance.</w:t>
            </w:r>
          </w:p>
          <w:p>
            <w:pPr>
              <w:rPr>
                <w:rFonts w:cs="Arial"/>
                <w:sz w:val="22"/>
                <w:szCs w:val="22"/>
              </w:rPr>
            </w:pP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eastAsia="宋体" w:cs="Arial Regular"/>
                <w:kern w:val="0"/>
                <w:sz w:val="24"/>
                <w:szCs w:val="24"/>
                <w:lang w:val="en-US" w:eastAsia="zh-CN" w:bidi="ar"/>
              </w:rPr>
              <w:t>This study will utilize a wide range of resources, including the university’s library, digital academic databases, the archives and collections of the Jingdezhen Ceramic Museum, and Jingdezhen’s local cultural materials. These resources, combined with multi-faceted research methods, will provide both theoretical and practical support for the application of blue and white porcelain symbols in contemporary design. The research will encompass literature reviews, field studies, and design practices to ensure a comprehensive approach.</w:t>
            </w:r>
          </w:p>
          <w:p>
            <w:pPr>
              <w:pStyle w:val="5"/>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1. Library and Literature Resources</w:t>
            </w:r>
          </w:p>
          <w:p>
            <w:pPr>
              <w:pStyle w:val="13"/>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To build a solid theoretical foundation, I will extensively consult academic literature on Jingdezhen blue and white porcelain, semiotics, and modern design.</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w:t>
            </w:r>
            <w:r>
              <w:rPr>
                <w:rStyle w:val="18"/>
                <w:rFonts w:hint="default" w:ascii="Arial Regular" w:hAnsi="Arial Regular" w:cs="Arial Regular"/>
                <w:sz w:val="24"/>
                <w:szCs w:val="24"/>
              </w:rPr>
              <w:t>University Library</w:t>
            </w:r>
            <w:r>
              <w:rPr>
                <w:rFonts w:hint="default" w:ascii="Arial Regular" w:hAnsi="Arial Regular" w:cs="Arial Regular"/>
                <w:sz w:val="24"/>
                <w:szCs w:val="24"/>
              </w:rPr>
              <w:t>: The university library offers a wealth of resources, including books, journals, and academic databases in the fields of semiotics and design theory. These materials will form the core of my literature review, addressing both foundational and advanced topics.</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w:t>
            </w:r>
            <w:r>
              <w:rPr>
                <w:rStyle w:val="18"/>
                <w:rFonts w:hint="default" w:ascii="Arial Regular" w:hAnsi="Arial Regular" w:cs="Arial Regular"/>
                <w:sz w:val="24"/>
                <w:szCs w:val="24"/>
              </w:rPr>
              <w:t>Digital Academic Databases</w:t>
            </w:r>
            <w:r>
              <w:rPr>
                <w:rFonts w:hint="default" w:ascii="Arial Regular" w:hAnsi="Arial Regular" w:cs="Arial Regular"/>
                <w:sz w:val="24"/>
                <w:szCs w:val="24"/>
              </w:rPr>
              <w:t>: I will access platforms such as CNKI, JSTOR</w:t>
            </w:r>
            <w:r>
              <w:rPr>
                <w:rFonts w:hint="default" w:ascii="Arial Regular" w:hAnsi="Arial Regular" w:cs="Arial Regular"/>
                <w:sz w:val="24"/>
                <w:szCs w:val="24"/>
                <w:lang w:val="en-US"/>
              </w:rPr>
              <w:t xml:space="preserve"> and Google scholar</w:t>
            </w:r>
            <w:r>
              <w:rPr>
                <w:rFonts w:hint="default" w:ascii="Arial Regular" w:hAnsi="Arial Regular" w:cs="Arial Regular"/>
                <w:sz w:val="24"/>
                <w:szCs w:val="24"/>
              </w:rPr>
              <w:t xml:space="preserve"> to review online literature and stay updated on the latest research findings and theoretical advancements.</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w:t>
            </w:r>
            <w:r>
              <w:rPr>
                <w:rStyle w:val="18"/>
                <w:rFonts w:hint="default" w:ascii="Arial Regular" w:hAnsi="Arial Regular" w:cs="Arial Regular"/>
                <w:sz w:val="24"/>
                <w:szCs w:val="24"/>
              </w:rPr>
              <w:t>Jingdezhen Ceramic Museum Archives</w:t>
            </w:r>
            <w:r>
              <w:rPr>
                <w:rFonts w:hint="default" w:ascii="Arial Regular" w:hAnsi="Arial Regular" w:cs="Arial Regular"/>
                <w:sz w:val="24"/>
                <w:szCs w:val="24"/>
              </w:rPr>
              <w:t>: The museum provides specialized resources on blue and white porcelain, including historical records, craftsmanship documentation, and design materials. These archives are invaluable for understanding the symbolic and cultural significance of porcelain patterns. I have secured access to these resources and coordinated with relevant departments to facilitate smooth research progress.</w:t>
            </w:r>
          </w:p>
          <w:p>
            <w:pPr>
              <w:pStyle w:val="5"/>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2. Museum and Archival Resources</w:t>
            </w:r>
          </w:p>
          <w:p>
            <w:pPr>
              <w:pStyle w:val="13"/>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The Jingdezhen Ceramic Museum and local archives will serve as key sources of historical and visual information.</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w:t>
            </w:r>
            <w:r>
              <w:rPr>
                <w:rStyle w:val="18"/>
                <w:rFonts w:hint="default" w:ascii="Arial Regular" w:hAnsi="Arial Regular" w:cs="Arial Regular"/>
                <w:sz w:val="24"/>
                <w:szCs w:val="24"/>
              </w:rPr>
              <w:t>Jingdezhen Ceramic Museum</w:t>
            </w:r>
            <w:r>
              <w:rPr>
                <w:rFonts w:hint="default" w:ascii="Arial Regular" w:hAnsi="Arial Regular" w:cs="Arial Regular"/>
                <w:sz w:val="24"/>
                <w:szCs w:val="24"/>
              </w:rPr>
              <w:t>: As a central repository of blue and white porcelain, the museum houses numerous artifacts and decorative materials. These provide direct visual references for analyzing design characteristics and historical evolution. I will coordinate with museum officials to ensure efficient access to the relevant collections.</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w:t>
            </w:r>
            <w:r>
              <w:rPr>
                <w:rStyle w:val="18"/>
                <w:rFonts w:hint="default" w:ascii="Arial Regular" w:hAnsi="Arial Regular" w:cs="Arial Regular"/>
                <w:sz w:val="24"/>
                <w:szCs w:val="24"/>
              </w:rPr>
              <w:t>Local Archives</w:t>
            </w:r>
            <w:r>
              <w:rPr>
                <w:rFonts w:hint="default" w:ascii="Arial Regular" w:hAnsi="Arial Regular" w:cs="Arial Regular"/>
                <w:sz w:val="24"/>
                <w:szCs w:val="24"/>
              </w:rPr>
              <w:t>: Visiting Jingdezhen’s local archives will provide supplementary historical documents detailing the development of blue and white porcelain. This will enrich the historical background and contextual understanding of the study.</w:t>
            </w:r>
          </w:p>
          <w:p>
            <w:pPr>
              <w:pStyle w:val="5"/>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3. Field Research and Interviews</w:t>
            </w:r>
          </w:p>
          <w:p>
            <w:pPr>
              <w:pStyle w:val="13"/>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Field research in Jingdezhen is planned to deepen understanding of the cultural and practical aspects of blue and white porcelain decoration.</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w:t>
            </w:r>
            <w:r>
              <w:rPr>
                <w:rStyle w:val="18"/>
                <w:rFonts w:hint="default" w:ascii="Arial Regular" w:hAnsi="Arial Regular" w:cs="Arial Regular"/>
                <w:sz w:val="24"/>
                <w:szCs w:val="24"/>
              </w:rPr>
              <w:t>Visits to Workshops and Institutions</w:t>
            </w:r>
            <w:r>
              <w:rPr>
                <w:rFonts w:hint="default" w:ascii="Arial Regular" w:hAnsi="Arial Regular" w:cs="Arial Regular"/>
                <w:sz w:val="24"/>
                <w:szCs w:val="24"/>
              </w:rPr>
              <w:t>: I will visit ceramic workshops, museums, and research institutions to gain insights into the production processes, historical development, and evolving cultural significance of blue and white porcelain symbols.</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w:t>
            </w:r>
            <w:r>
              <w:rPr>
                <w:rStyle w:val="18"/>
                <w:rFonts w:hint="default" w:ascii="Arial Regular" w:hAnsi="Arial Regular" w:cs="Arial Regular"/>
                <w:sz w:val="24"/>
                <w:szCs w:val="24"/>
              </w:rPr>
              <w:t>Interviews with Artists and Designers</w:t>
            </w:r>
            <w:r>
              <w:rPr>
                <w:rFonts w:hint="default" w:ascii="Arial Regular" w:hAnsi="Arial Regular" w:cs="Arial Regular"/>
                <w:sz w:val="24"/>
                <w:szCs w:val="24"/>
              </w:rPr>
              <w:t>: Engaging with local ceramic artists, designers, and scholars will provide practical perspectives on the contemporary reinterpretation and application of porcelain patterns in modern design.</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w:t>
            </w:r>
            <w:r>
              <w:rPr>
                <w:rStyle w:val="18"/>
                <w:rFonts w:hint="default" w:ascii="Arial Regular" w:hAnsi="Arial Regular" w:cs="Arial Regular"/>
                <w:sz w:val="24"/>
                <w:szCs w:val="24"/>
              </w:rPr>
              <w:t>Community and Audience Surveys</w:t>
            </w:r>
            <w:r>
              <w:rPr>
                <w:rFonts w:hint="default" w:ascii="Arial Regular" w:hAnsi="Arial Regular" w:cs="Arial Regular"/>
                <w:sz w:val="24"/>
                <w:szCs w:val="24"/>
              </w:rPr>
              <w:t>: Surveys targeting local residents and tourists will explore perceptions of cultural identity and the symbolic value of blue and white porcelain. This will evaluate the resonance and communicative effectiveness of porcelain symbols in modern contexts.</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w:t>
            </w:r>
            <w:r>
              <w:rPr>
                <w:rStyle w:val="18"/>
                <w:rFonts w:hint="default" w:ascii="Arial Regular" w:hAnsi="Arial Regular" w:cs="Arial Regular"/>
                <w:sz w:val="24"/>
                <w:szCs w:val="24"/>
              </w:rPr>
              <w:t>Duration and Coordination</w:t>
            </w:r>
            <w:r>
              <w:rPr>
                <w:rFonts w:hint="default" w:ascii="Arial Regular" w:hAnsi="Arial Regular" w:cs="Arial Regular"/>
                <w:sz w:val="24"/>
                <w:szCs w:val="24"/>
              </w:rPr>
              <w:t>: The fieldwork will span 2–3 months to ensure comprehensive coverage. Arrangements with relevant institutions have been made to facilitate a smooth research process.</w:t>
            </w:r>
          </w:p>
          <w:p>
            <w:pPr>
              <w:pStyle w:val="5"/>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4. Ethical Approval and Participant Protection</w:t>
            </w:r>
          </w:p>
          <w:p>
            <w:pPr>
              <w:pStyle w:val="13"/>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The study adheres to strict ethical guidelines to ensure participant privacy and data protection.</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Fonts w:hint="default" w:ascii="Arial Regular" w:hAnsi="Arial Regular" w:eastAsia="SimSun" w:cs="Arial Regular"/>
                <w:sz w:val="24"/>
                <w:szCs w:val="24"/>
                <w:lang w:val="en-US" w:eastAsia="zh-CN"/>
              </w:rPr>
              <w:t>-</w:t>
            </w:r>
            <w:r>
              <w:rPr>
                <w:rFonts w:hint="default" w:ascii="Arial Regular" w:hAnsi="Arial Regular" w:cs="Arial Regular"/>
                <w:sz w:val="24"/>
                <w:szCs w:val="24"/>
              </w:rPr>
              <w:t>Informed consent will be obtained from all participants before interviews and surveys.</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Fonts w:hint="default" w:ascii="Arial Regular" w:hAnsi="Arial Regular" w:eastAsia="SimSun" w:cs="Arial Regular"/>
                <w:sz w:val="24"/>
                <w:szCs w:val="24"/>
                <w:lang w:val="en-US" w:eastAsia="zh-CN"/>
              </w:rPr>
              <w:t>-</w:t>
            </w:r>
            <w:r>
              <w:rPr>
                <w:rFonts w:hint="default" w:ascii="Arial Regular" w:hAnsi="Arial Regular" w:cs="Arial Regular"/>
                <w:sz w:val="24"/>
                <w:szCs w:val="24"/>
              </w:rPr>
              <w:t>The purpose of the research, data usage, and participants’ rights will be clearly communicated.</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Fonts w:hint="default" w:ascii="Arial Regular" w:hAnsi="Arial Regular" w:eastAsia="SimSun" w:cs="Arial Regular"/>
                <w:sz w:val="24"/>
                <w:szCs w:val="24"/>
                <w:lang w:val="en-US" w:eastAsia="zh-CN"/>
              </w:rPr>
              <w:t>-</w:t>
            </w:r>
            <w:r>
              <w:rPr>
                <w:rFonts w:hint="default" w:ascii="Arial Regular" w:hAnsi="Arial Regular" w:cs="Arial Regular"/>
                <w:sz w:val="24"/>
                <w:szCs w:val="24"/>
              </w:rPr>
              <w:t>Ethical approval has been obtained from the university’s Ethics Review Committee. Confidentiality of collected data will be rigorously maintained.</w:t>
            </w:r>
          </w:p>
          <w:p>
            <w:pPr>
              <w:pStyle w:val="5"/>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5. Design Software and Tools</w:t>
            </w:r>
          </w:p>
          <w:p>
            <w:pPr>
              <w:pStyle w:val="13"/>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Advanced design software will be employed to support the practical aspects of this research.</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w:t>
            </w:r>
            <w:r>
              <w:rPr>
                <w:rStyle w:val="18"/>
                <w:rFonts w:hint="default" w:ascii="Arial Regular" w:hAnsi="Arial Regular" w:cs="Arial Regular"/>
                <w:sz w:val="24"/>
                <w:szCs w:val="24"/>
              </w:rPr>
              <w:t>Adobe Photoshop and Illustrator</w:t>
            </w:r>
            <w:r>
              <w:rPr>
                <w:rFonts w:hint="default" w:ascii="Arial Regular" w:hAnsi="Arial Regular" w:cs="Arial Regular"/>
                <w:sz w:val="24"/>
                <w:szCs w:val="24"/>
              </w:rPr>
              <w:t>: These tools will be used for digital processing, innovative design of porcelain patterns, and poster creation.</w:t>
            </w:r>
          </w:p>
          <w:p>
            <w:pPr>
              <w:keepNext w:val="0"/>
              <w:keepLines w:val="0"/>
              <w:widowControl/>
              <w:numPr>
                <w:ilvl w:val="0"/>
                <w:numId w:val="0"/>
              </w:numPr>
              <w:suppressLineNumbers w:val="0"/>
              <w:spacing w:before="0" w:beforeAutospacing="1" w:after="0" w:afterAutospacing="1"/>
              <w:jc w:val="both"/>
              <w:rPr>
                <w:rFonts w:hint="default" w:ascii="Arial Regular" w:hAnsi="Arial Regular" w:cs="Arial Regular"/>
                <w:sz w:val="24"/>
                <w:szCs w:val="24"/>
              </w:rPr>
            </w:pPr>
            <w:r>
              <w:rPr>
                <w:rStyle w:val="18"/>
                <w:rFonts w:hint="default" w:ascii="Arial Regular" w:hAnsi="Arial Regular" w:eastAsia="SimSun" w:cs="Arial Regular"/>
                <w:sz w:val="24"/>
                <w:szCs w:val="24"/>
                <w:lang w:val="en-US" w:eastAsia="zh-CN"/>
              </w:rPr>
              <w:t>-</w:t>
            </w:r>
            <w:r>
              <w:rPr>
                <w:rStyle w:val="18"/>
                <w:rFonts w:hint="default" w:ascii="Arial Regular" w:hAnsi="Arial Regular" w:cs="Arial Regular"/>
                <w:sz w:val="24"/>
                <w:szCs w:val="24"/>
              </w:rPr>
              <w:t>Technical Preparation</w:t>
            </w:r>
            <w:r>
              <w:rPr>
                <w:rFonts w:hint="default" w:ascii="Arial Regular" w:hAnsi="Arial Regular" w:cs="Arial Regular"/>
                <w:sz w:val="24"/>
                <w:szCs w:val="24"/>
              </w:rPr>
              <w:t>: My computer is equipped with the necessary software and hardware to ensure the efficient execution of design tasks.</w:t>
            </w:r>
          </w:p>
          <w:p>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eastAsia="宋体" w:cs="Arial Regular"/>
                <w:kern w:val="0"/>
                <w:sz w:val="24"/>
                <w:szCs w:val="24"/>
                <w:lang w:val="en-US" w:eastAsia="zh-CN" w:bidi="ar"/>
              </w:rPr>
              <w:t>By leveraging these diverse resources and methodologies, this study will thoroughly investigate the cultural value of blue and white porcelain and its innovative application in modern brand design. The findings aim to provide practical guidance for enhancing the cultural depth and commercial appeal of urban cultural branding.</w:t>
            </w:r>
          </w:p>
          <w:p>
            <w:pPr>
              <w:jc w:val="both"/>
              <w:rPr>
                <w:rFonts w:hint="eastAsia" w:cs="Arial"/>
                <w:sz w:val="20"/>
                <w:szCs w:val="20"/>
              </w:rPr>
            </w:pPr>
          </w:p>
        </w:tc>
      </w:tr>
    </w:tbl>
    <w:p>
      <w:pPr>
        <w:rPr>
          <w:rFonts w:cs="Arial"/>
          <w:sz w:val="22"/>
          <w:szCs w:val="22"/>
        </w:rPr>
      </w:pPr>
    </w:p>
    <w:p>
      <w:pPr>
        <w:rPr>
          <w:rFonts w:cs="Arial"/>
          <w:sz w:val="22"/>
          <w:szCs w:val="22"/>
        </w:rPr>
      </w:pPr>
    </w:p>
    <w:p>
      <w:pPr>
        <w:rPr>
          <w:rFonts w:cs="Arial"/>
          <w:sz w:val="22"/>
          <w:szCs w:val="22"/>
        </w:rPr>
      </w:pPr>
    </w:p>
    <w:p>
      <w:pPr>
        <w:rPr>
          <w:rFonts w:cs="Arial"/>
          <w:b/>
          <w:sz w:val="22"/>
          <w:szCs w:val="22"/>
        </w:rPr>
      </w:pPr>
      <w:r>
        <w:rPr>
          <w:rFonts w:cs="Arial"/>
          <w:b/>
          <w:sz w:val="22"/>
          <w:szCs w:val="22"/>
        </w:rPr>
        <w:t>Intellectual Property IP</w:t>
      </w:r>
    </w:p>
    <w:p>
      <w:pPr>
        <w:rPr>
          <w:rFonts w:cs="Arial"/>
          <w:b/>
          <w:sz w:val="22"/>
          <w:szCs w:val="22"/>
        </w:rPr>
      </w:pPr>
      <w:r>
        <w:rPr>
          <w:sz w:val="22"/>
        </w:rPr>
        <w:t>It is anticipated that Intellectual Property (IP) will be produced as a result of this research.</w:t>
      </w:r>
    </w:p>
    <w:tbl>
      <w:tblPr>
        <w:tblStyle w:val="15"/>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6"/>
        <w:gridCol w:w="1418"/>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7" w:hRule="atLeast"/>
        </w:trPr>
        <w:tc>
          <w:tcPr>
            <w:tcW w:w="9781" w:type="dxa"/>
            <w:gridSpan w:val="3"/>
            <w:tcBorders>
              <w:top w:val="nil"/>
              <w:left w:val="nil"/>
              <w:bottom w:val="nil"/>
              <w:right w:val="nil"/>
            </w:tcBorders>
            <w:shd w:val="clear" w:color="auto" w:fill="auto"/>
          </w:tcPr>
          <w:p>
            <w:pPr>
              <w:jc w:val="right"/>
              <w:rPr>
                <w:rFonts w:cs="Arial"/>
                <w:b/>
              </w:rPr>
            </w:pPr>
            <w:r>
              <w:rPr>
                <w:rFonts w:cs="Arial"/>
                <w:b/>
              </w:rPr>
              <w:t xml:space="preserve">Tick </w:t>
            </w:r>
            <w:r>
              <w:rPr>
                <w:rFonts w:ascii="Agency FB" w:hAnsi="Agency FB" w:cs="Arial"/>
                <w: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pPr>
              <w:rPr>
                <w:rFonts w:cs="Arial"/>
                <w:sz w:val="22"/>
                <w:szCs w:val="22"/>
              </w:rPr>
            </w:pPr>
          </w:p>
        </w:tc>
        <w:tc>
          <w:tcPr>
            <w:tcW w:w="1418" w:type="dxa"/>
            <w:tcBorders>
              <w:top w:val="single" w:color="auto" w:sz="4" w:space="0"/>
              <w:left w:val="single" w:color="auto" w:sz="4" w:space="0"/>
            </w:tcBorders>
            <w:shd w:val="clear" w:color="auto" w:fill="F1F1F1" w:themeFill="background1" w:themeFillShade="F2"/>
          </w:tcPr>
          <w:p>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pPr>
              <w:rPr>
                <w:rFonts w:cs="Arial"/>
                <w:sz w:val="22"/>
                <w:szCs w:val="22"/>
              </w:rPr>
            </w:pPr>
            <w:r>
              <w:rPr>
                <w:rFonts w:cs="Arial"/>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7" w:hRule="atLeast"/>
        </w:trPr>
        <w:tc>
          <w:tcPr>
            <w:tcW w:w="6946" w:type="dxa"/>
            <w:tcBorders>
              <w:top w:val="single" w:color="auto" w:sz="4" w:space="0"/>
            </w:tcBorders>
            <w:shd w:val="clear" w:color="auto" w:fill="F1F1F1" w:themeFill="background1" w:themeFillShade="F2"/>
          </w:tcPr>
          <w:p>
            <w:pPr>
              <w:rPr>
                <w:rFonts w:cs="Arial"/>
                <w:sz w:val="22"/>
                <w:szCs w:val="22"/>
              </w:rPr>
            </w:pPr>
            <w:r>
              <w:rPr>
                <w:sz w:val="22"/>
              </w:rPr>
              <w:t>Is the IP already subject to a separate agreement with a third party (e.g. employer, sponsor or external funder)? If so please provide details below</w:t>
            </w:r>
          </w:p>
        </w:tc>
        <w:sdt>
          <w:sdtPr>
            <w:rPr>
              <w:rFonts w:cs="Arial"/>
              <w:sz w:val="22"/>
              <w:szCs w:val="22"/>
            </w:rPr>
            <w:id w:val="1557745169"/>
            <w14:checkbox>
              <w14:checked w14:val="0"/>
              <w14:checkedState w14:val="2612" w14:font="MS Gothic"/>
              <w14:uncheckedState w14:val="2610" w14:font="MS Gothic"/>
            </w14:checkbox>
          </w:sdtPr>
          <w:sdtEndPr>
            <w:rPr>
              <w:rFonts w:cs="Arial"/>
              <w:sz w:val="22"/>
              <w:szCs w:val="22"/>
            </w:rPr>
          </w:sdtEndPr>
          <w:sdtContent>
            <w:tc>
              <w:tcPr>
                <w:tcW w:w="1418" w:type="dxa"/>
                <w:tcBorders>
                  <w:top w:val="single" w:color="auto" w:sz="4" w:space="0"/>
                </w:tcBorders>
                <w:shd w:val="clear" w:color="auto" w:fill="auto"/>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678392512"/>
            <w14:checkbox>
              <w14:checked w14:val="1"/>
              <w14:checkedState w14:val="2612" w14:font="MS Gothic"/>
              <w14:uncheckedState w14:val="2610" w14:font="MS Gothic"/>
            </w14:checkbox>
          </w:sdtPr>
          <w:sdtEndPr>
            <w:rPr>
              <w:rFonts w:cs="Arial"/>
              <w:sz w:val="22"/>
              <w:szCs w:val="22"/>
            </w:rPr>
          </w:sdtEndPr>
          <w:sdtContent>
            <w:tc>
              <w:tcPr>
                <w:tcW w:w="1417" w:type="dxa"/>
                <w:tcBorders>
                  <w:top w:val="single" w:color="auto" w:sz="4" w:space="0"/>
                </w:tcBorders>
                <w:shd w:val="clear" w:color="auto" w:fill="auto"/>
              </w:tcPr>
              <w:p>
                <w:pPr>
                  <w:jc w:val="center"/>
                  <w:rPr>
                    <w:rFonts w:cs="Arial"/>
                    <w:sz w:val="22"/>
                    <w:szCs w:val="22"/>
                  </w:rPr>
                </w:pPr>
                <w:r>
                  <w:rPr>
                    <w:rFonts w:ascii="MS Gothic" w:hAnsi="MS Gothic" w:eastAsia="MS Gothic" w:cs="Arial"/>
                    <w:sz w:val="22"/>
                    <w:szCs w:val="22"/>
                    <w:lang w:val="en-GB" w:eastAsia="en-GB"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trPr>
        <w:tc>
          <w:tcPr>
            <w:tcW w:w="6946" w:type="dxa"/>
            <w:shd w:val="clear" w:color="auto" w:fill="F1F1F1" w:themeFill="background1" w:themeFillShade="F2"/>
          </w:tcPr>
          <w:p>
            <w:pPr>
              <w:rPr>
                <w:sz w:val="22"/>
              </w:rPr>
            </w:pPr>
            <w:r>
              <w:rPr>
                <w:sz w:val="22"/>
              </w:rPr>
              <w:t xml:space="preserve">Is the research dependent upon background IP owned by: </w:t>
            </w:r>
          </w:p>
          <w:p>
            <w:pPr>
              <w:rPr>
                <w:rFonts w:cs="Arial"/>
                <w:sz w:val="22"/>
                <w:szCs w:val="22"/>
              </w:rPr>
            </w:pPr>
            <w:r>
              <w:rPr>
                <w:sz w:val="22"/>
              </w:rPr>
              <w:t>If so, please provide details below</w:t>
            </w:r>
          </w:p>
        </w:tc>
        <w:tc>
          <w:tcPr>
            <w:tcW w:w="1418" w:type="dxa"/>
            <w:shd w:val="clear" w:color="auto" w:fill="auto"/>
          </w:tcPr>
          <w:p>
            <w:pPr>
              <w:jc w:val="center"/>
              <w:rPr>
                <w:sz w:val="22"/>
              </w:rPr>
            </w:pPr>
            <w:r>
              <w:rPr>
                <w:sz w:val="22"/>
              </w:rPr>
              <w:t>UWTSD</w:t>
            </w:r>
          </w:p>
          <w:sdt>
            <w:sdtPr>
              <w:rPr>
                <w:rFonts w:cs="Arial"/>
                <w:sz w:val="22"/>
                <w:szCs w:val="22"/>
              </w:rPr>
              <w:id w:val="123590131"/>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lang w:val="en-GB" w:eastAsia="en-GB" w:bidi="ar-SA"/>
                  </w:rPr>
                  <w:t>☐</w:t>
                </w:r>
              </w:p>
            </w:sdtContent>
          </w:sdt>
        </w:tc>
        <w:tc>
          <w:tcPr>
            <w:tcW w:w="1417" w:type="dxa"/>
            <w:shd w:val="clear" w:color="auto" w:fill="auto"/>
          </w:tcPr>
          <w:p>
            <w:pPr>
              <w:rPr>
                <w:sz w:val="22"/>
              </w:rPr>
            </w:pPr>
            <w:r>
              <w:rPr>
                <w:sz w:val="22"/>
              </w:rPr>
              <w:t>A third party</w:t>
            </w:r>
          </w:p>
          <w:sdt>
            <w:sdtPr>
              <w:rPr>
                <w:rFonts w:cs="Arial"/>
                <w:sz w:val="22"/>
                <w:szCs w:val="22"/>
              </w:rPr>
              <w:id w:val="1919519062"/>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trPr>
        <w:tc>
          <w:tcPr>
            <w:tcW w:w="9781" w:type="dxa"/>
            <w:gridSpan w:val="3"/>
            <w:shd w:val="clear" w:color="auto" w:fill="auto"/>
          </w:tcPr>
          <w:p>
            <w:pPr>
              <w:rPr>
                <w:i/>
                <w:sz w:val="18"/>
                <w:szCs w:val="18"/>
              </w:rPr>
            </w:pPr>
            <w:r>
              <w:rPr>
                <w:i/>
                <w:sz w:val="18"/>
                <w:szCs w:val="18"/>
              </w:rPr>
              <w:t>Text box will expand</w:t>
            </w:r>
          </w:p>
          <w:p>
            <w:pPr>
              <w:rPr>
                <w:sz w:val="18"/>
                <w:szCs w:val="18"/>
              </w:rPr>
            </w:pPr>
          </w:p>
          <w:p>
            <w:pPr>
              <w:rPr>
                <w:sz w:val="18"/>
                <w:szCs w:val="18"/>
              </w:rPr>
            </w:pPr>
          </w:p>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7" w:hRule="atLeast"/>
        </w:trPr>
        <w:tc>
          <w:tcPr>
            <w:tcW w:w="9781" w:type="dxa"/>
            <w:gridSpan w:val="3"/>
            <w:tcBorders>
              <w:top w:val="nil"/>
              <w:left w:val="nil"/>
              <w:bottom w:val="nil"/>
              <w:right w:val="nil"/>
            </w:tcBorders>
            <w:shd w:val="clear" w:color="auto" w:fill="auto"/>
          </w:tcPr>
          <w:p>
            <w:pPr>
              <w:jc w:val="right"/>
              <w:rPr>
                <w:rFonts w:cs="Arial"/>
                <w:b/>
              </w:rPr>
            </w:pPr>
            <w:r>
              <w:rPr>
                <w:rFonts w:cs="Arial"/>
                <w:b/>
              </w:rPr>
              <w:t xml:space="preserve">Tick </w:t>
            </w:r>
            <w:r>
              <w:rPr>
                <w:rFonts w:ascii="Agency FB" w:hAnsi="Agency FB" w:cs="Arial"/>
                <w: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pPr>
              <w:rPr>
                <w:rFonts w:cs="Arial"/>
                <w:sz w:val="22"/>
                <w:szCs w:val="22"/>
              </w:rPr>
            </w:pPr>
            <w:r>
              <w:rPr>
                <w:rFonts w:cs="Arial"/>
                <w:sz w:val="22"/>
                <w:szCs w:val="22"/>
              </w:rPr>
              <w:t>I understand that:</w:t>
            </w:r>
          </w:p>
        </w:tc>
        <w:tc>
          <w:tcPr>
            <w:tcW w:w="1418" w:type="dxa"/>
            <w:tcBorders>
              <w:top w:val="single" w:color="auto" w:sz="4" w:space="0"/>
              <w:left w:val="single" w:color="auto" w:sz="4" w:space="0"/>
            </w:tcBorders>
            <w:shd w:val="clear" w:color="auto" w:fill="F1F1F1" w:themeFill="background1" w:themeFillShade="F2"/>
          </w:tcPr>
          <w:p>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pPr>
              <w:rPr>
                <w:rFonts w:cs="Arial"/>
                <w:sz w:val="22"/>
                <w:szCs w:val="22"/>
              </w:rPr>
            </w:pPr>
            <w:r>
              <w:rPr>
                <w:rFonts w:cs="Arial"/>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9" w:hRule="atLeast"/>
        </w:trPr>
        <w:tc>
          <w:tcPr>
            <w:tcW w:w="6946" w:type="dxa"/>
            <w:shd w:val="clear" w:color="auto" w:fill="F1F1F1" w:themeFill="background1" w:themeFillShade="F2"/>
          </w:tcPr>
          <w:p>
            <w:pPr>
              <w:rPr>
                <w:sz w:val="22"/>
              </w:rPr>
            </w:pPr>
            <w:r>
              <w:rPr>
                <w:sz w:val="22"/>
              </w:rPr>
              <w:t>If any party other than the student is likely to be involved in the development of IP a separate IP agreement will be needed and it may be necessary for the student to assign the IP rights to the University.</w:t>
            </w:r>
          </w:p>
          <w:p>
            <w:pPr>
              <w:rPr>
                <w:rFonts w:cs="Arial"/>
                <w:sz w:val="22"/>
                <w:szCs w:val="22"/>
              </w:rPr>
            </w:pPr>
          </w:p>
        </w:tc>
        <w:sdt>
          <w:sdtPr>
            <w:rPr>
              <w:rFonts w:cs="Arial"/>
              <w:sz w:val="22"/>
              <w:szCs w:val="22"/>
            </w:rPr>
            <w:id w:val="1219639617"/>
            <w14:checkbox>
              <w14:checked w14:val="0"/>
              <w14:checkedState w14:val="2612" w14:font="MS Gothic"/>
              <w14:uncheckedState w14:val="2610" w14:font="MS Gothic"/>
            </w14:checkbox>
          </w:sdtPr>
          <w:sdtEndPr>
            <w:rPr>
              <w:rFonts w:cs="Arial"/>
              <w:sz w:val="22"/>
              <w:szCs w:val="22"/>
            </w:rPr>
          </w:sdtEndPr>
          <w:sdtContent>
            <w:tc>
              <w:tcPr>
                <w:tcW w:w="1418" w:type="dxa"/>
                <w:shd w:val="clear" w:color="auto" w:fill="auto"/>
              </w:tcPr>
              <w:p>
                <w:pPr>
                  <w:jc w:val="center"/>
                  <w:rPr>
                    <w:rFonts w:cs="Arial"/>
                    <w:sz w:val="22"/>
                    <w:szCs w:val="22"/>
                  </w:rPr>
                </w:pPr>
                <w:r>
                  <w:rPr>
                    <w:rFonts w:ascii="MS Gothic" w:hAnsi="MS Gothic" w:eastAsia="MS Gothic" w:cs="Arial"/>
                    <w:sz w:val="22"/>
                    <w:szCs w:val="22"/>
                    <w:lang w:val="en-GB" w:eastAsia="en-GB" w:bidi="ar-SA"/>
                  </w:rPr>
                  <w:t>☐</w:t>
                </w:r>
              </w:p>
            </w:tc>
          </w:sdtContent>
        </w:sdt>
        <w:sdt>
          <w:sdtPr>
            <w:rPr>
              <w:rFonts w:cs="Arial"/>
              <w:sz w:val="22"/>
              <w:szCs w:val="22"/>
            </w:rPr>
            <w:id w:val="-1"/>
            <w14:checkbox>
              <w14:checked w14:val="1"/>
              <w14:checkedState w14:val="2612" w14:font="MS Gothic"/>
              <w14:uncheckedState w14:val="2610" w14:font="MS Gothic"/>
            </w14:checkbox>
          </w:sdtPr>
          <w:sdtEndPr>
            <w:rPr>
              <w:rFonts w:cs="Arial"/>
              <w:sz w:val="22"/>
              <w:szCs w:val="22"/>
            </w:rPr>
          </w:sdtEndPr>
          <w:sdtContent>
            <w:tc>
              <w:tcPr>
                <w:tcW w:w="1417" w:type="dxa"/>
                <w:shd w:val="clear" w:color="auto" w:fill="auto"/>
              </w:tcPr>
              <w:p>
                <w:pPr>
                  <w:jc w:val="center"/>
                  <w:rPr>
                    <w:rFonts w:cs="Arial"/>
                    <w:sz w:val="22"/>
                    <w:szCs w:val="22"/>
                  </w:rPr>
                </w:pPr>
                <w:r>
                  <w:rPr>
                    <w:rFonts w:ascii="MS Gothic" w:hAnsi="MS Gothic" w:eastAsia="MS Gothic" w:cs="Arial"/>
                    <w:sz w:val="22"/>
                    <w:szCs w:val="22"/>
                    <w:lang w:val="en-GB" w:eastAsia="en-GB"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6" w:hRule="atLeast"/>
        </w:trPr>
        <w:tc>
          <w:tcPr>
            <w:tcW w:w="6946" w:type="dxa"/>
            <w:shd w:val="clear" w:color="auto" w:fill="F1F1F1" w:themeFill="background1" w:themeFillShade="F2"/>
          </w:tcPr>
          <w:p>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r>
              <w:fldChar w:fldCharType="begin"/>
            </w:r>
            <w:r>
              <w:instrText xml:space="preserve"> HYPERLINK "https://www.uwtsd.ac.uk/iiced/protecting-innovation-and-creativity---intellectual-property/" </w:instrText>
            </w:r>
            <w:r>
              <w:fldChar w:fldCharType="separate"/>
            </w:r>
            <w:r>
              <w:rPr>
                <w:rStyle w:val="21"/>
              </w:rPr>
              <w:t>https://www.uwtsd.ac.uk/iiced/protecting-innovation-and-creativity---intellectual-property/</w:t>
            </w:r>
            <w:r>
              <w:rPr>
                <w:rStyle w:val="21"/>
              </w:rPr>
              <w:fldChar w:fldCharType="end"/>
            </w:r>
          </w:p>
          <w:p>
            <w:pPr>
              <w:rPr>
                <w:rFonts w:ascii="Calibri" w:hAnsi="Calibri"/>
              </w:rPr>
            </w:pPr>
          </w:p>
        </w:tc>
        <w:tc>
          <w:tcPr>
            <w:tcW w:w="1418" w:type="dxa"/>
            <w:shd w:val="clear" w:color="auto" w:fill="auto"/>
          </w:tcPr>
          <w:p>
            <w:pPr>
              <w:jc w:val="center"/>
              <w:rPr>
                <w:rFonts w:cs="Arial"/>
                <w:sz w:val="22"/>
                <w:szCs w:val="22"/>
              </w:rPr>
            </w:pPr>
            <w:sdt>
              <w:sdtPr>
                <w:rPr>
                  <w:rFonts w:cs="Arial"/>
                  <w:sz w:val="22"/>
                  <w:szCs w:val="22"/>
                </w:rPr>
                <w:id w:val="1199513403"/>
                <w14:checkbox>
                  <w14:checked w14:val="0"/>
                  <w14:checkedState w14:val="2612" w14:font="MS Gothic"/>
                  <w14:uncheckedState w14:val="2610" w14:font="MS Gothic"/>
                </w14:checkbox>
              </w:sdtPr>
              <w:sdtEndPr>
                <w:rPr>
                  <w:rFonts w:cs="Arial"/>
                  <w:sz w:val="22"/>
                  <w:szCs w:val="22"/>
                </w:rPr>
              </w:sdtEndPr>
              <w:sdtContent>
                <w:r>
                  <w:rPr>
                    <w:rFonts w:hint="eastAsia" w:ascii="MS Gothic" w:hAnsi="MS Gothic" w:eastAsia="MS Gothic" w:cs="Arial"/>
                    <w:sz w:val="22"/>
                    <w:szCs w:val="22"/>
                  </w:rPr>
                  <w:t>☐</w:t>
                </w:r>
              </w:sdtContent>
            </w:sdt>
          </w:p>
        </w:tc>
        <w:tc>
          <w:tcPr>
            <w:tcW w:w="1417" w:type="dxa"/>
            <w:shd w:val="clear" w:color="auto" w:fill="auto"/>
          </w:tcPr>
          <w:p>
            <w:pPr>
              <w:jc w:val="center"/>
              <w:rPr>
                <w:rFonts w:cs="Arial"/>
                <w:sz w:val="22"/>
                <w:szCs w:val="22"/>
              </w:rPr>
            </w:pPr>
            <w:sdt>
              <w:sdtPr>
                <w:rPr>
                  <w:rFonts w:cs="Arial"/>
                  <w:sz w:val="22"/>
                  <w:szCs w:val="22"/>
                </w:rPr>
                <w:id w:val="1455208757"/>
                <w14:checkbox>
                  <w14:checked w14:val="1"/>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lang w:val="en-GB" w:eastAsia="en-GB" w:bidi="ar-SA"/>
                  </w:rPr>
                  <w:t>☒</w:t>
                </w:r>
              </w:sdtContent>
            </w:sdt>
          </w:p>
        </w:tc>
      </w:tr>
    </w:tbl>
    <w:p>
      <w:pPr>
        <w:rPr>
          <w:rFonts w:cs="Arial"/>
          <w:sz w:val="22"/>
          <w:szCs w:val="22"/>
        </w:rPr>
      </w:pPr>
    </w:p>
    <w:tbl>
      <w:tblPr>
        <w:tblStyle w:val="16"/>
        <w:tblW w:w="9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7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9747" w:type="dxa"/>
          </w:tcPr>
          <w:p>
            <w:pPr>
              <w:rPr>
                <w:rFonts w:cs="Arial"/>
                <w:sz w:val="22"/>
                <w:szCs w:val="22"/>
              </w:rPr>
            </w:pPr>
          </w:p>
          <w:p>
            <w:pPr>
              <w:rPr>
                <w:rFonts w:cs="Arial"/>
                <w:b/>
                <w:sz w:val="22"/>
                <w:szCs w:val="22"/>
              </w:rPr>
            </w:pPr>
            <w:r>
              <w:rPr>
                <w:rFonts w:cs="Arial"/>
                <w:b/>
                <w:sz w:val="22"/>
                <w:szCs w:val="22"/>
              </w:rPr>
              <w:t>Student Signature</w:t>
            </w:r>
          </w:p>
          <w:p>
            <w:pPr>
              <w:rPr>
                <w:rFonts w:cs="Arial"/>
                <w:sz w:val="22"/>
                <w:szCs w:val="22"/>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62"/>
              <w:gridCol w:w="6064"/>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94" w:type="dxa"/>
                  <w:shd w:val="clear" w:color="auto" w:fill="F1F1F1" w:themeFill="background1" w:themeFillShade="F2"/>
                </w:tcPr>
                <w:p>
                  <w:pPr>
                    <w:rPr>
                      <w:rFonts w:cs="Arial"/>
                      <w:sz w:val="22"/>
                      <w:szCs w:val="22"/>
                    </w:rPr>
                  </w:pPr>
                </w:p>
                <w:p>
                  <w:pPr>
                    <w:rPr>
                      <w:rFonts w:cs="Arial"/>
                      <w:sz w:val="22"/>
                      <w:szCs w:val="22"/>
                    </w:rPr>
                  </w:pPr>
                  <w:r>
                    <w:rPr>
                      <w:rFonts w:cs="Arial"/>
                      <w:sz w:val="22"/>
                      <w:szCs w:val="22"/>
                    </w:rPr>
                    <w:t>Signature or Print Name:</w:t>
                  </w:r>
                </w:p>
                <w:p>
                  <w:pPr>
                    <w:rPr>
                      <w:rFonts w:cs="Arial"/>
                      <w:sz w:val="22"/>
                      <w:szCs w:val="22"/>
                    </w:rPr>
                  </w:pPr>
                </w:p>
              </w:tc>
              <w:tc>
                <w:tcPr>
                  <w:tcW w:w="6265" w:type="dxa"/>
                </w:tcPr>
                <w:p>
                  <w:pPr>
                    <w:rPr>
                      <w:rFonts w:cs="Arial"/>
                      <w:sz w:val="22"/>
                      <w:szCs w:val="22"/>
                    </w:rPr>
                  </w:pPr>
                </w:p>
              </w:tc>
              <w:tc>
                <w:tcPr>
                  <w:tcW w:w="1417" w:type="dxa"/>
                </w:tcPr>
                <w:p>
                  <w:pPr>
                    <w:rPr>
                      <w:rFonts w:cs="Arial"/>
                      <w:sz w:val="22"/>
                      <w:szCs w:val="22"/>
                    </w:rPr>
                  </w:pPr>
                  <w:r>
                    <w:rPr>
                      <w:rFonts w:cs="Arial"/>
                      <w:sz w:val="22"/>
                      <w:szCs w:val="22"/>
                    </w:rPr>
                    <w:t>Date:</w:t>
                  </w:r>
                </w:p>
              </w:tc>
            </w:tr>
          </w:tbl>
          <w:p>
            <w:pPr>
              <w:rPr>
                <w:rFonts w:cs="Arial"/>
                <w:sz w:val="22"/>
                <w:szCs w:val="22"/>
              </w:rPr>
            </w:pPr>
          </w:p>
          <w:p>
            <w:pPr>
              <w:rPr>
                <w:rFonts w:cs="Arial"/>
                <w:sz w:val="22"/>
                <w:szCs w:val="22"/>
              </w:rPr>
            </w:pPr>
          </w:p>
        </w:tc>
      </w:tr>
    </w:tbl>
    <w:p>
      <w:pPr>
        <w:rPr>
          <w:rFonts w:cs="Arial"/>
          <w:sz w:val="22"/>
          <w:szCs w:val="22"/>
        </w:rPr>
      </w:pPr>
    </w:p>
    <w:p>
      <w:pPr>
        <w:rPr>
          <w:rFonts w:cs="Arial"/>
          <w:sz w:val="22"/>
          <w:szCs w:val="22"/>
        </w:rPr>
      </w:pPr>
      <w:r>
        <w:rPr>
          <w:rFonts w:cs="Arial"/>
          <w:sz w:val="22"/>
          <w:szCs w:val="22"/>
        </w:rPr>
        <w:br w:type="page"/>
      </w:r>
    </w:p>
    <w:p>
      <w:pPr>
        <w:rPr>
          <w:rFonts w:cs="Arial"/>
          <w:sz w:val="22"/>
          <w:szCs w:val="22"/>
        </w:rPr>
      </w:pPr>
      <w:r>
        <w:rPr>
          <w:rFonts w:cs="Arial"/>
          <w:b/>
          <w:bCs/>
          <w:sz w:val="22"/>
          <w:szCs w:val="22"/>
        </w:rPr>
        <w:t>Supervisory Team</w:t>
      </w:r>
    </w:p>
    <w:p>
      <w:pPr>
        <w:rPr>
          <w:rFonts w:cs="Arial"/>
          <w:sz w:val="22"/>
          <w:szCs w:val="22"/>
        </w:rPr>
      </w:pPr>
    </w:p>
    <w:p>
      <w:pPr>
        <w:ind w:left="180"/>
        <w:rPr>
          <w:rFonts w:cs="Arial"/>
          <w:b/>
          <w:sz w:val="22"/>
          <w:szCs w:val="22"/>
        </w:rPr>
      </w:pPr>
    </w:p>
    <w:tbl>
      <w:tblPr>
        <w:tblStyle w:val="16"/>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47" w:type="dxa"/>
            <w:shd w:val="clear" w:color="auto" w:fill="F1F1F1" w:themeFill="background1" w:themeFillShade="F2"/>
          </w:tcPr>
          <w:p>
            <w:pPr>
              <w:rPr>
                <w:rFonts w:cs="Arial"/>
                <w:b/>
                <w:sz w:val="22"/>
                <w:szCs w:val="22"/>
              </w:rPr>
            </w:pPr>
            <w:r>
              <w:rPr>
                <w:rFonts w:cs="Arial"/>
                <w:szCs w:val="22"/>
              </w:rPr>
              <w:t xml:space="preserve">Has the student proposed a viable research project that is appropriate for this programme that should be supported by the Institute?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47" w:type="dxa"/>
          </w:tcPr>
          <w:p>
            <w:pPr>
              <w:rPr>
                <w:rFonts w:cs="Arial"/>
                <w:b/>
                <w:sz w:val="22"/>
                <w:szCs w:val="22"/>
              </w:rPr>
            </w:pPr>
          </w:p>
          <w:p>
            <w:pPr>
              <w:rPr>
                <w:rFonts w:cs="Arial"/>
                <w:b/>
                <w:sz w:val="22"/>
                <w:szCs w:val="22"/>
              </w:rPr>
            </w:pPr>
            <w:r>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Arial"/>
                    <w:b/>
                    <w:sz w:val="22"/>
                    <w:szCs w:val="22"/>
                  </w:rPr>
                  <w:t>☐</w:t>
                </w:r>
              </w:sdtContent>
            </w:sdt>
            <w:r>
              <w:rPr>
                <w:rFonts w:cs="Arial"/>
                <w:b/>
                <w:sz w:val="22"/>
                <w:szCs w:val="22"/>
              </w:rPr>
              <w:t xml:space="preserve">                                                     Not Supported:  </w:t>
            </w:r>
            <w:sdt>
              <w:sdtPr>
                <w:rPr>
                  <w:rFonts w:cs="Arial"/>
                  <w:b/>
                  <w:sz w:val="22"/>
                  <w:szCs w:val="22"/>
                </w:rPr>
                <w:id w:val="1693492707"/>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MS Gothic"/>
                    <w:b/>
                    <w:sz w:val="22"/>
                    <w:szCs w:val="22"/>
                  </w:rPr>
                  <w:t>☐</w:t>
                </w:r>
              </w:sdtContent>
            </w:sdt>
          </w:p>
          <w:p>
            <w:pPr>
              <w:rPr>
                <w:rFonts w:cs="Arial"/>
                <w:b/>
                <w:sz w:val="22"/>
                <w:szCs w:val="22"/>
              </w:rPr>
            </w:pPr>
          </w:p>
          <w:p>
            <w:pPr>
              <w:rPr>
                <w:rFonts w:cs="Arial"/>
                <w:b/>
                <w:sz w:val="22"/>
                <w:szCs w:val="22"/>
              </w:rPr>
            </w:pPr>
          </w:p>
        </w:tc>
      </w:tr>
    </w:tbl>
    <w:p>
      <w:pPr>
        <w:rPr>
          <w:rFonts w:cs="Arial"/>
          <w:sz w:val="22"/>
          <w:szCs w:val="22"/>
        </w:rPr>
      </w:pPr>
    </w:p>
    <w:p>
      <w:pPr>
        <w:rPr>
          <w:rFonts w:cs="Arial"/>
          <w:b/>
          <w:sz w:val="22"/>
          <w:szCs w:val="22"/>
        </w:rPr>
      </w:pPr>
      <w:r>
        <w:rPr>
          <w:rFonts w:cs="Arial"/>
          <w:b/>
          <w:sz w:val="22"/>
          <w:szCs w:val="22"/>
        </w:rPr>
        <w:t>Authorisation</w:t>
      </w:r>
    </w:p>
    <w:p>
      <w:pPr>
        <w:rPr>
          <w:rFonts w:cs="Arial"/>
          <w:sz w:val="22"/>
          <w:szCs w:val="22"/>
        </w:rPr>
      </w:pPr>
    </w:p>
    <w:tbl>
      <w:tblPr>
        <w:tblStyle w:val="16"/>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5387"/>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52" w:type="dxa"/>
            <w:shd w:val="clear" w:color="auto" w:fill="F1F1F1" w:themeFill="background1" w:themeFillShade="F2"/>
          </w:tcPr>
          <w:p>
            <w:pPr>
              <w:rPr>
                <w:rFonts w:cs="Arial"/>
                <w:sz w:val="22"/>
                <w:szCs w:val="22"/>
              </w:rPr>
            </w:pPr>
            <w:r>
              <w:rPr>
                <w:rFonts w:cs="Arial"/>
                <w:sz w:val="22"/>
                <w:szCs w:val="22"/>
              </w:rPr>
              <w:t>Director of Studies</w:t>
            </w:r>
          </w:p>
        </w:tc>
        <w:tc>
          <w:tcPr>
            <w:tcW w:w="5387" w:type="dxa"/>
          </w:tcPr>
          <w:p>
            <w:pPr>
              <w:rPr>
                <w:rFonts w:cs="Arial"/>
                <w:sz w:val="22"/>
                <w:szCs w:val="22"/>
              </w:rPr>
            </w:pPr>
            <w:r>
              <w:rPr>
                <w:rFonts w:cs="Arial"/>
                <w:sz w:val="22"/>
                <w:szCs w:val="22"/>
              </w:rPr>
              <w:t>Signature or Print Name:</w:t>
            </w:r>
          </w:p>
          <w:p>
            <w:pPr>
              <w:rPr>
                <w:rFonts w:cs="Arial"/>
                <w:sz w:val="22"/>
                <w:szCs w:val="22"/>
              </w:rPr>
            </w:pPr>
          </w:p>
          <w:p>
            <w:pPr>
              <w:rPr>
                <w:rFonts w:cs="Arial"/>
                <w:sz w:val="22"/>
                <w:szCs w:val="22"/>
              </w:rPr>
            </w:pPr>
          </w:p>
          <w:p>
            <w:pPr>
              <w:rPr>
                <w:rFonts w:cs="Arial"/>
                <w:sz w:val="22"/>
                <w:szCs w:val="22"/>
              </w:rPr>
            </w:pPr>
          </w:p>
        </w:tc>
        <w:tc>
          <w:tcPr>
            <w:tcW w:w="1842" w:type="dxa"/>
          </w:tcPr>
          <w:p>
            <w:pPr>
              <w:rPr>
                <w:rFonts w:cs="Arial"/>
                <w:sz w:val="22"/>
                <w:szCs w:val="22"/>
              </w:rPr>
            </w:pPr>
            <w:r>
              <w:rPr>
                <w:rFonts w:cs="Arial"/>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52" w:type="dxa"/>
            <w:shd w:val="clear" w:color="auto" w:fill="F1F1F1" w:themeFill="background1" w:themeFillShade="F2"/>
          </w:tcPr>
          <w:p>
            <w:pPr>
              <w:rPr>
                <w:rFonts w:cs="Arial"/>
                <w:sz w:val="22"/>
                <w:szCs w:val="22"/>
              </w:rPr>
            </w:pPr>
            <w:r>
              <w:rPr>
                <w:rFonts w:cs="Arial"/>
                <w:sz w:val="22"/>
                <w:szCs w:val="22"/>
              </w:rPr>
              <w:t>Institute Manager of Research Degrees</w:t>
            </w:r>
          </w:p>
          <w:p>
            <w:pPr>
              <w:rPr>
                <w:rFonts w:cs="Arial"/>
                <w:sz w:val="22"/>
                <w:szCs w:val="22"/>
              </w:rPr>
            </w:pPr>
          </w:p>
        </w:tc>
        <w:tc>
          <w:tcPr>
            <w:tcW w:w="5387" w:type="dxa"/>
          </w:tcPr>
          <w:p>
            <w:pPr>
              <w:rPr>
                <w:rFonts w:cs="Arial"/>
                <w:sz w:val="22"/>
                <w:szCs w:val="22"/>
              </w:rPr>
            </w:pPr>
            <w:r>
              <w:rPr>
                <w:rFonts w:cs="Arial"/>
                <w:sz w:val="22"/>
                <w:szCs w:val="22"/>
              </w:rPr>
              <w:t>Signature or Print Name:</w:t>
            </w:r>
          </w:p>
          <w:p>
            <w:pPr>
              <w:rPr>
                <w:rFonts w:cs="Arial"/>
                <w:sz w:val="22"/>
                <w:szCs w:val="22"/>
              </w:rPr>
            </w:pPr>
          </w:p>
          <w:p>
            <w:pPr>
              <w:rPr>
                <w:rFonts w:cs="Arial"/>
                <w:sz w:val="22"/>
                <w:szCs w:val="22"/>
              </w:rPr>
            </w:pPr>
          </w:p>
          <w:p>
            <w:pPr>
              <w:rPr>
                <w:rFonts w:cs="Arial"/>
                <w:sz w:val="22"/>
                <w:szCs w:val="22"/>
              </w:rPr>
            </w:pPr>
          </w:p>
        </w:tc>
        <w:tc>
          <w:tcPr>
            <w:tcW w:w="1842" w:type="dxa"/>
          </w:tcPr>
          <w:p>
            <w:pPr>
              <w:rPr>
                <w:rFonts w:cs="Arial"/>
                <w:sz w:val="22"/>
                <w:szCs w:val="22"/>
              </w:rPr>
            </w:pPr>
            <w:r>
              <w:rPr>
                <w:rFonts w:cs="Arial"/>
                <w:sz w:val="22"/>
                <w:szCs w:val="22"/>
              </w:rPr>
              <w:t>Date:</w:t>
            </w:r>
          </w:p>
        </w:tc>
      </w:tr>
    </w:tbl>
    <w:p>
      <w:pPr>
        <w:rPr>
          <w:rFonts w:cs="Arial"/>
          <w:sz w:val="22"/>
          <w:szCs w:val="22"/>
        </w:rPr>
      </w:pPr>
    </w:p>
    <w:sectPr>
      <w:headerReference r:id="rId3" w:type="default"/>
      <w:footerReference r:id="rId4" w:type="default"/>
      <w:pgSz w:w="11906" w:h="16838"/>
      <w:pgMar w:top="1440" w:right="1440" w:bottom="1440" w:left="1440" w:header="284" w:footer="709"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609020205090404"/>
    <w:charset w:val="01"/>
    <w:family w:val="modern"/>
    <w:pitch w:val="default"/>
    <w:sig w:usb0="00000A87" w:usb1="00000000" w:usb2="00000000" w:usb3="00000000" w:csb0="400001BF" w:csb1="DFF70000"/>
  </w:font>
  <w:font w:name="Symbol">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ahoma">
    <w:panose1 w:val="020B0804030504040204"/>
    <w:charset w:val="00"/>
    <w:family w:val="auto"/>
    <w:pitch w:val="default"/>
    <w:sig w:usb0="61007A87" w:usb1="80000000" w:usb2="00000008" w:usb3="00000000" w:csb0="200101FF" w:csb1="20280000"/>
  </w:font>
  <w:font w:name="Helvetica Neue">
    <w:panose1 w:val="02000503000000020004"/>
    <w:charset w:val="00"/>
    <w:family w:val="auto"/>
    <w:pitch w:val="default"/>
    <w:sig w:usb0="E50002FF" w:usb1="500079DB" w:usb2="00000010" w:usb3="00000000" w:csb0="00000000" w:csb1="00000000"/>
  </w:font>
  <w:font w:name=".pingfang sc">
    <w:altName w:val="苹方-简"/>
    <w:panose1 w:val="00000000000000000000"/>
    <w:charset w:val="00"/>
    <w:family w:val="auto"/>
    <w:pitch w:val="default"/>
    <w:sig w:usb0="00000000" w:usb1="00000000" w:usb2="00000000" w:usb3="00000000" w:csb0="00000000" w:csb1="00000000"/>
  </w:font>
  <w:font w:name="menlo">
    <w:panose1 w:val="020B0609030804020204"/>
    <w:charset w:val="00"/>
    <w:family w:val="auto"/>
    <w:pitch w:val="default"/>
    <w:sig w:usb0="E60022FF" w:usb1="D200F9FB" w:usb2="02000028" w:usb3="00000000" w:csb0="600001DF" w:csb1="FFDF0000"/>
  </w:font>
  <w:font w:name="SimSun">
    <w:panose1 w:val="02010600030101010101"/>
    <w:charset w:val="86"/>
    <w:family w:val="auto"/>
    <w:pitch w:val="default"/>
    <w:sig w:usb0="00000003" w:usb1="080E0000" w:usb2="00000000" w:usb3="00000000" w:csb0="00040001" w:csb1="00000000"/>
  </w:font>
  <w:font w:name="MS Gothic">
    <w:panose1 w:val="020B0609070205080204"/>
    <w:charset w:val="80"/>
    <w:family w:val="modern"/>
    <w:pitch w:val="default"/>
    <w:sig w:usb0="A00002BF" w:usb1="68C7FCFB" w:usb2="00000010" w:usb3="00000000" w:csb0="4002009F" w:csb1="DFD70000"/>
  </w:font>
  <w:font w:name="Arial Regular">
    <w:panose1 w:val="020B0604020202020204"/>
    <w:charset w:val="00"/>
    <w:family w:val="auto"/>
    <w:pitch w:val="default"/>
    <w:sig w:usb0="E0002AFF" w:usb1="C0007843" w:usb2="00000009" w:usb3="00000000" w:csb0="400001FF" w:csb1="FFFF0000"/>
  </w:font>
  <w:font w:name="Microsoft YaHei">
    <w:panose1 w:val="020B0503020204020204"/>
    <w:charset w:val="86"/>
    <w:family w:val="swiss"/>
    <w:pitch w:val="default"/>
    <w:sig w:usb0="80000287" w:usb1="2A0F3C52" w:usb2="00000016" w:usb3="00000000" w:csb0="0004001F" w:csb1="00000000"/>
  </w:font>
  <w:font w:name="Arial Italic">
    <w:panose1 w:val="020B0604020202020204"/>
    <w:charset w:val="00"/>
    <w:family w:val="auto"/>
    <w:pitch w:val="default"/>
    <w:sig w:usb0="E0002AFF" w:usb1="C0007843" w:usb2="00000009" w:usb3="00000000" w:csb0="400001FF" w:csb1="FFFF0000"/>
  </w:font>
  <w:font w:name="Helvetica">
    <w:panose1 w:val="00000000000000000000"/>
    <w:charset w:val="00"/>
    <w:family w:val="auto"/>
    <w:pitch w:val="default"/>
    <w:sig w:usb0="E00002FF" w:usb1="5000785B" w:usb2="00000000" w:usb3="00000000" w:csb0="2000019F" w:csb1="4F010000"/>
  </w:font>
  <w:font w:name="Agency FB">
    <w:altName w:val="Helvetica Neue"/>
    <w:panose1 w:val="020B0503020202020204"/>
    <w:charset w:val="4D"/>
    <w:family w:val="swiss"/>
    <w:pitch w:val="default"/>
    <w:sig w:usb0="00000000" w:usb1="00000000" w:usb2="00000000" w:usb3="00000000" w:csb0="00000001" w:csb1="00000000"/>
  </w:font>
  <w:font w:name="★雅丽体">
    <w:panose1 w:val="00000600000000000000"/>
    <w:charset w:val="88"/>
    <w:family w:val="auto"/>
    <w:pitch w:val="default"/>
    <w:sig w:usb0="A00002FF" w:usb1="3ACFFD7A" w:usb2="00000016" w:usb3="00000000" w:csb0="00120005" w:csb1="00000000"/>
  </w:font>
  <w:font w:name="宋体-简">
    <w:panose1 w:val="02010800040101010101"/>
    <w:charset w:val="86"/>
    <w:family w:val="auto"/>
    <w:pitch w:val="default"/>
    <w:sig w:usb0="00000001" w:usb1="080F0000" w:usb2="00000000" w:usb3="00000000" w:csb0="00040000" w:csb1="00000000"/>
  </w:font>
  <w:font w:name="苹方-简">
    <w:panose1 w:val="020B0400000000000000"/>
    <w:charset w:val="86"/>
    <w:family w:val="auto"/>
    <w:pitch w:val="default"/>
    <w:sig w:usb0="A00002FF" w:usb1="7ACFFDFB" w:usb2="00000017"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1110303"/>
    </w:sdtPr>
    <w:sdtContent>
      <w:p>
        <w:pPr>
          <w:pStyle w:val="10"/>
          <w:jc w:val="center"/>
        </w:pPr>
        <w:r>
          <w:fldChar w:fldCharType="begin"/>
        </w:r>
        <w:r>
          <w:instrText xml:space="preserve"> PAGE   \* MERGEFORMAT </w:instrText>
        </w:r>
        <w:r>
          <w:fldChar w:fldCharType="separate"/>
        </w:r>
        <w:r>
          <w:t>1</w:t>
        </w:r>
        <w:r>
          <w:fldChar w:fldCharType="end"/>
        </w:r>
      </w:p>
    </w:sdtContent>
  </w:sdt>
  <w:p>
    <w:pPr>
      <w:pStyle w:val="10"/>
      <w:tabs>
        <w:tab w:val="center" w:pos="4536"/>
        <w:tab w:val="left" w:pos="7371"/>
        <w:tab w:val="clear" w:pos="4320"/>
      </w:tabs>
      <w:ind w:right="-755"/>
    </w:pPr>
    <w:r>
      <w:t>November 2020                                                                                                  PG1 Full Research Proposal</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drawing>
        <wp:anchor distT="0" distB="0" distL="114300" distR="114300" simplePos="0" relativeHeight="251659264" behindDoc="0" locked="0" layoutInCell="1" allowOverlap="1">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p>
  <w:p>
    <w:pPr>
      <w:pStyle w:val="11"/>
      <w:jc w:val="right"/>
    </w:pPr>
    <w:r>
      <w:tab/>
    </w:r>
    <w:r>
      <w:tab/>
    </w:r>
    <w:r>
      <w:tab/>
    </w:r>
    <w:r>
      <w:tab/>
    </w:r>
    <w:r>
      <w:t>Appendix PG1</w:t>
    </w:r>
  </w:p>
  <w:p>
    <w:pPr>
      <w:pStyle w:val="11"/>
    </w:pPr>
  </w:p>
  <w:p>
    <w:pPr>
      <w:pStyle w:val="11"/>
    </w:pPr>
  </w:p>
  <w:p>
    <w:pPr>
      <w:pStyle w:val="11"/>
    </w:pPr>
  </w:p>
  <w:p>
    <w:pPr>
      <w:pStyle w:val="11"/>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8B0ABE"/>
    <w:multiLevelType w:val="multilevel"/>
    <w:tmpl w:val="128B0AB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75F017F"/>
    <w:multiLevelType w:val="multilevel"/>
    <w:tmpl w:val="375F017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1731D98"/>
    <w:multiLevelType w:val="multilevel"/>
    <w:tmpl w:val="71731D9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780352D0"/>
    <w:multiLevelType w:val="multilevel"/>
    <w:tmpl w:val="780352D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720"/>
  <w:displayHorizontalDrawingGridEvery w:val="1"/>
  <w:displayVerticalDrawingGridEvery w:val="1"/>
  <w:doNotUseMarginsForDrawingGridOrigin w:val="1"/>
  <w:drawingGridHorizontalOrigin w:val="1800"/>
  <w:drawingGridVerticalOrigin w:val="1440"/>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C1D53"/>
    <w:rsid w:val="000C4198"/>
    <w:rsid w:val="000C6D22"/>
    <w:rsid w:val="000D166A"/>
    <w:rsid w:val="000F5B56"/>
    <w:rsid w:val="0010084E"/>
    <w:rsid w:val="001217FD"/>
    <w:rsid w:val="00121AC3"/>
    <w:rsid w:val="001400B5"/>
    <w:rsid w:val="00141DF3"/>
    <w:rsid w:val="0015311B"/>
    <w:rsid w:val="00154D0F"/>
    <w:rsid w:val="00157905"/>
    <w:rsid w:val="00165D23"/>
    <w:rsid w:val="00166B83"/>
    <w:rsid w:val="00172F4C"/>
    <w:rsid w:val="00173CC3"/>
    <w:rsid w:val="00185554"/>
    <w:rsid w:val="001B1EEF"/>
    <w:rsid w:val="001C367F"/>
    <w:rsid w:val="001C6B27"/>
    <w:rsid w:val="001D074C"/>
    <w:rsid w:val="001D71EA"/>
    <w:rsid w:val="001F47B0"/>
    <w:rsid w:val="001F5E3E"/>
    <w:rsid w:val="002114E6"/>
    <w:rsid w:val="0022098F"/>
    <w:rsid w:val="00221A9E"/>
    <w:rsid w:val="00222D05"/>
    <w:rsid w:val="0022643E"/>
    <w:rsid w:val="002370BA"/>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39F3"/>
    <w:rsid w:val="00325CBE"/>
    <w:rsid w:val="003275B0"/>
    <w:rsid w:val="003317EE"/>
    <w:rsid w:val="00332B43"/>
    <w:rsid w:val="00335D74"/>
    <w:rsid w:val="0034191A"/>
    <w:rsid w:val="00353C75"/>
    <w:rsid w:val="00363F74"/>
    <w:rsid w:val="00370831"/>
    <w:rsid w:val="00376A02"/>
    <w:rsid w:val="00391D2C"/>
    <w:rsid w:val="003A11E9"/>
    <w:rsid w:val="003A748D"/>
    <w:rsid w:val="003B4AF0"/>
    <w:rsid w:val="003C062E"/>
    <w:rsid w:val="003C5892"/>
    <w:rsid w:val="003C7969"/>
    <w:rsid w:val="003D62AF"/>
    <w:rsid w:val="003E5663"/>
    <w:rsid w:val="003E7D6B"/>
    <w:rsid w:val="003F4C86"/>
    <w:rsid w:val="003F7948"/>
    <w:rsid w:val="003F7D77"/>
    <w:rsid w:val="00404C72"/>
    <w:rsid w:val="004262CD"/>
    <w:rsid w:val="00430E87"/>
    <w:rsid w:val="004310AE"/>
    <w:rsid w:val="004375FD"/>
    <w:rsid w:val="004448A0"/>
    <w:rsid w:val="0045240A"/>
    <w:rsid w:val="00452942"/>
    <w:rsid w:val="00474F13"/>
    <w:rsid w:val="00475B50"/>
    <w:rsid w:val="00476E74"/>
    <w:rsid w:val="004971D4"/>
    <w:rsid w:val="004B251B"/>
    <w:rsid w:val="004B2A69"/>
    <w:rsid w:val="004E363A"/>
    <w:rsid w:val="004F22A4"/>
    <w:rsid w:val="00512288"/>
    <w:rsid w:val="005140FB"/>
    <w:rsid w:val="005302A6"/>
    <w:rsid w:val="005363FE"/>
    <w:rsid w:val="005419D3"/>
    <w:rsid w:val="00541CFE"/>
    <w:rsid w:val="005513E3"/>
    <w:rsid w:val="0055230D"/>
    <w:rsid w:val="00556BFF"/>
    <w:rsid w:val="00557BD7"/>
    <w:rsid w:val="005608A4"/>
    <w:rsid w:val="00595F5B"/>
    <w:rsid w:val="00595FC4"/>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54638"/>
    <w:rsid w:val="00654D91"/>
    <w:rsid w:val="006551B2"/>
    <w:rsid w:val="00660727"/>
    <w:rsid w:val="006731F3"/>
    <w:rsid w:val="00677F77"/>
    <w:rsid w:val="00682636"/>
    <w:rsid w:val="0069594C"/>
    <w:rsid w:val="006B20A7"/>
    <w:rsid w:val="006B582D"/>
    <w:rsid w:val="006C0F0D"/>
    <w:rsid w:val="006C170C"/>
    <w:rsid w:val="006C45FB"/>
    <w:rsid w:val="006D04D5"/>
    <w:rsid w:val="006D05CF"/>
    <w:rsid w:val="006D503F"/>
    <w:rsid w:val="006D7C2A"/>
    <w:rsid w:val="006F1BDC"/>
    <w:rsid w:val="00702A7E"/>
    <w:rsid w:val="00703A24"/>
    <w:rsid w:val="0071332A"/>
    <w:rsid w:val="00717DFA"/>
    <w:rsid w:val="00753EDE"/>
    <w:rsid w:val="00763457"/>
    <w:rsid w:val="00795C79"/>
    <w:rsid w:val="007A0692"/>
    <w:rsid w:val="007A3641"/>
    <w:rsid w:val="007C2A63"/>
    <w:rsid w:val="007C755A"/>
    <w:rsid w:val="007E550E"/>
    <w:rsid w:val="007F6FC1"/>
    <w:rsid w:val="00802E0D"/>
    <w:rsid w:val="00816ED8"/>
    <w:rsid w:val="00820E04"/>
    <w:rsid w:val="00825E70"/>
    <w:rsid w:val="0083144B"/>
    <w:rsid w:val="00831EF8"/>
    <w:rsid w:val="00832FEA"/>
    <w:rsid w:val="008422EE"/>
    <w:rsid w:val="00855925"/>
    <w:rsid w:val="008571F8"/>
    <w:rsid w:val="00877A6B"/>
    <w:rsid w:val="008812C3"/>
    <w:rsid w:val="008859B3"/>
    <w:rsid w:val="0088683F"/>
    <w:rsid w:val="008876C0"/>
    <w:rsid w:val="008944DE"/>
    <w:rsid w:val="00896244"/>
    <w:rsid w:val="008A397A"/>
    <w:rsid w:val="008C0ACE"/>
    <w:rsid w:val="008C1EE6"/>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803A2"/>
    <w:rsid w:val="009905BC"/>
    <w:rsid w:val="00994CF9"/>
    <w:rsid w:val="009A0D4E"/>
    <w:rsid w:val="009A2302"/>
    <w:rsid w:val="009A654D"/>
    <w:rsid w:val="009A7385"/>
    <w:rsid w:val="009C7898"/>
    <w:rsid w:val="009E1467"/>
    <w:rsid w:val="009F3BE4"/>
    <w:rsid w:val="00A048DE"/>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12AB0"/>
    <w:rsid w:val="00B273A5"/>
    <w:rsid w:val="00B3408B"/>
    <w:rsid w:val="00B65D5E"/>
    <w:rsid w:val="00B70B7E"/>
    <w:rsid w:val="00B718D3"/>
    <w:rsid w:val="00B77573"/>
    <w:rsid w:val="00B84A54"/>
    <w:rsid w:val="00B95514"/>
    <w:rsid w:val="00BB2F10"/>
    <w:rsid w:val="00BD2727"/>
    <w:rsid w:val="00BD589F"/>
    <w:rsid w:val="00BD7EF3"/>
    <w:rsid w:val="00BE24D4"/>
    <w:rsid w:val="00BF0916"/>
    <w:rsid w:val="00C037ED"/>
    <w:rsid w:val="00C14717"/>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C4AC2"/>
    <w:rsid w:val="00CC5FEA"/>
    <w:rsid w:val="00CD0196"/>
    <w:rsid w:val="00CD2785"/>
    <w:rsid w:val="00CD5B6B"/>
    <w:rsid w:val="00D01434"/>
    <w:rsid w:val="00D03BB7"/>
    <w:rsid w:val="00D122D0"/>
    <w:rsid w:val="00D215F0"/>
    <w:rsid w:val="00D25A52"/>
    <w:rsid w:val="00D46D22"/>
    <w:rsid w:val="00D56242"/>
    <w:rsid w:val="00D60565"/>
    <w:rsid w:val="00D63189"/>
    <w:rsid w:val="00D70714"/>
    <w:rsid w:val="00D732FC"/>
    <w:rsid w:val="00D81082"/>
    <w:rsid w:val="00D83BB1"/>
    <w:rsid w:val="00DC2AE7"/>
    <w:rsid w:val="00DD1E66"/>
    <w:rsid w:val="00DE3885"/>
    <w:rsid w:val="00DE54F9"/>
    <w:rsid w:val="00DF2827"/>
    <w:rsid w:val="00DF3FF2"/>
    <w:rsid w:val="00DF7459"/>
    <w:rsid w:val="00E03A7C"/>
    <w:rsid w:val="00E17B09"/>
    <w:rsid w:val="00E26E40"/>
    <w:rsid w:val="00E60894"/>
    <w:rsid w:val="00E800B4"/>
    <w:rsid w:val="00E90E39"/>
    <w:rsid w:val="00E90FFB"/>
    <w:rsid w:val="00EA4DDB"/>
    <w:rsid w:val="00EB29E8"/>
    <w:rsid w:val="00EC2239"/>
    <w:rsid w:val="00ED34D1"/>
    <w:rsid w:val="00EE3F65"/>
    <w:rsid w:val="00EE4E91"/>
    <w:rsid w:val="00F02051"/>
    <w:rsid w:val="00F20553"/>
    <w:rsid w:val="00F26723"/>
    <w:rsid w:val="00F274DA"/>
    <w:rsid w:val="00F41F11"/>
    <w:rsid w:val="00F50670"/>
    <w:rsid w:val="00F6356A"/>
    <w:rsid w:val="00F65BA4"/>
    <w:rsid w:val="00F65ECA"/>
    <w:rsid w:val="00F678E5"/>
    <w:rsid w:val="00F7569E"/>
    <w:rsid w:val="00F77B80"/>
    <w:rsid w:val="00F8710D"/>
    <w:rsid w:val="00F901BB"/>
    <w:rsid w:val="00F9606E"/>
    <w:rsid w:val="00FD60D8"/>
    <w:rsid w:val="00FD70D5"/>
    <w:rsid w:val="00FE3258"/>
    <w:rsid w:val="00FF5FBE"/>
    <w:rsid w:val="0FFBE394"/>
    <w:rsid w:val="1FD9657D"/>
    <w:rsid w:val="1FEB1A04"/>
    <w:rsid w:val="2EFE6D79"/>
    <w:rsid w:val="337CCFF2"/>
    <w:rsid w:val="33FBDEA8"/>
    <w:rsid w:val="3AFF2909"/>
    <w:rsid w:val="3B8F94CD"/>
    <w:rsid w:val="3DBB16AB"/>
    <w:rsid w:val="3DBFEB12"/>
    <w:rsid w:val="3FFF0FD4"/>
    <w:rsid w:val="4BFF84A0"/>
    <w:rsid w:val="4F7F8E60"/>
    <w:rsid w:val="5AD3B97A"/>
    <w:rsid w:val="62C74F16"/>
    <w:rsid w:val="66EF96D0"/>
    <w:rsid w:val="6CAF9864"/>
    <w:rsid w:val="6EABC7B4"/>
    <w:rsid w:val="6F8DA6EA"/>
    <w:rsid w:val="6FADB135"/>
    <w:rsid w:val="6FFBB3D0"/>
    <w:rsid w:val="73BFC550"/>
    <w:rsid w:val="73F9F410"/>
    <w:rsid w:val="76D9FD86"/>
    <w:rsid w:val="7EEB04B5"/>
    <w:rsid w:val="7FAA4035"/>
    <w:rsid w:val="7FEE1613"/>
    <w:rsid w:val="7FEF0578"/>
    <w:rsid w:val="7FF3421F"/>
    <w:rsid w:val="7FFFCD93"/>
    <w:rsid w:val="9C6F72DB"/>
    <w:rsid w:val="9FD22E29"/>
    <w:rsid w:val="A2FBB946"/>
    <w:rsid w:val="A9CF24E6"/>
    <w:rsid w:val="ABFC95B9"/>
    <w:rsid w:val="B77CCABA"/>
    <w:rsid w:val="BA9BFCD3"/>
    <w:rsid w:val="C9FE2857"/>
    <w:rsid w:val="CDFF0E16"/>
    <w:rsid w:val="CF6FD457"/>
    <w:rsid w:val="D65FC17B"/>
    <w:rsid w:val="DAFB6EB6"/>
    <w:rsid w:val="DC3F0C7C"/>
    <w:rsid w:val="DECD1F8E"/>
    <w:rsid w:val="EC7FEBAA"/>
    <w:rsid w:val="EFC32488"/>
    <w:rsid w:val="F5BBD705"/>
    <w:rsid w:val="F5F37815"/>
    <w:rsid w:val="F6D9ECE2"/>
    <w:rsid w:val="F7F7F19E"/>
    <w:rsid w:val="FA7C0766"/>
    <w:rsid w:val="FB37E0E0"/>
    <w:rsid w:val="FCAB0342"/>
    <w:rsid w:val="FCCF6246"/>
    <w:rsid w:val="FCD33898"/>
    <w:rsid w:val="FCFD730A"/>
    <w:rsid w:val="FD725315"/>
    <w:rsid w:val="FE7FB748"/>
    <w:rsid w:val="FF15F079"/>
    <w:rsid w:val="FFA7D6BC"/>
    <w:rsid w:val="FFD7900B"/>
    <w:rsid w:val="FFFBF0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Times New Roman"/>
      <w:lang w:val="en-GB" w:eastAsia="en-GB" w:bidi="ar-SA"/>
    </w:rPr>
  </w:style>
  <w:style w:type="paragraph" w:styleId="2">
    <w:name w:val="heading 1"/>
    <w:basedOn w:val="1"/>
    <w:next w:val="1"/>
    <w:qFormat/>
    <w:uiPriority w:val="0"/>
    <w:pPr>
      <w:keepNext/>
      <w:outlineLvl w:val="0"/>
    </w:pPr>
    <w:rPr>
      <w:b/>
    </w:rPr>
  </w:style>
  <w:style w:type="paragraph" w:styleId="3">
    <w:name w:val="heading 2"/>
    <w:basedOn w:val="1"/>
    <w:next w:val="1"/>
    <w:qFormat/>
    <w:uiPriority w:val="0"/>
    <w:pPr>
      <w:keepNext/>
      <w:spacing w:before="240" w:after="60"/>
      <w:outlineLvl w:val="1"/>
    </w:pPr>
    <w:rPr>
      <w:b/>
      <w:i/>
      <w:sz w:val="24"/>
    </w:rPr>
  </w:style>
  <w:style w:type="paragraph" w:styleId="4">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9"/>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26"/>
    <w:unhideWhenUsed/>
    <w:qFormat/>
    <w:uiPriority w:val="99"/>
    <w:rPr>
      <w:lang w:val="zh-CN" w:eastAsia="zh-CN"/>
    </w:rPr>
  </w:style>
  <w:style w:type="paragraph" w:styleId="7">
    <w:name w:val="Body Text"/>
    <w:basedOn w:val="1"/>
    <w:qFormat/>
    <w:uiPriority w:val="0"/>
    <w:pPr>
      <w:jc w:val="both"/>
    </w:pPr>
    <w:rPr>
      <w:b/>
    </w:rPr>
  </w:style>
  <w:style w:type="paragraph" w:styleId="8">
    <w:name w:val="Block Text"/>
    <w:basedOn w:val="1"/>
    <w:qFormat/>
    <w:uiPriority w:val="0"/>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9">
    <w:name w:val="Balloon Text"/>
    <w:basedOn w:val="1"/>
    <w:semiHidden/>
    <w:qFormat/>
    <w:uiPriority w:val="0"/>
    <w:rPr>
      <w:rFonts w:ascii="Tahoma" w:hAnsi="Tahoma" w:cs="Tahoma"/>
      <w:sz w:val="16"/>
      <w:szCs w:val="16"/>
    </w:rPr>
  </w:style>
  <w:style w:type="paragraph" w:styleId="10">
    <w:name w:val="footer"/>
    <w:basedOn w:val="1"/>
    <w:link w:val="28"/>
    <w:qFormat/>
    <w:uiPriority w:val="99"/>
    <w:pPr>
      <w:tabs>
        <w:tab w:val="center" w:pos="4320"/>
        <w:tab w:val="right" w:pos="8640"/>
      </w:tabs>
    </w:pPr>
  </w:style>
  <w:style w:type="paragraph" w:styleId="11">
    <w:name w:val="header"/>
    <w:basedOn w:val="1"/>
    <w:qFormat/>
    <w:uiPriority w:val="0"/>
    <w:pPr>
      <w:tabs>
        <w:tab w:val="center" w:pos="4320"/>
        <w:tab w:val="right" w:pos="8640"/>
      </w:tabs>
    </w:pPr>
  </w:style>
  <w:style w:type="paragraph" w:styleId="12">
    <w:name w:val="footnote text"/>
    <w:basedOn w:val="1"/>
    <w:semiHidden/>
    <w:qFormat/>
    <w:uiPriority w:val="0"/>
  </w:style>
  <w:style w:type="paragraph" w:styleId="13">
    <w:name w:val="Normal (Web)"/>
    <w:basedOn w:val="1"/>
    <w:unhideWhenUsed/>
    <w:qFormat/>
    <w:uiPriority w:val="99"/>
    <w:pPr>
      <w:spacing w:before="100" w:beforeAutospacing="1" w:after="100" w:afterAutospacing="1"/>
    </w:pPr>
    <w:rPr>
      <w:rFonts w:ascii="Times New Roman" w:hAnsi="Times New Roman"/>
      <w:sz w:val="24"/>
      <w:szCs w:val="24"/>
    </w:rPr>
  </w:style>
  <w:style w:type="paragraph" w:styleId="14">
    <w:name w:val="annotation subject"/>
    <w:basedOn w:val="6"/>
    <w:next w:val="6"/>
    <w:link w:val="27"/>
    <w:unhideWhenUsed/>
    <w:qFormat/>
    <w:uiPriority w:val="99"/>
    <w:rPr>
      <w:b/>
      <w:bCs/>
    </w:rPr>
  </w:style>
  <w:style w:type="table" w:styleId="16">
    <w:name w:val="Table Grid"/>
    <w:basedOn w:val="1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qFormat/>
    <w:uiPriority w:val="22"/>
    <w:rPr>
      <w:b/>
      <w:bCs/>
    </w:rPr>
  </w:style>
  <w:style w:type="character" w:styleId="19">
    <w:name w:val="FollowedHyperlink"/>
    <w:qFormat/>
    <w:uiPriority w:val="0"/>
    <w:rPr>
      <w:color w:val="800080"/>
      <w:u w:val="single"/>
    </w:rPr>
  </w:style>
  <w:style w:type="character" w:styleId="20">
    <w:name w:val="Emphasis"/>
    <w:basedOn w:val="17"/>
    <w:qFormat/>
    <w:uiPriority w:val="20"/>
    <w:rPr>
      <w:i/>
    </w:rPr>
  </w:style>
  <w:style w:type="character" w:styleId="21">
    <w:name w:val="Hyperlink"/>
    <w:qFormat/>
    <w:uiPriority w:val="0"/>
    <w:rPr>
      <w:color w:val="0000FF"/>
      <w:u w:val="single"/>
    </w:rPr>
  </w:style>
  <w:style w:type="character" w:styleId="22">
    <w:name w:val="annotation reference"/>
    <w:unhideWhenUsed/>
    <w:qFormat/>
    <w:uiPriority w:val="99"/>
    <w:rPr>
      <w:sz w:val="16"/>
      <w:szCs w:val="16"/>
    </w:rPr>
  </w:style>
  <w:style w:type="character" w:styleId="23">
    <w:name w:val="footnote reference"/>
    <w:semiHidden/>
    <w:qFormat/>
    <w:uiPriority w:val="0"/>
    <w:rPr>
      <w:vertAlign w:val="superscript"/>
    </w:rPr>
  </w:style>
  <w:style w:type="paragraph" w:customStyle="1" w:styleId="24">
    <w:name w:val="Heading Erasmod"/>
    <w:basedOn w:val="3"/>
    <w:qFormat/>
    <w:uiPriority w:val="0"/>
    <w:pPr>
      <w:pBdr>
        <w:top w:val="single" w:color="auto" w:sz="6" w:space="1"/>
        <w:left w:val="single" w:color="auto" w:sz="6" w:space="1"/>
        <w:bottom w:val="single" w:color="auto" w:sz="6" w:space="1"/>
        <w:right w:val="single" w:color="auto" w:sz="6" w:space="1"/>
      </w:pBdr>
      <w:spacing w:before="0" w:after="120"/>
    </w:pPr>
    <w:rPr>
      <w:i w:val="0"/>
      <w:caps/>
      <w:sz w:val="28"/>
    </w:rPr>
  </w:style>
  <w:style w:type="paragraph" w:customStyle="1" w:styleId="25">
    <w:name w:val="Medium List 2 - Accent 21"/>
    <w:hidden/>
    <w:semiHidden/>
    <w:qFormat/>
    <w:uiPriority w:val="99"/>
    <w:rPr>
      <w:rFonts w:ascii="Arial" w:hAnsi="Arial" w:eastAsia="Times New Roman" w:cs="Times New Roman"/>
      <w:lang w:val="en-GB" w:eastAsia="en-GB" w:bidi="ar-SA"/>
    </w:rPr>
  </w:style>
  <w:style w:type="character" w:customStyle="1" w:styleId="26">
    <w:name w:val="Comment Text Char"/>
    <w:link w:val="6"/>
    <w:semiHidden/>
    <w:qFormat/>
    <w:uiPriority w:val="99"/>
    <w:rPr>
      <w:rFonts w:ascii="Arial" w:hAnsi="Arial"/>
    </w:rPr>
  </w:style>
  <w:style w:type="character" w:customStyle="1" w:styleId="27">
    <w:name w:val="Comment Subject Char"/>
    <w:link w:val="14"/>
    <w:semiHidden/>
    <w:qFormat/>
    <w:uiPriority w:val="99"/>
    <w:rPr>
      <w:rFonts w:ascii="Arial" w:hAnsi="Arial"/>
      <w:b/>
      <w:bCs/>
    </w:rPr>
  </w:style>
  <w:style w:type="character" w:customStyle="1" w:styleId="28">
    <w:name w:val="Footer Char"/>
    <w:link w:val="10"/>
    <w:qFormat/>
    <w:uiPriority w:val="99"/>
    <w:rPr>
      <w:rFonts w:ascii="Arial" w:hAnsi="Arial"/>
    </w:rPr>
  </w:style>
  <w:style w:type="paragraph" w:customStyle="1" w:styleId="29">
    <w:name w:val="List Paragraph1"/>
    <w:basedOn w:val="1"/>
    <w:qFormat/>
    <w:uiPriority w:val="99"/>
    <w:pPr>
      <w:ind w:left="720"/>
    </w:pPr>
  </w:style>
  <w:style w:type="paragraph" w:customStyle="1" w:styleId="30">
    <w:name w:val="Revision1"/>
    <w:hidden/>
    <w:semiHidden/>
    <w:qFormat/>
    <w:uiPriority w:val="99"/>
    <w:rPr>
      <w:rFonts w:ascii="Arial" w:hAnsi="Arial" w:eastAsia="Times New Roman" w:cs="Times New Roman"/>
      <w:lang w:val="en-GB" w:eastAsia="en-GB" w:bidi="ar-SA"/>
    </w:rPr>
  </w:style>
  <w:style w:type="paragraph" w:customStyle="1" w:styleId="31">
    <w:name w:val="No Spacing1"/>
    <w:qFormat/>
    <w:uiPriority w:val="99"/>
    <w:pPr>
      <w:overflowPunct w:val="0"/>
      <w:autoSpaceDE w:val="0"/>
      <w:autoSpaceDN w:val="0"/>
      <w:adjustRightInd w:val="0"/>
    </w:pPr>
    <w:rPr>
      <w:rFonts w:ascii="Calibri" w:hAnsi="Calibri" w:eastAsia="Times New Roman" w:cs="Times New Roman"/>
      <w:sz w:val="22"/>
      <w:lang w:val="en-GB" w:eastAsia="en-US" w:bidi="ar-SA"/>
    </w:rPr>
  </w:style>
  <w:style w:type="character" w:customStyle="1" w:styleId="32">
    <w:name w:val="Unresolved Mention1"/>
    <w:basedOn w:val="17"/>
    <w:unhideWhenUsed/>
    <w:qFormat/>
    <w:uiPriority w:val="99"/>
    <w:rPr>
      <w:color w:val="605E5C"/>
      <w:shd w:val="clear" w:color="auto" w:fill="E1DFDD"/>
    </w:rPr>
  </w:style>
  <w:style w:type="paragraph" w:customStyle="1" w:styleId="33">
    <w:name w:val="_Style 31"/>
    <w:basedOn w:val="1"/>
    <w:next w:val="1"/>
    <w:qFormat/>
    <w:uiPriority w:val="0"/>
    <w:pPr>
      <w:pBdr>
        <w:bottom w:val="single" w:color="auto" w:sz="6" w:space="1"/>
      </w:pBdr>
      <w:jc w:val="center"/>
    </w:pPr>
    <w:rPr>
      <w:rFonts w:ascii="Arial" w:eastAsia="宋体"/>
      <w:vanish/>
      <w:sz w:val="16"/>
    </w:rPr>
  </w:style>
  <w:style w:type="paragraph" w:customStyle="1" w:styleId="34">
    <w:name w:val="_Style 32"/>
    <w:basedOn w:val="1"/>
    <w:next w:val="1"/>
    <w:qFormat/>
    <w:uiPriority w:val="0"/>
    <w:pPr>
      <w:pBdr>
        <w:top w:val="single" w:color="auto" w:sz="6" w:space="1"/>
      </w:pBdr>
      <w:jc w:val="center"/>
    </w:pPr>
    <w:rPr>
      <w:rFonts w:ascii="Arial" w:eastAsia="宋体"/>
      <w:vanish/>
      <w:sz w:val="16"/>
    </w:rPr>
  </w:style>
  <w:style w:type="character" w:customStyle="1" w:styleId="35">
    <w:name w:val="s3"/>
    <w:basedOn w:val="17"/>
    <w:qFormat/>
    <w:uiPriority w:val="0"/>
    <w:rPr>
      <w:rFonts w:ascii="Helvetica Neue" w:hAnsi="Helvetica Neue" w:eastAsia="Helvetica Neue" w:cs="Helvetica Neue"/>
      <w:sz w:val="24"/>
      <w:szCs w:val="24"/>
    </w:rPr>
  </w:style>
  <w:style w:type="character" w:customStyle="1" w:styleId="36">
    <w:name w:val="s2"/>
    <w:basedOn w:val="17"/>
    <w:qFormat/>
    <w:uiPriority w:val="0"/>
    <w:rPr>
      <w:rFonts w:ascii=".pingfang sc" w:hAnsi=".pingfang sc" w:eastAsia=".pingfang sc" w:cs=".pingfang sc"/>
      <w:sz w:val="24"/>
      <w:szCs w:val="24"/>
    </w:rPr>
  </w:style>
  <w:style w:type="paragraph" w:customStyle="1" w:styleId="37">
    <w:name w:val="p3"/>
    <w:basedOn w:val="1"/>
    <w:qFormat/>
    <w:uiPriority w:val="0"/>
    <w:pPr>
      <w:spacing w:before="0" w:beforeAutospacing="0" w:after="0" w:afterAutospacing="0"/>
      <w:ind w:left="0" w:right="0"/>
      <w:jc w:val="both"/>
    </w:pPr>
    <w:rPr>
      <w:rFonts w:hint="default" w:ascii="Helvetica Neue" w:hAnsi="Helvetica Neue" w:eastAsia="Helvetica Neue" w:cs="Helvetica Neue"/>
      <w:kern w:val="0"/>
      <w:sz w:val="24"/>
      <w:szCs w:val="24"/>
      <w:lang w:val="en-US" w:eastAsia="zh-CN" w:bidi="ar"/>
    </w:rPr>
  </w:style>
  <w:style w:type="paragraph" w:customStyle="1" w:styleId="38">
    <w:name w:val="p5"/>
    <w:basedOn w:val="1"/>
    <w:qFormat/>
    <w:uiPriority w:val="0"/>
    <w:pPr>
      <w:spacing w:before="0" w:beforeAutospacing="0" w:after="0" w:afterAutospacing="0"/>
      <w:ind w:left="0" w:right="0"/>
      <w:jc w:val="left"/>
    </w:pPr>
    <w:rPr>
      <w:rFonts w:hint="default" w:ascii=".pingfang sc" w:hAnsi=".pingfang sc" w:eastAsia=".pingfang sc" w:cs=".pingfang sc"/>
      <w:kern w:val="0"/>
      <w:sz w:val="24"/>
      <w:szCs w:val="24"/>
      <w:lang w:val="en-US" w:eastAsia="zh-CN" w:bidi="ar"/>
    </w:rPr>
  </w:style>
  <w:style w:type="paragraph" w:customStyle="1" w:styleId="39">
    <w:name w:val="p2"/>
    <w:basedOn w:val="1"/>
    <w:qFormat/>
    <w:uiPriority w:val="0"/>
    <w:pPr>
      <w:spacing w:before="0" w:beforeAutospacing="0" w:after="0" w:afterAutospacing="0"/>
      <w:ind w:left="0" w:right="0"/>
      <w:jc w:val="left"/>
    </w:pPr>
    <w:rPr>
      <w:rFonts w:hint="default" w:ascii="Helvetica Neue" w:hAnsi="Helvetica Neue" w:eastAsia="Helvetica Neue" w:cs="Helvetica Neue"/>
      <w:kern w:val="0"/>
      <w:sz w:val="24"/>
      <w:szCs w:val="24"/>
      <w:lang w:val="en-US" w:eastAsia="zh-CN" w:bidi="ar"/>
    </w:rPr>
  </w:style>
  <w:style w:type="paragraph" w:customStyle="1" w:styleId="40">
    <w:name w:val="p4"/>
    <w:basedOn w:val="1"/>
    <w:qFormat/>
    <w:uiPriority w:val="0"/>
    <w:pPr>
      <w:spacing w:before="0" w:beforeAutospacing="0" w:after="0" w:afterAutospacing="0"/>
      <w:ind w:left="0" w:right="0"/>
      <w:jc w:val="both"/>
    </w:pPr>
    <w:rPr>
      <w:rFonts w:hint="default" w:ascii=".pingfang sc" w:hAnsi=".pingfang sc" w:eastAsia=".pingfang sc" w:cs=".pingfang sc"/>
      <w:kern w:val="0"/>
      <w:sz w:val="24"/>
      <w:szCs w:val="24"/>
      <w:lang w:val="en-US" w:eastAsia="zh-CN" w:bidi="ar"/>
    </w:rPr>
  </w:style>
  <w:style w:type="character" w:customStyle="1" w:styleId="41">
    <w:name w:val="s1"/>
    <w:basedOn w:val="17"/>
    <w:qFormat/>
    <w:uiPriority w:val="0"/>
    <w:rPr>
      <w:rFonts w:ascii="menlo" w:hAnsi="menlo" w:eastAsia="menlo" w:cs="menlo"/>
      <w:sz w:val="20"/>
      <w:szCs w:val="20"/>
    </w:rPr>
  </w:style>
  <w:style w:type="paragraph" w:customStyle="1" w:styleId="42">
    <w:name w:val="p1"/>
    <w:basedOn w:val="1"/>
    <w:qFormat/>
    <w:uiPriority w:val="0"/>
    <w:pPr>
      <w:spacing w:before="0" w:beforeAutospacing="0" w:after="0" w:afterAutospacing="0"/>
      <w:ind w:left="0" w:right="0"/>
      <w:jc w:val="left"/>
    </w:pPr>
    <w:rPr>
      <w:rFonts w:hint="default" w:ascii="Helvetica Neue" w:hAnsi="Helvetica Neue" w:eastAsia="Helvetica Neue" w:cs="Helvetica Neue"/>
      <w:kern w:val="0"/>
      <w:sz w:val="24"/>
      <w:szCs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UWTSD</Company>
  <Pages>5</Pages>
  <Words>739</Words>
  <Characters>4216</Characters>
  <Lines>35</Lines>
  <Paragraphs>9</Paragraphs>
  <TotalTime>41</TotalTime>
  <ScaleCrop>false</ScaleCrop>
  <LinksUpToDate>false</LinksUpToDate>
  <CharactersWithSpaces>4946</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2020-11-26T10:17:00Z</dcterms:created>
  <dc:creator>Academic Office</dc:creator>
  <cp:lastModifiedBy>Ivy_Chen</cp:lastModifiedBy>
  <cp:lastPrinted>2016-11-04T10:01:00Z</cp:lastPrinted>
  <dcterms:modified xsi:type="dcterms:W3CDTF">2024-12-23T08:33:52Z</dcterms:modified>
  <dc:title>PG1</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KSOProductBuildVer">
    <vt:lpwstr>2052-6.5.2.8766</vt:lpwstr>
  </property>
  <property fmtid="{D5CDD505-2E9C-101B-9397-08002B2CF9AE}" pid="7" name="ICV">
    <vt:lpwstr>9BE2313A5963948F7081F266FDB4F961_42</vt:lpwstr>
  </property>
</Properties>
</file>