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21C473" w14:textId="37223DD0" w:rsidR="001654C5" w:rsidRPr="00E916DB" w:rsidRDefault="008B49B2" w:rsidP="00AE2C95">
      <w:pPr>
        <w:shd w:val="clear" w:color="auto" w:fill="4472C4" w:themeFill="accent1"/>
        <w:jc w:val="center"/>
        <w:rPr>
          <w:sz w:val="40"/>
          <w:szCs w:val="40"/>
        </w:rPr>
      </w:pPr>
      <w:r w:rsidRPr="00E916DB">
        <w:rPr>
          <w:sz w:val="40"/>
          <w:szCs w:val="40"/>
        </w:rPr>
        <w:t xml:space="preserve">Federico </w:t>
      </w:r>
      <w:r w:rsidR="00B754AC" w:rsidRPr="00E916DB">
        <w:rPr>
          <w:sz w:val="40"/>
          <w:szCs w:val="40"/>
        </w:rPr>
        <w:t>Gelati, 2112906</w:t>
      </w:r>
      <w:r w:rsidR="00E916DB">
        <w:rPr>
          <w:sz w:val="40"/>
          <w:szCs w:val="40"/>
        </w:rPr>
        <w:t xml:space="preserve">      </w:t>
      </w:r>
      <w:r w:rsidR="000015A3">
        <w:rPr>
          <w:sz w:val="40"/>
          <w:szCs w:val="40"/>
        </w:rPr>
        <w:t xml:space="preserve">                 </w:t>
      </w:r>
      <w:r w:rsidR="00E916DB">
        <w:rPr>
          <w:sz w:val="40"/>
          <w:szCs w:val="40"/>
        </w:rPr>
        <w:t xml:space="preserve"> </w:t>
      </w:r>
      <w:r w:rsidR="000015A3">
        <w:rPr>
          <w:sz w:val="40"/>
          <w:szCs w:val="40"/>
        </w:rPr>
        <w:t>03/04/2022</w:t>
      </w:r>
    </w:p>
    <w:p w14:paraId="06C0E8EA" w14:textId="6D377809" w:rsidR="001654C5" w:rsidRPr="001654C5" w:rsidRDefault="00933EF0" w:rsidP="001654C5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3421B19" wp14:editId="727B0591">
                <wp:simplePos x="0" y="0"/>
                <wp:positionH relativeFrom="margin">
                  <wp:posOffset>-76200</wp:posOffset>
                </wp:positionH>
                <wp:positionV relativeFrom="paragraph">
                  <wp:posOffset>3535680</wp:posOffset>
                </wp:positionV>
                <wp:extent cx="9912350" cy="685800"/>
                <wp:effectExtent l="0" t="0" r="0" b="0"/>
                <wp:wrapNone/>
                <wp:docPr id="13" name="TextBox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8263C84A-7712-4FE8-80D3-F25FDEA7472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12350" cy="6858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18E9DAC9" w14:textId="52020F2B" w:rsidR="00933EF0" w:rsidRPr="00844D9E" w:rsidRDefault="009919E5" w:rsidP="00B67D62">
                            <w:pPr>
                              <w:shd w:val="clear" w:color="auto" w:fill="C5E0B3" w:themeFill="accent6" w:themeFillTint="66"/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>The graph</w:t>
                            </w:r>
                            <w:r w:rsidR="00D32C6E"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 shows</w:t>
                            </w:r>
                            <w:r w:rsidR="0086448E"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 the</w:t>
                            </w:r>
                            <w:r w:rsidR="009422A3"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 comparison of </w:t>
                            </w:r>
                            <w:r w:rsidR="000179DD"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>October period 2021 of</w:t>
                            </w:r>
                            <w:r w:rsidR="0086448E"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 total of </w:t>
                            </w:r>
                            <w:r w:rsidR="00363F06"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patients testing positive </w:t>
                            </w:r>
                            <w:r w:rsidR="00D61FA9"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>for</w:t>
                            </w:r>
                            <w:r w:rsidR="00363F06" w:rsidRPr="00844D9E">
                              <w:rPr>
                                <w:rFonts w:ascii="Arial Rounded MT Bold" w:hAnsi="Arial Rounded MT Bold"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 each local authority.</w:t>
                            </w:r>
                          </w:p>
                        </w:txbxContent>
                      </wps:txbx>
                      <wps:bodyPr vertOverflow="clip" horzOverflow="clip" wrap="square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421B19" id="_x0000_t202" coordsize="21600,21600" o:spt="202" path="m,l,21600r21600,l21600,xe">
                <v:stroke joinstyle="miter"/>
                <v:path gradientshapeok="t" o:connecttype="rect"/>
              </v:shapetype>
              <v:shape id="TextBox 12" o:spid="_x0000_s1026" type="#_x0000_t202" style="position:absolute;margin-left:-6pt;margin-top:278.4pt;width:780.5pt;height:54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" filled="f" stroked="f">
                <v:textbox>
                  <w:txbxContent>
                    <w:p w14:paraId="18E9DAC9" w14:textId="52020F2B" w:rsidR="00933EF0" w:rsidRPr="00844D9E" w:rsidRDefault="009919E5" w:rsidP="00B67D62">
                      <w:pPr>
                        <w:shd w:val="clear" w:color="auto" w:fill="C5E0B3" w:themeFill="accent6" w:themeFillTint="66"/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</w:pPr>
                      <w:r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>The graph</w:t>
                      </w:r>
                      <w:r w:rsidR="00D32C6E"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 xml:space="preserve"> shows</w:t>
                      </w:r>
                      <w:r w:rsidR="0086448E"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 xml:space="preserve"> the</w:t>
                      </w:r>
                      <w:r w:rsidR="009422A3"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 xml:space="preserve"> comparison of </w:t>
                      </w:r>
                      <w:r w:rsidR="000179DD"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>October period 2021 of</w:t>
                      </w:r>
                      <w:r w:rsidR="0086448E"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 xml:space="preserve"> total of </w:t>
                      </w:r>
                      <w:r w:rsidR="00363F06"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 xml:space="preserve">patients testing positive </w:t>
                      </w:r>
                      <w:r w:rsidR="00D61FA9"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>for</w:t>
                      </w:r>
                      <w:r w:rsidR="00363F06" w:rsidRPr="00844D9E">
                        <w:rPr>
                          <w:rFonts w:ascii="Arial Rounded MT Bold" w:hAnsi="Arial Rounded MT Bold"/>
                          <w:color w:val="000000" w:themeColor="text1"/>
                          <w:sz w:val="36"/>
                          <w:szCs w:val="36"/>
                        </w:rPr>
                        <w:t xml:space="preserve"> each local authority.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076AD2A" wp14:editId="0B508D84">
            <wp:extent cx="9753600" cy="3683000"/>
            <wp:effectExtent l="0" t="0" r="0" b="1270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BC6955B-04D9-467C-95E0-9E25BFADBDB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0A01D93C" w14:textId="1E393F92" w:rsidR="001654C5" w:rsidRPr="001654C5" w:rsidRDefault="001654C5" w:rsidP="001654C5">
      <w:pPr>
        <w:rPr>
          <w:sz w:val="28"/>
          <w:szCs w:val="28"/>
        </w:rPr>
      </w:pPr>
    </w:p>
    <w:p w14:paraId="476A5A23" w14:textId="255E5C9A" w:rsidR="000226DB" w:rsidRDefault="009B1CB5" w:rsidP="00BB2EB3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DC39203" wp14:editId="3147CFB7">
                <wp:simplePos x="0" y="0"/>
                <wp:positionH relativeFrom="margin">
                  <wp:align>right</wp:align>
                </wp:positionH>
                <wp:positionV relativeFrom="paragraph">
                  <wp:posOffset>3542030</wp:posOffset>
                </wp:positionV>
                <wp:extent cx="9763125" cy="695325"/>
                <wp:effectExtent l="0" t="0" r="28575" b="28575"/>
                <wp:wrapNone/>
                <wp:docPr id="20" name="TextBox 19">
                  <a:extLst xmlns:a="http://schemas.openxmlformats.org/drawingml/2006/main">
                    <a:ext uri="{FF2B5EF4-FFF2-40B4-BE49-F238E27FC236}">
                      <a16:creationId xmlns:a16="http://schemas.microsoft.com/office/drawing/2014/main" id="{1873AF19-980C-46B3-827D-305B0CDEB79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63125" cy="695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9525" cmpd="sng">
                          <a:solidFill>
                            <a:schemeClr val="lt1">
                              <a:shade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31C884" w14:textId="01715157" w:rsidR="007963D9" w:rsidRPr="00844D9E" w:rsidRDefault="00DE687D" w:rsidP="007C2826">
                            <w:pPr>
                              <w:shd w:val="clear" w:color="auto" w:fill="C5E0B3" w:themeFill="accent6" w:themeFillTint="66"/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</w:pPr>
                            <w:r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 xml:space="preserve">The Pie shows the </w:t>
                            </w:r>
                            <w:r w:rsidR="00B97EAF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>Cumulative confirmed</w:t>
                            </w:r>
                            <w:r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B97EAF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>Covid-19 case</w:t>
                            </w:r>
                            <w:r w:rsidR="00056B51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 xml:space="preserve"> total which as the </w:t>
                            </w:r>
                            <w:r w:rsidR="002D2EE1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 xml:space="preserve">majority, 88%. Then 12% is the total cases of October </w:t>
                            </w:r>
                            <w:r w:rsidR="007C2826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>2021 for each local authority.</w:t>
                            </w:r>
                          </w:p>
                        </w:txbxContent>
                      </wps:txbx>
                      <wps:bodyPr vertOverflow="clip" horzOverflow="clip" wrap="square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39203" id="TextBox 19" o:spid="_x0000_s1027" type="#_x0000_t202" style="position:absolute;margin-left:717.55pt;margin-top:278.9pt;width:768.75pt;height:54.75pt;z-index:25166540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" fillcolor="white [3201]" strokecolor="#7f7f7f [1601]">
                <v:textbox>
                  <w:txbxContent>
                    <w:p w14:paraId="5A31C884" w14:textId="01715157" w:rsidR="007963D9" w:rsidRPr="00844D9E" w:rsidRDefault="00DE687D" w:rsidP="007C2826">
                      <w:pPr>
                        <w:shd w:val="clear" w:color="auto" w:fill="C5E0B3" w:themeFill="accent6" w:themeFillTint="66"/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</w:pPr>
                      <w:r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 xml:space="preserve">The Pie shows the </w:t>
                      </w:r>
                      <w:r w:rsidR="00B97EAF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>Cumulative confirmed</w:t>
                      </w:r>
                      <w:r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 xml:space="preserve"> </w:t>
                      </w:r>
                      <w:r w:rsidR="00B97EAF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>Covid-19 case</w:t>
                      </w:r>
                      <w:r w:rsidR="00056B51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 xml:space="preserve"> total which as the </w:t>
                      </w:r>
                      <w:r w:rsidR="002D2EE1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 xml:space="preserve">majority, 88%. Then 12% is the total cases of October </w:t>
                      </w:r>
                      <w:r w:rsidR="007C2826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>2021 for each local authority.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B2EB3">
        <w:rPr>
          <w:noProof/>
        </w:rPr>
        <w:drawing>
          <wp:inline distT="0" distB="0" distL="0" distR="0" wp14:anchorId="62C88E25" wp14:editId="1D263273">
            <wp:extent cx="9753600" cy="3524250"/>
            <wp:effectExtent l="0" t="0" r="0" b="0"/>
            <wp:docPr id="19" name="Chart 19">
              <a:extLst xmlns:a="http://schemas.openxmlformats.org/drawingml/2006/main">
                <a:ext uri="{FF2B5EF4-FFF2-40B4-BE49-F238E27FC236}">
                  <a16:creationId xmlns:a16="http://schemas.microsoft.com/office/drawing/2014/main" id="{2503B2F8-F479-4916-8216-D3D637972F3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5A859A4B" w14:textId="09E6A4E2" w:rsidR="000226DB" w:rsidRDefault="000226DB" w:rsidP="001654C5">
      <w:pPr>
        <w:rPr>
          <w:sz w:val="28"/>
          <w:szCs w:val="28"/>
        </w:rPr>
      </w:pPr>
    </w:p>
    <w:p w14:paraId="5B4ED990" w14:textId="389E20D5" w:rsidR="007D33B4" w:rsidRDefault="007D33B4" w:rsidP="001654C5">
      <w:pPr>
        <w:rPr>
          <w:sz w:val="28"/>
          <w:szCs w:val="28"/>
        </w:rPr>
      </w:pPr>
    </w:p>
    <w:p w14:paraId="1F9F200C" w14:textId="0D13E103" w:rsidR="007D33B4" w:rsidRPr="00C01304" w:rsidRDefault="00C20D7D" w:rsidP="001654C5">
      <w:pPr>
        <w:rPr>
          <w:sz w:val="28"/>
          <w:szCs w:val="28"/>
          <w14:shadow w14:blurRad="50800" w14:dist="50800" w14:dir="5400000" w14:sx="0" w14:sy="0" w14:kx="0" w14:ky="0" w14:algn="ctr">
            <w14:schemeClr w14:val="tx1"/>
          </w14:shadow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02CFA7" wp14:editId="7E61FED5">
                <wp:simplePos x="0" y="0"/>
                <wp:positionH relativeFrom="column">
                  <wp:posOffset>7258050</wp:posOffset>
                </wp:positionH>
                <wp:positionV relativeFrom="paragraph">
                  <wp:posOffset>12065</wp:posOffset>
                </wp:positionV>
                <wp:extent cx="2498090" cy="4392930"/>
                <wp:effectExtent l="0" t="0" r="16510" b="26670"/>
                <wp:wrapNone/>
                <wp:docPr id="18" name="TextBox 17">
                  <a:extLst xmlns:a="http://schemas.openxmlformats.org/drawingml/2006/main">
                    <a:ext uri="{FF2B5EF4-FFF2-40B4-BE49-F238E27FC236}">
                      <a16:creationId xmlns:a16="http://schemas.microsoft.com/office/drawing/2014/main" id="{19DF3734-FCF6-4D3E-92D2-E4A7E2F76FA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8090" cy="4392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9525" cmpd="sng">
                          <a:solidFill>
                            <a:schemeClr val="lt1">
                              <a:shade val="50000"/>
                            </a:schemeClr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AD33937" w14:textId="77777777" w:rsidR="00D61FA9" w:rsidRDefault="00D61FA9" w:rsidP="00B67D62">
                            <w:pPr>
                              <w:shd w:val="clear" w:color="auto" w:fill="C5E0B3" w:themeFill="accent6" w:themeFillTint="66"/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  <w:p w14:paraId="3985419F" w14:textId="77777777" w:rsidR="00D61FA9" w:rsidRDefault="00D61FA9" w:rsidP="00B67D62">
                            <w:pPr>
                              <w:shd w:val="clear" w:color="auto" w:fill="C5E0B3" w:themeFill="accent6" w:themeFillTint="66"/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  <w:p w14:paraId="6F664E48" w14:textId="77777777" w:rsidR="00D61FA9" w:rsidRDefault="00D61FA9" w:rsidP="00B67D62">
                            <w:pPr>
                              <w:shd w:val="clear" w:color="auto" w:fill="C5E0B3" w:themeFill="accent6" w:themeFillTint="66"/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  <w:p w14:paraId="3C252043" w14:textId="42D6247B" w:rsidR="00C96010" w:rsidRPr="00844D9E" w:rsidRDefault="006A56DE" w:rsidP="00B67D62">
                            <w:pPr>
                              <w:shd w:val="clear" w:color="auto" w:fill="C5E0B3" w:themeFill="accent6" w:themeFillTint="66"/>
                              <w:jc w:val="center"/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</w:pPr>
                            <w:r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 xml:space="preserve">The radar graph </w:t>
                            </w:r>
                            <w:r w:rsidR="00917CFA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 xml:space="preserve">shows </w:t>
                            </w:r>
                            <w:r w:rsidR="00FC6B5C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>the total numbers of</w:t>
                            </w:r>
                            <w:r w:rsidR="00917CFA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 xml:space="preserve"> All cases </w:t>
                            </w:r>
                            <w:r w:rsidR="005F3F01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>per</w:t>
                            </w:r>
                            <w:r w:rsidR="004E4135" w:rsidRPr="00844D9E">
                              <w:rPr>
                                <w:rFonts w:ascii="Arial Rounded MT Bold" w:hAnsi="Arial Rounded MT Bold"/>
                                <w:sz w:val="36"/>
                                <w:szCs w:val="36"/>
                              </w:rPr>
                              <w:t>iod for each local authority mentioned.</w:t>
                            </w:r>
                          </w:p>
                        </w:txbxContent>
                      </wps:txbx>
                      <wps:bodyPr vertOverflow="clip" horzOverflow="clip" wrap="square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02CFA7" id="TextBox 17" o:spid="_x0000_s1028" type="#_x0000_t202" style="position:absolute;margin-left:571.5pt;margin-top:.95pt;width:196.7pt;height:345.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" fillcolor="white [3201]" strokecolor="#7f7f7f [1601]">
                <v:textbox>
                  <w:txbxContent>
                    <w:p w14:paraId="3AD33937" w14:textId="77777777" w:rsidR="00D61FA9" w:rsidRDefault="00D61FA9" w:rsidP="00B67D62">
                      <w:pPr>
                        <w:shd w:val="clear" w:color="auto" w:fill="C5E0B3" w:themeFill="accent6" w:themeFillTint="66"/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  <w:p w14:paraId="3985419F" w14:textId="77777777" w:rsidR="00D61FA9" w:rsidRDefault="00D61FA9" w:rsidP="00B67D62">
                      <w:pPr>
                        <w:shd w:val="clear" w:color="auto" w:fill="C5E0B3" w:themeFill="accent6" w:themeFillTint="66"/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  <w:p w14:paraId="6F664E48" w14:textId="77777777" w:rsidR="00D61FA9" w:rsidRDefault="00D61FA9" w:rsidP="00B67D62">
                      <w:pPr>
                        <w:shd w:val="clear" w:color="auto" w:fill="C5E0B3" w:themeFill="accent6" w:themeFillTint="66"/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  <w:p w14:paraId="3C252043" w14:textId="42D6247B" w:rsidR="00C96010" w:rsidRPr="00844D9E" w:rsidRDefault="006A56DE" w:rsidP="00B67D62">
                      <w:pPr>
                        <w:shd w:val="clear" w:color="auto" w:fill="C5E0B3" w:themeFill="accent6" w:themeFillTint="66"/>
                        <w:jc w:val="center"/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</w:pPr>
                      <w:r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 xml:space="preserve">The radar graph </w:t>
                      </w:r>
                      <w:r w:rsidR="00917CFA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 xml:space="preserve">shows </w:t>
                      </w:r>
                      <w:r w:rsidR="00FC6B5C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>the total numbers of</w:t>
                      </w:r>
                      <w:r w:rsidR="00917CFA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 xml:space="preserve"> All cases </w:t>
                      </w:r>
                      <w:r w:rsidR="005F3F01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>per</w:t>
                      </w:r>
                      <w:r w:rsidR="004E4135" w:rsidRPr="00844D9E">
                        <w:rPr>
                          <w:rFonts w:ascii="Arial Rounded MT Bold" w:hAnsi="Arial Rounded MT Bold"/>
                          <w:sz w:val="36"/>
                          <w:szCs w:val="36"/>
                        </w:rPr>
                        <w:t>iod for each local authority mentioned.</w:t>
                      </w:r>
                    </w:p>
                  </w:txbxContent>
                </v:textbox>
              </v:shape>
            </w:pict>
          </mc:Fallback>
        </mc:AlternateContent>
      </w:r>
      <w:r w:rsidR="00800B93">
        <w:rPr>
          <w:noProof/>
        </w:rPr>
        <w:drawing>
          <wp:inline distT="0" distB="0" distL="0" distR="0" wp14:anchorId="4606D5F4" wp14:editId="0D64411D">
            <wp:extent cx="7231380" cy="4402455"/>
            <wp:effectExtent l="0" t="0" r="7620" b="17145"/>
            <wp:docPr id="17" name="Chart 17">
              <a:extLst xmlns:a="http://schemas.openxmlformats.org/drawingml/2006/main">
                <a:ext uri="{FF2B5EF4-FFF2-40B4-BE49-F238E27FC236}">
                  <a16:creationId xmlns:a16="http://schemas.microsoft.com/office/drawing/2014/main" id="{9213C0B7-A0FB-43FE-A791-41ABEFA5ED3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sectPr w:rsidR="007D33B4" w:rsidRPr="00C01304" w:rsidSect="0097146D">
      <w:pgSz w:w="16838" w:h="23811" w:code="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A8"/>
    <w:rsid w:val="000015A3"/>
    <w:rsid w:val="00010A3D"/>
    <w:rsid w:val="000179DD"/>
    <w:rsid w:val="000226DB"/>
    <w:rsid w:val="00056B51"/>
    <w:rsid w:val="000A368A"/>
    <w:rsid w:val="000A5711"/>
    <w:rsid w:val="000A7DC3"/>
    <w:rsid w:val="000D135F"/>
    <w:rsid w:val="000E2DE8"/>
    <w:rsid w:val="001654C5"/>
    <w:rsid w:val="00170850"/>
    <w:rsid w:val="001778B0"/>
    <w:rsid w:val="001C2C68"/>
    <w:rsid w:val="001D5C04"/>
    <w:rsid w:val="001F63AB"/>
    <w:rsid w:val="002D2EE1"/>
    <w:rsid w:val="002D4C04"/>
    <w:rsid w:val="00363F06"/>
    <w:rsid w:val="004168F6"/>
    <w:rsid w:val="00447DD0"/>
    <w:rsid w:val="0046122F"/>
    <w:rsid w:val="0049312F"/>
    <w:rsid w:val="004D1357"/>
    <w:rsid w:val="004E4135"/>
    <w:rsid w:val="00514A42"/>
    <w:rsid w:val="00534875"/>
    <w:rsid w:val="00535576"/>
    <w:rsid w:val="005A54CB"/>
    <w:rsid w:val="005C04E6"/>
    <w:rsid w:val="005C6A6D"/>
    <w:rsid w:val="005F3F01"/>
    <w:rsid w:val="00661E64"/>
    <w:rsid w:val="00680743"/>
    <w:rsid w:val="006A56DE"/>
    <w:rsid w:val="007963D9"/>
    <w:rsid w:val="007C2826"/>
    <w:rsid w:val="007D33B4"/>
    <w:rsid w:val="007E1899"/>
    <w:rsid w:val="00800B93"/>
    <w:rsid w:val="00837BC7"/>
    <w:rsid w:val="00840FE7"/>
    <w:rsid w:val="00841768"/>
    <w:rsid w:val="00844D9E"/>
    <w:rsid w:val="0086448E"/>
    <w:rsid w:val="008823EA"/>
    <w:rsid w:val="008B49B2"/>
    <w:rsid w:val="008E59B1"/>
    <w:rsid w:val="00917CFA"/>
    <w:rsid w:val="00933EF0"/>
    <w:rsid w:val="009422A3"/>
    <w:rsid w:val="0097146D"/>
    <w:rsid w:val="009919E5"/>
    <w:rsid w:val="009B1CB5"/>
    <w:rsid w:val="00A029A8"/>
    <w:rsid w:val="00A0421A"/>
    <w:rsid w:val="00A23940"/>
    <w:rsid w:val="00A72B20"/>
    <w:rsid w:val="00AB138C"/>
    <w:rsid w:val="00AE2C95"/>
    <w:rsid w:val="00AF2A43"/>
    <w:rsid w:val="00B0203C"/>
    <w:rsid w:val="00B67D62"/>
    <w:rsid w:val="00B754AC"/>
    <w:rsid w:val="00B846E3"/>
    <w:rsid w:val="00B86867"/>
    <w:rsid w:val="00B90652"/>
    <w:rsid w:val="00B97EAF"/>
    <w:rsid w:val="00BB2EB3"/>
    <w:rsid w:val="00C01304"/>
    <w:rsid w:val="00C20D7D"/>
    <w:rsid w:val="00C355A0"/>
    <w:rsid w:val="00C96010"/>
    <w:rsid w:val="00CB71D0"/>
    <w:rsid w:val="00CC566B"/>
    <w:rsid w:val="00CD58E5"/>
    <w:rsid w:val="00CE0202"/>
    <w:rsid w:val="00D32C6E"/>
    <w:rsid w:val="00D46B52"/>
    <w:rsid w:val="00D61FA9"/>
    <w:rsid w:val="00D736DD"/>
    <w:rsid w:val="00D74BA8"/>
    <w:rsid w:val="00DB12BC"/>
    <w:rsid w:val="00DE687D"/>
    <w:rsid w:val="00E60E67"/>
    <w:rsid w:val="00E916DB"/>
    <w:rsid w:val="00E97721"/>
    <w:rsid w:val="00FC6B5C"/>
    <w:rsid w:val="00FE1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83D608"/>
  <w15:chartTrackingRefBased/>
  <w15:docId w15:val="{FBD9CA4F-DFE3-47E2-B7F6-1BB3402FC9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chart" Target="charts/chart3.xml"/><Relationship Id="rId4" Type="http://schemas.openxmlformats.org/officeDocument/2006/relationships/customXml" Target="../customXml/item4.xml"/><Relationship Id="rId9" Type="http://schemas.openxmlformats.org/officeDocument/2006/relationships/chart" Target="charts/chart2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Federico\OneDrive%20-%20University%20of%20Wales%20Trinity%20Saint%20David\Documents\Level%204.%20Term%202\DAV%20=%20Data%20Analysis%20&amp;%20Visualisation%20(ACCB4002)\Covid%20Case%20data%20October%202021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Federico\OneDrive%20-%20University%20of%20Wales%20Trinity%20Saint%20David\Documents\Level%204.%20Term%202\DAV%20=%20Data%20Analysis%20&amp;%20Visualisation%20(ACCB4002)\Covid%20Case%20data%20October%202021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Federico\OneDrive%20-%20University%20of%20Wales%20Trinity%20Saint%20David\Documents\Level%204.%20Term%202\DAV%20=%20Data%20Analysis%20&amp;%20Visualisation%20(ACCB4002)\Covid%20Case%20data%20October%202021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2.5428764763779529E-2"/>
          <c:y val="3.793103448275862E-2"/>
          <c:w val="0.96024831856955384"/>
          <c:h val="0.662068693999457"/>
        </c:manualLayout>
      </c:layout>
      <c:lineChart>
        <c:grouping val="standard"/>
        <c:varyColors val="0"/>
        <c:ser>
          <c:idx val="0"/>
          <c:order val="0"/>
          <c:tx>
            <c:strRef>
              <c:f>' Covid Cases by MSOA'!$J$81</c:f>
              <c:strCache>
                <c:ptCount val="1"/>
                <c:pt idx="0">
                  <c:v>Cases 7 days</c:v>
                </c:pt>
              </c:strCache>
            </c:strRef>
          </c:tx>
          <c:spPr>
            <a:ln w="19050" cap="rnd" cmpd="sng" algn="ctr">
              <a:solidFill>
                <a:schemeClr val="accent1">
                  <a:shade val="95000"/>
                  <a:satMod val="105000"/>
                </a:schemeClr>
              </a:solidFill>
              <a:round/>
            </a:ln>
            <a:effectLst/>
          </c:spPr>
          <c:marker>
            <c:symbol val="circle"/>
            <c:size val="17"/>
            <c:spPr>
              <a:solidFill>
                <a:schemeClr val="lt1"/>
              </a:solidFill>
              <a:ln>
                <a:noFill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accen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 Covid Cases by MSOA'!$I$82:$I$103</c:f>
              <c:strCache>
                <c:ptCount val="22"/>
                <c:pt idx="0">
                  <c:v>Anglesey</c:v>
                </c:pt>
                <c:pt idx="1">
                  <c:v>Blaenau Gwent</c:v>
                </c:pt>
                <c:pt idx="2">
                  <c:v>Bridgend</c:v>
                </c:pt>
                <c:pt idx="3">
                  <c:v>Caerphilly</c:v>
                </c:pt>
                <c:pt idx="4">
                  <c:v>Cardiff</c:v>
                </c:pt>
                <c:pt idx="5">
                  <c:v>Carmarthenshire</c:v>
                </c:pt>
                <c:pt idx="6">
                  <c:v>Ceredigion</c:v>
                </c:pt>
                <c:pt idx="7">
                  <c:v>Conwy</c:v>
                </c:pt>
                <c:pt idx="8">
                  <c:v>Denbighshire</c:v>
                </c:pt>
                <c:pt idx="9">
                  <c:v>Flintshire</c:v>
                </c:pt>
                <c:pt idx="10">
                  <c:v>Gwynedd</c:v>
                </c:pt>
                <c:pt idx="11">
                  <c:v>Merthyr Tydfil</c:v>
                </c:pt>
                <c:pt idx="12">
                  <c:v>Monmouthshire</c:v>
                </c:pt>
                <c:pt idx="13">
                  <c:v>Neath Port Talbot</c:v>
                </c:pt>
                <c:pt idx="14">
                  <c:v>Newport</c:v>
                </c:pt>
                <c:pt idx="15">
                  <c:v>Pembrokeshire</c:v>
                </c:pt>
                <c:pt idx="16">
                  <c:v>Powys</c:v>
                </c:pt>
                <c:pt idx="17">
                  <c:v>Rhondda Cynon Taf</c:v>
                </c:pt>
                <c:pt idx="18">
                  <c:v>Swansea</c:v>
                </c:pt>
                <c:pt idx="19">
                  <c:v>The Vale of Glamorgan</c:v>
                </c:pt>
                <c:pt idx="20">
                  <c:v>Torfaen</c:v>
                </c:pt>
                <c:pt idx="21">
                  <c:v>Wrexham</c:v>
                </c:pt>
              </c:strCache>
            </c:strRef>
          </c:cat>
          <c:val>
            <c:numRef>
              <c:f>' Covid Cases by MSOA'!$J$82:$J$103</c:f>
              <c:numCache>
                <c:formatCode>General</c:formatCode>
                <c:ptCount val="22"/>
                <c:pt idx="0" formatCode="0">
                  <c:v>260</c:v>
                </c:pt>
                <c:pt idx="1">
                  <c:v>808</c:v>
                </c:pt>
                <c:pt idx="2">
                  <c:v>892</c:v>
                </c:pt>
                <c:pt idx="3">
                  <c:v>1768</c:v>
                </c:pt>
                <c:pt idx="4">
                  <c:v>2815</c:v>
                </c:pt>
                <c:pt idx="5">
                  <c:v>1176</c:v>
                </c:pt>
                <c:pt idx="6">
                  <c:v>464</c:v>
                </c:pt>
                <c:pt idx="7">
                  <c:v>486</c:v>
                </c:pt>
                <c:pt idx="8">
                  <c:v>574</c:v>
                </c:pt>
                <c:pt idx="9">
                  <c:v>618</c:v>
                </c:pt>
                <c:pt idx="10">
                  <c:v>591</c:v>
                </c:pt>
                <c:pt idx="11">
                  <c:v>432</c:v>
                </c:pt>
                <c:pt idx="12">
                  <c:v>715</c:v>
                </c:pt>
                <c:pt idx="13">
                  <c:v>1287</c:v>
                </c:pt>
                <c:pt idx="14">
                  <c:v>1375</c:v>
                </c:pt>
                <c:pt idx="15">
                  <c:v>1069</c:v>
                </c:pt>
                <c:pt idx="16">
                  <c:v>770</c:v>
                </c:pt>
                <c:pt idx="17">
                  <c:v>1732</c:v>
                </c:pt>
                <c:pt idx="18">
                  <c:v>1509</c:v>
                </c:pt>
                <c:pt idx="19">
                  <c:v>1168</c:v>
                </c:pt>
                <c:pt idx="20">
                  <c:v>967</c:v>
                </c:pt>
                <c:pt idx="21" formatCode="0">
                  <c:v>514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528-4776-86D1-CE3678215655}"/>
            </c:ext>
          </c:extLst>
        </c:ser>
        <c:ser>
          <c:idx val="1"/>
          <c:order val="1"/>
          <c:tx>
            <c:strRef>
              <c:f>' Covid Cases by MSOA'!$K$81</c:f>
              <c:strCache>
                <c:ptCount val="1"/>
                <c:pt idx="0">
                  <c:v>21 days</c:v>
                </c:pt>
              </c:strCache>
            </c:strRef>
          </c:tx>
          <c:spPr>
            <a:ln w="19050" cap="rnd" cmpd="sng" algn="ctr">
              <a:solidFill>
                <a:schemeClr val="accent2">
                  <a:shade val="95000"/>
                  <a:satMod val="105000"/>
                </a:schemeClr>
              </a:solidFill>
              <a:round/>
            </a:ln>
            <a:effectLst/>
          </c:spPr>
          <c:marker>
            <c:symbol val="circle"/>
            <c:size val="17"/>
            <c:spPr>
              <a:solidFill>
                <a:schemeClr val="lt1"/>
              </a:solidFill>
              <a:ln>
                <a:noFill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accent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 Covid Cases by MSOA'!$I$82:$I$103</c:f>
              <c:strCache>
                <c:ptCount val="22"/>
                <c:pt idx="0">
                  <c:v>Anglesey</c:v>
                </c:pt>
                <c:pt idx="1">
                  <c:v>Blaenau Gwent</c:v>
                </c:pt>
                <c:pt idx="2">
                  <c:v>Bridgend</c:v>
                </c:pt>
                <c:pt idx="3">
                  <c:v>Caerphilly</c:v>
                </c:pt>
                <c:pt idx="4">
                  <c:v>Cardiff</c:v>
                </c:pt>
                <c:pt idx="5">
                  <c:v>Carmarthenshire</c:v>
                </c:pt>
                <c:pt idx="6">
                  <c:v>Ceredigion</c:v>
                </c:pt>
                <c:pt idx="7">
                  <c:v>Conwy</c:v>
                </c:pt>
                <c:pt idx="8">
                  <c:v>Denbighshire</c:v>
                </c:pt>
                <c:pt idx="9">
                  <c:v>Flintshire</c:v>
                </c:pt>
                <c:pt idx="10">
                  <c:v>Gwynedd</c:v>
                </c:pt>
                <c:pt idx="11">
                  <c:v>Merthyr Tydfil</c:v>
                </c:pt>
                <c:pt idx="12">
                  <c:v>Monmouthshire</c:v>
                </c:pt>
                <c:pt idx="13">
                  <c:v>Neath Port Talbot</c:v>
                </c:pt>
                <c:pt idx="14">
                  <c:v>Newport</c:v>
                </c:pt>
                <c:pt idx="15">
                  <c:v>Pembrokeshire</c:v>
                </c:pt>
                <c:pt idx="16">
                  <c:v>Powys</c:v>
                </c:pt>
                <c:pt idx="17">
                  <c:v>Rhondda Cynon Taf</c:v>
                </c:pt>
                <c:pt idx="18">
                  <c:v>Swansea</c:v>
                </c:pt>
                <c:pt idx="19">
                  <c:v>The Vale of Glamorgan</c:v>
                </c:pt>
                <c:pt idx="20">
                  <c:v>Torfaen</c:v>
                </c:pt>
                <c:pt idx="21">
                  <c:v>Wrexham</c:v>
                </c:pt>
              </c:strCache>
            </c:strRef>
          </c:cat>
          <c:val>
            <c:numRef>
              <c:f>' Covid Cases by MSOA'!$K$82:$K$103</c:f>
              <c:numCache>
                <c:formatCode>General</c:formatCode>
                <c:ptCount val="22"/>
                <c:pt idx="0">
                  <c:v>978</c:v>
                </c:pt>
                <c:pt idx="1">
                  <c:v>1672</c:v>
                </c:pt>
                <c:pt idx="2">
                  <c:v>2148</c:v>
                </c:pt>
                <c:pt idx="3">
                  <c:v>4263</c:v>
                </c:pt>
                <c:pt idx="4">
                  <c:v>8135</c:v>
                </c:pt>
                <c:pt idx="5">
                  <c:v>3472</c:v>
                </c:pt>
                <c:pt idx="6">
                  <c:v>990</c:v>
                </c:pt>
                <c:pt idx="7">
                  <c:v>1435</c:v>
                </c:pt>
                <c:pt idx="8">
                  <c:v>1652</c:v>
                </c:pt>
                <c:pt idx="9">
                  <c:v>1858</c:v>
                </c:pt>
                <c:pt idx="10">
                  <c:v>1650</c:v>
                </c:pt>
                <c:pt idx="11">
                  <c:v>994</c:v>
                </c:pt>
                <c:pt idx="12">
                  <c:v>1731</c:v>
                </c:pt>
                <c:pt idx="13">
                  <c:v>3154</c:v>
                </c:pt>
                <c:pt idx="14">
                  <c:v>3055</c:v>
                </c:pt>
                <c:pt idx="15">
                  <c:v>2760</c:v>
                </c:pt>
                <c:pt idx="16">
                  <c:v>2174</c:v>
                </c:pt>
                <c:pt idx="17">
                  <c:v>4342</c:v>
                </c:pt>
                <c:pt idx="18">
                  <c:v>4251</c:v>
                </c:pt>
                <c:pt idx="19">
                  <c:v>3154</c:v>
                </c:pt>
                <c:pt idx="20">
                  <c:v>2471</c:v>
                </c:pt>
                <c:pt idx="21">
                  <c:v>1589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F528-4776-86D1-CE3678215655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2000907584"/>
        <c:axId val="2000908832"/>
      </c:lineChart>
      <c:catAx>
        <c:axId val="200090758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0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00908832"/>
        <c:crosses val="autoZero"/>
        <c:auto val="1"/>
        <c:lblAlgn val="ctr"/>
        <c:lblOffset val="100"/>
        <c:noMultiLvlLbl val="0"/>
      </c:catAx>
      <c:valAx>
        <c:axId val="2000908832"/>
        <c:scaling>
          <c:orientation val="minMax"/>
        </c:scaling>
        <c:delete val="1"/>
        <c:axPos val="l"/>
        <c:numFmt formatCode="0" sourceLinked="1"/>
        <c:majorTickMark val="none"/>
        <c:minorTickMark val="none"/>
        <c:tickLblPos val="nextTo"/>
        <c:crossAx val="20009075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67967304379921256"/>
          <c:y val="6.2499592723323373E-2"/>
          <c:w val="0.29560182906824145"/>
          <c:h val="0.16853489003529729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500" b="1" i="0" u="none" strike="noStrike" kern="1200" cap="all" spc="100" normalizeH="0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Rolling 21 Days October 2021</a:t>
            </a:r>
            <a:r>
              <a:rPr lang="en-GB" baseline="0"/>
              <a:t>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500" b="1" i="0" u="none" strike="noStrike" kern="1200" cap="all" spc="100" normalizeH="0" baseline="0">
              <a:solidFill>
                <a:schemeClr val="lt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ofPieChart>
        <c:ofPieType val="pie"/>
        <c:varyColors val="1"/>
        <c:ser>
          <c:idx val="0"/>
          <c:order val="0"/>
          <c:spPr>
            <a:solidFill>
              <a:schemeClr val="lt1"/>
            </a:solidFill>
            <a:ln w="19050">
              <a:solidFill>
                <a:schemeClr val="accent1"/>
              </a:solidFill>
            </a:ln>
            <a:effectLst/>
          </c:spPr>
          <c:dPt>
            <c:idx val="0"/>
            <c:bubble3D val="0"/>
            <c:spPr>
              <a:solidFill>
                <a:schemeClr val="lt1"/>
              </a:solidFill>
              <a:ln w="19050">
                <a:solidFill>
                  <a:schemeClr val="accen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9423-4105-8858-D9B1A2F3C983}"/>
              </c:ext>
            </c:extLst>
          </c:dPt>
          <c:dPt>
            <c:idx val="1"/>
            <c:bubble3D val="0"/>
            <c:spPr>
              <a:solidFill>
                <a:schemeClr val="lt1"/>
              </a:solidFill>
              <a:ln w="19050">
                <a:solidFill>
                  <a:schemeClr val="accen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9423-4105-8858-D9B1A2F3C983}"/>
              </c:ext>
            </c:extLst>
          </c:dPt>
          <c:dPt>
            <c:idx val="2"/>
            <c:bubble3D val="0"/>
            <c:spPr>
              <a:solidFill>
                <a:schemeClr val="lt1"/>
              </a:solidFill>
              <a:ln w="19050">
                <a:solidFill>
                  <a:schemeClr val="accen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9423-4105-8858-D9B1A2F3C983}"/>
              </c:ext>
            </c:extLst>
          </c:dPt>
          <c:dLbls>
            <c:dLbl>
              <c:idx val="1"/>
              <c:layout>
                <c:manualLayout>
                  <c:x val="0.16888677620263387"/>
                  <c:y val="2.8023834858480527E-2"/>
                </c:manualLayout>
              </c:layout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9423-4105-8858-D9B1A2F3C983}"/>
                </c:ext>
              </c:extLst>
            </c:dLbl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9423-4105-8858-D9B1A2F3C983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accen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accent1">
                      <a:lumMod val="60000"/>
                      <a:lumOff val="4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 Covid Cases by MSOA'!$J$433:$K$433</c:f>
              <c:strCache>
                <c:ptCount val="2"/>
                <c:pt idx="0">
                  <c:v>Comulative confimed</c:v>
                </c:pt>
                <c:pt idx="1">
                  <c:v>Total cases October 21</c:v>
                </c:pt>
              </c:strCache>
            </c:strRef>
          </c:cat>
          <c:val>
            <c:numRef>
              <c:f>' Covid Cases by MSOA'!$J$434:$K$434</c:f>
              <c:numCache>
                <c:formatCode>General</c:formatCode>
                <c:ptCount val="2"/>
                <c:pt idx="0" formatCode="#,##0">
                  <c:v>429731</c:v>
                </c:pt>
                <c:pt idx="1">
                  <c:v>57928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9423-4105-8858-D9B1A2F3C983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gapWidth val="100"/>
        <c:secondPieSize val="75"/>
        <c:serLines>
          <c:spPr>
            <a:ln w="9525">
              <a:solidFill>
                <a:schemeClr val="accent1">
                  <a:lumMod val="60000"/>
                  <a:lumOff val="40000"/>
                  <a:tint val="50000"/>
                </a:schemeClr>
              </a:solidFill>
              <a:prstDash val="dash"/>
            </a:ln>
            <a:effectLst/>
          </c:spPr>
        </c:serLines>
      </c:ofPieChart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accent1"/>
    </a:solidFill>
    <a:ln w="9525" cap="flat" cmpd="sng" algn="ctr">
      <a:solidFill>
        <a:schemeClr val="accent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3"/>
    </mc:Choice>
    <mc:Fallback>
      <c:style val="3"/>
    </mc:Fallback>
  </mc:AlternateContent>
  <c:chart>
    <c:autoTitleDeleted val="1"/>
    <c:plotArea>
      <c:layout>
        <c:manualLayout>
          <c:layoutTarget val="inner"/>
          <c:xMode val="edge"/>
          <c:yMode val="edge"/>
          <c:x val="0.2454790355109594"/>
          <c:y val="5.651710238946224E-2"/>
          <c:w val="0.54000405712936639"/>
          <c:h val="0.88583097385436083"/>
        </c:manualLayout>
      </c:layout>
      <c:radarChart>
        <c:radarStyle val="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2"/>
              <c:layout>
                <c:manualLayout>
                  <c:x val="-3.5171019080277852E-3"/>
                  <c:y val="-2.1953896816684963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4-D2B0-42C4-811A-6F22E0FE08EB}"/>
                </c:ext>
              </c:extLst>
            </c:dLbl>
            <c:dLbl>
              <c:idx val="3"/>
              <c:layout>
                <c:manualLayout>
                  <c:x val="5.2756528620416781E-3"/>
                  <c:y val="-3.3540288231885823E-17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D2B0-42C4-811A-6F22E0FE08EB}"/>
                </c:ext>
              </c:extLst>
            </c:dLbl>
            <c:dLbl>
              <c:idx val="4"/>
              <c:layout>
                <c:manualLayout>
                  <c:x val="-5.2756528620416902E-2"/>
                  <c:y val="0.1114557672934760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D2B0-42C4-811A-6F22E0FE08EB}"/>
                </c:ext>
              </c:extLst>
            </c:dLbl>
            <c:dLbl>
              <c:idx val="5"/>
              <c:layout>
                <c:manualLayout>
                  <c:x val="7.0342038160555705E-3"/>
                  <c:y val="-2.8847540747151835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13-D2B0-42C4-811A-6F22E0FE08EB}"/>
                </c:ext>
              </c:extLst>
            </c:dLbl>
            <c:dLbl>
              <c:idx val="6"/>
              <c:layout>
                <c:manualLayout>
                  <c:x val="1.5826958586125033E-2"/>
                  <c:y val="-5.7695081494302611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14-D2B0-42C4-811A-6F22E0FE08EB}"/>
                </c:ext>
              </c:extLst>
            </c:dLbl>
            <c:dLbl>
              <c:idx val="7"/>
              <c:layout>
                <c:manualLayout>
                  <c:x val="1.0551305724083356E-2"/>
                  <c:y val="-2.8847540747151306E-3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6.3940912687945134E-2"/>
                      <c:h val="5.4767169681461822E-2"/>
                    </c:manualLayout>
                  </c15:layout>
                </c:ext>
                <c:ext xmlns:c16="http://schemas.microsoft.com/office/drawing/2014/chart" uri="{C3380CC4-5D6E-409C-BE32-E72D297353CC}">
                  <c16:uniqueId val="{00000015-D2B0-42C4-811A-6F22E0FE08EB}"/>
                </c:ext>
              </c:extLst>
            </c:dLbl>
            <c:dLbl>
              <c:idx val="8"/>
              <c:layout>
                <c:manualLayout>
                  <c:x val="3.1653917172250065E-2"/>
                  <c:y val="-5.7695081494302611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16-D2B0-42C4-811A-6F22E0FE08EB}"/>
                </c:ext>
              </c:extLst>
            </c:dLbl>
            <c:dLbl>
              <c:idx val="9"/>
              <c:layout>
                <c:manualLayout>
                  <c:x val="3.1653917172250065E-2"/>
                  <c:y val="1.7308524448290782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10-D2B0-42C4-811A-6F22E0FE08EB}"/>
                </c:ext>
              </c:extLst>
            </c:dLbl>
            <c:dLbl>
              <c:idx val="10"/>
              <c:layout>
                <c:manualLayout>
                  <c:x val="3.5171019080277206E-3"/>
                  <c:y val="3.7501802971296697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F-D2B0-42C4-811A-6F22E0FE08EB}"/>
                </c:ext>
              </c:extLst>
            </c:dLbl>
            <c:dLbl>
              <c:idx val="11"/>
              <c:layout>
                <c:manualLayout>
                  <c:x val="-1.758550954013957E-3"/>
                  <c:y val="-5.7695081494302611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E-D2B0-42C4-811A-6F22E0FE08EB}"/>
                </c:ext>
              </c:extLst>
            </c:dLbl>
            <c:dLbl>
              <c:idx val="12"/>
              <c:layout>
                <c:manualLayout>
                  <c:x val="-1.0551305724083356E-2"/>
                  <c:y val="7.2118851867878156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D-D2B0-42C4-811A-6F22E0FE08EB}"/>
                </c:ext>
              </c:extLst>
            </c:dLbl>
            <c:dLbl>
              <c:idx val="13"/>
              <c:layout>
                <c:manualLayout>
                  <c:x val="-7.0342038160555705E-3"/>
                  <c:y val="2.8847540747151306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C-D2B0-42C4-811A-6F22E0FE08EB}"/>
                </c:ext>
              </c:extLst>
            </c:dLbl>
            <c:dLbl>
              <c:idx val="14"/>
              <c:layout>
                <c:manualLayout>
                  <c:x val="-1.4068407632111141E-2"/>
                  <c:y val="-5.7695081494302611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B-D2B0-42C4-811A-6F22E0FE08EB}"/>
                </c:ext>
              </c:extLst>
            </c:dLbl>
            <c:dLbl>
              <c:idx val="15"/>
              <c:layout>
                <c:manualLayout>
                  <c:x val="-2.4619713356194495E-2"/>
                  <c:y val="2.8847540747150248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12-D2B0-42C4-811A-6F22E0FE08EB}"/>
                </c:ext>
              </c:extLst>
            </c:dLbl>
            <c:dLbl>
              <c:idx val="16"/>
              <c:layout>
                <c:manualLayout>
                  <c:x val="-1.7585509540138926E-2"/>
                  <c:y val="0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11-D2B0-42C4-811A-6F22E0FE08EB}"/>
                </c:ext>
              </c:extLst>
            </c:dLbl>
            <c:dLbl>
              <c:idx val="17"/>
              <c:layout>
                <c:manualLayout>
                  <c:x val="7.0342038160555705E-3"/>
                  <c:y val="6.5861690450054952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7-D2B0-42C4-811A-6F22E0FE08EB}"/>
                </c:ext>
              </c:extLst>
            </c:dLbl>
            <c:dLbl>
              <c:idx val="18"/>
              <c:layout>
                <c:manualLayout>
                  <c:x val="7.0342038160555705E-3"/>
                  <c:y val="-2.5612879619465755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8-D2B0-42C4-811A-6F22E0FE08EB}"/>
                </c:ext>
              </c:extLst>
            </c:dLbl>
            <c:dLbl>
              <c:idx val="19"/>
              <c:layout>
                <c:manualLayout>
                  <c:x val="-3.8688120988305638E-2"/>
                  <c:y val="-2.1953887092542736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6-D2B0-42C4-811A-6F22E0FE08EB}"/>
                </c:ext>
              </c:extLst>
            </c:dLbl>
            <c:dLbl>
              <c:idx val="20"/>
              <c:layout>
                <c:manualLayout>
                  <c:x val="-2.4619713356194561E-2"/>
                  <c:y val="-3.6589828027808269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A-D2B0-42C4-811A-6F22E0FE08EB}"/>
                </c:ext>
              </c:extLst>
            </c:dLbl>
            <c:dLbl>
              <c:idx val="21"/>
              <c:layout>
                <c:manualLayout>
                  <c:x val="3.5171019080277852E-3"/>
                  <c:y val="-7.3179656055616538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D2B0-42C4-811A-6F22E0FE08E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 Covid Cases by MSOA'!$L$54:$L$75</c:f>
              <c:strCache>
                <c:ptCount val="22"/>
                <c:pt idx="0">
                  <c:v>Anglesey</c:v>
                </c:pt>
                <c:pt idx="1">
                  <c:v>Blaenau Gwent</c:v>
                </c:pt>
                <c:pt idx="2">
                  <c:v>Bridgend</c:v>
                </c:pt>
                <c:pt idx="3">
                  <c:v>Caerphilly</c:v>
                </c:pt>
                <c:pt idx="4">
                  <c:v>Cardiff</c:v>
                </c:pt>
                <c:pt idx="5">
                  <c:v>Carmarthenshire</c:v>
                </c:pt>
                <c:pt idx="6">
                  <c:v>Ceredigion</c:v>
                </c:pt>
                <c:pt idx="7">
                  <c:v>Conwy</c:v>
                </c:pt>
                <c:pt idx="8">
                  <c:v>Denbighshire</c:v>
                </c:pt>
                <c:pt idx="9">
                  <c:v>Flintshire</c:v>
                </c:pt>
                <c:pt idx="10">
                  <c:v>Gwynedd</c:v>
                </c:pt>
                <c:pt idx="11">
                  <c:v>Merthyr Tydfil</c:v>
                </c:pt>
                <c:pt idx="12">
                  <c:v>Monmouthshire</c:v>
                </c:pt>
                <c:pt idx="13">
                  <c:v>Neath Port Talbot</c:v>
                </c:pt>
                <c:pt idx="14">
                  <c:v>Newport</c:v>
                </c:pt>
                <c:pt idx="15">
                  <c:v>Pembrokeshire</c:v>
                </c:pt>
                <c:pt idx="16">
                  <c:v>Powys</c:v>
                </c:pt>
                <c:pt idx="17">
                  <c:v>Rhondda Cynon Taf</c:v>
                </c:pt>
                <c:pt idx="18">
                  <c:v>Swansea</c:v>
                </c:pt>
                <c:pt idx="19">
                  <c:v>The Vale of Glamorgan</c:v>
                </c:pt>
                <c:pt idx="20">
                  <c:v>Torfaen</c:v>
                </c:pt>
                <c:pt idx="21">
                  <c:v>Wrexham</c:v>
                </c:pt>
              </c:strCache>
            </c:strRef>
          </c:cat>
          <c:val>
            <c:numRef>
              <c:f>' Covid Cases by MSOA'!$M$54:$M$75</c:f>
              <c:numCache>
                <c:formatCode>0</c:formatCode>
                <c:ptCount val="22"/>
                <c:pt idx="0">
                  <c:v>75473.599999999991</c:v>
                </c:pt>
                <c:pt idx="1">
                  <c:v>138332</c:v>
                </c:pt>
                <c:pt idx="2">
                  <c:v>275559.7</c:v>
                </c:pt>
                <c:pt idx="3">
                  <c:v>356051.4</c:v>
                </c:pt>
                <c:pt idx="4">
                  <c:v>664486.39999999991</c:v>
                </c:pt>
                <c:pt idx="5">
                  <c:v>307456.39999999997</c:v>
                </c:pt>
                <c:pt idx="6">
                  <c:v>66131.8</c:v>
                </c:pt>
                <c:pt idx="7">
                  <c:v>152831</c:v>
                </c:pt>
                <c:pt idx="8">
                  <c:v>190483.3</c:v>
                </c:pt>
                <c:pt idx="9">
                  <c:v>246205.09999999998</c:v>
                </c:pt>
                <c:pt idx="10">
                  <c:v>141519.79999999999</c:v>
                </c:pt>
                <c:pt idx="11">
                  <c:v>105551.2</c:v>
                </c:pt>
                <c:pt idx="12">
                  <c:v>105551.2</c:v>
                </c:pt>
                <c:pt idx="13">
                  <c:v>308319.40000000002</c:v>
                </c:pt>
                <c:pt idx="14">
                  <c:v>280314.19999999995</c:v>
                </c:pt>
                <c:pt idx="15">
                  <c:v>142685.59999999998</c:v>
                </c:pt>
                <c:pt idx="16">
                  <c:v>165327.09999999998</c:v>
                </c:pt>
                <c:pt idx="17">
                  <c:v>499139.5</c:v>
                </c:pt>
                <c:pt idx="18">
                  <c:v>446523.00000000017</c:v>
                </c:pt>
                <c:pt idx="19">
                  <c:v>34890.800000000003</c:v>
                </c:pt>
                <c:pt idx="20">
                  <c:v>185117.4</c:v>
                </c:pt>
                <c:pt idx="21">
                  <c:v>259921.8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2B0-42C4-811A-6F22E0FE08EB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axId val="1889876848"/>
        <c:axId val="1889878512"/>
      </c:radarChart>
      <c:catAx>
        <c:axId val="18898768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>
            <a:outerShdw blurRad="50800" dist="38100" dir="2700000" algn="tl" rotWithShape="0">
              <a:schemeClr val="accent4">
                <a:lumMod val="60000"/>
                <a:lumOff val="40000"/>
                <a:alpha val="40000"/>
              </a:schemeClr>
            </a:outerShdw>
          </a:effectLst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89878512"/>
        <c:crosses val="autoZero"/>
        <c:auto val="1"/>
        <c:lblAlgn val="ctr"/>
        <c:lblOffset val="100"/>
        <c:noMultiLvlLbl val="0"/>
      </c:catAx>
      <c:valAx>
        <c:axId val="1889878512"/>
        <c:scaling>
          <c:orientation val="minMax"/>
        </c:scaling>
        <c:delete val="1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" sourceLinked="1"/>
        <c:majorTickMark val="none"/>
        <c:minorTickMark val="none"/>
        <c:tickLblPos val="nextTo"/>
        <c:crossAx val="188987684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withinLinear" id="14">
  <a:schemeClr val="accent1"/>
</cs:colorStyle>
</file>

<file path=word/charts/style1.xml><?xml version="1.0" encoding="utf-8"?>
<cs:chartStyle xmlns:cs="http://schemas.microsoft.com/office/drawing/2012/chartStyle" xmlns:a="http://schemas.openxmlformats.org/drawingml/2006/main" id="23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cs:styleClr val="auto"/>
    </cs:fontRef>
    <cs:spPr/>
    <cs:defRPr sz="900" b="1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 w="9575">
        <a:solidFill>
          <a:schemeClr val="lt1">
            <a:lumMod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19050" cap="rnd" cmpd="sng" algn="ctr">
        <a:solidFill>
          <a:schemeClr val="phClr">
            <a:shade val="95000"/>
            <a:satMod val="105000"/>
          </a:schemeClr>
        </a:solidFill>
        <a:round/>
      </a:ln>
    </cs:spPr>
  </cs:dataPointLine>
  <cs:dataPointMarker>
    <cs:lnRef idx="0"/>
    <cs:fillRef idx="0"/>
    <cs:effectRef idx="0"/>
    <cs:fontRef idx="minor">
      <a:schemeClr val="dk1"/>
    </cs:fontRef>
    <cs:spPr>
      <a:solidFill>
        <a:schemeClr val="lt1"/>
      </a:solidFill>
    </cs:spPr>
  </cs:dataPointMarker>
  <cs:dataPointMarkerLayout symbol="circle" size="17"/>
  <cs:dataPointWireframe>
    <cs:lnRef idx="0">
      <cs:styleClr val="auto"/>
    </cs:lnRef>
    <cs:fillRef idx="1"/>
    <cs:effectRef idx="0"/>
    <cs:fontRef idx="minor">
      <a:schemeClr val="dk1"/>
    </cs:fontRef>
    <cs:spPr>
      <a:ln w="9525">
        <a:solidFill>
          <a:schemeClr val="phClr"/>
        </a:solidFill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dk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</a:ln>
    </cs:spPr>
  </cs:seriesLine>
  <cs:title>
    <cs:lnRef idx="0"/>
    <cs:fillRef idx="0"/>
    <cs:effectRef idx="0"/>
    <cs:fontRef idx="minor">
      <a:schemeClr val="dk1"/>
    </cs:fontRef>
    <cs:defRPr sz="1440" b="0" kern="1200" cap="all" spc="0" baseline="0">
      <a:gradFill>
        <a:gsLst>
          <a:gs pos="0">
            <a:schemeClr val="dk1">
              <a:lumMod val="50000"/>
              <a:lumOff val="50000"/>
            </a:schemeClr>
          </a:gs>
          <a:gs pos="100000">
            <a:schemeClr val="dk1">
              <a:lumMod val="85000"/>
              <a:lumOff val="15000"/>
            </a:schemeClr>
          </a:gs>
        </a:gsLst>
        <a:lin ang="5400000" scaled="0"/>
      </a:gradFill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60">
  <cs:axisTitle>
    <cs:lnRef idx="0"/>
    <cs:fillRef idx="0"/>
    <cs:effectRef idx="0"/>
    <cs:fontRef idx="minor">
      <a:schemeClr val="lt1"/>
    </cs:fontRef>
    <cs:defRPr sz="900" b="1" kern="1200"/>
  </cs:axisTitle>
  <cs:categoryAxis>
    <cs:lnRef idx="0">
      <cs:styleClr val="0"/>
    </cs:lnRef>
    <cs:fillRef idx="0"/>
    <cs:effectRef idx="0"/>
    <cs:fontRef idx="minor">
      <a:schemeClr val="lt1"/>
    </cs:fontRef>
    <cs:spPr>
      <a:ln w="3175" cap="flat" cmpd="sng" algn="ctr">
        <a:solidFill>
          <a:schemeClr val="phClr">
            <a:lumMod val="60000"/>
            <a:lumOff val="40000"/>
          </a:schemeClr>
        </a:solidFill>
        <a:round/>
      </a:ln>
    </cs:spPr>
    <cs:defRPr sz="800" kern="1200" cap="all" spc="150" normalizeH="0" baseline="0"/>
  </cs:categoryAxis>
  <cs:chartArea>
    <cs:lnRef idx="0">
      <cs:styleClr val="0"/>
    </cs:lnRef>
    <cs:fillRef idx="0">
      <cs:styleClr val="0"/>
    </cs:fillRef>
    <cs:effectRef idx="0"/>
    <cs:fontRef idx="minor">
      <a:schemeClr val="dk1"/>
    </cs:fontRef>
    <cs:spPr>
      <a:solidFill>
        <a:schemeClr val="phClr"/>
      </a:solidFill>
      <a:ln w="9525" cap="flat" cmpd="sng" algn="ctr">
        <a:solidFill>
          <a:schemeClr val="phClr"/>
        </a:solidFill>
        <a:round/>
      </a:ln>
    </cs:spPr>
    <cs:defRPr sz="1000" kern="1200"/>
  </cs:chartArea>
  <cs:dataLabel>
    <cs:lnRef idx="0">
      <cs:styleClr val="0"/>
    </cs:lnRef>
    <cs:fillRef idx="0"/>
    <cs:effectRef idx="0"/>
    <cs:fontRef idx="minor">
      <cs:styleClr val="0"/>
    </cs:fontRef>
    <cs:defRPr sz="900" b="1" kern="1200"/>
  </cs:dataLabel>
  <cs:dataLabelCallout>
    <cs:lnRef idx="0">
      <cs:styleClr val="0"/>
    </cs:lnRef>
    <cs:fillRef idx="0"/>
    <cs:effectRef idx="0"/>
    <cs:fontRef idx="minor">
      <cs:styleClr val="0"/>
    </cs:fontRef>
    <cs:spPr>
      <a:solidFill>
        <a:schemeClr val="lt1"/>
      </a:solidFill>
      <a:ln>
        <a:solidFill>
          <a:schemeClr val="phClr"/>
        </a:solidFill>
      </a:ln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0"/>
    </cs:lnRef>
    <cs:fillRef idx="0"/>
    <cs:effectRef idx="0"/>
    <cs:fontRef idx="minor">
      <a:schemeClr val="dk1"/>
    </cs:fontRef>
    <cs:spPr>
      <a:solidFill>
        <a:schemeClr val="lt1"/>
      </a:solidFill>
      <a:ln w="19050">
        <a:solidFill>
          <a:schemeClr val="phClr"/>
        </a:solidFill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34925" cap="rnd">
        <a:solidFill>
          <a:schemeClr val="lt1"/>
        </a:solidFill>
        <a:round/>
      </a:ln>
      <a:effectLst>
        <a:outerShdw dist="25400" dir="2700000" algn="tl" rotWithShape="0">
          <a:schemeClr val="phClr"/>
        </a:outerShdw>
      </a:effectLst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22225">
        <a:solidFill>
          <a:schemeClr val="lt1"/>
        </a:solidFill>
        <a:round/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>
      <cs:styleClr val="0"/>
    </cs:lnRef>
    <cs:fillRef idx="0"/>
    <cs:effectRef idx="0"/>
    <cs:fontRef idx="minor">
      <a:schemeClr val="lt1"/>
    </cs:fontRef>
    <cs:spPr>
      <a:ln w="9525">
        <a:solidFill>
          <a:schemeClr val="phClr">
            <a:lumMod val="60000"/>
            <a:lumOff val="40000"/>
          </a:schemeClr>
        </a:solidFill>
      </a:ln>
    </cs:spPr>
    <cs:defRPr sz="900" kern="1200"/>
  </cs:dataTable>
  <cs:downBar>
    <cs:lnRef idx="0">
      <cs:styleClr val="0"/>
    </cs:lnRef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downBar>
  <cs:drop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prstDash val="dash"/>
      </a:ln>
    </cs:spPr>
  </cs:dropLine>
  <cs:errorBar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round/>
      </a:ln>
      <a:effectLst>
        <a:glow rad="25400">
          <a:schemeClr val="lt1"/>
        </a:glow>
      </a:effectLst>
    </cs:spPr>
  </cs:errorBar>
  <cs:floor>
    <cs:lnRef idx="0"/>
    <cs:fillRef idx="0"/>
    <cs:effectRef idx="0"/>
    <cs:fontRef idx="minor">
      <a:schemeClr val="dk1"/>
    </cs:fontRef>
  </cs:floor>
  <cs:gridlineMajor>
    <cs:lnRef idx="0">
      <cs:styleClr val="0"/>
    </cs:lnRef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25000"/>
          </a:schemeClr>
        </a:solidFill>
        <a:round/>
      </a:ln>
    </cs:spPr>
  </cs:gridlineMajor>
  <cs:gridlineMinor>
    <cs:lnRef idx="0">
      <cs:styleClr val="0"/>
    </cs:lnRef>
    <cs:fillRef idx="0"/>
    <cs:effectRef idx="0"/>
    <cs:fontRef idx="minor">
      <a:schemeClr val="dk1"/>
    </cs:fontRef>
    <cs:spPr>
      <a:ln>
        <a:solidFill>
          <a:schemeClr val="lt1">
            <a:alpha val="10000"/>
          </a:schemeClr>
        </a:solidFill>
      </a:ln>
    </cs:spPr>
  </cs:gridlineMinor>
  <cs:hiLo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prstDash val="dash"/>
      </a:ln>
    </cs:spPr>
  </cs:hiLoLine>
  <cs:leader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</a:ln>
    </cs:spPr>
  </cs:leaderLine>
  <cs:legend>
    <cs:lnRef idx="0"/>
    <cs:fillRef idx="0"/>
    <cs:effectRef idx="0"/>
    <cs:fontRef idx="minor">
      <a:schemeClr val="lt1"/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>
      <cs:styleClr val="0"/>
    </cs:lnRef>
    <cs:fillRef idx="0"/>
    <cs:effectRef idx="0"/>
    <cs:fontRef idx="minor">
      <a:schemeClr val="lt1"/>
    </cs:fontRef>
    <cs:spPr>
      <a:ln w="3175" cap="flat" cmpd="sng" algn="ctr">
        <a:solidFill>
          <a:schemeClr val="phClr">
            <a:lumMod val="60000"/>
            <a:lumOff val="40000"/>
          </a:schemeClr>
        </a:solidFill>
        <a:round/>
      </a:ln>
    </cs:spPr>
    <cs:defRPr sz="900" kern="1200"/>
  </cs:seriesAxis>
  <cs:series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  <a:tint val="5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lt1"/>
    </cs:fontRef>
    <cs:defRPr sz="1500" b="1" kern="1200" cap="all" spc="100" normalizeH="0" baseline="0"/>
  </cs:title>
  <cs:trendline>
    <cs:lnRef idx="0"/>
    <cs:fillRef idx="0"/>
    <cs:effectRef idx="0"/>
    <cs:fontRef idx="minor">
      <a:schemeClr val="dk1"/>
    </cs:fontRef>
    <cs:spPr>
      <a:ln w="28575" cap="rnd">
        <a:solidFill>
          <a:schemeClr val="lt1">
            <a:alpha val="50000"/>
          </a:schemeClr>
        </a:solidFill>
        <a:round/>
      </a:ln>
    </cs:spPr>
  </cs:trendline>
  <cs:trendlineLabel>
    <cs:lnRef idx="0"/>
    <cs:fillRef idx="0"/>
    <cs:effectRef idx="0"/>
    <cs:fontRef idx="minor">
      <a:schemeClr val="lt1"/>
    </cs:fontRef>
    <cs:defRPr sz="900" kern="1200"/>
  </cs:trendlineLabel>
  <cs:upBar>
    <cs:lnRef idx="0">
      <cs:styleClr val="0"/>
    </cs:lnRef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upBar>
  <cs:valueAxis>
    <cs:lnRef idx="0"/>
    <cs:fillRef idx="0"/>
    <cs:effectRef idx="0"/>
    <cs:fontRef idx="minor">
      <a:schemeClr val="lt1"/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2" ma:contentTypeDescription="Create a new document." ma:contentTypeScope="" ma:versionID="1b5a23c162268617186f6b4e4d2b49fb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6308b9483e8ddf1768797ade87d1f4e9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443D129-F9C9-47AF-9138-EE89CA6E43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CD7761-1B7D-40B6-9737-7DB6C08B877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9737C9B-B542-4166-92E0-BAD05784EBE1}">
  <ds:schemaRefs>
    <ds:schemaRef ds:uri="http://schemas.microsoft.com/office/2006/documentManagement/types"/>
    <ds:schemaRef ds:uri="http://purl.org/dc/terms/"/>
    <ds:schemaRef ds:uri="http://www.w3.org/XML/1998/namespace"/>
    <ds:schemaRef ds:uri="http://purl.org/dc/elements/1.1/"/>
    <ds:schemaRef ds:uri="95817cb9-f0eb-4f4d-892c-47ab9f8957c0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9823f8e4-81f3-4a59-a026-c1a9717271fd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0B1BCED9-325F-401A-8E5D-ED0223F167A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</Words>
  <Characters>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Federico</dc:creator>
  <cp:keywords/>
  <dc:description/>
  <cp:lastModifiedBy>Federico Gelati (2112906)</cp:lastModifiedBy>
  <cp:revision>2</cp:revision>
  <dcterms:created xsi:type="dcterms:W3CDTF">2022-04-02T23:07:00Z</dcterms:created>
  <dcterms:modified xsi:type="dcterms:W3CDTF">2022-04-02T23:07:00Z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