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5E18" w:rsidRPr="00D33478" w:rsidRDefault="00CE5E18" w:rsidP="00CE5E18">
      <w:pPr>
        <w:pStyle w:val="fixed"/>
        <w:spacing w:after="0" w:line="240" w:lineRule="auto"/>
        <w:jc w:val="both"/>
        <w:rPr>
          <w:rFonts w:ascii="Arial" w:hAnsi="Arial" w:cs="Arial"/>
          <w:i/>
          <w:sz w:val="22"/>
        </w:rPr>
      </w:pPr>
      <w:r w:rsidRPr="00D33478">
        <w:rPr>
          <w:rFonts w:ascii="Arial" w:hAnsi="Arial" w:cs="Arial"/>
          <w:sz w:val="22"/>
        </w:rPr>
        <w:t>MODULE CODE:</w:t>
      </w:r>
      <w:r w:rsidRPr="00D33478">
        <w:rPr>
          <w:rFonts w:ascii="Arial" w:hAnsi="Arial" w:cs="Arial"/>
          <w:sz w:val="22"/>
        </w:rPr>
        <w:tab/>
      </w:r>
      <w:r>
        <w:rPr>
          <w:rFonts w:ascii="Arial" w:hAnsi="Arial" w:cs="Arial"/>
          <w:sz w:val="22"/>
        </w:rPr>
        <w:t>M5X01871</w:t>
      </w:r>
    </w:p>
    <w:p w:rsidR="00CE5E18" w:rsidRPr="00B073CA" w:rsidRDefault="00CE5E18" w:rsidP="00CE5E18">
      <w:pPr>
        <w:rPr>
          <w:rFonts w:ascii="Arial" w:hAnsi="Arial" w:cs="Arial"/>
          <w:b/>
          <w:sz w:val="22"/>
          <w:szCs w:val="22"/>
        </w:rPr>
      </w:pPr>
      <w:bookmarkStart w:id="0" w:name="_Toc405296695"/>
      <w:r w:rsidRPr="00B073CA">
        <w:rPr>
          <w:rFonts w:ascii="Arial" w:hAnsi="Arial" w:cs="Arial"/>
          <w:b/>
          <w:sz w:val="22"/>
          <w:szCs w:val="22"/>
        </w:rPr>
        <w:t>TITLE:</w:t>
      </w:r>
      <w:r w:rsidRPr="00B073CA">
        <w:rPr>
          <w:rFonts w:ascii="Arial" w:hAnsi="Arial" w:cs="Arial"/>
          <w:b/>
          <w:sz w:val="22"/>
          <w:szCs w:val="22"/>
        </w:rPr>
        <w:tab/>
      </w:r>
      <w:r w:rsidRPr="00B073CA">
        <w:rPr>
          <w:rFonts w:ascii="Arial" w:hAnsi="Arial" w:cs="Arial"/>
          <w:b/>
          <w:sz w:val="22"/>
          <w:szCs w:val="22"/>
        </w:rPr>
        <w:tab/>
      </w:r>
      <w:r w:rsidRPr="00B073CA">
        <w:rPr>
          <w:rFonts w:ascii="Arial" w:hAnsi="Arial" w:cs="Arial"/>
          <w:b/>
          <w:sz w:val="22"/>
          <w:szCs w:val="22"/>
        </w:rPr>
        <w:tab/>
        <w:t>Commercial Processes and Cost Management</w:t>
      </w:r>
      <w:bookmarkEnd w:id="0"/>
    </w:p>
    <w:p w:rsidR="00CE5E18" w:rsidRPr="00D33478" w:rsidRDefault="00CE5E18" w:rsidP="00CE5E18">
      <w:pPr>
        <w:pStyle w:val="fixed"/>
        <w:spacing w:after="0" w:line="240" w:lineRule="auto"/>
        <w:jc w:val="both"/>
        <w:rPr>
          <w:rFonts w:ascii="Arial" w:hAnsi="Arial" w:cs="Arial"/>
          <w:sz w:val="22"/>
        </w:rPr>
      </w:pPr>
      <w:r w:rsidRPr="00D33478">
        <w:rPr>
          <w:rFonts w:ascii="Arial" w:hAnsi="Arial" w:cs="Arial"/>
          <w:sz w:val="22"/>
        </w:rPr>
        <w:t>DATED:</w:t>
      </w:r>
      <w:r w:rsidRPr="00D33478">
        <w:rPr>
          <w:rFonts w:ascii="Arial" w:hAnsi="Arial" w:cs="Arial"/>
          <w:sz w:val="22"/>
        </w:rPr>
        <w:tab/>
      </w:r>
      <w:r w:rsidRPr="00D33478">
        <w:rPr>
          <w:rFonts w:ascii="Arial" w:hAnsi="Arial" w:cs="Arial"/>
          <w:sz w:val="22"/>
        </w:rPr>
        <w:tab/>
      </w:r>
      <w:r>
        <w:rPr>
          <w:rFonts w:ascii="Arial" w:hAnsi="Arial" w:cs="Arial"/>
          <w:sz w:val="22"/>
        </w:rPr>
        <w:t>28/08/2014</w:t>
      </w:r>
      <w:r w:rsidRPr="00D33478">
        <w:rPr>
          <w:rFonts w:ascii="Arial" w:hAnsi="Arial" w:cs="Arial"/>
          <w:sz w:val="22"/>
        </w:rPr>
        <w:fldChar w:fldCharType="begin"/>
      </w:r>
      <w:r w:rsidRPr="00D33478">
        <w:rPr>
          <w:rFonts w:ascii="Arial" w:hAnsi="Arial" w:cs="Arial"/>
          <w:sz w:val="22"/>
        </w:rPr>
        <w:instrText xml:space="preserve"> FILLIN  DD/MM/YYYY  \* MERGEFORMAT </w:instrText>
      </w:r>
      <w:r w:rsidRPr="00D33478">
        <w:rPr>
          <w:rFonts w:ascii="Arial" w:hAnsi="Arial" w:cs="Arial"/>
          <w:sz w:val="22"/>
        </w:rPr>
        <w:fldChar w:fldCharType="end"/>
      </w:r>
    </w:p>
    <w:p w:rsidR="00CE5E18" w:rsidRPr="00D33478" w:rsidRDefault="00CE5E18" w:rsidP="00CE5E18">
      <w:pPr>
        <w:pStyle w:val="fixed"/>
        <w:spacing w:after="0" w:line="240" w:lineRule="auto"/>
        <w:jc w:val="both"/>
        <w:rPr>
          <w:rFonts w:ascii="Arial" w:hAnsi="Arial" w:cs="Arial"/>
          <w:sz w:val="22"/>
        </w:rPr>
      </w:pPr>
    </w:p>
    <w:p w:rsidR="00CE5E18" w:rsidRPr="00D33478" w:rsidRDefault="00CE5E18" w:rsidP="00CE5E18">
      <w:pPr>
        <w:pStyle w:val="fixed"/>
        <w:spacing w:after="0" w:line="240" w:lineRule="auto"/>
        <w:jc w:val="both"/>
        <w:rPr>
          <w:rFonts w:ascii="Arial" w:hAnsi="Arial" w:cs="Arial"/>
          <w:sz w:val="22"/>
        </w:rPr>
      </w:pPr>
      <w:r w:rsidRPr="00D33478">
        <w:rPr>
          <w:rFonts w:ascii="Arial" w:hAnsi="Arial" w:cs="Arial"/>
          <w:sz w:val="22"/>
        </w:rPr>
        <w:t xml:space="preserve">LEVEL:  </w:t>
      </w:r>
      <w:r w:rsidRPr="00D33478">
        <w:rPr>
          <w:rFonts w:ascii="Arial" w:hAnsi="Arial" w:cs="Arial"/>
          <w:sz w:val="22"/>
        </w:rPr>
        <w:tab/>
      </w:r>
      <w:r w:rsidRPr="00D33478">
        <w:rPr>
          <w:rFonts w:ascii="Arial" w:hAnsi="Arial" w:cs="Arial"/>
          <w:sz w:val="22"/>
        </w:rPr>
        <w:tab/>
        <w:t>5</w:t>
      </w:r>
      <w:r w:rsidRPr="00D33478">
        <w:rPr>
          <w:rFonts w:ascii="Arial" w:hAnsi="Arial" w:cs="Arial"/>
          <w:sz w:val="22"/>
        </w:rPr>
        <w:tab/>
      </w:r>
    </w:p>
    <w:p w:rsidR="00CE5E18" w:rsidRPr="00D33478" w:rsidRDefault="00CE5E18" w:rsidP="00CE5E18">
      <w:pPr>
        <w:pStyle w:val="fixed"/>
        <w:spacing w:after="0" w:line="240" w:lineRule="auto"/>
        <w:jc w:val="both"/>
        <w:rPr>
          <w:rFonts w:ascii="Arial" w:hAnsi="Arial" w:cs="Arial"/>
          <w:sz w:val="22"/>
        </w:rPr>
      </w:pPr>
      <w:r w:rsidRPr="00D33478">
        <w:rPr>
          <w:rFonts w:ascii="Arial" w:hAnsi="Arial" w:cs="Arial"/>
          <w:sz w:val="22"/>
        </w:rPr>
        <w:t>CREDITS:</w:t>
      </w:r>
      <w:r w:rsidRPr="00D33478">
        <w:rPr>
          <w:rFonts w:ascii="Arial" w:hAnsi="Arial" w:cs="Arial"/>
          <w:sz w:val="22"/>
        </w:rPr>
        <w:tab/>
      </w:r>
      <w:r w:rsidRPr="00D33478">
        <w:rPr>
          <w:rFonts w:ascii="Arial" w:hAnsi="Arial" w:cs="Arial"/>
          <w:sz w:val="22"/>
        </w:rPr>
        <w:tab/>
        <w:t>20</w:t>
      </w:r>
      <w:r w:rsidRPr="00D33478">
        <w:rPr>
          <w:rFonts w:ascii="Arial" w:hAnsi="Arial" w:cs="Arial"/>
          <w:sz w:val="22"/>
        </w:rPr>
        <w:tab/>
      </w:r>
    </w:p>
    <w:p w:rsidR="00CE5E18" w:rsidRPr="00D33478" w:rsidRDefault="00CE5E18" w:rsidP="00CE5E18">
      <w:pPr>
        <w:pStyle w:val="fixed"/>
        <w:spacing w:after="0" w:line="240" w:lineRule="auto"/>
        <w:jc w:val="both"/>
        <w:rPr>
          <w:rFonts w:ascii="Arial" w:hAnsi="Arial" w:cs="Arial"/>
          <w:sz w:val="22"/>
        </w:rPr>
      </w:pPr>
    </w:p>
    <w:p w:rsidR="00CE5E18" w:rsidRPr="00D33478" w:rsidRDefault="00CE5E18" w:rsidP="00CE5E18">
      <w:pPr>
        <w:pBdr>
          <w:bottom w:val="single" w:sz="6" w:space="1" w:color="auto"/>
        </w:pBdr>
        <w:jc w:val="both"/>
        <w:rPr>
          <w:rFonts w:ascii="Arial" w:hAnsi="Arial" w:cs="Arial"/>
          <w:sz w:val="22"/>
          <w:szCs w:val="22"/>
        </w:rPr>
      </w:pPr>
      <w:r w:rsidRPr="00D33478">
        <w:rPr>
          <w:rFonts w:ascii="Arial" w:hAnsi="Arial" w:cs="Arial"/>
          <w:b/>
          <w:sz w:val="22"/>
          <w:szCs w:val="22"/>
        </w:rPr>
        <w:t>JACS CODE:</w:t>
      </w:r>
      <w:r w:rsidRPr="00D33478">
        <w:rPr>
          <w:rFonts w:ascii="Arial" w:hAnsi="Arial" w:cs="Arial"/>
          <w:b/>
          <w:sz w:val="22"/>
          <w:szCs w:val="22"/>
        </w:rPr>
        <w:tab/>
      </w:r>
      <w:r w:rsidRPr="00D33478">
        <w:rPr>
          <w:rFonts w:ascii="Arial" w:hAnsi="Arial" w:cs="Arial"/>
          <w:b/>
          <w:sz w:val="22"/>
          <w:szCs w:val="22"/>
        </w:rPr>
        <w:tab/>
        <w:t>K240</w:t>
      </w:r>
    </w:p>
    <w:p w:rsidR="00CE5E18" w:rsidRPr="00D33478" w:rsidRDefault="00CE5E18" w:rsidP="00CE5E18">
      <w:pPr>
        <w:pBdr>
          <w:bottom w:val="single" w:sz="6" w:space="1" w:color="auto"/>
        </w:pBdr>
        <w:jc w:val="both"/>
        <w:rPr>
          <w:rFonts w:ascii="Arial" w:hAnsi="Arial" w:cs="Arial"/>
          <w:sz w:val="22"/>
          <w:szCs w:val="22"/>
        </w:rPr>
      </w:pPr>
    </w:p>
    <w:p w:rsidR="00CE5E18" w:rsidRPr="00D33478" w:rsidRDefault="00CE5E18" w:rsidP="00CE5E18">
      <w:pPr>
        <w:pStyle w:val="bullet"/>
        <w:overflowPunct/>
        <w:spacing w:before="0" w:line="240" w:lineRule="auto"/>
        <w:ind w:left="0" w:firstLine="0"/>
        <w:textAlignment w:val="auto"/>
        <w:rPr>
          <w:rFonts w:ascii="Arial" w:hAnsi="Arial" w:cs="Arial"/>
          <w:b/>
          <w:sz w:val="22"/>
        </w:rPr>
      </w:pPr>
    </w:p>
    <w:p w:rsidR="00CE5E18" w:rsidRDefault="00CE5E18" w:rsidP="00CE5E18">
      <w:pPr>
        <w:pStyle w:val="bullet"/>
        <w:overflowPunct/>
        <w:spacing w:before="0" w:line="240" w:lineRule="auto"/>
        <w:ind w:left="0" w:firstLine="0"/>
        <w:textAlignment w:val="auto"/>
        <w:rPr>
          <w:rFonts w:ascii="Arial" w:hAnsi="Arial" w:cs="Arial"/>
          <w:b/>
          <w:sz w:val="22"/>
        </w:rPr>
      </w:pPr>
      <w:r w:rsidRPr="00D33478">
        <w:rPr>
          <w:rFonts w:ascii="Arial" w:hAnsi="Arial" w:cs="Arial"/>
          <w:b/>
          <w:sz w:val="22"/>
        </w:rPr>
        <w:t>AIM(S)</w:t>
      </w:r>
    </w:p>
    <w:p w:rsidR="00CE5E18" w:rsidRDefault="00CE5E18" w:rsidP="00CE5E18">
      <w:pPr>
        <w:pStyle w:val="ListParagraph"/>
        <w:rPr>
          <w:rFonts w:ascii="Arial" w:hAnsi="Arial" w:cs="Arial"/>
          <w:b/>
          <w:sz w:val="22"/>
          <w:szCs w:val="22"/>
        </w:rPr>
      </w:pPr>
    </w:p>
    <w:p w:rsidR="00CE5E18" w:rsidRPr="0001427E" w:rsidRDefault="00CE5E18" w:rsidP="00CE5E18">
      <w:pPr>
        <w:pStyle w:val="bullet"/>
        <w:numPr>
          <w:ilvl w:val="0"/>
          <w:numId w:val="1"/>
        </w:numPr>
        <w:suppressAutoHyphens w:val="0"/>
        <w:overflowPunct/>
        <w:spacing w:before="0" w:line="240" w:lineRule="auto"/>
        <w:ind w:left="851" w:hanging="567"/>
        <w:textAlignment w:val="auto"/>
        <w:rPr>
          <w:rFonts w:ascii="Arial" w:hAnsi="Arial" w:cs="Arial"/>
          <w:sz w:val="22"/>
        </w:rPr>
      </w:pPr>
      <w:r w:rsidRPr="0001427E">
        <w:rPr>
          <w:rFonts w:ascii="Arial" w:hAnsi="Arial" w:cs="Arial"/>
          <w:sz w:val="22"/>
        </w:rPr>
        <w:t xml:space="preserve">To gain an awareness of the contract documentation required for the tender process along with the constraints on a tender both in the pre-stages and post-stages of procurement.  </w:t>
      </w:r>
    </w:p>
    <w:p w:rsidR="00CE5E18" w:rsidRPr="0001427E" w:rsidRDefault="00CE5E18" w:rsidP="00CE5E18">
      <w:pPr>
        <w:pStyle w:val="bullet"/>
        <w:numPr>
          <w:ilvl w:val="0"/>
          <w:numId w:val="1"/>
        </w:numPr>
        <w:suppressAutoHyphens w:val="0"/>
        <w:overflowPunct/>
        <w:spacing w:before="0" w:line="240" w:lineRule="auto"/>
        <w:ind w:left="851" w:hanging="567"/>
        <w:textAlignment w:val="auto"/>
        <w:rPr>
          <w:rFonts w:ascii="Arial" w:hAnsi="Arial" w:cs="Arial"/>
          <w:sz w:val="22"/>
        </w:rPr>
      </w:pPr>
      <w:r w:rsidRPr="0001427E">
        <w:rPr>
          <w:rFonts w:ascii="Arial" w:hAnsi="Arial" w:cs="Arial"/>
          <w:sz w:val="22"/>
        </w:rPr>
        <w:t>To introduce students to the concepts of construction measurement in accordance with standard methods of measurement.</w:t>
      </w:r>
    </w:p>
    <w:p w:rsidR="00CE5E18" w:rsidRPr="00D33478" w:rsidRDefault="00CE5E18" w:rsidP="00CE5E18">
      <w:pPr>
        <w:pStyle w:val="bullet"/>
        <w:overflowPunct/>
        <w:spacing w:before="0" w:line="240" w:lineRule="auto"/>
        <w:ind w:left="0" w:firstLine="0"/>
        <w:textAlignment w:val="auto"/>
        <w:rPr>
          <w:rFonts w:ascii="Arial" w:hAnsi="Arial" w:cs="Arial"/>
          <w:b/>
          <w:sz w:val="22"/>
        </w:rPr>
      </w:pPr>
    </w:p>
    <w:p w:rsidR="00CE5E18" w:rsidRPr="00D33478" w:rsidRDefault="00CE5E18" w:rsidP="00CE5E18">
      <w:pPr>
        <w:pStyle w:val="bullet"/>
        <w:overflowPunct/>
        <w:spacing w:before="0" w:line="240" w:lineRule="auto"/>
        <w:ind w:left="0" w:firstLine="0"/>
        <w:textAlignment w:val="auto"/>
        <w:rPr>
          <w:rFonts w:ascii="Arial" w:hAnsi="Arial" w:cs="Arial"/>
          <w:b/>
          <w:sz w:val="22"/>
        </w:rPr>
      </w:pPr>
      <w:r w:rsidRPr="00D33478">
        <w:rPr>
          <w:rFonts w:ascii="Arial" w:hAnsi="Arial" w:cs="Arial"/>
          <w:b/>
          <w:sz w:val="22"/>
        </w:rPr>
        <w:t>LEARNING OUTCOMES</w:t>
      </w:r>
    </w:p>
    <w:p w:rsidR="00CE5E18" w:rsidRPr="00D33478" w:rsidRDefault="00CE5E18" w:rsidP="00CE5E18">
      <w:pPr>
        <w:jc w:val="both"/>
        <w:rPr>
          <w:rFonts w:ascii="Arial" w:hAnsi="Arial" w:cs="Arial"/>
          <w:b/>
          <w:sz w:val="22"/>
          <w:szCs w:val="22"/>
        </w:rPr>
      </w:pPr>
    </w:p>
    <w:p w:rsidR="00CE5E18" w:rsidRPr="00D33478" w:rsidRDefault="00CE5E18" w:rsidP="00CE5E18">
      <w:pPr>
        <w:jc w:val="both"/>
        <w:rPr>
          <w:rFonts w:ascii="Arial" w:hAnsi="Arial" w:cs="Arial"/>
          <w:sz w:val="22"/>
          <w:szCs w:val="22"/>
        </w:rPr>
      </w:pPr>
      <w:r w:rsidRPr="00D33478">
        <w:rPr>
          <w:rFonts w:ascii="Arial" w:hAnsi="Arial" w:cs="Arial"/>
          <w:sz w:val="22"/>
          <w:szCs w:val="22"/>
        </w:rPr>
        <w:t>Upon the successful completion of this module, the student should be able to demonstrate the ability to:</w:t>
      </w:r>
    </w:p>
    <w:p w:rsidR="00CE5E18" w:rsidRPr="00D33478" w:rsidRDefault="00CE5E18" w:rsidP="00CE5E18">
      <w:pPr>
        <w:jc w:val="both"/>
        <w:rPr>
          <w:rFonts w:ascii="Arial" w:hAnsi="Arial" w:cs="Arial"/>
          <w:sz w:val="22"/>
          <w:szCs w:val="22"/>
        </w:rPr>
      </w:pPr>
    </w:p>
    <w:p w:rsidR="00CE5E18" w:rsidRPr="00D33478" w:rsidRDefault="00CE5E18" w:rsidP="00CE5E18">
      <w:pPr>
        <w:pStyle w:val="ListParagraph"/>
        <w:numPr>
          <w:ilvl w:val="0"/>
          <w:numId w:val="2"/>
        </w:numPr>
        <w:autoSpaceDE w:val="0"/>
        <w:autoSpaceDN w:val="0"/>
        <w:adjustRightInd w:val="0"/>
        <w:ind w:left="851" w:hanging="567"/>
        <w:jc w:val="both"/>
        <w:rPr>
          <w:rFonts w:ascii="Arial" w:hAnsi="Arial" w:cs="Arial"/>
          <w:bCs/>
          <w:sz w:val="22"/>
          <w:szCs w:val="22"/>
        </w:rPr>
      </w:pPr>
      <w:r>
        <w:rPr>
          <w:rFonts w:ascii="Arial" w:hAnsi="Arial" w:cs="Arial"/>
          <w:bCs/>
          <w:sz w:val="22"/>
          <w:szCs w:val="22"/>
        </w:rPr>
        <w:t>Evaluate</w:t>
      </w:r>
      <w:r w:rsidRPr="00D33478">
        <w:rPr>
          <w:rFonts w:ascii="Arial" w:hAnsi="Arial" w:cs="Arial"/>
          <w:bCs/>
          <w:sz w:val="22"/>
          <w:szCs w:val="22"/>
        </w:rPr>
        <w:t xml:space="preserve"> the information required to produce a tender</w:t>
      </w:r>
      <w:r>
        <w:rPr>
          <w:rFonts w:ascii="Arial" w:hAnsi="Arial" w:cs="Arial"/>
          <w:bCs/>
          <w:sz w:val="22"/>
          <w:szCs w:val="22"/>
        </w:rPr>
        <w:t>.</w:t>
      </w:r>
    </w:p>
    <w:p w:rsidR="00CE5E18" w:rsidRPr="00D33478" w:rsidRDefault="00CE5E18" w:rsidP="00CE5E18">
      <w:pPr>
        <w:autoSpaceDE w:val="0"/>
        <w:autoSpaceDN w:val="0"/>
        <w:adjustRightInd w:val="0"/>
        <w:ind w:left="851" w:hanging="567"/>
        <w:jc w:val="both"/>
        <w:rPr>
          <w:rFonts w:ascii="Arial" w:hAnsi="Arial" w:cs="Arial"/>
          <w:bCs/>
          <w:sz w:val="22"/>
          <w:szCs w:val="22"/>
        </w:rPr>
      </w:pPr>
    </w:p>
    <w:p w:rsidR="00CE5E18" w:rsidRPr="00D33478" w:rsidRDefault="00CE5E18" w:rsidP="00CE5E18">
      <w:pPr>
        <w:pStyle w:val="ListParagraph"/>
        <w:numPr>
          <w:ilvl w:val="0"/>
          <w:numId w:val="2"/>
        </w:numPr>
        <w:autoSpaceDE w:val="0"/>
        <w:autoSpaceDN w:val="0"/>
        <w:adjustRightInd w:val="0"/>
        <w:ind w:left="851" w:hanging="567"/>
        <w:jc w:val="both"/>
        <w:rPr>
          <w:rFonts w:ascii="Arial" w:hAnsi="Arial" w:cs="Arial"/>
          <w:bCs/>
          <w:sz w:val="22"/>
          <w:szCs w:val="22"/>
        </w:rPr>
      </w:pPr>
      <w:r>
        <w:rPr>
          <w:rFonts w:ascii="Arial" w:hAnsi="Arial" w:cs="Arial"/>
          <w:bCs/>
          <w:sz w:val="22"/>
          <w:szCs w:val="22"/>
        </w:rPr>
        <w:t>A</w:t>
      </w:r>
      <w:r w:rsidRPr="00D33478">
        <w:rPr>
          <w:rFonts w:ascii="Arial" w:hAnsi="Arial" w:cs="Arial"/>
          <w:bCs/>
          <w:sz w:val="22"/>
          <w:szCs w:val="22"/>
        </w:rPr>
        <w:t>pply a range of estimating techniques</w:t>
      </w:r>
      <w:r>
        <w:rPr>
          <w:rFonts w:ascii="Arial" w:hAnsi="Arial" w:cs="Arial"/>
          <w:bCs/>
          <w:sz w:val="22"/>
          <w:szCs w:val="22"/>
        </w:rPr>
        <w:t>.</w:t>
      </w:r>
    </w:p>
    <w:p w:rsidR="00CE5E18" w:rsidRPr="00D33478" w:rsidRDefault="00CE5E18" w:rsidP="00CE5E18">
      <w:pPr>
        <w:autoSpaceDE w:val="0"/>
        <w:autoSpaceDN w:val="0"/>
        <w:adjustRightInd w:val="0"/>
        <w:ind w:left="851" w:hanging="567"/>
        <w:jc w:val="both"/>
        <w:rPr>
          <w:rFonts w:ascii="Arial" w:hAnsi="Arial" w:cs="Arial"/>
          <w:bCs/>
          <w:sz w:val="22"/>
          <w:szCs w:val="22"/>
        </w:rPr>
      </w:pPr>
    </w:p>
    <w:p w:rsidR="00CE5E18" w:rsidRPr="009A28CD" w:rsidRDefault="00CE5E18" w:rsidP="00CE5E18">
      <w:pPr>
        <w:pStyle w:val="ListParagraph"/>
        <w:numPr>
          <w:ilvl w:val="0"/>
          <w:numId w:val="2"/>
        </w:numPr>
        <w:ind w:left="851" w:hanging="567"/>
        <w:contextualSpacing w:val="0"/>
        <w:jc w:val="both"/>
        <w:rPr>
          <w:rFonts w:ascii="Arial" w:hAnsi="Arial" w:cs="Arial"/>
          <w:sz w:val="22"/>
          <w:szCs w:val="22"/>
        </w:rPr>
      </w:pPr>
      <w:r w:rsidRPr="009A28CD">
        <w:rPr>
          <w:rFonts w:ascii="Arial" w:hAnsi="Arial" w:cs="Arial"/>
          <w:bCs/>
          <w:sz w:val="22"/>
          <w:szCs w:val="22"/>
        </w:rPr>
        <w:t>Measure construction quantities in accordance with a standard method</w:t>
      </w:r>
      <w:r w:rsidR="009C3E79">
        <w:rPr>
          <w:rFonts w:ascii="Arial" w:hAnsi="Arial" w:cs="Arial"/>
          <w:bCs/>
          <w:sz w:val="22"/>
          <w:szCs w:val="22"/>
        </w:rPr>
        <w:t xml:space="preserve"> </w:t>
      </w:r>
      <w:r w:rsidRPr="00AC115D">
        <w:rPr>
          <w:rFonts w:ascii="Arial" w:hAnsi="Arial" w:cs="Arial"/>
          <w:bCs/>
          <w:sz w:val="22"/>
          <w:szCs w:val="22"/>
        </w:rPr>
        <w:t>of measurement.</w:t>
      </w:r>
    </w:p>
    <w:p w:rsidR="00CE5E18" w:rsidRDefault="00CE5E18" w:rsidP="00CE5E18">
      <w:pPr>
        <w:pStyle w:val="fixed"/>
        <w:spacing w:after="0" w:line="240" w:lineRule="auto"/>
        <w:jc w:val="both"/>
        <w:rPr>
          <w:rFonts w:ascii="Arial" w:hAnsi="Arial" w:cs="Arial"/>
          <w:sz w:val="22"/>
        </w:rPr>
      </w:pPr>
    </w:p>
    <w:p w:rsidR="00CE5E18" w:rsidRDefault="00CE5E18" w:rsidP="00CE5E18">
      <w:pPr>
        <w:pStyle w:val="fixed"/>
        <w:spacing w:after="0" w:line="240" w:lineRule="auto"/>
        <w:jc w:val="both"/>
        <w:rPr>
          <w:rFonts w:ascii="Arial" w:hAnsi="Arial" w:cs="Arial"/>
          <w:sz w:val="22"/>
        </w:rPr>
      </w:pPr>
      <w:r w:rsidRPr="00D33478">
        <w:rPr>
          <w:rFonts w:ascii="Arial" w:hAnsi="Arial" w:cs="Arial"/>
          <w:sz w:val="22"/>
        </w:rPr>
        <w:t>INDICATIVE CONTENT</w:t>
      </w:r>
    </w:p>
    <w:p w:rsidR="00CE5E18" w:rsidRPr="00D33478" w:rsidRDefault="00CE5E18" w:rsidP="00CE5E18">
      <w:pPr>
        <w:pStyle w:val="fixed"/>
        <w:spacing w:after="0" w:line="240" w:lineRule="auto"/>
        <w:jc w:val="both"/>
        <w:rPr>
          <w:rFonts w:ascii="Arial" w:hAnsi="Arial" w:cs="Arial"/>
          <w:sz w:val="22"/>
        </w:rPr>
      </w:pPr>
    </w:p>
    <w:p w:rsidR="00CE5E18" w:rsidRPr="0011771A" w:rsidRDefault="00CE5E18" w:rsidP="00CE5E18">
      <w:pPr>
        <w:pStyle w:val="ListParagraph"/>
        <w:numPr>
          <w:ilvl w:val="0"/>
          <w:numId w:val="3"/>
        </w:numPr>
        <w:autoSpaceDE w:val="0"/>
        <w:autoSpaceDN w:val="0"/>
        <w:adjustRightInd w:val="0"/>
        <w:jc w:val="both"/>
        <w:rPr>
          <w:rFonts w:ascii="Arial" w:hAnsi="Arial" w:cs="Arial"/>
          <w:sz w:val="22"/>
          <w:szCs w:val="22"/>
        </w:rPr>
      </w:pPr>
      <w:r w:rsidRPr="00FF03C6">
        <w:rPr>
          <w:rFonts w:ascii="Arial" w:hAnsi="Arial" w:cs="Arial"/>
          <w:sz w:val="22"/>
          <w:szCs w:val="22"/>
        </w:rPr>
        <w:t>Understand the information required to produce a tender</w:t>
      </w:r>
    </w:p>
    <w:p w:rsidR="00CE5E18" w:rsidRPr="00D33478" w:rsidRDefault="00CE5E18" w:rsidP="00CE5E18">
      <w:pPr>
        <w:pStyle w:val="ListParagraph"/>
        <w:numPr>
          <w:ilvl w:val="0"/>
          <w:numId w:val="4"/>
        </w:numPr>
        <w:autoSpaceDE w:val="0"/>
        <w:autoSpaceDN w:val="0"/>
        <w:adjustRightInd w:val="0"/>
        <w:ind w:left="1134" w:hanging="425"/>
        <w:jc w:val="both"/>
        <w:rPr>
          <w:rFonts w:ascii="Arial" w:hAnsi="Arial" w:cs="Arial"/>
          <w:bCs/>
          <w:sz w:val="22"/>
          <w:szCs w:val="22"/>
        </w:rPr>
      </w:pPr>
      <w:r w:rsidRPr="00D33478">
        <w:rPr>
          <w:rFonts w:ascii="Arial" w:hAnsi="Arial" w:cs="Arial"/>
          <w:bCs/>
          <w:i/>
          <w:iCs/>
          <w:sz w:val="22"/>
          <w:szCs w:val="22"/>
        </w:rPr>
        <w:t>Clients</w:t>
      </w:r>
      <w:r w:rsidRPr="00D33478">
        <w:rPr>
          <w:rFonts w:ascii="Arial" w:hAnsi="Arial" w:cs="Arial"/>
          <w:bCs/>
          <w:sz w:val="22"/>
          <w:szCs w:val="22"/>
        </w:rPr>
        <w:t>: government; private; commercial</w:t>
      </w:r>
      <w:r>
        <w:rPr>
          <w:rFonts w:ascii="Arial" w:hAnsi="Arial" w:cs="Arial"/>
          <w:bCs/>
          <w:sz w:val="22"/>
          <w:szCs w:val="22"/>
        </w:rPr>
        <w:t>.</w:t>
      </w:r>
    </w:p>
    <w:p w:rsidR="00CE5E18" w:rsidRPr="00D33478" w:rsidRDefault="00CE5E18" w:rsidP="00CE5E18">
      <w:pPr>
        <w:pStyle w:val="ListParagraph"/>
        <w:numPr>
          <w:ilvl w:val="0"/>
          <w:numId w:val="4"/>
        </w:numPr>
        <w:autoSpaceDE w:val="0"/>
        <w:autoSpaceDN w:val="0"/>
        <w:adjustRightInd w:val="0"/>
        <w:ind w:left="1134" w:hanging="425"/>
        <w:jc w:val="both"/>
        <w:rPr>
          <w:rFonts w:ascii="Arial" w:hAnsi="Arial" w:cs="Arial"/>
          <w:bCs/>
          <w:sz w:val="22"/>
          <w:szCs w:val="22"/>
        </w:rPr>
      </w:pPr>
      <w:r w:rsidRPr="00D33478">
        <w:rPr>
          <w:rFonts w:ascii="Arial" w:hAnsi="Arial" w:cs="Arial"/>
          <w:bCs/>
          <w:i/>
          <w:iCs/>
          <w:sz w:val="22"/>
          <w:szCs w:val="22"/>
        </w:rPr>
        <w:t>Tender constraints</w:t>
      </w:r>
      <w:r w:rsidRPr="00D33478">
        <w:rPr>
          <w:rFonts w:ascii="Arial" w:hAnsi="Arial" w:cs="Arial"/>
          <w:bCs/>
          <w:sz w:val="22"/>
          <w:szCs w:val="22"/>
        </w:rPr>
        <w:t>: client objectives and constraints; financial; design influences</w:t>
      </w:r>
      <w:r>
        <w:rPr>
          <w:rFonts w:ascii="Arial" w:hAnsi="Arial" w:cs="Arial"/>
          <w:bCs/>
          <w:sz w:val="22"/>
          <w:szCs w:val="22"/>
        </w:rPr>
        <w:t xml:space="preserve">.  </w:t>
      </w:r>
    </w:p>
    <w:p w:rsidR="00CE5E18" w:rsidRDefault="00CE5E18" w:rsidP="00CE5E18">
      <w:pPr>
        <w:pStyle w:val="ListParagraph"/>
        <w:numPr>
          <w:ilvl w:val="0"/>
          <w:numId w:val="4"/>
        </w:numPr>
        <w:autoSpaceDE w:val="0"/>
        <w:autoSpaceDN w:val="0"/>
        <w:adjustRightInd w:val="0"/>
        <w:ind w:left="1134" w:hanging="425"/>
        <w:jc w:val="both"/>
        <w:rPr>
          <w:rFonts w:ascii="Arial" w:hAnsi="Arial" w:cs="Arial"/>
          <w:bCs/>
          <w:sz w:val="22"/>
          <w:szCs w:val="22"/>
        </w:rPr>
      </w:pPr>
      <w:r w:rsidRPr="00D33478">
        <w:rPr>
          <w:rFonts w:ascii="Arial" w:hAnsi="Arial" w:cs="Arial"/>
          <w:bCs/>
          <w:i/>
          <w:iCs/>
          <w:sz w:val="22"/>
          <w:szCs w:val="22"/>
        </w:rPr>
        <w:t>Contract documentation</w:t>
      </w:r>
      <w:r w:rsidRPr="00D33478">
        <w:rPr>
          <w:rFonts w:ascii="Arial" w:hAnsi="Arial" w:cs="Arial"/>
          <w:bCs/>
          <w:sz w:val="22"/>
          <w:szCs w:val="22"/>
        </w:rPr>
        <w:t>: bills of quantities; drawings; specifications; conditions of contract;</w:t>
      </w:r>
      <w:r w:rsidR="009C3E79">
        <w:rPr>
          <w:rFonts w:ascii="Arial" w:hAnsi="Arial" w:cs="Arial"/>
          <w:bCs/>
          <w:sz w:val="22"/>
          <w:szCs w:val="22"/>
        </w:rPr>
        <w:t xml:space="preserve"> </w:t>
      </w:r>
      <w:r w:rsidRPr="00D33478">
        <w:rPr>
          <w:rFonts w:ascii="Arial" w:hAnsi="Arial" w:cs="Arial"/>
          <w:bCs/>
          <w:sz w:val="22"/>
          <w:szCs w:val="22"/>
        </w:rPr>
        <w:t>information provided</w:t>
      </w:r>
      <w:r>
        <w:rPr>
          <w:rFonts w:ascii="Arial" w:hAnsi="Arial" w:cs="Arial"/>
          <w:bCs/>
          <w:sz w:val="22"/>
          <w:szCs w:val="22"/>
        </w:rPr>
        <w:t>.</w:t>
      </w:r>
    </w:p>
    <w:p w:rsidR="00CE5E18" w:rsidRDefault="00CE5E18" w:rsidP="00CE5E18">
      <w:pPr>
        <w:autoSpaceDE w:val="0"/>
        <w:autoSpaceDN w:val="0"/>
        <w:adjustRightInd w:val="0"/>
        <w:jc w:val="both"/>
        <w:rPr>
          <w:rFonts w:ascii="Arial" w:hAnsi="Arial" w:cs="Arial"/>
          <w:b/>
          <w:bCs/>
          <w:sz w:val="22"/>
          <w:szCs w:val="22"/>
        </w:rPr>
      </w:pPr>
    </w:p>
    <w:p w:rsidR="00CE5E18" w:rsidRPr="0011771A" w:rsidRDefault="00CE5E18" w:rsidP="00CE5E18">
      <w:pPr>
        <w:pStyle w:val="ListParagraph"/>
        <w:numPr>
          <w:ilvl w:val="0"/>
          <w:numId w:val="3"/>
        </w:numPr>
        <w:autoSpaceDE w:val="0"/>
        <w:autoSpaceDN w:val="0"/>
        <w:adjustRightInd w:val="0"/>
        <w:jc w:val="both"/>
        <w:rPr>
          <w:rFonts w:ascii="Arial" w:hAnsi="Arial" w:cs="Arial"/>
          <w:bCs/>
          <w:sz w:val="22"/>
          <w:szCs w:val="22"/>
        </w:rPr>
      </w:pPr>
      <w:r w:rsidRPr="00FF03C6">
        <w:rPr>
          <w:rFonts w:ascii="Arial" w:hAnsi="Arial" w:cs="Arial"/>
          <w:bCs/>
          <w:sz w:val="22"/>
          <w:szCs w:val="22"/>
        </w:rPr>
        <w:t>Be able to apply a range of estimating techniques</w:t>
      </w:r>
    </w:p>
    <w:p w:rsidR="00CE5E18" w:rsidRPr="00FF03C6" w:rsidRDefault="00CE5E18" w:rsidP="00CE5E18">
      <w:pPr>
        <w:pStyle w:val="ListParagraph"/>
        <w:numPr>
          <w:ilvl w:val="0"/>
          <w:numId w:val="5"/>
        </w:numPr>
        <w:autoSpaceDE w:val="0"/>
        <w:autoSpaceDN w:val="0"/>
        <w:adjustRightInd w:val="0"/>
        <w:ind w:left="1134" w:hanging="425"/>
        <w:jc w:val="both"/>
        <w:rPr>
          <w:rFonts w:ascii="Arial" w:hAnsi="Arial" w:cs="Arial"/>
          <w:bCs/>
          <w:iCs/>
          <w:sz w:val="22"/>
          <w:szCs w:val="22"/>
        </w:rPr>
      </w:pPr>
      <w:r w:rsidRPr="00FF03C6">
        <w:rPr>
          <w:rFonts w:ascii="Arial" w:hAnsi="Arial" w:cs="Arial"/>
          <w:bCs/>
          <w:i/>
          <w:iCs/>
          <w:sz w:val="22"/>
          <w:szCs w:val="22"/>
        </w:rPr>
        <w:t>Different approaches to estimates:</w:t>
      </w:r>
      <w:r w:rsidRPr="00FF03C6">
        <w:rPr>
          <w:rFonts w:ascii="Arial" w:hAnsi="Arial" w:cs="Arial"/>
          <w:bCs/>
          <w:iCs/>
          <w:sz w:val="22"/>
          <w:szCs w:val="22"/>
        </w:rPr>
        <w:t xml:space="preserve"> functional unit; square metre; cost models; approximate estimates; detailed estimates.</w:t>
      </w:r>
    </w:p>
    <w:p w:rsidR="00CE5E18" w:rsidRPr="00FF03C6" w:rsidRDefault="00CE5E18" w:rsidP="00CE5E18">
      <w:pPr>
        <w:pStyle w:val="ListParagraph"/>
        <w:numPr>
          <w:ilvl w:val="0"/>
          <w:numId w:val="5"/>
        </w:numPr>
        <w:autoSpaceDE w:val="0"/>
        <w:autoSpaceDN w:val="0"/>
        <w:adjustRightInd w:val="0"/>
        <w:ind w:left="1134" w:hanging="425"/>
        <w:jc w:val="both"/>
        <w:rPr>
          <w:rFonts w:ascii="Arial" w:hAnsi="Arial" w:cs="Arial"/>
          <w:bCs/>
          <w:sz w:val="22"/>
          <w:szCs w:val="22"/>
        </w:rPr>
      </w:pPr>
      <w:r w:rsidRPr="00FF03C6">
        <w:rPr>
          <w:rFonts w:ascii="Arial" w:hAnsi="Arial" w:cs="Arial"/>
          <w:bCs/>
          <w:i/>
          <w:iCs/>
          <w:sz w:val="22"/>
          <w:szCs w:val="22"/>
        </w:rPr>
        <w:t>Sources of data:</w:t>
      </w:r>
      <w:r w:rsidRPr="00FF03C6">
        <w:rPr>
          <w:rFonts w:ascii="Arial" w:hAnsi="Arial" w:cs="Arial"/>
          <w:bCs/>
          <w:sz w:val="22"/>
          <w:szCs w:val="22"/>
        </w:rPr>
        <w:t xml:space="preserve"> characteristics; labour; labour costs; plant rates data; company data on output levels; cost of materials; terms of supply; delivery costs; handling; wastage; conversion</w:t>
      </w:r>
      <w:r>
        <w:rPr>
          <w:rFonts w:ascii="Arial" w:hAnsi="Arial" w:cs="Arial"/>
          <w:bCs/>
          <w:sz w:val="22"/>
          <w:szCs w:val="22"/>
        </w:rPr>
        <w:t>.</w:t>
      </w:r>
    </w:p>
    <w:p w:rsidR="00CE5E18" w:rsidRPr="00FF03C6" w:rsidRDefault="00CE5E18" w:rsidP="00CE5E18">
      <w:pPr>
        <w:pStyle w:val="ListParagraph"/>
        <w:numPr>
          <w:ilvl w:val="0"/>
          <w:numId w:val="5"/>
        </w:numPr>
        <w:autoSpaceDE w:val="0"/>
        <w:autoSpaceDN w:val="0"/>
        <w:adjustRightInd w:val="0"/>
        <w:ind w:left="1134" w:hanging="425"/>
        <w:jc w:val="both"/>
        <w:rPr>
          <w:rFonts w:ascii="Arial" w:hAnsi="Arial" w:cs="Arial"/>
          <w:bCs/>
          <w:sz w:val="22"/>
          <w:szCs w:val="22"/>
        </w:rPr>
      </w:pPr>
      <w:r w:rsidRPr="00FF03C6">
        <w:rPr>
          <w:rFonts w:ascii="Arial" w:hAnsi="Arial" w:cs="Arial"/>
          <w:bCs/>
          <w:iCs/>
          <w:sz w:val="22"/>
          <w:szCs w:val="22"/>
        </w:rPr>
        <w:t>Processes and procedures for estimate</w:t>
      </w:r>
      <w:r w:rsidRPr="00FF03C6">
        <w:rPr>
          <w:rFonts w:ascii="Arial" w:hAnsi="Arial" w:cs="Arial"/>
          <w:bCs/>
          <w:sz w:val="22"/>
          <w:szCs w:val="22"/>
        </w:rPr>
        <w:t>: factors affecting prime costs; method statements</w:t>
      </w:r>
      <w:r w:rsidRPr="000E0FEA">
        <w:rPr>
          <w:rFonts w:ascii="Arial" w:hAnsi="Arial" w:cs="Arial"/>
          <w:bCs/>
          <w:sz w:val="22"/>
          <w:szCs w:val="22"/>
        </w:rPr>
        <w:t xml:space="preserve">; use of standard reference documents; </w:t>
      </w:r>
      <w:r>
        <w:rPr>
          <w:rFonts w:ascii="Arial" w:hAnsi="Arial" w:cs="Arial"/>
          <w:bCs/>
          <w:sz w:val="22"/>
          <w:szCs w:val="22"/>
        </w:rPr>
        <w:t xml:space="preserve">including BIM; </w:t>
      </w:r>
      <w:r w:rsidRPr="000E0FEA">
        <w:rPr>
          <w:rFonts w:ascii="Arial" w:hAnsi="Arial" w:cs="Arial"/>
          <w:bCs/>
          <w:sz w:val="22"/>
          <w:szCs w:val="22"/>
        </w:rPr>
        <w:t xml:space="preserve">coverage rules for units of work </w:t>
      </w:r>
      <w:r w:rsidRPr="00D33478">
        <w:rPr>
          <w:rFonts w:ascii="Arial" w:hAnsi="Arial" w:cs="Arial"/>
          <w:bCs/>
          <w:sz w:val="22"/>
          <w:szCs w:val="22"/>
        </w:rPr>
        <w:t>calculation of unit rates</w:t>
      </w:r>
      <w:r>
        <w:rPr>
          <w:rFonts w:ascii="Arial" w:hAnsi="Arial" w:cs="Arial"/>
          <w:bCs/>
          <w:sz w:val="22"/>
          <w:szCs w:val="22"/>
        </w:rPr>
        <w:t>.</w:t>
      </w:r>
    </w:p>
    <w:p w:rsidR="00CE5E18" w:rsidRPr="00FF03C6" w:rsidRDefault="00CE5E18" w:rsidP="00CE5E18">
      <w:pPr>
        <w:pStyle w:val="ListParagraph"/>
        <w:numPr>
          <w:ilvl w:val="0"/>
          <w:numId w:val="5"/>
        </w:numPr>
        <w:autoSpaceDE w:val="0"/>
        <w:autoSpaceDN w:val="0"/>
        <w:adjustRightInd w:val="0"/>
        <w:ind w:left="1134"/>
        <w:jc w:val="both"/>
        <w:rPr>
          <w:rFonts w:ascii="Arial" w:hAnsi="Arial" w:cs="Arial"/>
          <w:bCs/>
          <w:sz w:val="22"/>
          <w:szCs w:val="22"/>
        </w:rPr>
      </w:pPr>
      <w:r w:rsidRPr="00FF03C6">
        <w:rPr>
          <w:rFonts w:ascii="Arial" w:hAnsi="Arial" w:cs="Arial"/>
          <w:bCs/>
          <w:i/>
          <w:iCs/>
          <w:sz w:val="22"/>
          <w:szCs w:val="22"/>
        </w:rPr>
        <w:t>Commercial factors</w:t>
      </w:r>
      <w:r w:rsidRPr="00FF03C6">
        <w:rPr>
          <w:rFonts w:ascii="Arial" w:hAnsi="Arial" w:cs="Arial"/>
          <w:bCs/>
          <w:sz w:val="22"/>
          <w:szCs w:val="22"/>
        </w:rPr>
        <w:t>: final estimate; tender price; profit margin; payment terms; on-costs and overheads; competition; capacity; risk; insurance</w:t>
      </w:r>
      <w:r>
        <w:rPr>
          <w:rFonts w:ascii="Arial" w:hAnsi="Arial" w:cs="Arial"/>
          <w:bCs/>
          <w:sz w:val="22"/>
          <w:szCs w:val="22"/>
        </w:rPr>
        <w:t>.</w:t>
      </w:r>
    </w:p>
    <w:p w:rsidR="00CE5E18" w:rsidRDefault="00CE5E18" w:rsidP="00CE5E18">
      <w:pPr>
        <w:autoSpaceDE w:val="0"/>
        <w:autoSpaceDN w:val="0"/>
        <w:adjustRightInd w:val="0"/>
        <w:jc w:val="both"/>
        <w:rPr>
          <w:rFonts w:ascii="Arial" w:hAnsi="Arial" w:cs="Arial"/>
          <w:b/>
          <w:bCs/>
          <w:sz w:val="22"/>
          <w:szCs w:val="22"/>
        </w:rPr>
      </w:pPr>
    </w:p>
    <w:p w:rsidR="00CE5E18" w:rsidRPr="00DE3CD1" w:rsidRDefault="00CE5E18" w:rsidP="00CE5E18">
      <w:pPr>
        <w:pStyle w:val="ListParagraph"/>
        <w:numPr>
          <w:ilvl w:val="0"/>
          <w:numId w:val="6"/>
        </w:numPr>
        <w:autoSpaceDE w:val="0"/>
        <w:autoSpaceDN w:val="0"/>
        <w:adjustRightInd w:val="0"/>
        <w:jc w:val="both"/>
        <w:rPr>
          <w:rFonts w:ascii="Arial" w:hAnsi="Arial" w:cs="Arial"/>
          <w:bCs/>
          <w:sz w:val="22"/>
          <w:szCs w:val="22"/>
        </w:rPr>
      </w:pPr>
      <w:r w:rsidRPr="00FF03C6">
        <w:rPr>
          <w:rFonts w:ascii="Arial" w:hAnsi="Arial" w:cs="Arial"/>
          <w:sz w:val="22"/>
          <w:szCs w:val="22"/>
        </w:rPr>
        <w:t>Be able to measure and produce Bills of Quantities construction quantities in accordance with a standard method mentioned</w:t>
      </w:r>
      <w:r w:rsidR="009C3E79">
        <w:rPr>
          <w:rFonts w:ascii="Arial" w:hAnsi="Arial" w:cs="Arial"/>
          <w:sz w:val="22"/>
          <w:szCs w:val="22"/>
        </w:rPr>
        <w:t xml:space="preserve"> </w:t>
      </w:r>
      <w:r w:rsidRPr="000E0FEA">
        <w:rPr>
          <w:rFonts w:ascii="Arial" w:hAnsi="Arial" w:cs="Arial"/>
          <w:sz w:val="22"/>
          <w:szCs w:val="22"/>
        </w:rPr>
        <w:t>e.g. New Rules of Measurement (NRM), Civil Engineering Standard Method of Measurement (CESMM);</w:t>
      </w:r>
    </w:p>
    <w:p w:rsidR="00CE5E18" w:rsidRPr="00DE3CD1" w:rsidRDefault="00CE5E18" w:rsidP="00CE5E18">
      <w:pPr>
        <w:pStyle w:val="ListParagraph"/>
        <w:numPr>
          <w:ilvl w:val="0"/>
          <w:numId w:val="6"/>
        </w:numPr>
        <w:autoSpaceDE w:val="0"/>
        <w:autoSpaceDN w:val="0"/>
        <w:adjustRightInd w:val="0"/>
        <w:ind w:left="1134"/>
        <w:jc w:val="both"/>
        <w:rPr>
          <w:rFonts w:ascii="Arial" w:hAnsi="Arial" w:cs="Arial"/>
          <w:bCs/>
          <w:sz w:val="22"/>
          <w:szCs w:val="22"/>
        </w:rPr>
      </w:pPr>
      <w:r w:rsidRPr="00FF03C6">
        <w:rPr>
          <w:rFonts w:ascii="Arial" w:hAnsi="Arial" w:cs="Arial"/>
          <w:bCs/>
          <w:i/>
          <w:iCs/>
          <w:sz w:val="22"/>
          <w:szCs w:val="22"/>
        </w:rPr>
        <w:t>Methods of recording measu</w:t>
      </w:r>
      <w:r>
        <w:rPr>
          <w:rFonts w:ascii="Arial" w:hAnsi="Arial" w:cs="Arial"/>
          <w:bCs/>
          <w:i/>
          <w:iCs/>
          <w:sz w:val="22"/>
          <w:szCs w:val="22"/>
        </w:rPr>
        <w:t>rements from drawings and site</w:t>
      </w:r>
    </w:p>
    <w:p w:rsidR="00CE5E18" w:rsidRPr="00DE3CD1" w:rsidRDefault="00CE5E18" w:rsidP="00CE5E18">
      <w:pPr>
        <w:pStyle w:val="ListParagraph"/>
        <w:numPr>
          <w:ilvl w:val="0"/>
          <w:numId w:val="6"/>
        </w:numPr>
        <w:autoSpaceDE w:val="0"/>
        <w:autoSpaceDN w:val="0"/>
        <w:adjustRightInd w:val="0"/>
        <w:ind w:left="1134"/>
        <w:jc w:val="both"/>
        <w:rPr>
          <w:rFonts w:ascii="Arial" w:hAnsi="Arial" w:cs="Arial"/>
          <w:bCs/>
          <w:sz w:val="22"/>
          <w:szCs w:val="22"/>
        </w:rPr>
      </w:pPr>
      <w:r>
        <w:rPr>
          <w:rFonts w:ascii="Arial" w:hAnsi="Arial" w:cs="Arial"/>
          <w:bCs/>
          <w:i/>
          <w:iCs/>
          <w:sz w:val="22"/>
          <w:szCs w:val="22"/>
        </w:rPr>
        <w:lastRenderedPageBreak/>
        <w:t>R</w:t>
      </w:r>
      <w:r w:rsidRPr="00FF03C6">
        <w:rPr>
          <w:rFonts w:ascii="Arial" w:hAnsi="Arial" w:cs="Arial"/>
          <w:bCs/>
          <w:i/>
          <w:iCs/>
          <w:sz w:val="22"/>
          <w:szCs w:val="22"/>
        </w:rPr>
        <w:t>ules and principles of measurement as embodied in the current S</w:t>
      </w:r>
      <w:r>
        <w:rPr>
          <w:rFonts w:ascii="Arial" w:hAnsi="Arial" w:cs="Arial"/>
          <w:bCs/>
          <w:i/>
          <w:iCs/>
          <w:sz w:val="22"/>
          <w:szCs w:val="22"/>
        </w:rPr>
        <w:t>tandard Method of Measurement</w:t>
      </w:r>
    </w:p>
    <w:p w:rsidR="00CE5E18" w:rsidRPr="00DE3CD1" w:rsidRDefault="00CE5E18" w:rsidP="00CE5E18">
      <w:pPr>
        <w:pStyle w:val="ListParagraph"/>
        <w:numPr>
          <w:ilvl w:val="0"/>
          <w:numId w:val="6"/>
        </w:numPr>
        <w:autoSpaceDE w:val="0"/>
        <w:autoSpaceDN w:val="0"/>
        <w:adjustRightInd w:val="0"/>
        <w:ind w:left="1134"/>
        <w:jc w:val="both"/>
        <w:rPr>
          <w:rFonts w:ascii="Arial" w:hAnsi="Arial" w:cs="Arial"/>
          <w:bCs/>
          <w:sz w:val="22"/>
          <w:szCs w:val="22"/>
        </w:rPr>
      </w:pPr>
      <w:r>
        <w:rPr>
          <w:rFonts w:ascii="Arial" w:hAnsi="Arial" w:cs="Arial"/>
          <w:bCs/>
          <w:i/>
          <w:iCs/>
          <w:sz w:val="22"/>
          <w:szCs w:val="22"/>
        </w:rPr>
        <w:t>M</w:t>
      </w:r>
      <w:r w:rsidRPr="00FF03C6">
        <w:rPr>
          <w:rFonts w:ascii="Arial" w:hAnsi="Arial" w:cs="Arial"/>
          <w:bCs/>
          <w:i/>
          <w:iCs/>
          <w:sz w:val="22"/>
          <w:szCs w:val="22"/>
        </w:rPr>
        <w:t xml:space="preserve">ethod of processing measurements for pre-contract and post-contract purposes;  measurement derived from computer-aided </w:t>
      </w:r>
      <w:r>
        <w:rPr>
          <w:rFonts w:ascii="Arial" w:hAnsi="Arial" w:cs="Arial"/>
          <w:bCs/>
          <w:i/>
          <w:iCs/>
          <w:sz w:val="22"/>
          <w:szCs w:val="22"/>
        </w:rPr>
        <w:t>design systems</w:t>
      </w:r>
    </w:p>
    <w:p w:rsidR="00CE5E18" w:rsidRPr="00FF03C6" w:rsidRDefault="00CE5E18" w:rsidP="00CE5E18">
      <w:pPr>
        <w:pStyle w:val="ListParagraph"/>
        <w:numPr>
          <w:ilvl w:val="0"/>
          <w:numId w:val="6"/>
        </w:numPr>
        <w:autoSpaceDE w:val="0"/>
        <w:autoSpaceDN w:val="0"/>
        <w:adjustRightInd w:val="0"/>
        <w:ind w:left="1134"/>
        <w:jc w:val="both"/>
        <w:rPr>
          <w:rFonts w:ascii="Arial" w:hAnsi="Arial" w:cs="Arial"/>
          <w:bCs/>
          <w:sz w:val="22"/>
          <w:szCs w:val="22"/>
        </w:rPr>
      </w:pPr>
      <w:r w:rsidRPr="00FF03C6">
        <w:rPr>
          <w:rFonts w:ascii="Arial" w:hAnsi="Arial" w:cs="Arial"/>
          <w:bCs/>
          <w:i/>
          <w:iCs/>
          <w:sz w:val="22"/>
          <w:szCs w:val="22"/>
        </w:rPr>
        <w:t>Bills of quantities</w:t>
      </w:r>
      <w:r w:rsidRPr="00FF03C6">
        <w:rPr>
          <w:rFonts w:ascii="Arial" w:hAnsi="Arial" w:cs="Arial"/>
          <w:bCs/>
          <w:sz w:val="22"/>
          <w:szCs w:val="22"/>
        </w:rPr>
        <w:t>: format; contents; sections; production; preliminaries</w:t>
      </w:r>
    </w:p>
    <w:p w:rsidR="00CE5E18" w:rsidRPr="00D33478" w:rsidRDefault="00CE5E18" w:rsidP="00CE5E18">
      <w:pPr>
        <w:jc w:val="both"/>
        <w:rPr>
          <w:rFonts w:ascii="Arial" w:hAnsi="Arial" w:cs="Arial"/>
          <w:sz w:val="22"/>
          <w:szCs w:val="22"/>
        </w:rPr>
      </w:pPr>
    </w:p>
    <w:p w:rsidR="00CE5E18" w:rsidRPr="00D33478" w:rsidRDefault="00CE5E18" w:rsidP="00CE5E18">
      <w:pPr>
        <w:pStyle w:val="fixed"/>
        <w:spacing w:after="0" w:line="240" w:lineRule="auto"/>
        <w:jc w:val="both"/>
        <w:rPr>
          <w:rFonts w:ascii="Arial" w:hAnsi="Arial" w:cs="Arial"/>
          <w:sz w:val="22"/>
        </w:rPr>
      </w:pPr>
      <w:r w:rsidRPr="00D33478">
        <w:rPr>
          <w:rFonts w:ascii="Arial" w:hAnsi="Arial" w:cs="Arial"/>
          <w:sz w:val="22"/>
        </w:rPr>
        <w:t>LEARNING AND TEACHING STRATEGY</w:t>
      </w:r>
    </w:p>
    <w:p w:rsidR="00CE5E18" w:rsidRDefault="00CE5E18" w:rsidP="00CE5E18">
      <w:pPr>
        <w:jc w:val="both"/>
        <w:rPr>
          <w:rFonts w:ascii="Arial" w:hAnsi="Arial" w:cs="Arial"/>
          <w:sz w:val="22"/>
          <w:szCs w:val="22"/>
        </w:rPr>
      </w:pPr>
      <w:r w:rsidRPr="00D33478">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CE5E18" w:rsidRPr="00D33478" w:rsidRDefault="00CE5E18" w:rsidP="00CE5E18">
      <w:pPr>
        <w:jc w:val="both"/>
        <w:rPr>
          <w:rFonts w:ascii="Arial" w:hAnsi="Arial" w:cs="Arial"/>
          <w:sz w:val="22"/>
          <w:szCs w:val="22"/>
        </w:rPr>
      </w:pPr>
    </w:p>
    <w:p w:rsidR="00CE5E18" w:rsidRPr="00FF03C6" w:rsidRDefault="00CE5E18" w:rsidP="00CE5E18">
      <w:pPr>
        <w:jc w:val="both"/>
        <w:rPr>
          <w:rFonts w:ascii="Arial" w:hAnsi="Arial" w:cs="Arial"/>
          <w:sz w:val="22"/>
          <w:szCs w:val="22"/>
        </w:rPr>
      </w:pPr>
      <w:r w:rsidRPr="00FF03C6">
        <w:rPr>
          <w:rFonts w:ascii="Arial" w:hAnsi="Arial" w:cs="Arial"/>
          <w:sz w:val="22"/>
          <w:szCs w:val="22"/>
        </w:rPr>
        <w:t>The allocation of teaching to deliver the module is:</w:t>
      </w:r>
    </w:p>
    <w:p w:rsidR="00CE5E18" w:rsidRPr="00FF03C6" w:rsidRDefault="00CE5E18" w:rsidP="00CE5E18">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CE5E18" w:rsidRPr="00FF03C6" w:rsidTr="003D0730">
        <w:tc>
          <w:tcPr>
            <w:tcW w:w="3969" w:type="dxa"/>
            <w:tcBorders>
              <w:top w:val="single" w:sz="4" w:space="0" w:color="auto"/>
              <w:left w:val="single" w:sz="4" w:space="0" w:color="auto"/>
            </w:tcBorders>
          </w:tcPr>
          <w:p w:rsidR="00CE5E18" w:rsidRPr="00A13438" w:rsidRDefault="00CE5E18" w:rsidP="003D0730">
            <w:pPr>
              <w:jc w:val="both"/>
              <w:rPr>
                <w:rFonts w:ascii="Arial" w:hAnsi="Arial" w:cs="Arial"/>
                <w:b/>
                <w:sz w:val="22"/>
                <w:szCs w:val="22"/>
              </w:rPr>
            </w:pPr>
            <w:r w:rsidRPr="00A13438">
              <w:rPr>
                <w:rFonts w:ascii="Arial" w:hAnsi="Arial" w:cs="Arial"/>
                <w:b/>
                <w:sz w:val="22"/>
                <w:szCs w:val="22"/>
              </w:rPr>
              <w:t>Activity type</w:t>
            </w:r>
          </w:p>
        </w:tc>
        <w:tc>
          <w:tcPr>
            <w:tcW w:w="1701" w:type="dxa"/>
            <w:tcBorders>
              <w:top w:val="single" w:sz="4" w:space="0" w:color="auto"/>
            </w:tcBorders>
          </w:tcPr>
          <w:p w:rsidR="00CE5E18" w:rsidRPr="00A13438" w:rsidRDefault="00CE5E18" w:rsidP="003D0730">
            <w:pPr>
              <w:jc w:val="center"/>
              <w:rPr>
                <w:rFonts w:ascii="Arial" w:hAnsi="Arial" w:cs="Arial"/>
                <w:b/>
                <w:sz w:val="22"/>
                <w:szCs w:val="22"/>
              </w:rPr>
            </w:pPr>
            <w:r w:rsidRPr="00A13438">
              <w:rPr>
                <w:rFonts w:ascii="Arial" w:hAnsi="Arial" w:cs="Arial"/>
                <w:b/>
                <w:sz w:val="22"/>
                <w:szCs w:val="22"/>
              </w:rPr>
              <w:t>Hours</w:t>
            </w:r>
          </w:p>
        </w:tc>
        <w:tc>
          <w:tcPr>
            <w:tcW w:w="1843" w:type="dxa"/>
            <w:tcBorders>
              <w:top w:val="single" w:sz="4" w:space="0" w:color="auto"/>
            </w:tcBorders>
          </w:tcPr>
          <w:p w:rsidR="00CE5E18" w:rsidRPr="00A13438" w:rsidRDefault="00CE5E18" w:rsidP="003D0730">
            <w:pPr>
              <w:jc w:val="center"/>
              <w:rPr>
                <w:rFonts w:ascii="Arial" w:hAnsi="Arial" w:cs="Arial"/>
                <w:b/>
                <w:sz w:val="22"/>
                <w:szCs w:val="22"/>
              </w:rPr>
            </w:pPr>
            <w:r w:rsidRPr="00A13438">
              <w:rPr>
                <w:rFonts w:ascii="Arial" w:hAnsi="Arial" w:cs="Arial"/>
                <w:b/>
                <w:sz w:val="22"/>
                <w:szCs w:val="22"/>
              </w:rPr>
              <w:t>Percentage</w:t>
            </w:r>
          </w:p>
        </w:tc>
      </w:tr>
      <w:tr w:rsidR="00CE5E18" w:rsidRPr="00FF03C6" w:rsidTr="003D0730">
        <w:tc>
          <w:tcPr>
            <w:tcW w:w="3969" w:type="dxa"/>
          </w:tcPr>
          <w:p w:rsidR="00CE5E18" w:rsidRPr="00A13438" w:rsidRDefault="00CE5E18" w:rsidP="003D0730">
            <w:pPr>
              <w:jc w:val="both"/>
              <w:rPr>
                <w:rFonts w:ascii="Arial" w:hAnsi="Arial" w:cs="Arial"/>
                <w:sz w:val="22"/>
                <w:szCs w:val="22"/>
              </w:rPr>
            </w:pPr>
            <w:r w:rsidRPr="00A13438">
              <w:rPr>
                <w:rFonts w:ascii="Arial" w:hAnsi="Arial" w:cs="Arial"/>
                <w:sz w:val="22"/>
                <w:szCs w:val="22"/>
              </w:rPr>
              <w:t>Scheduled learning</w:t>
            </w:r>
          </w:p>
        </w:tc>
        <w:tc>
          <w:tcPr>
            <w:tcW w:w="1701" w:type="dxa"/>
          </w:tcPr>
          <w:p w:rsidR="00CE5E18" w:rsidRPr="00A13438" w:rsidRDefault="00CE5E18" w:rsidP="003D0730">
            <w:pPr>
              <w:jc w:val="center"/>
              <w:rPr>
                <w:rFonts w:ascii="Arial" w:hAnsi="Arial" w:cs="Arial"/>
                <w:sz w:val="22"/>
                <w:szCs w:val="22"/>
              </w:rPr>
            </w:pPr>
            <w:r w:rsidRPr="00A13438">
              <w:rPr>
                <w:rFonts w:ascii="Arial" w:hAnsi="Arial" w:cs="Arial"/>
                <w:sz w:val="22"/>
                <w:szCs w:val="22"/>
              </w:rPr>
              <w:t>60</w:t>
            </w:r>
          </w:p>
        </w:tc>
        <w:tc>
          <w:tcPr>
            <w:tcW w:w="1843" w:type="dxa"/>
          </w:tcPr>
          <w:p w:rsidR="00CE5E18" w:rsidRPr="00A13438" w:rsidRDefault="00CE5E18" w:rsidP="003D0730">
            <w:pPr>
              <w:jc w:val="center"/>
              <w:rPr>
                <w:rFonts w:ascii="Arial" w:hAnsi="Arial" w:cs="Arial"/>
                <w:sz w:val="22"/>
                <w:szCs w:val="22"/>
              </w:rPr>
            </w:pPr>
            <w:r w:rsidRPr="00A13438">
              <w:rPr>
                <w:rFonts w:ascii="Arial" w:hAnsi="Arial" w:cs="Arial"/>
                <w:sz w:val="22"/>
                <w:szCs w:val="22"/>
              </w:rPr>
              <w:t>30%</w:t>
            </w:r>
          </w:p>
        </w:tc>
      </w:tr>
      <w:tr w:rsidR="00CE5E18" w:rsidRPr="00FF03C6" w:rsidTr="003D0730">
        <w:tc>
          <w:tcPr>
            <w:tcW w:w="3969" w:type="dxa"/>
          </w:tcPr>
          <w:p w:rsidR="00CE5E18" w:rsidRPr="00A13438" w:rsidRDefault="00CE5E18" w:rsidP="003D0730">
            <w:pPr>
              <w:jc w:val="both"/>
              <w:rPr>
                <w:rFonts w:ascii="Arial" w:hAnsi="Arial" w:cs="Arial"/>
                <w:sz w:val="22"/>
                <w:szCs w:val="22"/>
              </w:rPr>
            </w:pPr>
            <w:r w:rsidRPr="00A13438">
              <w:rPr>
                <w:rFonts w:ascii="Arial" w:hAnsi="Arial" w:cs="Arial"/>
                <w:sz w:val="22"/>
                <w:szCs w:val="22"/>
              </w:rPr>
              <w:t>Independent learning</w:t>
            </w:r>
          </w:p>
        </w:tc>
        <w:tc>
          <w:tcPr>
            <w:tcW w:w="1701" w:type="dxa"/>
          </w:tcPr>
          <w:p w:rsidR="00CE5E18" w:rsidRPr="00A13438" w:rsidRDefault="00CE5E18" w:rsidP="003D0730">
            <w:pPr>
              <w:jc w:val="center"/>
              <w:rPr>
                <w:rFonts w:ascii="Arial" w:hAnsi="Arial" w:cs="Arial"/>
                <w:sz w:val="22"/>
                <w:szCs w:val="22"/>
              </w:rPr>
            </w:pPr>
            <w:r w:rsidRPr="00A13438">
              <w:rPr>
                <w:rFonts w:ascii="Arial" w:hAnsi="Arial" w:cs="Arial"/>
                <w:sz w:val="22"/>
                <w:szCs w:val="22"/>
              </w:rPr>
              <w:t>140</w:t>
            </w:r>
          </w:p>
        </w:tc>
        <w:tc>
          <w:tcPr>
            <w:tcW w:w="1843" w:type="dxa"/>
          </w:tcPr>
          <w:p w:rsidR="00CE5E18" w:rsidRPr="00A13438" w:rsidRDefault="00CE5E18" w:rsidP="003D0730">
            <w:pPr>
              <w:jc w:val="center"/>
              <w:rPr>
                <w:rFonts w:ascii="Arial" w:hAnsi="Arial" w:cs="Arial"/>
                <w:sz w:val="22"/>
                <w:szCs w:val="22"/>
              </w:rPr>
            </w:pPr>
            <w:r w:rsidRPr="00A13438">
              <w:rPr>
                <w:rFonts w:ascii="Arial" w:hAnsi="Arial" w:cs="Arial"/>
                <w:sz w:val="22"/>
                <w:szCs w:val="22"/>
              </w:rPr>
              <w:t>70%</w:t>
            </w:r>
          </w:p>
        </w:tc>
      </w:tr>
      <w:tr w:rsidR="00CE5E18" w:rsidRPr="00FF03C6" w:rsidTr="003D0730">
        <w:tc>
          <w:tcPr>
            <w:tcW w:w="3969" w:type="dxa"/>
          </w:tcPr>
          <w:p w:rsidR="00CE5E18" w:rsidRPr="00A13438" w:rsidRDefault="00CE5E18" w:rsidP="003D0730">
            <w:pPr>
              <w:jc w:val="both"/>
              <w:rPr>
                <w:rFonts w:ascii="Arial" w:hAnsi="Arial" w:cs="Arial"/>
                <w:sz w:val="22"/>
                <w:szCs w:val="22"/>
              </w:rPr>
            </w:pPr>
            <w:r w:rsidRPr="00A13438">
              <w:rPr>
                <w:rFonts w:ascii="Arial" w:hAnsi="Arial" w:cs="Arial"/>
                <w:sz w:val="22"/>
                <w:szCs w:val="22"/>
              </w:rPr>
              <w:t>Placement learning</w:t>
            </w:r>
          </w:p>
        </w:tc>
        <w:tc>
          <w:tcPr>
            <w:tcW w:w="1701" w:type="dxa"/>
          </w:tcPr>
          <w:p w:rsidR="00CE5E18" w:rsidRPr="00A13438" w:rsidRDefault="00CE5E18" w:rsidP="003D0730">
            <w:pPr>
              <w:jc w:val="center"/>
              <w:rPr>
                <w:rFonts w:ascii="Arial" w:hAnsi="Arial" w:cs="Arial"/>
                <w:sz w:val="22"/>
                <w:szCs w:val="22"/>
              </w:rPr>
            </w:pPr>
            <w:r w:rsidRPr="00A13438">
              <w:rPr>
                <w:rFonts w:ascii="Arial" w:hAnsi="Arial" w:cs="Arial"/>
                <w:sz w:val="22"/>
                <w:szCs w:val="22"/>
              </w:rPr>
              <w:t>0</w:t>
            </w:r>
          </w:p>
        </w:tc>
        <w:tc>
          <w:tcPr>
            <w:tcW w:w="1843" w:type="dxa"/>
          </w:tcPr>
          <w:p w:rsidR="00CE5E18" w:rsidRPr="00A13438" w:rsidRDefault="00CE5E18" w:rsidP="003D0730">
            <w:pPr>
              <w:jc w:val="center"/>
              <w:rPr>
                <w:rFonts w:ascii="Arial" w:hAnsi="Arial" w:cs="Arial"/>
                <w:sz w:val="22"/>
                <w:szCs w:val="22"/>
              </w:rPr>
            </w:pPr>
            <w:r w:rsidRPr="00A13438">
              <w:rPr>
                <w:rFonts w:ascii="Arial" w:hAnsi="Arial" w:cs="Arial"/>
                <w:sz w:val="22"/>
                <w:szCs w:val="22"/>
              </w:rPr>
              <w:t>0%</w:t>
            </w:r>
          </w:p>
        </w:tc>
      </w:tr>
      <w:tr w:rsidR="00CE5E18" w:rsidRPr="00FF03C6" w:rsidTr="003D0730">
        <w:tc>
          <w:tcPr>
            <w:tcW w:w="3969" w:type="dxa"/>
          </w:tcPr>
          <w:p w:rsidR="00CE5E18" w:rsidRPr="00A13438" w:rsidRDefault="00CE5E18" w:rsidP="003D0730">
            <w:pPr>
              <w:jc w:val="both"/>
              <w:rPr>
                <w:rFonts w:ascii="Arial" w:hAnsi="Arial" w:cs="Arial"/>
                <w:sz w:val="22"/>
                <w:szCs w:val="22"/>
              </w:rPr>
            </w:pPr>
            <w:r w:rsidRPr="00A13438">
              <w:rPr>
                <w:rFonts w:ascii="Arial" w:hAnsi="Arial" w:cs="Arial"/>
                <w:b/>
                <w:sz w:val="22"/>
                <w:szCs w:val="22"/>
              </w:rPr>
              <w:t>TOTAL</w:t>
            </w:r>
          </w:p>
        </w:tc>
        <w:tc>
          <w:tcPr>
            <w:tcW w:w="1701" w:type="dxa"/>
          </w:tcPr>
          <w:p w:rsidR="00CE5E18" w:rsidRPr="00A13438" w:rsidRDefault="00CE5E18" w:rsidP="003D0730">
            <w:pPr>
              <w:jc w:val="center"/>
              <w:rPr>
                <w:rFonts w:ascii="Arial" w:hAnsi="Arial" w:cs="Arial"/>
                <w:b/>
                <w:sz w:val="22"/>
                <w:szCs w:val="22"/>
              </w:rPr>
            </w:pPr>
            <w:r w:rsidRPr="00A13438">
              <w:rPr>
                <w:rFonts w:ascii="Arial" w:hAnsi="Arial" w:cs="Arial"/>
                <w:b/>
                <w:sz w:val="22"/>
                <w:szCs w:val="22"/>
              </w:rPr>
              <w:t>200</w:t>
            </w:r>
          </w:p>
        </w:tc>
        <w:tc>
          <w:tcPr>
            <w:tcW w:w="1843" w:type="dxa"/>
          </w:tcPr>
          <w:p w:rsidR="00CE5E18" w:rsidRPr="00A13438" w:rsidRDefault="00CE5E18" w:rsidP="003D0730">
            <w:pPr>
              <w:jc w:val="center"/>
              <w:rPr>
                <w:rFonts w:ascii="Arial" w:hAnsi="Arial" w:cs="Arial"/>
                <w:b/>
                <w:sz w:val="22"/>
                <w:szCs w:val="22"/>
              </w:rPr>
            </w:pPr>
            <w:r w:rsidRPr="00A13438">
              <w:rPr>
                <w:rFonts w:ascii="Arial" w:hAnsi="Arial" w:cs="Arial"/>
                <w:b/>
                <w:sz w:val="22"/>
                <w:szCs w:val="22"/>
              </w:rPr>
              <w:t>100%</w:t>
            </w:r>
          </w:p>
        </w:tc>
      </w:tr>
    </w:tbl>
    <w:p w:rsidR="00CE5E18" w:rsidRPr="00D33478" w:rsidRDefault="00CE5E18" w:rsidP="00CE5E18">
      <w:pPr>
        <w:pStyle w:val="fixed"/>
        <w:spacing w:after="0" w:line="240" w:lineRule="auto"/>
        <w:ind w:left="0" w:firstLine="0"/>
        <w:jc w:val="both"/>
        <w:rPr>
          <w:rFonts w:ascii="Arial" w:hAnsi="Arial" w:cs="Arial"/>
          <w:sz w:val="22"/>
          <w:highlight w:val="yellow"/>
        </w:rPr>
      </w:pPr>
    </w:p>
    <w:p w:rsidR="00CE5E18" w:rsidRDefault="00CE5E18" w:rsidP="00CE5E18">
      <w:pPr>
        <w:pStyle w:val="fixed"/>
        <w:spacing w:after="0" w:line="240" w:lineRule="auto"/>
        <w:ind w:left="0" w:firstLine="0"/>
        <w:jc w:val="both"/>
        <w:rPr>
          <w:rFonts w:ascii="Arial" w:hAnsi="Arial" w:cs="Arial"/>
          <w:sz w:val="22"/>
        </w:rPr>
      </w:pPr>
      <w:r w:rsidRPr="00DE3CD1">
        <w:rPr>
          <w:rFonts w:ascii="Arial" w:hAnsi="Arial" w:cs="Arial"/>
          <w:sz w:val="22"/>
        </w:rPr>
        <w:t>ASSESSMENT</w:t>
      </w:r>
    </w:p>
    <w:p w:rsidR="00CE5E18" w:rsidRPr="00DE3CD1" w:rsidRDefault="00CE5E18" w:rsidP="00CE5E18">
      <w:pPr>
        <w:pStyle w:val="fixed"/>
        <w:spacing w:after="0" w:line="240" w:lineRule="auto"/>
        <w:ind w:left="0" w:firstLine="0"/>
        <w:jc w:val="both"/>
        <w:rPr>
          <w:rFonts w:ascii="Arial" w:hAnsi="Arial" w:cs="Arial"/>
          <w:sz w:val="22"/>
        </w:rPr>
      </w:pPr>
    </w:p>
    <w:p w:rsidR="00CE5E18" w:rsidRPr="00DE3CD1" w:rsidRDefault="00CE5E18" w:rsidP="00CE5E18">
      <w:pPr>
        <w:jc w:val="both"/>
        <w:rPr>
          <w:rFonts w:ascii="Arial" w:hAnsi="Arial" w:cs="Arial"/>
          <w:b/>
          <w:sz w:val="22"/>
          <w:szCs w:val="22"/>
        </w:rPr>
      </w:pPr>
      <w:r w:rsidRPr="00DE3CD1">
        <w:rPr>
          <w:rFonts w:ascii="Arial" w:hAnsi="Arial" w:cs="Arial"/>
          <w:b/>
          <w:sz w:val="22"/>
          <w:szCs w:val="22"/>
        </w:rPr>
        <w:t>Assessment Component 1 – 50%</w:t>
      </w:r>
    </w:p>
    <w:p w:rsidR="00CE5E18" w:rsidRDefault="00CE5E18" w:rsidP="00CE5E18">
      <w:pPr>
        <w:pStyle w:val="fixed"/>
        <w:spacing w:after="0" w:line="240" w:lineRule="auto"/>
        <w:ind w:left="0" w:firstLine="0"/>
        <w:jc w:val="both"/>
        <w:rPr>
          <w:rFonts w:ascii="Arial" w:hAnsi="Arial" w:cs="Arial"/>
          <w:b w:val="0"/>
          <w:color w:val="auto"/>
          <w:sz w:val="22"/>
          <w:lang w:eastAsia="en-US"/>
        </w:rPr>
      </w:pPr>
      <w:r w:rsidRPr="0090672A">
        <w:rPr>
          <w:rFonts w:ascii="Arial" w:hAnsi="Arial" w:cs="Arial"/>
          <w:b w:val="0"/>
          <w:color w:val="auto"/>
          <w:sz w:val="22"/>
          <w:lang w:eastAsia="en-US"/>
        </w:rPr>
        <w:t xml:space="preserve">Candidates will be asked to </w:t>
      </w:r>
      <w:r>
        <w:rPr>
          <w:rFonts w:ascii="Arial" w:hAnsi="Arial" w:cs="Arial"/>
          <w:b w:val="0"/>
          <w:color w:val="auto"/>
          <w:sz w:val="22"/>
          <w:lang w:eastAsia="en-US"/>
        </w:rPr>
        <w:t xml:space="preserve">sit a two hour examination in which they will be asked to </w:t>
      </w:r>
      <w:r w:rsidRPr="0090672A">
        <w:rPr>
          <w:rFonts w:ascii="Arial" w:hAnsi="Arial" w:cs="Arial"/>
          <w:b w:val="0"/>
          <w:color w:val="auto"/>
          <w:sz w:val="22"/>
          <w:lang w:eastAsia="en-US"/>
        </w:rPr>
        <w:t xml:space="preserve">prepare </w:t>
      </w:r>
      <w:r>
        <w:rPr>
          <w:rFonts w:ascii="Arial" w:hAnsi="Arial" w:cs="Arial"/>
          <w:b w:val="0"/>
          <w:color w:val="auto"/>
          <w:sz w:val="22"/>
          <w:lang w:eastAsia="en-US"/>
        </w:rPr>
        <w:t xml:space="preserve">sections of a </w:t>
      </w:r>
      <w:r w:rsidRPr="0090672A">
        <w:rPr>
          <w:rFonts w:ascii="Arial" w:hAnsi="Arial" w:cs="Arial"/>
          <w:b w:val="0"/>
          <w:color w:val="auto"/>
          <w:sz w:val="22"/>
          <w:lang w:eastAsia="en-US"/>
        </w:rPr>
        <w:t xml:space="preserve">Bills of Quantities </w:t>
      </w:r>
      <w:r>
        <w:rPr>
          <w:rFonts w:ascii="Arial" w:hAnsi="Arial" w:cs="Arial"/>
          <w:b w:val="0"/>
          <w:color w:val="auto"/>
          <w:sz w:val="22"/>
          <w:lang w:eastAsia="en-US"/>
        </w:rPr>
        <w:t>along with answering questions on topics relating to tender and estimating. Candidates will be offered a degree of choice in which questions they answer.</w:t>
      </w:r>
    </w:p>
    <w:p w:rsidR="00CE5E18" w:rsidRPr="00D33478" w:rsidRDefault="00CE5E18" w:rsidP="00CE5E18">
      <w:pPr>
        <w:pStyle w:val="fixed"/>
        <w:spacing w:after="0" w:line="240" w:lineRule="auto"/>
        <w:ind w:left="0" w:firstLine="0"/>
        <w:jc w:val="both"/>
        <w:rPr>
          <w:rFonts w:ascii="Arial" w:hAnsi="Arial" w:cs="Arial"/>
          <w:b w:val="0"/>
          <w:sz w:val="22"/>
          <w:highlight w:val="yellow"/>
        </w:rPr>
      </w:pPr>
    </w:p>
    <w:p w:rsidR="00CE5E18" w:rsidRDefault="00CE5E18" w:rsidP="00CE5E18">
      <w:pPr>
        <w:jc w:val="both"/>
        <w:rPr>
          <w:rFonts w:ascii="Arial" w:hAnsi="Arial" w:cs="Arial"/>
          <w:b/>
          <w:sz w:val="22"/>
          <w:szCs w:val="22"/>
        </w:rPr>
      </w:pPr>
      <w:r w:rsidRPr="0090672A">
        <w:rPr>
          <w:rFonts w:ascii="Arial" w:hAnsi="Arial" w:cs="Arial"/>
          <w:b/>
          <w:sz w:val="22"/>
          <w:szCs w:val="22"/>
        </w:rPr>
        <w:t>Assessment Component 2 – 50%</w:t>
      </w:r>
    </w:p>
    <w:p w:rsidR="00CE5E18" w:rsidRPr="0090672A" w:rsidRDefault="00CE5E18" w:rsidP="00CE5E18">
      <w:pPr>
        <w:jc w:val="both"/>
        <w:rPr>
          <w:rFonts w:ascii="Arial" w:hAnsi="Arial" w:cs="Arial"/>
          <w:sz w:val="22"/>
          <w:szCs w:val="22"/>
        </w:rPr>
      </w:pPr>
      <w:r>
        <w:rPr>
          <w:rFonts w:ascii="Arial" w:hAnsi="Arial" w:cs="Arial"/>
          <w:sz w:val="22"/>
          <w:szCs w:val="22"/>
        </w:rPr>
        <w:t>Candidates</w:t>
      </w:r>
      <w:r w:rsidRPr="0090672A">
        <w:rPr>
          <w:rFonts w:ascii="Arial" w:hAnsi="Arial" w:cs="Arial"/>
          <w:sz w:val="22"/>
          <w:szCs w:val="22"/>
        </w:rPr>
        <w:t xml:space="preserve"> will be asked to prepare Bills of Quantities for a small project and then to prepare a tender price for the project. This will demonstrate their abilities to apply the skills developed in the module.</w:t>
      </w:r>
      <w:r>
        <w:rPr>
          <w:rFonts w:ascii="Arial" w:hAnsi="Arial" w:cs="Arial"/>
          <w:sz w:val="22"/>
          <w:szCs w:val="22"/>
        </w:rPr>
        <w:t xml:space="preserve">  (Max 2000 words)</w:t>
      </w:r>
    </w:p>
    <w:p w:rsidR="00CE5E18" w:rsidRPr="00D33478" w:rsidRDefault="00CE5E18" w:rsidP="00CE5E18">
      <w:pPr>
        <w:pStyle w:val="fixed"/>
        <w:spacing w:after="0" w:line="240" w:lineRule="auto"/>
        <w:ind w:left="0" w:firstLine="0"/>
        <w:jc w:val="both"/>
        <w:rPr>
          <w:rFonts w:ascii="Arial" w:hAnsi="Arial" w:cs="Arial"/>
          <w:b w:val="0"/>
          <w:sz w:val="22"/>
          <w:highlight w:val="yellow"/>
        </w:rPr>
      </w:pPr>
    </w:p>
    <w:p w:rsidR="00CE5E18" w:rsidRPr="00FF03C6" w:rsidRDefault="00CE5E18" w:rsidP="00CE5E18">
      <w:pPr>
        <w:pStyle w:val="fixed"/>
        <w:spacing w:after="0" w:line="240" w:lineRule="auto"/>
        <w:ind w:left="0" w:firstLine="0"/>
        <w:jc w:val="both"/>
        <w:rPr>
          <w:rFonts w:ascii="Arial" w:hAnsi="Arial" w:cs="Arial"/>
          <w:sz w:val="22"/>
        </w:rPr>
      </w:pPr>
      <w:r w:rsidRPr="00FF03C6">
        <w:rPr>
          <w:rFonts w:ascii="Arial" w:hAnsi="Arial" w:cs="Arial"/>
          <w:sz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CE5E18" w:rsidRPr="00FF03C6" w:rsidTr="003D0730">
        <w:tc>
          <w:tcPr>
            <w:tcW w:w="3261" w:type="dxa"/>
            <w:tcBorders>
              <w:top w:val="single" w:sz="4" w:space="0" w:color="auto"/>
              <w:left w:val="single" w:sz="4" w:space="0" w:color="auto"/>
            </w:tcBorders>
          </w:tcPr>
          <w:p w:rsidR="00CE5E18" w:rsidRPr="00A13438" w:rsidRDefault="00CE5E18" w:rsidP="003D0730">
            <w:pPr>
              <w:jc w:val="both"/>
              <w:rPr>
                <w:rFonts w:ascii="Arial" w:hAnsi="Arial" w:cs="Arial"/>
                <w:b/>
                <w:sz w:val="22"/>
                <w:szCs w:val="22"/>
              </w:rPr>
            </w:pPr>
            <w:r w:rsidRPr="00A13438">
              <w:rPr>
                <w:rFonts w:ascii="Arial" w:hAnsi="Arial" w:cs="Arial"/>
                <w:b/>
                <w:sz w:val="22"/>
                <w:szCs w:val="22"/>
              </w:rPr>
              <w:t>Activity type</w:t>
            </w:r>
          </w:p>
        </w:tc>
        <w:tc>
          <w:tcPr>
            <w:tcW w:w="1842" w:type="dxa"/>
          </w:tcPr>
          <w:p w:rsidR="00CE5E18" w:rsidRPr="00A13438" w:rsidRDefault="00CE5E18" w:rsidP="003D0730">
            <w:pPr>
              <w:jc w:val="center"/>
              <w:rPr>
                <w:rFonts w:ascii="Arial" w:hAnsi="Arial" w:cs="Arial"/>
                <w:b/>
                <w:sz w:val="22"/>
                <w:szCs w:val="22"/>
              </w:rPr>
            </w:pPr>
            <w:r w:rsidRPr="00A13438">
              <w:rPr>
                <w:rFonts w:ascii="Arial" w:hAnsi="Arial" w:cs="Arial"/>
                <w:b/>
                <w:sz w:val="22"/>
                <w:szCs w:val="22"/>
              </w:rPr>
              <w:t>Percentage</w:t>
            </w:r>
          </w:p>
        </w:tc>
      </w:tr>
      <w:tr w:rsidR="00CE5E18" w:rsidRPr="00FF03C6" w:rsidTr="003D0730">
        <w:tc>
          <w:tcPr>
            <w:tcW w:w="3261" w:type="dxa"/>
          </w:tcPr>
          <w:p w:rsidR="00CE5E18" w:rsidRPr="00A13438" w:rsidRDefault="00CE5E18" w:rsidP="003D0730">
            <w:pPr>
              <w:jc w:val="both"/>
              <w:rPr>
                <w:rFonts w:ascii="Arial" w:hAnsi="Arial" w:cs="Arial"/>
                <w:sz w:val="22"/>
                <w:szCs w:val="22"/>
              </w:rPr>
            </w:pPr>
            <w:r w:rsidRPr="00A13438">
              <w:rPr>
                <w:rFonts w:ascii="Arial" w:hAnsi="Arial" w:cs="Arial"/>
                <w:sz w:val="22"/>
                <w:szCs w:val="22"/>
              </w:rPr>
              <w:t>Written</w:t>
            </w:r>
          </w:p>
        </w:tc>
        <w:tc>
          <w:tcPr>
            <w:tcW w:w="1842" w:type="dxa"/>
          </w:tcPr>
          <w:p w:rsidR="00CE5E18" w:rsidRPr="00A13438" w:rsidRDefault="00CE5E18" w:rsidP="003D0730">
            <w:pPr>
              <w:jc w:val="center"/>
              <w:rPr>
                <w:rFonts w:ascii="Arial" w:hAnsi="Arial" w:cs="Arial"/>
                <w:sz w:val="22"/>
                <w:szCs w:val="22"/>
              </w:rPr>
            </w:pPr>
            <w:r w:rsidRPr="00A13438">
              <w:rPr>
                <w:rFonts w:ascii="Arial" w:hAnsi="Arial" w:cs="Arial"/>
                <w:sz w:val="22"/>
                <w:szCs w:val="22"/>
              </w:rPr>
              <w:t>50%</w:t>
            </w:r>
          </w:p>
        </w:tc>
      </w:tr>
      <w:tr w:rsidR="00CE5E18" w:rsidRPr="00FF03C6" w:rsidTr="003D0730">
        <w:tc>
          <w:tcPr>
            <w:tcW w:w="3261" w:type="dxa"/>
          </w:tcPr>
          <w:p w:rsidR="00CE5E18" w:rsidRPr="00A13438" w:rsidRDefault="00CE5E18" w:rsidP="003D0730">
            <w:pPr>
              <w:jc w:val="both"/>
              <w:rPr>
                <w:rFonts w:ascii="Arial" w:hAnsi="Arial" w:cs="Arial"/>
                <w:sz w:val="22"/>
                <w:szCs w:val="22"/>
              </w:rPr>
            </w:pPr>
            <w:r w:rsidRPr="00A13438">
              <w:rPr>
                <w:rFonts w:ascii="Arial" w:hAnsi="Arial" w:cs="Arial"/>
                <w:sz w:val="22"/>
                <w:szCs w:val="22"/>
              </w:rPr>
              <w:t>Coursework</w:t>
            </w:r>
          </w:p>
        </w:tc>
        <w:tc>
          <w:tcPr>
            <w:tcW w:w="1842" w:type="dxa"/>
          </w:tcPr>
          <w:p w:rsidR="00CE5E18" w:rsidRPr="00A13438" w:rsidRDefault="00CE5E18" w:rsidP="003D0730">
            <w:pPr>
              <w:jc w:val="center"/>
              <w:rPr>
                <w:rFonts w:ascii="Arial" w:hAnsi="Arial" w:cs="Arial"/>
                <w:sz w:val="22"/>
                <w:szCs w:val="22"/>
              </w:rPr>
            </w:pPr>
            <w:r w:rsidRPr="00A13438">
              <w:rPr>
                <w:rFonts w:ascii="Arial" w:hAnsi="Arial" w:cs="Arial"/>
                <w:sz w:val="22"/>
                <w:szCs w:val="22"/>
              </w:rPr>
              <w:t>50%</w:t>
            </w:r>
          </w:p>
        </w:tc>
      </w:tr>
      <w:tr w:rsidR="00CE5E18" w:rsidRPr="00FF03C6" w:rsidTr="003D0730">
        <w:tc>
          <w:tcPr>
            <w:tcW w:w="3261" w:type="dxa"/>
          </w:tcPr>
          <w:p w:rsidR="00CE5E18" w:rsidRPr="00A13438" w:rsidRDefault="00CE5E18" w:rsidP="003D0730">
            <w:pPr>
              <w:jc w:val="both"/>
              <w:rPr>
                <w:rFonts w:ascii="Arial" w:hAnsi="Arial" w:cs="Arial"/>
                <w:sz w:val="22"/>
                <w:szCs w:val="22"/>
              </w:rPr>
            </w:pPr>
            <w:r w:rsidRPr="00A13438">
              <w:rPr>
                <w:rFonts w:ascii="Arial" w:hAnsi="Arial" w:cs="Arial"/>
                <w:sz w:val="22"/>
                <w:szCs w:val="22"/>
              </w:rPr>
              <w:t>Practical</w:t>
            </w:r>
          </w:p>
        </w:tc>
        <w:tc>
          <w:tcPr>
            <w:tcW w:w="1842" w:type="dxa"/>
          </w:tcPr>
          <w:p w:rsidR="00CE5E18" w:rsidRPr="00A13438" w:rsidRDefault="00CE5E18" w:rsidP="003D0730">
            <w:pPr>
              <w:jc w:val="center"/>
              <w:rPr>
                <w:rFonts w:ascii="Arial" w:hAnsi="Arial" w:cs="Arial"/>
                <w:sz w:val="22"/>
                <w:szCs w:val="22"/>
              </w:rPr>
            </w:pPr>
            <w:r w:rsidRPr="00A13438">
              <w:rPr>
                <w:rFonts w:ascii="Arial" w:hAnsi="Arial" w:cs="Arial"/>
                <w:sz w:val="22"/>
                <w:szCs w:val="22"/>
              </w:rPr>
              <w:t>0%</w:t>
            </w:r>
          </w:p>
        </w:tc>
      </w:tr>
      <w:tr w:rsidR="00CE5E18" w:rsidRPr="00D33478" w:rsidTr="003D0730">
        <w:tc>
          <w:tcPr>
            <w:tcW w:w="3261" w:type="dxa"/>
          </w:tcPr>
          <w:p w:rsidR="00CE5E18" w:rsidRPr="00A13438" w:rsidRDefault="00CE5E18" w:rsidP="003D0730">
            <w:pPr>
              <w:jc w:val="both"/>
              <w:rPr>
                <w:rFonts w:ascii="Arial" w:hAnsi="Arial" w:cs="Arial"/>
                <w:sz w:val="22"/>
                <w:szCs w:val="22"/>
              </w:rPr>
            </w:pPr>
            <w:r w:rsidRPr="00A13438">
              <w:rPr>
                <w:rFonts w:ascii="Arial" w:hAnsi="Arial" w:cs="Arial"/>
                <w:b/>
                <w:sz w:val="22"/>
                <w:szCs w:val="22"/>
              </w:rPr>
              <w:t>TOTAL</w:t>
            </w:r>
          </w:p>
        </w:tc>
        <w:tc>
          <w:tcPr>
            <w:tcW w:w="1842" w:type="dxa"/>
          </w:tcPr>
          <w:p w:rsidR="00CE5E18" w:rsidRPr="00A13438" w:rsidRDefault="00CE5E18" w:rsidP="003D0730">
            <w:pPr>
              <w:jc w:val="center"/>
              <w:rPr>
                <w:rFonts w:ascii="Arial" w:hAnsi="Arial" w:cs="Arial"/>
                <w:b/>
                <w:sz w:val="22"/>
                <w:szCs w:val="22"/>
              </w:rPr>
            </w:pPr>
            <w:r w:rsidRPr="00A13438">
              <w:rPr>
                <w:rFonts w:ascii="Arial" w:hAnsi="Arial" w:cs="Arial"/>
                <w:b/>
                <w:sz w:val="22"/>
                <w:szCs w:val="22"/>
              </w:rPr>
              <w:t>100%</w:t>
            </w:r>
          </w:p>
        </w:tc>
      </w:tr>
    </w:tbl>
    <w:p w:rsidR="00CE5E18" w:rsidRPr="00D33478" w:rsidRDefault="00CE5E18" w:rsidP="00CE5E18">
      <w:pPr>
        <w:jc w:val="both"/>
        <w:rPr>
          <w:rFonts w:ascii="Arial" w:hAnsi="Arial" w:cs="Arial"/>
          <w:sz w:val="22"/>
          <w:szCs w:val="22"/>
        </w:rPr>
      </w:pPr>
    </w:p>
    <w:p w:rsidR="00CE5E18" w:rsidRPr="00D33478" w:rsidRDefault="00CE5E18" w:rsidP="00CE5E18">
      <w:pPr>
        <w:jc w:val="both"/>
        <w:rPr>
          <w:rFonts w:ascii="Arial" w:hAnsi="Arial" w:cs="Arial"/>
          <w:b/>
          <w:sz w:val="22"/>
          <w:szCs w:val="22"/>
        </w:rPr>
      </w:pPr>
    </w:p>
    <w:p w:rsidR="00CE5E18" w:rsidRPr="00D33478" w:rsidRDefault="00CE5E18" w:rsidP="00CE5E18">
      <w:pPr>
        <w:jc w:val="both"/>
        <w:rPr>
          <w:rFonts w:ascii="Arial" w:hAnsi="Arial" w:cs="Arial"/>
          <w:b/>
          <w:sz w:val="22"/>
          <w:szCs w:val="22"/>
        </w:rPr>
      </w:pPr>
    </w:p>
    <w:p w:rsidR="00CE5E18" w:rsidRPr="00D33478" w:rsidRDefault="00CE5E18" w:rsidP="00CE5E18">
      <w:pPr>
        <w:jc w:val="both"/>
        <w:rPr>
          <w:rFonts w:ascii="Arial" w:hAnsi="Arial" w:cs="Arial"/>
          <w:b/>
          <w:sz w:val="22"/>
          <w:szCs w:val="22"/>
        </w:rPr>
      </w:pPr>
    </w:p>
    <w:p w:rsidR="00CE5E18" w:rsidRPr="00D33478" w:rsidRDefault="00CE5E18" w:rsidP="00CE5E18">
      <w:pPr>
        <w:jc w:val="both"/>
        <w:rPr>
          <w:rFonts w:ascii="Arial" w:hAnsi="Arial" w:cs="Arial"/>
          <w:b/>
          <w:sz w:val="22"/>
          <w:szCs w:val="22"/>
        </w:rPr>
      </w:pPr>
    </w:p>
    <w:p w:rsidR="00CE5E18" w:rsidRPr="00D33478" w:rsidRDefault="00CE5E18" w:rsidP="00CE5E18">
      <w:pPr>
        <w:jc w:val="both"/>
        <w:rPr>
          <w:rFonts w:ascii="Arial" w:hAnsi="Arial" w:cs="Arial"/>
          <w:b/>
          <w:sz w:val="22"/>
          <w:szCs w:val="22"/>
        </w:rPr>
      </w:pPr>
    </w:p>
    <w:p w:rsidR="00CE5E18" w:rsidRPr="00D33478" w:rsidRDefault="00CE5E18" w:rsidP="00CE5E18">
      <w:pPr>
        <w:jc w:val="both"/>
        <w:rPr>
          <w:rFonts w:ascii="Arial" w:hAnsi="Arial" w:cs="Arial"/>
          <w:b/>
          <w:sz w:val="22"/>
          <w:szCs w:val="22"/>
        </w:rPr>
      </w:pPr>
    </w:p>
    <w:p w:rsidR="00CE5E18" w:rsidRPr="00FF03C6" w:rsidRDefault="00CE5E18" w:rsidP="00CE5E18">
      <w:pPr>
        <w:pStyle w:val="heading"/>
        <w:spacing w:before="0" w:after="0" w:line="240" w:lineRule="auto"/>
        <w:jc w:val="both"/>
        <w:rPr>
          <w:rFonts w:ascii="Arial" w:hAnsi="Arial" w:cs="Arial"/>
          <w:b/>
        </w:rPr>
      </w:pPr>
      <w:r w:rsidRPr="00FF03C6">
        <w:rPr>
          <w:rFonts w:ascii="Arial" w:hAnsi="Arial" w:cs="Arial"/>
          <w:b/>
        </w:rPr>
        <w:t>BIBLIOGRAPHY</w:t>
      </w:r>
    </w:p>
    <w:p w:rsidR="00CE5E18" w:rsidRPr="00D33478" w:rsidRDefault="00CE5E18" w:rsidP="00CE5E18">
      <w:pPr>
        <w:pStyle w:val="heading"/>
        <w:spacing w:before="0" w:after="0" w:line="240" w:lineRule="auto"/>
        <w:jc w:val="both"/>
        <w:rPr>
          <w:rFonts w:ascii="Arial" w:hAnsi="Arial" w:cs="Arial"/>
        </w:rPr>
      </w:pPr>
    </w:p>
    <w:p w:rsidR="00CE5E18" w:rsidRDefault="00CE5E18" w:rsidP="00CE5E18">
      <w:pPr>
        <w:pStyle w:val="heading"/>
        <w:spacing w:before="0" w:after="0" w:line="240" w:lineRule="auto"/>
        <w:jc w:val="both"/>
        <w:rPr>
          <w:rFonts w:ascii="Arial" w:hAnsi="Arial" w:cs="Arial"/>
          <w:b/>
        </w:rPr>
      </w:pPr>
      <w:r w:rsidRPr="00FF03C6">
        <w:rPr>
          <w:rFonts w:ascii="Arial" w:hAnsi="Arial" w:cs="Arial"/>
          <w:b/>
        </w:rPr>
        <w:t>Essential</w:t>
      </w:r>
    </w:p>
    <w:p w:rsidR="00CE5E18" w:rsidRPr="00FF03C6" w:rsidRDefault="00CE5E18" w:rsidP="00CE5E18">
      <w:pPr>
        <w:pStyle w:val="heading"/>
        <w:spacing w:before="0" w:after="0" w:line="240" w:lineRule="auto"/>
        <w:jc w:val="both"/>
        <w:rPr>
          <w:rFonts w:ascii="Arial" w:hAnsi="Arial" w:cs="Arial"/>
          <w:b/>
        </w:rPr>
      </w:pPr>
    </w:p>
    <w:p w:rsidR="00CE5E18" w:rsidRDefault="00CE5E18" w:rsidP="00CE5E18">
      <w:pPr>
        <w:tabs>
          <w:tab w:val="left" w:pos="1560"/>
        </w:tabs>
        <w:autoSpaceDE w:val="0"/>
        <w:autoSpaceDN w:val="0"/>
        <w:adjustRightInd w:val="0"/>
        <w:spacing w:line="360" w:lineRule="auto"/>
        <w:jc w:val="both"/>
        <w:rPr>
          <w:rFonts w:ascii="Arial" w:hAnsi="Arial" w:cs="Arial"/>
          <w:bCs/>
          <w:color w:val="000000"/>
          <w:sz w:val="22"/>
          <w:szCs w:val="22"/>
        </w:rPr>
      </w:pPr>
      <w:r>
        <w:rPr>
          <w:rFonts w:ascii="Arial" w:hAnsi="Arial" w:cs="Arial"/>
          <w:bCs/>
          <w:color w:val="000000"/>
          <w:sz w:val="22"/>
          <w:szCs w:val="22"/>
        </w:rPr>
        <w:t xml:space="preserve">RICS (2012) </w:t>
      </w:r>
      <w:r w:rsidRPr="00660265">
        <w:rPr>
          <w:rFonts w:ascii="Arial" w:hAnsi="Arial" w:cs="Arial"/>
          <w:bCs/>
          <w:i/>
          <w:color w:val="000000"/>
          <w:sz w:val="22"/>
          <w:szCs w:val="22"/>
        </w:rPr>
        <w:t>NRM1 – Order of Cost Estimating and Cost Planning for Capital Building Works</w:t>
      </w:r>
      <w:r>
        <w:rPr>
          <w:rFonts w:ascii="Arial" w:hAnsi="Arial" w:cs="Arial"/>
          <w:bCs/>
          <w:color w:val="000000"/>
          <w:sz w:val="22"/>
          <w:szCs w:val="22"/>
        </w:rPr>
        <w:t xml:space="preserve"> RICS Books</w:t>
      </w:r>
    </w:p>
    <w:p w:rsidR="00CE5E18" w:rsidRDefault="00CE5E18" w:rsidP="00CE5E18">
      <w:pPr>
        <w:tabs>
          <w:tab w:val="left" w:pos="1560"/>
        </w:tabs>
        <w:autoSpaceDE w:val="0"/>
        <w:autoSpaceDN w:val="0"/>
        <w:adjustRightInd w:val="0"/>
        <w:spacing w:line="360" w:lineRule="auto"/>
        <w:ind w:hanging="56"/>
        <w:jc w:val="both"/>
        <w:rPr>
          <w:rFonts w:ascii="Arial" w:hAnsi="Arial" w:cs="Arial"/>
          <w:bCs/>
          <w:color w:val="000000"/>
          <w:sz w:val="22"/>
          <w:szCs w:val="22"/>
        </w:rPr>
      </w:pPr>
      <w:r>
        <w:rPr>
          <w:rFonts w:ascii="Arial" w:hAnsi="Arial" w:cs="Arial"/>
          <w:bCs/>
          <w:color w:val="000000"/>
          <w:sz w:val="22"/>
          <w:szCs w:val="22"/>
        </w:rPr>
        <w:t xml:space="preserve"> </w:t>
      </w:r>
      <w:proofErr w:type="gramStart"/>
      <w:r>
        <w:rPr>
          <w:rFonts w:ascii="Arial" w:hAnsi="Arial" w:cs="Arial"/>
          <w:bCs/>
          <w:color w:val="000000"/>
          <w:sz w:val="22"/>
          <w:szCs w:val="22"/>
        </w:rPr>
        <w:t>RICS(</w:t>
      </w:r>
      <w:proofErr w:type="gramEnd"/>
      <w:r>
        <w:rPr>
          <w:rFonts w:ascii="Arial" w:hAnsi="Arial" w:cs="Arial"/>
          <w:bCs/>
          <w:color w:val="000000"/>
          <w:sz w:val="22"/>
          <w:szCs w:val="22"/>
        </w:rPr>
        <w:t xml:space="preserve">2012)  NRM2– </w:t>
      </w:r>
      <w:r w:rsidRPr="00660265">
        <w:rPr>
          <w:rFonts w:ascii="Arial" w:hAnsi="Arial" w:cs="Arial"/>
          <w:bCs/>
          <w:i/>
          <w:color w:val="000000"/>
          <w:sz w:val="22"/>
          <w:szCs w:val="22"/>
        </w:rPr>
        <w:t>Detailed Measurement for Capital Building Works</w:t>
      </w:r>
      <w:r w:rsidR="009C3E79">
        <w:rPr>
          <w:rFonts w:ascii="Arial" w:hAnsi="Arial" w:cs="Arial"/>
          <w:bCs/>
          <w:i/>
          <w:color w:val="000000"/>
          <w:sz w:val="22"/>
          <w:szCs w:val="22"/>
        </w:rPr>
        <w:t xml:space="preserve"> </w:t>
      </w:r>
      <w:r>
        <w:rPr>
          <w:rFonts w:ascii="Arial" w:hAnsi="Arial" w:cs="Arial"/>
          <w:bCs/>
          <w:color w:val="000000"/>
          <w:sz w:val="22"/>
          <w:szCs w:val="22"/>
        </w:rPr>
        <w:t>RICS Books</w:t>
      </w:r>
    </w:p>
    <w:p w:rsidR="00CE5E18" w:rsidRPr="00D33478" w:rsidRDefault="00CE5E18" w:rsidP="00CE5E18">
      <w:pPr>
        <w:tabs>
          <w:tab w:val="left" w:pos="3686"/>
        </w:tabs>
        <w:autoSpaceDE w:val="0"/>
        <w:autoSpaceDN w:val="0"/>
        <w:adjustRightInd w:val="0"/>
        <w:spacing w:line="360" w:lineRule="auto"/>
        <w:jc w:val="both"/>
        <w:rPr>
          <w:rFonts w:ascii="Arial" w:hAnsi="Arial" w:cs="Arial"/>
          <w:bCs/>
          <w:color w:val="000000"/>
          <w:sz w:val="22"/>
          <w:szCs w:val="22"/>
        </w:rPr>
      </w:pPr>
      <w:proofErr w:type="spellStart"/>
      <w:r>
        <w:rPr>
          <w:rFonts w:ascii="Arial" w:hAnsi="Arial" w:cs="Arial"/>
          <w:bCs/>
          <w:color w:val="000000"/>
          <w:sz w:val="22"/>
          <w:szCs w:val="22"/>
        </w:rPr>
        <w:t>Ostrowski</w:t>
      </w:r>
      <w:proofErr w:type="spellEnd"/>
      <w:r>
        <w:rPr>
          <w:rFonts w:ascii="Arial" w:hAnsi="Arial" w:cs="Arial"/>
          <w:bCs/>
          <w:color w:val="000000"/>
          <w:sz w:val="22"/>
          <w:szCs w:val="22"/>
        </w:rPr>
        <w:t xml:space="preserve"> S (2013) </w:t>
      </w:r>
      <w:r w:rsidRPr="00B31B6D">
        <w:rPr>
          <w:rFonts w:ascii="Arial" w:hAnsi="Arial" w:cs="Arial"/>
          <w:bCs/>
          <w:i/>
          <w:color w:val="000000"/>
          <w:sz w:val="22"/>
          <w:szCs w:val="22"/>
        </w:rPr>
        <w:t>Estimating and Cost Planning Using the New Rules of Measurement</w:t>
      </w:r>
      <w:r w:rsidR="009C3E79">
        <w:rPr>
          <w:rFonts w:ascii="Arial" w:hAnsi="Arial" w:cs="Arial"/>
          <w:bCs/>
          <w:i/>
          <w:color w:val="000000"/>
          <w:sz w:val="22"/>
          <w:szCs w:val="22"/>
        </w:rPr>
        <w:t xml:space="preserve"> </w:t>
      </w:r>
      <w:r w:rsidRPr="00B31B6D">
        <w:rPr>
          <w:rFonts w:ascii="Arial" w:hAnsi="Arial" w:cs="Arial"/>
          <w:bCs/>
          <w:color w:val="000000"/>
          <w:sz w:val="22"/>
          <w:szCs w:val="22"/>
        </w:rPr>
        <w:t>Wiley-Blackwell</w:t>
      </w:r>
    </w:p>
    <w:p w:rsidR="009C3E79" w:rsidRDefault="009C3E79" w:rsidP="00CE5E18">
      <w:pPr>
        <w:autoSpaceDE w:val="0"/>
        <w:autoSpaceDN w:val="0"/>
        <w:adjustRightInd w:val="0"/>
        <w:spacing w:line="360" w:lineRule="auto"/>
        <w:ind w:left="3600" w:hanging="3600"/>
        <w:jc w:val="both"/>
        <w:rPr>
          <w:rFonts w:ascii="Arial" w:hAnsi="Arial" w:cs="Arial"/>
          <w:bCs/>
          <w:color w:val="000000"/>
          <w:sz w:val="22"/>
          <w:szCs w:val="22"/>
        </w:rPr>
      </w:pPr>
    </w:p>
    <w:p w:rsidR="009C3E79" w:rsidRDefault="00CE5E18" w:rsidP="009C3E79">
      <w:pPr>
        <w:autoSpaceDE w:val="0"/>
        <w:autoSpaceDN w:val="0"/>
        <w:adjustRightInd w:val="0"/>
        <w:spacing w:line="360" w:lineRule="auto"/>
        <w:ind w:left="3600" w:hanging="3600"/>
        <w:jc w:val="both"/>
        <w:rPr>
          <w:rFonts w:ascii="Arial" w:hAnsi="Arial" w:cs="Arial"/>
          <w:bCs/>
          <w:color w:val="000000"/>
          <w:sz w:val="22"/>
          <w:szCs w:val="22"/>
        </w:rPr>
      </w:pPr>
      <w:r>
        <w:rPr>
          <w:rFonts w:ascii="Arial" w:hAnsi="Arial" w:cs="Arial"/>
          <w:bCs/>
          <w:color w:val="000000"/>
          <w:sz w:val="22"/>
          <w:szCs w:val="22"/>
        </w:rPr>
        <w:lastRenderedPageBreak/>
        <w:t>Brook M</w:t>
      </w:r>
      <w:r w:rsidR="009C3E79">
        <w:rPr>
          <w:rFonts w:ascii="Arial" w:hAnsi="Arial" w:cs="Arial"/>
          <w:bCs/>
          <w:color w:val="000000"/>
          <w:sz w:val="22"/>
          <w:szCs w:val="22"/>
        </w:rPr>
        <w:t xml:space="preserve"> </w:t>
      </w:r>
      <w:r>
        <w:rPr>
          <w:rFonts w:ascii="Arial" w:hAnsi="Arial" w:cs="Arial"/>
          <w:bCs/>
          <w:color w:val="000000"/>
          <w:sz w:val="22"/>
          <w:szCs w:val="22"/>
        </w:rPr>
        <w:t>(2008)</w:t>
      </w:r>
      <w:r w:rsidR="009C3E79">
        <w:rPr>
          <w:rFonts w:ascii="Arial" w:hAnsi="Arial" w:cs="Arial"/>
          <w:bCs/>
          <w:color w:val="000000"/>
          <w:sz w:val="22"/>
          <w:szCs w:val="22"/>
        </w:rPr>
        <w:t xml:space="preserve"> </w:t>
      </w:r>
      <w:r w:rsidRPr="00676464">
        <w:rPr>
          <w:rFonts w:ascii="Arial" w:hAnsi="Arial" w:cs="Arial"/>
          <w:bCs/>
          <w:i/>
          <w:color w:val="000000"/>
          <w:sz w:val="22"/>
          <w:szCs w:val="22"/>
        </w:rPr>
        <w:t>Estimating and Tendering for Construction Work</w:t>
      </w:r>
      <w:r w:rsidR="009C3E79">
        <w:rPr>
          <w:rFonts w:ascii="Arial" w:hAnsi="Arial" w:cs="Arial"/>
          <w:bCs/>
          <w:i/>
          <w:color w:val="000000"/>
          <w:sz w:val="22"/>
          <w:szCs w:val="22"/>
        </w:rPr>
        <w:t xml:space="preserve"> </w:t>
      </w:r>
      <w:r>
        <w:rPr>
          <w:rFonts w:ascii="Arial" w:hAnsi="Arial" w:cs="Arial"/>
          <w:bCs/>
          <w:color w:val="000000"/>
          <w:sz w:val="22"/>
          <w:szCs w:val="22"/>
        </w:rPr>
        <w:t>Routledge</w:t>
      </w:r>
    </w:p>
    <w:p w:rsidR="00CE5E18" w:rsidRPr="00D33478" w:rsidRDefault="00CE5E18" w:rsidP="009C3E79">
      <w:pPr>
        <w:autoSpaceDE w:val="0"/>
        <w:autoSpaceDN w:val="0"/>
        <w:adjustRightInd w:val="0"/>
        <w:spacing w:line="360" w:lineRule="auto"/>
        <w:jc w:val="both"/>
        <w:rPr>
          <w:rFonts w:ascii="Arial" w:hAnsi="Arial" w:cs="Arial"/>
          <w:bCs/>
          <w:color w:val="000000"/>
          <w:sz w:val="22"/>
          <w:szCs w:val="22"/>
        </w:rPr>
      </w:pPr>
      <w:r>
        <w:rPr>
          <w:rFonts w:ascii="Arial" w:hAnsi="Arial" w:cs="Arial"/>
          <w:bCs/>
          <w:color w:val="000000"/>
          <w:sz w:val="22"/>
          <w:szCs w:val="22"/>
        </w:rPr>
        <w:t xml:space="preserve">The Chartered Institute of Building (2009) </w:t>
      </w:r>
      <w:r w:rsidRPr="00660265">
        <w:rPr>
          <w:rFonts w:ascii="Arial" w:hAnsi="Arial" w:cs="Arial"/>
          <w:bCs/>
          <w:i/>
          <w:color w:val="000000"/>
          <w:sz w:val="22"/>
          <w:szCs w:val="22"/>
        </w:rPr>
        <w:t>Code of Estimating Practice</w:t>
      </w:r>
      <w:r w:rsidR="009C3E79">
        <w:rPr>
          <w:rFonts w:ascii="Arial" w:hAnsi="Arial" w:cs="Arial"/>
          <w:bCs/>
          <w:i/>
          <w:color w:val="000000"/>
          <w:sz w:val="22"/>
          <w:szCs w:val="22"/>
        </w:rPr>
        <w:t xml:space="preserve"> </w:t>
      </w:r>
      <w:r w:rsidRPr="00B31B6D">
        <w:rPr>
          <w:rFonts w:ascii="Arial" w:hAnsi="Arial" w:cs="Arial"/>
          <w:bCs/>
          <w:color w:val="000000"/>
          <w:sz w:val="22"/>
          <w:szCs w:val="22"/>
        </w:rPr>
        <w:t>Wiley-Blackwell</w:t>
      </w:r>
    </w:p>
    <w:p w:rsidR="00CE5E18" w:rsidRPr="00D33478" w:rsidRDefault="00CE5E18" w:rsidP="00CE5E18">
      <w:pPr>
        <w:jc w:val="both"/>
        <w:rPr>
          <w:rFonts w:ascii="Arial" w:hAnsi="Arial" w:cs="Arial"/>
          <w:b/>
          <w:sz w:val="22"/>
          <w:szCs w:val="22"/>
        </w:rPr>
      </w:pPr>
    </w:p>
    <w:p w:rsidR="00CE5E18" w:rsidRDefault="00CE5E18" w:rsidP="00CE5E18">
      <w:pPr>
        <w:rPr>
          <w:rFonts w:ascii="Arial" w:hAnsi="Arial" w:cs="Arial"/>
          <w:b/>
          <w:color w:val="00000A"/>
          <w:sz w:val="22"/>
          <w:szCs w:val="22"/>
          <w:lang w:eastAsia="en-GB"/>
        </w:rPr>
      </w:pPr>
      <w:r>
        <w:rPr>
          <w:rFonts w:ascii="Arial" w:hAnsi="Arial" w:cs="Arial"/>
          <w:b/>
          <w:sz w:val="22"/>
          <w:szCs w:val="22"/>
        </w:rPr>
        <w:br w:type="page"/>
      </w:r>
    </w:p>
    <w:p w:rsidR="00CE5E18" w:rsidRPr="00D70975" w:rsidRDefault="00CE5E18" w:rsidP="00CE5E18">
      <w:pPr>
        <w:pStyle w:val="heading"/>
        <w:spacing w:before="0" w:after="0" w:line="240" w:lineRule="auto"/>
        <w:jc w:val="both"/>
        <w:rPr>
          <w:rFonts w:ascii="Arial" w:hAnsi="Arial" w:cs="Arial"/>
          <w:b/>
        </w:rPr>
      </w:pPr>
      <w:r w:rsidRPr="00D70975">
        <w:rPr>
          <w:rFonts w:ascii="Arial" w:hAnsi="Arial" w:cs="Arial"/>
          <w:b/>
        </w:rPr>
        <w:lastRenderedPageBreak/>
        <w:t>Recommended</w:t>
      </w:r>
    </w:p>
    <w:p w:rsidR="00CE5E18" w:rsidRDefault="00CE5E18" w:rsidP="00CE5E18">
      <w:pPr>
        <w:tabs>
          <w:tab w:val="left" w:pos="720"/>
          <w:tab w:val="left" w:pos="1440"/>
        </w:tabs>
        <w:spacing w:line="360" w:lineRule="auto"/>
        <w:jc w:val="both"/>
        <w:rPr>
          <w:rFonts w:ascii="Arial" w:hAnsi="Arial" w:cs="Arial"/>
          <w:bCs/>
          <w:sz w:val="22"/>
          <w:szCs w:val="22"/>
        </w:rPr>
      </w:pPr>
    </w:p>
    <w:p w:rsidR="00CE5E18" w:rsidRDefault="00CE5E18" w:rsidP="00CE5E18">
      <w:pPr>
        <w:tabs>
          <w:tab w:val="left" w:pos="720"/>
          <w:tab w:val="left" w:pos="1440"/>
        </w:tabs>
        <w:spacing w:line="360" w:lineRule="auto"/>
        <w:jc w:val="both"/>
        <w:rPr>
          <w:rFonts w:ascii="Arial" w:hAnsi="Arial" w:cs="Arial"/>
          <w:bCs/>
          <w:sz w:val="22"/>
          <w:szCs w:val="22"/>
        </w:rPr>
      </w:pPr>
      <w:r>
        <w:rPr>
          <w:rFonts w:ascii="Arial" w:hAnsi="Arial" w:cs="Arial"/>
          <w:bCs/>
          <w:sz w:val="22"/>
          <w:szCs w:val="22"/>
        </w:rPr>
        <w:t xml:space="preserve">Packer A (1996) </w:t>
      </w:r>
      <w:r w:rsidRPr="00B31B6D">
        <w:rPr>
          <w:rFonts w:ascii="Arial" w:hAnsi="Arial" w:cs="Arial"/>
          <w:bCs/>
          <w:i/>
          <w:sz w:val="22"/>
          <w:szCs w:val="22"/>
        </w:rPr>
        <w:t>Building Measurement</w:t>
      </w:r>
      <w:r>
        <w:rPr>
          <w:rFonts w:ascii="Arial" w:hAnsi="Arial" w:cs="Arial"/>
          <w:bCs/>
          <w:sz w:val="22"/>
          <w:szCs w:val="22"/>
        </w:rPr>
        <w:t xml:space="preserve"> Routledge</w:t>
      </w:r>
    </w:p>
    <w:p w:rsidR="00CE5E18" w:rsidRDefault="00CE5E18" w:rsidP="00CE5E18">
      <w:pPr>
        <w:pStyle w:val="heading"/>
        <w:spacing w:before="0" w:after="0" w:line="240" w:lineRule="auto"/>
        <w:jc w:val="both"/>
        <w:rPr>
          <w:rFonts w:ascii="Arial" w:hAnsi="Arial" w:cs="Arial"/>
          <w:bCs/>
          <w:color w:val="auto"/>
          <w:lang w:eastAsia="en-US"/>
        </w:rPr>
      </w:pPr>
    </w:p>
    <w:p w:rsidR="00CE5E18" w:rsidRDefault="00CE5E18" w:rsidP="00CE5E18">
      <w:pPr>
        <w:pStyle w:val="heading"/>
        <w:spacing w:before="0" w:after="0" w:line="240" w:lineRule="auto"/>
        <w:jc w:val="both"/>
        <w:rPr>
          <w:rFonts w:ascii="Arial" w:hAnsi="Arial" w:cs="Arial"/>
          <w:b/>
        </w:rPr>
      </w:pPr>
      <w:r w:rsidRPr="00DE1FA9">
        <w:rPr>
          <w:rFonts w:ascii="Arial" w:hAnsi="Arial" w:cs="Arial"/>
          <w:b/>
        </w:rPr>
        <w:t>Background</w:t>
      </w:r>
    </w:p>
    <w:p w:rsidR="00CE5E18" w:rsidRPr="00DE1FA9" w:rsidRDefault="00CE5E18" w:rsidP="00CE5E18">
      <w:pPr>
        <w:pStyle w:val="heading"/>
        <w:spacing w:before="0" w:after="0" w:line="240" w:lineRule="auto"/>
        <w:jc w:val="both"/>
        <w:rPr>
          <w:rFonts w:ascii="Arial" w:hAnsi="Arial" w:cs="Arial"/>
          <w:b/>
        </w:rPr>
      </w:pPr>
    </w:p>
    <w:p w:rsidR="00CE5E18" w:rsidRDefault="00CE5E18" w:rsidP="00CE5E18">
      <w:pPr>
        <w:autoSpaceDE w:val="0"/>
        <w:autoSpaceDN w:val="0"/>
        <w:adjustRightInd w:val="0"/>
        <w:spacing w:line="360" w:lineRule="auto"/>
        <w:jc w:val="both"/>
        <w:rPr>
          <w:rFonts w:ascii="Arial" w:hAnsi="Arial" w:cs="Arial"/>
          <w:bCs/>
          <w:sz w:val="22"/>
          <w:szCs w:val="22"/>
        </w:rPr>
      </w:pPr>
      <w:r>
        <w:rPr>
          <w:rFonts w:ascii="Arial" w:hAnsi="Arial" w:cs="Arial"/>
          <w:bCs/>
          <w:color w:val="000000"/>
          <w:sz w:val="22"/>
          <w:szCs w:val="22"/>
        </w:rPr>
        <w:t>Hackett M, Robinson I and Statham, G</w:t>
      </w:r>
      <w:proofErr w:type="gramStart"/>
      <w:r>
        <w:rPr>
          <w:rFonts w:ascii="Arial" w:hAnsi="Arial" w:cs="Arial"/>
          <w:bCs/>
          <w:color w:val="000000"/>
          <w:sz w:val="22"/>
          <w:szCs w:val="22"/>
        </w:rPr>
        <w:t>.(</w:t>
      </w:r>
      <w:proofErr w:type="gramEnd"/>
      <w:r>
        <w:rPr>
          <w:rFonts w:ascii="Arial" w:hAnsi="Arial" w:cs="Arial"/>
          <w:bCs/>
          <w:color w:val="000000"/>
          <w:sz w:val="22"/>
          <w:szCs w:val="22"/>
        </w:rPr>
        <w:t xml:space="preserve">2007), </w:t>
      </w:r>
      <w:r w:rsidRPr="00B31B6D">
        <w:rPr>
          <w:rFonts w:ascii="Arial" w:hAnsi="Arial" w:cs="Arial"/>
          <w:bCs/>
          <w:i/>
          <w:color w:val="000000"/>
          <w:sz w:val="22"/>
          <w:szCs w:val="22"/>
        </w:rPr>
        <w:t xml:space="preserve">The Aqua Group </w:t>
      </w:r>
      <w:r>
        <w:rPr>
          <w:rFonts w:ascii="Arial" w:hAnsi="Arial" w:cs="Arial"/>
          <w:bCs/>
          <w:i/>
          <w:color w:val="000000"/>
          <w:sz w:val="22"/>
          <w:szCs w:val="22"/>
        </w:rPr>
        <w:t xml:space="preserve">Guide to Procurement, Tendering </w:t>
      </w:r>
      <w:r w:rsidRPr="00B31B6D">
        <w:rPr>
          <w:rFonts w:ascii="Arial" w:hAnsi="Arial" w:cs="Arial"/>
          <w:bCs/>
          <w:i/>
          <w:color w:val="000000"/>
          <w:sz w:val="22"/>
          <w:szCs w:val="22"/>
        </w:rPr>
        <w:t xml:space="preserve">and Contract </w:t>
      </w:r>
      <w:proofErr w:type="spellStart"/>
      <w:r w:rsidRPr="00B31B6D">
        <w:rPr>
          <w:rFonts w:ascii="Arial" w:hAnsi="Arial" w:cs="Arial"/>
          <w:bCs/>
          <w:i/>
          <w:color w:val="000000"/>
          <w:sz w:val="22"/>
          <w:szCs w:val="22"/>
        </w:rPr>
        <w:t>Administration</w:t>
      </w:r>
      <w:r>
        <w:rPr>
          <w:rFonts w:ascii="Arial" w:hAnsi="Arial" w:cs="Arial"/>
          <w:bCs/>
          <w:sz w:val="22"/>
          <w:szCs w:val="22"/>
        </w:rPr>
        <w:t>Wiley</w:t>
      </w:r>
      <w:proofErr w:type="spellEnd"/>
      <w:r>
        <w:rPr>
          <w:rFonts w:ascii="Arial" w:hAnsi="Arial" w:cs="Arial"/>
          <w:bCs/>
          <w:sz w:val="22"/>
          <w:szCs w:val="22"/>
        </w:rPr>
        <w:t>-Blackwell</w:t>
      </w:r>
    </w:p>
    <w:p w:rsidR="00CE5E18" w:rsidRDefault="00CE5E18" w:rsidP="00CE5E18">
      <w:pPr>
        <w:jc w:val="both"/>
        <w:rPr>
          <w:rFonts w:ascii="Arial" w:hAnsi="Arial" w:cs="Arial"/>
          <w:sz w:val="22"/>
          <w:szCs w:val="22"/>
        </w:rPr>
      </w:pPr>
      <w:proofErr w:type="spellStart"/>
      <w:r>
        <w:rPr>
          <w:rFonts w:ascii="Arial" w:hAnsi="Arial" w:cs="Arial"/>
          <w:sz w:val="22"/>
          <w:szCs w:val="22"/>
        </w:rPr>
        <w:t>Cartlidge</w:t>
      </w:r>
      <w:proofErr w:type="spellEnd"/>
      <w:r>
        <w:rPr>
          <w:rFonts w:ascii="Arial" w:hAnsi="Arial" w:cs="Arial"/>
          <w:sz w:val="22"/>
          <w:szCs w:val="22"/>
        </w:rPr>
        <w:t xml:space="preserve"> D (2012) </w:t>
      </w:r>
      <w:proofErr w:type="gramStart"/>
      <w:r>
        <w:rPr>
          <w:rFonts w:ascii="Arial" w:hAnsi="Arial" w:cs="Arial"/>
          <w:sz w:val="22"/>
          <w:szCs w:val="22"/>
        </w:rPr>
        <w:t>The</w:t>
      </w:r>
      <w:proofErr w:type="gramEnd"/>
      <w:r>
        <w:rPr>
          <w:rFonts w:ascii="Arial" w:hAnsi="Arial" w:cs="Arial"/>
          <w:sz w:val="22"/>
          <w:szCs w:val="22"/>
        </w:rPr>
        <w:t xml:space="preserve"> </w:t>
      </w:r>
      <w:r w:rsidRPr="00660265">
        <w:rPr>
          <w:rFonts w:ascii="Arial" w:hAnsi="Arial" w:cs="Arial"/>
          <w:i/>
          <w:sz w:val="22"/>
          <w:szCs w:val="22"/>
        </w:rPr>
        <w:t xml:space="preserve">Quantity Surveyor's Pocket </w:t>
      </w:r>
      <w:proofErr w:type="spellStart"/>
      <w:r w:rsidRPr="00660265">
        <w:rPr>
          <w:rFonts w:ascii="Arial" w:hAnsi="Arial" w:cs="Arial"/>
          <w:i/>
          <w:sz w:val="22"/>
          <w:szCs w:val="22"/>
        </w:rPr>
        <w:t>Book</w:t>
      </w:r>
      <w:r>
        <w:rPr>
          <w:rFonts w:ascii="Arial" w:hAnsi="Arial" w:cs="Arial"/>
          <w:sz w:val="22"/>
          <w:szCs w:val="22"/>
        </w:rPr>
        <w:t>Routledge</w:t>
      </w:r>
      <w:proofErr w:type="spellEnd"/>
    </w:p>
    <w:p w:rsidR="00CE5E18" w:rsidRPr="00660265" w:rsidRDefault="00CE5E18" w:rsidP="00CE5E18">
      <w:pPr>
        <w:jc w:val="both"/>
        <w:rPr>
          <w:rFonts w:ascii="Arial" w:hAnsi="Arial" w:cs="Arial"/>
          <w:b/>
          <w:sz w:val="22"/>
          <w:szCs w:val="22"/>
        </w:rPr>
      </w:pPr>
    </w:p>
    <w:p w:rsidR="00CE5E18" w:rsidRDefault="00CE5E18" w:rsidP="00CE5E18">
      <w:pPr>
        <w:jc w:val="both"/>
        <w:rPr>
          <w:rFonts w:ascii="Arial" w:hAnsi="Arial" w:cs="Arial"/>
          <w:sz w:val="22"/>
          <w:szCs w:val="22"/>
        </w:rPr>
      </w:pPr>
      <w:proofErr w:type="spellStart"/>
      <w:r>
        <w:rPr>
          <w:rFonts w:ascii="Arial" w:hAnsi="Arial" w:cs="Arial"/>
          <w:sz w:val="22"/>
          <w:szCs w:val="22"/>
        </w:rPr>
        <w:t>Cartlidge</w:t>
      </w:r>
      <w:proofErr w:type="spellEnd"/>
      <w:r>
        <w:rPr>
          <w:rFonts w:ascii="Arial" w:hAnsi="Arial" w:cs="Arial"/>
          <w:sz w:val="22"/>
          <w:szCs w:val="22"/>
        </w:rPr>
        <w:t xml:space="preserve"> D (2013) </w:t>
      </w:r>
      <w:r>
        <w:rPr>
          <w:rFonts w:ascii="Arial" w:hAnsi="Arial" w:cs="Arial"/>
          <w:i/>
          <w:sz w:val="22"/>
          <w:szCs w:val="22"/>
        </w:rPr>
        <w:t>The Estimator’s</w:t>
      </w:r>
      <w:r w:rsidRPr="00660265">
        <w:rPr>
          <w:rFonts w:ascii="Arial" w:hAnsi="Arial" w:cs="Arial"/>
          <w:i/>
          <w:sz w:val="22"/>
          <w:szCs w:val="22"/>
        </w:rPr>
        <w:t xml:space="preserve"> Pocket </w:t>
      </w:r>
      <w:proofErr w:type="spellStart"/>
      <w:r w:rsidRPr="00660265">
        <w:rPr>
          <w:rFonts w:ascii="Arial" w:hAnsi="Arial" w:cs="Arial"/>
          <w:i/>
          <w:sz w:val="22"/>
          <w:szCs w:val="22"/>
        </w:rPr>
        <w:t>Book</w:t>
      </w:r>
      <w:r>
        <w:rPr>
          <w:rFonts w:ascii="Arial" w:hAnsi="Arial" w:cs="Arial"/>
          <w:sz w:val="22"/>
          <w:szCs w:val="22"/>
        </w:rPr>
        <w:t>Routledge</w:t>
      </w:r>
      <w:proofErr w:type="spellEnd"/>
    </w:p>
    <w:p w:rsidR="00CE5E18" w:rsidRPr="00D33478" w:rsidRDefault="00CE5E18" w:rsidP="00CE5E18">
      <w:pPr>
        <w:jc w:val="both"/>
        <w:rPr>
          <w:rFonts w:ascii="Arial" w:hAnsi="Arial" w:cs="Arial"/>
          <w:sz w:val="22"/>
          <w:szCs w:val="22"/>
        </w:rPr>
      </w:pPr>
    </w:p>
    <w:p w:rsidR="00CE5E18" w:rsidRPr="0042738F" w:rsidRDefault="00CE5E18" w:rsidP="00CE5E18">
      <w:pPr>
        <w:pStyle w:val="heading"/>
        <w:spacing w:before="0" w:after="0" w:line="240" w:lineRule="auto"/>
        <w:jc w:val="both"/>
        <w:rPr>
          <w:rFonts w:ascii="Arial" w:hAnsi="Arial" w:cs="Arial"/>
          <w:b/>
        </w:rPr>
      </w:pPr>
      <w:r w:rsidRPr="0042738F">
        <w:rPr>
          <w:rFonts w:ascii="Arial" w:hAnsi="Arial" w:cs="Arial"/>
          <w:b/>
        </w:rPr>
        <w:t xml:space="preserve">Journals </w:t>
      </w:r>
    </w:p>
    <w:p w:rsidR="00CE5E18" w:rsidRPr="003B7B0A" w:rsidRDefault="00CE5E18" w:rsidP="00CE5E18">
      <w:pPr>
        <w:pStyle w:val="heading"/>
        <w:spacing w:before="0" w:after="0" w:line="240" w:lineRule="auto"/>
        <w:jc w:val="both"/>
        <w:rPr>
          <w:rFonts w:ascii="Arial" w:hAnsi="Arial" w:cs="Arial"/>
        </w:rPr>
      </w:pPr>
    </w:p>
    <w:p w:rsidR="00CE5E18" w:rsidRDefault="00CE5E18" w:rsidP="00CE5E18">
      <w:pPr>
        <w:jc w:val="both"/>
        <w:rPr>
          <w:rFonts w:ascii="Arial" w:hAnsi="Arial" w:cs="Arial"/>
          <w:sz w:val="22"/>
          <w:szCs w:val="22"/>
        </w:rPr>
      </w:pPr>
      <w:r w:rsidRPr="003B7B0A">
        <w:rPr>
          <w:rFonts w:ascii="Arial" w:hAnsi="Arial" w:cs="Arial"/>
          <w:sz w:val="22"/>
          <w:szCs w:val="22"/>
        </w:rPr>
        <w:t>Construction Manager</w:t>
      </w:r>
    </w:p>
    <w:p w:rsidR="00CE5E18" w:rsidRDefault="00CE5E18" w:rsidP="00CE5E18">
      <w:pPr>
        <w:jc w:val="both"/>
        <w:rPr>
          <w:rFonts w:ascii="Arial" w:hAnsi="Arial" w:cs="Arial"/>
          <w:sz w:val="22"/>
          <w:szCs w:val="22"/>
        </w:rPr>
      </w:pPr>
      <w:r>
        <w:rPr>
          <w:rFonts w:ascii="Arial" w:hAnsi="Arial" w:cs="Arial"/>
          <w:sz w:val="22"/>
          <w:szCs w:val="22"/>
        </w:rPr>
        <w:t>Construction News</w:t>
      </w:r>
    </w:p>
    <w:p w:rsidR="00CE5E18" w:rsidRDefault="00CE5E18" w:rsidP="00CE5E18">
      <w:pPr>
        <w:jc w:val="both"/>
        <w:rPr>
          <w:rFonts w:ascii="Arial" w:hAnsi="Arial" w:cs="Arial"/>
          <w:sz w:val="22"/>
          <w:szCs w:val="22"/>
        </w:rPr>
      </w:pPr>
      <w:r>
        <w:rPr>
          <w:rFonts w:ascii="Arial" w:hAnsi="Arial" w:cs="Arial"/>
          <w:sz w:val="22"/>
          <w:szCs w:val="22"/>
        </w:rPr>
        <w:t>Building</w:t>
      </w:r>
    </w:p>
    <w:p w:rsidR="00CE5E18" w:rsidRPr="00D33478" w:rsidRDefault="00CE5E18" w:rsidP="00CE5E18">
      <w:pPr>
        <w:jc w:val="both"/>
        <w:rPr>
          <w:rFonts w:ascii="Arial" w:hAnsi="Arial" w:cs="Arial"/>
          <w:i/>
          <w:sz w:val="22"/>
          <w:szCs w:val="22"/>
          <w:highlight w:val="yellow"/>
        </w:rPr>
      </w:pPr>
    </w:p>
    <w:p w:rsidR="00CE5E18" w:rsidRDefault="00CE5E18" w:rsidP="00CE5E18">
      <w:pPr>
        <w:pStyle w:val="heading"/>
        <w:spacing w:before="0" w:after="0" w:line="240" w:lineRule="auto"/>
        <w:jc w:val="both"/>
        <w:rPr>
          <w:rFonts w:ascii="Arial" w:hAnsi="Arial" w:cs="Arial"/>
          <w:b/>
        </w:rPr>
      </w:pPr>
      <w:r w:rsidRPr="0042738F">
        <w:rPr>
          <w:rFonts w:ascii="Arial" w:hAnsi="Arial" w:cs="Arial"/>
          <w:b/>
        </w:rPr>
        <w:t xml:space="preserve">Websites </w:t>
      </w:r>
    </w:p>
    <w:p w:rsidR="00CE5E18" w:rsidRDefault="00CE5E18" w:rsidP="00CE5E18">
      <w:pPr>
        <w:pStyle w:val="heading"/>
        <w:spacing w:before="0" w:after="0" w:line="240" w:lineRule="auto"/>
        <w:jc w:val="both"/>
        <w:rPr>
          <w:rFonts w:ascii="Arial" w:hAnsi="Arial" w:cs="Arial"/>
          <w:b/>
        </w:rPr>
      </w:pPr>
    </w:p>
    <w:p w:rsidR="00CE5E18" w:rsidRDefault="00CE5E18" w:rsidP="00CE5E18">
      <w:pPr>
        <w:pStyle w:val="heading"/>
        <w:spacing w:before="0" w:after="0" w:line="240" w:lineRule="auto"/>
        <w:jc w:val="both"/>
        <w:rPr>
          <w:rFonts w:ascii="Arial" w:hAnsi="Arial" w:cs="Arial"/>
        </w:rPr>
      </w:pPr>
      <w:r w:rsidRPr="00DE3CD1">
        <w:rPr>
          <w:rFonts w:ascii="Arial" w:hAnsi="Arial" w:cs="Arial"/>
        </w:rPr>
        <w:t>The Building Cost Information Service</w:t>
      </w:r>
      <w:r w:rsidRPr="00DE3CD1">
        <w:rPr>
          <w:rFonts w:ascii="Arial" w:hAnsi="Arial" w:cs="Arial"/>
        </w:rPr>
        <w:tab/>
      </w:r>
      <w:hyperlink r:id="rId5" w:history="1">
        <w:r w:rsidRPr="003A16D2">
          <w:rPr>
            <w:rStyle w:val="Hyperlink"/>
            <w:rFonts w:ascii="Arial" w:hAnsi="Arial" w:cs="Arial"/>
          </w:rPr>
          <w:t>www.bcis.org.uk</w:t>
        </w:r>
      </w:hyperlink>
    </w:p>
    <w:p w:rsidR="00CE5E18" w:rsidRPr="00D33478" w:rsidRDefault="00CE5E18" w:rsidP="00CE5E18">
      <w:pPr>
        <w:jc w:val="both"/>
        <w:rPr>
          <w:rFonts w:ascii="Arial" w:hAnsi="Arial" w:cs="Arial"/>
          <w:color w:val="000000"/>
          <w:sz w:val="22"/>
          <w:szCs w:val="22"/>
        </w:rPr>
      </w:pPr>
      <w:r w:rsidRPr="00DE3CD1">
        <w:rPr>
          <w:rFonts w:ascii="Arial" w:hAnsi="Arial" w:cs="Arial"/>
          <w:sz w:val="22"/>
          <w:szCs w:val="22"/>
        </w:rPr>
        <w:t>The Chartered Institute of Building</w:t>
      </w:r>
      <w:r>
        <w:tab/>
      </w:r>
      <w:r>
        <w:tab/>
      </w:r>
      <w:hyperlink r:id="rId6" w:history="1">
        <w:r w:rsidRPr="003B7B0A">
          <w:rPr>
            <w:rStyle w:val="Hyperlink"/>
            <w:rFonts w:ascii="Arial" w:hAnsi="Arial" w:cs="Arial"/>
            <w:sz w:val="22"/>
            <w:szCs w:val="22"/>
          </w:rPr>
          <w:t>www.ciob.org.uk</w:t>
        </w:r>
      </w:hyperlink>
    </w:p>
    <w:p w:rsidR="00CE5E18" w:rsidRPr="00D33478" w:rsidRDefault="00CE5E18" w:rsidP="00CE5E18">
      <w:pPr>
        <w:jc w:val="both"/>
        <w:rPr>
          <w:rFonts w:ascii="Arial" w:hAnsi="Arial" w:cs="Arial"/>
          <w:sz w:val="22"/>
          <w:szCs w:val="22"/>
        </w:rPr>
      </w:pPr>
    </w:p>
    <w:p w:rsidR="00CE5E18" w:rsidRPr="001329F5" w:rsidRDefault="00CE5E18" w:rsidP="00CE5E18">
      <w:pPr>
        <w:rPr>
          <w:rFonts w:ascii="Calibri" w:hAnsi="Calibri"/>
          <w:sz w:val="22"/>
        </w:rPr>
      </w:pPr>
      <w:r w:rsidRPr="001329F5">
        <w:rPr>
          <w:rFonts w:ascii="Calibri" w:hAnsi="Calibri"/>
          <w:sz w:val="22"/>
        </w:rPr>
        <w:br w:type="page"/>
      </w:r>
    </w:p>
    <w:p w:rsidR="00EB4C38" w:rsidRDefault="001531B0"/>
    <w:sectPr w:rsidR="00EB4C38" w:rsidSect="007B664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92446F"/>
    <w:multiLevelType w:val="hybridMultilevel"/>
    <w:tmpl w:val="EB2240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A75CC0"/>
    <w:multiLevelType w:val="hybridMultilevel"/>
    <w:tmpl w:val="90F6C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F207D3"/>
    <w:multiLevelType w:val="hybridMultilevel"/>
    <w:tmpl w:val="9FC4AE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2D336D4"/>
    <w:multiLevelType w:val="hybridMultilevel"/>
    <w:tmpl w:val="4078BE52"/>
    <w:lvl w:ilvl="0" w:tplc="CCAC7EAC">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7A654F4"/>
    <w:multiLevelType w:val="hybridMultilevel"/>
    <w:tmpl w:val="9CEEEE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77210E6"/>
    <w:multiLevelType w:val="hybridMultilevel"/>
    <w:tmpl w:val="4B6E2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0"/>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2"/>
  <w:proofState w:spelling="clean" w:grammar="clean"/>
  <w:defaultTabStop w:val="720"/>
  <w:characterSpacingControl w:val="doNotCompress"/>
  <w:compat/>
  <w:rsids>
    <w:rsidRoot w:val="00CE5E18"/>
    <w:rsid w:val="001531B0"/>
    <w:rsid w:val="0053123A"/>
    <w:rsid w:val="007B6643"/>
    <w:rsid w:val="007B7B5A"/>
    <w:rsid w:val="009C3E79"/>
    <w:rsid w:val="00CE5E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5E18"/>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CE5E18"/>
    <w:rPr>
      <w:rFonts w:cs="Times New Roman"/>
      <w:color w:val="0000FF"/>
      <w:u w:val="single"/>
    </w:rPr>
  </w:style>
  <w:style w:type="paragraph" w:styleId="ListParagraph">
    <w:name w:val="List Paragraph"/>
    <w:basedOn w:val="Normal"/>
    <w:uiPriority w:val="34"/>
    <w:qFormat/>
    <w:rsid w:val="00CE5E18"/>
    <w:pPr>
      <w:ind w:left="720"/>
      <w:contextualSpacing/>
    </w:pPr>
  </w:style>
  <w:style w:type="paragraph" w:customStyle="1" w:styleId="heading">
    <w:name w:val="heading"/>
    <w:link w:val="headingChar"/>
    <w:rsid w:val="00CE5E18"/>
    <w:pPr>
      <w:widowControl w:val="0"/>
      <w:suppressAutoHyphens/>
      <w:spacing w:before="240" w:after="120"/>
    </w:pPr>
    <w:rPr>
      <w:rFonts w:ascii="Times New Roman" w:eastAsia="Times New Roman" w:hAnsi="Times New Roman" w:cs="Times New Roman"/>
      <w:color w:val="00000A"/>
      <w:lang w:eastAsia="en-GB"/>
    </w:rPr>
  </w:style>
  <w:style w:type="paragraph" w:customStyle="1" w:styleId="fixed">
    <w:name w:val="fixed"/>
    <w:link w:val="fixedChar"/>
    <w:rsid w:val="00CE5E18"/>
    <w:pPr>
      <w:tabs>
        <w:tab w:val="left" w:pos="720"/>
        <w:tab w:val="left" w:pos="1440"/>
        <w:tab w:val="left" w:pos="2160"/>
        <w:tab w:val="left" w:pos="2880"/>
      </w:tabs>
      <w:suppressAutoHyphens/>
      <w:overflowPunct w:val="0"/>
      <w:ind w:left="3600" w:hanging="3600"/>
      <w:textAlignment w:val="baseline"/>
    </w:pPr>
    <w:rPr>
      <w:rFonts w:ascii="Times New Roman" w:eastAsia="Times New Roman" w:hAnsi="Times New Roman" w:cs="Times New Roman"/>
      <w:b/>
      <w:color w:val="00000A"/>
      <w:sz w:val="24"/>
      <w:lang w:eastAsia="en-GB"/>
    </w:rPr>
  </w:style>
  <w:style w:type="paragraph" w:customStyle="1" w:styleId="bullet">
    <w:name w:val="bullet"/>
    <w:link w:val="bulletChar"/>
    <w:rsid w:val="00CE5E18"/>
    <w:pPr>
      <w:suppressAutoHyphens/>
      <w:overflowPunct w:val="0"/>
      <w:spacing w:before="120" w:after="0"/>
      <w:ind w:left="1004" w:hanging="284"/>
      <w:jc w:val="both"/>
      <w:textAlignment w:val="baseline"/>
    </w:pPr>
    <w:rPr>
      <w:rFonts w:ascii="Times New Roman" w:eastAsia="Times New Roman" w:hAnsi="Times New Roman" w:cs="Times New Roman"/>
      <w:color w:val="00000A"/>
      <w:sz w:val="24"/>
      <w:lang w:eastAsia="en-GB"/>
    </w:rPr>
  </w:style>
  <w:style w:type="character" w:customStyle="1" w:styleId="fixedChar">
    <w:name w:val="fixed Char"/>
    <w:link w:val="fixed"/>
    <w:rsid w:val="00CE5E18"/>
    <w:rPr>
      <w:rFonts w:ascii="Times New Roman" w:eastAsia="Times New Roman" w:hAnsi="Times New Roman" w:cs="Times New Roman"/>
      <w:b/>
      <w:color w:val="00000A"/>
      <w:sz w:val="24"/>
      <w:lang w:eastAsia="en-GB"/>
    </w:rPr>
  </w:style>
  <w:style w:type="character" w:customStyle="1" w:styleId="headingChar">
    <w:name w:val="heading Char"/>
    <w:link w:val="heading"/>
    <w:rsid w:val="00CE5E18"/>
    <w:rPr>
      <w:rFonts w:ascii="Times New Roman" w:eastAsia="Times New Roman" w:hAnsi="Times New Roman" w:cs="Times New Roman"/>
      <w:color w:val="00000A"/>
      <w:lang w:eastAsia="en-GB"/>
    </w:rPr>
  </w:style>
  <w:style w:type="character" w:customStyle="1" w:styleId="bulletChar">
    <w:name w:val="bullet Char"/>
    <w:link w:val="bullet"/>
    <w:rsid w:val="00CE5E18"/>
    <w:rPr>
      <w:rFonts w:ascii="Times New Roman" w:eastAsia="Times New Roman" w:hAnsi="Times New Roman" w:cs="Times New Roman"/>
      <w:color w:val="00000A"/>
      <w:sz w:val="24"/>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ob.org.uk" TargetMode="External"/><Relationship Id="rId5" Type="http://schemas.openxmlformats.org/officeDocument/2006/relationships/hyperlink" Target="http://www.bcis.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5</Pages>
  <Words>700</Words>
  <Characters>3992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Ndibarafinia Tobin</dc:creator>
  <cp:lastModifiedBy>Ndibarafinia Tobin</cp:lastModifiedBy>
  <cp:revision>2</cp:revision>
  <dcterms:created xsi:type="dcterms:W3CDTF">2018-10-06T19:14:00Z</dcterms:created>
  <dcterms:modified xsi:type="dcterms:W3CDTF">2018-10-06T19:40:00Z</dcterms:modified>
</cp:coreProperties>
</file>