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E8CBEF" w14:textId="34DB9E79" w:rsidR="004A0541" w:rsidRPr="004A0541" w:rsidRDefault="004A0541" w:rsidP="004A0541">
      <w:pPr>
        <w:rPr>
          <w:b/>
          <w:bCs/>
          <w:sz w:val="28"/>
          <w:szCs w:val="28"/>
        </w:rPr>
      </w:pPr>
      <w:r w:rsidRPr="004A0541">
        <w:rPr>
          <w:b/>
          <w:bCs/>
          <w:sz w:val="28"/>
          <w:szCs w:val="28"/>
        </w:rPr>
        <w:t>Topic of  Study</w:t>
      </w:r>
    </w:p>
    <w:p w14:paraId="20AA6E6B" w14:textId="0D52874F" w:rsidR="004A0541" w:rsidRDefault="004A0541" w:rsidP="004A0541">
      <w:r>
        <w:t xml:space="preserve">The impact of hybrid working on management practices and employee productivity in the UK financial services sector </w:t>
      </w:r>
    </w:p>
    <w:p w14:paraId="455ACE98" w14:textId="77777777" w:rsidR="004A0541" w:rsidRPr="004A0541" w:rsidRDefault="004A0541" w:rsidP="004A0541">
      <w:pPr>
        <w:rPr>
          <w:b/>
          <w:bCs/>
          <w:sz w:val="28"/>
          <w:szCs w:val="28"/>
        </w:rPr>
      </w:pPr>
      <w:r w:rsidRPr="004A0541">
        <w:rPr>
          <w:b/>
          <w:bCs/>
          <w:sz w:val="28"/>
          <w:szCs w:val="28"/>
        </w:rPr>
        <w:t>Background</w:t>
      </w:r>
    </w:p>
    <w:p w14:paraId="72CF3A88" w14:textId="74133CE4" w:rsidR="004A0541" w:rsidRDefault="004A0541" w:rsidP="004A0541">
      <w:r>
        <w:t xml:space="preserve">Since the outbreak of Covid-19, UK financial services firms have rapidly transitioned to hybrid working models blending remote and office-based work (Tran et al., 2022). This </w:t>
      </w:r>
      <w:proofErr w:type="gramStart"/>
      <w:r>
        <w:t>change</w:t>
      </w:r>
      <w:proofErr w:type="gramEnd"/>
      <w:r>
        <w:t xml:space="preserve"> reshaped management approaches, with leaders addressing new challenges in sustaining productivity, engagement, and collaboration (Bloom et al., 2024). Hybrid arrangements improve job satisfaction and reduce turnover, but introduce complications like proximity bias and maintaining organisational culture (</w:t>
      </w:r>
      <w:proofErr w:type="spellStart"/>
      <w:r w:rsidR="00DA5FCD" w:rsidRPr="00DA5FCD">
        <w:t>Agnoletto</w:t>
      </w:r>
      <w:proofErr w:type="spellEnd"/>
      <w:r w:rsidR="00DA5FCD" w:rsidRPr="00DA5FCD">
        <w:t>, M., 2024</w:t>
      </w:r>
      <w:r>
        <w:t xml:space="preserve">). Most firms experiment with a variety of hybrid frameworks to attract and retain talent while aiming to balance flexibility and control </w:t>
      </w:r>
      <w:r w:rsidR="0008270C">
        <w:t>(</w:t>
      </w:r>
      <w:r w:rsidR="0008270C" w:rsidRPr="0008270C">
        <w:t>Coulston, C.,</w:t>
      </w:r>
      <w:r w:rsidR="0008270C">
        <w:t xml:space="preserve"> et al 2025</w:t>
      </w:r>
      <w:r>
        <w:t>). Financial services often operate in high-pressure settings, highlighting the need for sector-tailored hybrid solutions and knowledge-sharing to ensure competitiveness (</w:t>
      </w:r>
      <w:proofErr w:type="spellStart"/>
      <w:r w:rsidR="00806C64" w:rsidRPr="00806C64">
        <w:t>Pitchaya-Auckarakhun</w:t>
      </w:r>
      <w:proofErr w:type="spellEnd"/>
      <w:r w:rsidR="00806C64" w:rsidRPr="00806C64">
        <w:t>, M., 2024</w:t>
      </w:r>
      <w:r>
        <w:t>).</w:t>
      </w:r>
    </w:p>
    <w:p w14:paraId="13055BC9" w14:textId="77777777" w:rsidR="004A0541" w:rsidRPr="004A0541" w:rsidRDefault="004A0541" w:rsidP="004A0541">
      <w:pPr>
        <w:rPr>
          <w:b/>
          <w:bCs/>
          <w:sz w:val="28"/>
          <w:szCs w:val="28"/>
        </w:rPr>
      </w:pPr>
      <w:r w:rsidRPr="004A0541">
        <w:rPr>
          <w:b/>
          <w:bCs/>
          <w:sz w:val="28"/>
          <w:szCs w:val="28"/>
        </w:rPr>
        <w:t>Aim</w:t>
      </w:r>
    </w:p>
    <w:p w14:paraId="1D65D500" w14:textId="36E1CF23" w:rsidR="004A0541" w:rsidRDefault="004A0541" w:rsidP="004A0541">
      <w:r>
        <w:t>To explore how hybrid working arrangements are influencing management practices and employee productivity in the UK financial services sector (Tran et al., 2022; Bloom et al., 2024).</w:t>
      </w:r>
    </w:p>
    <w:p w14:paraId="66A9270E" w14:textId="77777777" w:rsidR="004A0541" w:rsidRPr="004A0541" w:rsidRDefault="004A0541" w:rsidP="004A0541">
      <w:pPr>
        <w:rPr>
          <w:b/>
          <w:bCs/>
          <w:sz w:val="28"/>
          <w:szCs w:val="28"/>
        </w:rPr>
      </w:pPr>
      <w:r w:rsidRPr="004A0541">
        <w:rPr>
          <w:b/>
          <w:bCs/>
          <w:sz w:val="28"/>
          <w:szCs w:val="28"/>
        </w:rPr>
        <w:t>Objectives</w:t>
      </w:r>
    </w:p>
    <w:p w14:paraId="41F0478C" w14:textId="0FD44590" w:rsidR="004A0541" w:rsidRDefault="004A0541" w:rsidP="004A0541">
      <w:r>
        <w:t>Investigate the extent to which financial services firms have adopted hybrid working practices (Tran et al., 2022).</w:t>
      </w:r>
    </w:p>
    <w:p w14:paraId="1FABD6D1" w14:textId="5D7D629A" w:rsidR="004A0541" w:rsidRDefault="004A0541" w:rsidP="004A0541">
      <w:r>
        <w:t>Identify how management practices have evolved to support hybrid workforces (Bloom et al., 2024).</w:t>
      </w:r>
    </w:p>
    <w:p w14:paraId="68E64AE5" w14:textId="0A8EEEE2" w:rsidR="004A0541" w:rsidRDefault="004A0541" w:rsidP="004A0541">
      <w:r>
        <w:t>Assess the impact of hybrid working on employee productivity, satisfaction, and retention (</w:t>
      </w:r>
      <w:proofErr w:type="spellStart"/>
      <w:r w:rsidR="00806C64" w:rsidRPr="00806C64">
        <w:t>Pitchaya-Auckarakhun</w:t>
      </w:r>
      <w:proofErr w:type="spellEnd"/>
      <w:r w:rsidR="00806C64" w:rsidRPr="00806C64">
        <w:t>, M., 2024</w:t>
      </w:r>
      <w:r>
        <w:t>).</w:t>
      </w:r>
    </w:p>
    <w:p w14:paraId="18F2794C" w14:textId="3473F4B9" w:rsidR="004A0541" w:rsidRDefault="004A0541" w:rsidP="004A0541">
      <w:r>
        <w:t>Examine key challenges such as proximity bias, collaboration, and cultural cohesion (</w:t>
      </w:r>
      <w:r w:rsidR="0008270C" w:rsidRPr="0008270C">
        <w:t>Coulston, C.,</w:t>
      </w:r>
      <w:r w:rsidR="0008270C">
        <w:t xml:space="preserve"> et al 2025</w:t>
      </w:r>
      <w:r>
        <w:t>).</w:t>
      </w:r>
    </w:p>
    <w:p w14:paraId="687D27D1" w14:textId="616069A6" w:rsidR="004A0541" w:rsidRDefault="004A0541" w:rsidP="004A0541">
      <w:r>
        <w:t>Recommend best practices for optimizing hybrid work management strategies in financial services (</w:t>
      </w:r>
      <w:proofErr w:type="spellStart"/>
      <w:r w:rsidR="00DA5FCD" w:rsidRPr="00DA5FCD">
        <w:t>Agnoletto</w:t>
      </w:r>
      <w:proofErr w:type="spellEnd"/>
      <w:r w:rsidR="00DA5FCD" w:rsidRPr="00DA5FCD">
        <w:t>, M., 2024</w:t>
      </w:r>
      <w:r>
        <w:t>).</w:t>
      </w:r>
    </w:p>
    <w:p w14:paraId="48BF7DC4" w14:textId="77777777" w:rsidR="00752B77" w:rsidRPr="00752B77" w:rsidRDefault="00752B77" w:rsidP="00752B77">
      <w:pPr>
        <w:rPr>
          <w:b/>
          <w:bCs/>
          <w:sz w:val="28"/>
          <w:szCs w:val="28"/>
        </w:rPr>
      </w:pPr>
      <w:r w:rsidRPr="00752B77">
        <w:rPr>
          <w:b/>
          <w:bCs/>
          <w:sz w:val="28"/>
          <w:szCs w:val="28"/>
        </w:rPr>
        <w:t>Research Questions</w:t>
      </w:r>
    </w:p>
    <w:p w14:paraId="7C134D78" w14:textId="0BD3273B" w:rsidR="00752B77" w:rsidRDefault="00752B77" w:rsidP="00752B77">
      <w:r>
        <w:t>To what extent have UK financial services firms adopted hybrid working practices, and what factors influence their approach? (Tran et al., 2022)</w:t>
      </w:r>
    </w:p>
    <w:p w14:paraId="2D2D822B" w14:textId="6FE30786" w:rsidR="00752B77" w:rsidRDefault="00752B77" w:rsidP="00752B77">
      <w:r>
        <w:t>How have management practices changed to support a hybrid workforce in the UK financial services sector? (Bloom et al., 2024)</w:t>
      </w:r>
    </w:p>
    <w:p w14:paraId="5AC49665" w14:textId="56DC210D" w:rsidR="00752B77" w:rsidRDefault="00752B77" w:rsidP="00752B77">
      <w:r>
        <w:t>What is the impact of hybrid working on employee productivity, satisfaction, and retention in financial services firms? (</w:t>
      </w:r>
      <w:proofErr w:type="spellStart"/>
      <w:r w:rsidR="00806C64" w:rsidRPr="00806C64">
        <w:t>Pitchaya-Auckarakhun</w:t>
      </w:r>
      <w:proofErr w:type="spellEnd"/>
      <w:r w:rsidR="00806C64" w:rsidRPr="00806C64">
        <w:t>, M., 2024</w:t>
      </w:r>
      <w:r>
        <w:t>)</w:t>
      </w:r>
    </w:p>
    <w:p w14:paraId="7043BD1D" w14:textId="79EEAB1C" w:rsidR="00752B77" w:rsidRDefault="00752B77" w:rsidP="00752B77">
      <w:r>
        <w:t>What challenges do managers face in addressing proximity bias, collaboration, and cultural cohesion under hybrid working models? (</w:t>
      </w:r>
      <w:r w:rsidR="0008270C" w:rsidRPr="0008270C">
        <w:t>Coulston, C.,</w:t>
      </w:r>
      <w:r w:rsidR="0008270C">
        <w:t xml:space="preserve"> et al 2025</w:t>
      </w:r>
      <w:r>
        <w:t>)</w:t>
      </w:r>
    </w:p>
    <w:p w14:paraId="71BAF9DE" w14:textId="36490993" w:rsidR="00752B77" w:rsidRDefault="00752B77" w:rsidP="00752B77">
      <w:r>
        <w:t>What best practices can be recommended to optimize hybrid work management strategies for financial services organizations? (</w:t>
      </w:r>
      <w:proofErr w:type="spellStart"/>
      <w:r w:rsidR="00DA5FCD" w:rsidRPr="00DA5FCD">
        <w:t>Agnoletto</w:t>
      </w:r>
      <w:proofErr w:type="spellEnd"/>
      <w:r w:rsidR="00DA5FCD" w:rsidRPr="00DA5FCD">
        <w:t>, M., 2024</w:t>
      </w:r>
      <w:r>
        <w:t>)</w:t>
      </w:r>
    </w:p>
    <w:p w14:paraId="4C74B1F7" w14:textId="77777777" w:rsidR="00752B77" w:rsidRDefault="00752B77" w:rsidP="004A0541"/>
    <w:p w14:paraId="246D5D10" w14:textId="77777777" w:rsidR="004A0541" w:rsidRPr="004A0541" w:rsidRDefault="004A0541" w:rsidP="004A0541">
      <w:pPr>
        <w:rPr>
          <w:b/>
          <w:bCs/>
          <w:sz w:val="28"/>
          <w:szCs w:val="28"/>
        </w:rPr>
      </w:pPr>
      <w:r w:rsidRPr="004A0541">
        <w:rPr>
          <w:b/>
          <w:bCs/>
          <w:sz w:val="28"/>
          <w:szCs w:val="28"/>
        </w:rPr>
        <w:t>Theory</w:t>
      </w:r>
    </w:p>
    <w:p w14:paraId="68131F94" w14:textId="1893C0D8" w:rsidR="004A0541" w:rsidRDefault="004A0541" w:rsidP="004A0541">
      <w:r>
        <w:t>Social Exchange Theory: Analyses employer–employee relations under new work arrangements, emphasising trust and perceived fairness (Bloom et al., 2024).</w:t>
      </w:r>
    </w:p>
    <w:p w14:paraId="22C7ABB6" w14:textId="73251A6B" w:rsidR="004A0541" w:rsidRDefault="004A0541" w:rsidP="004A0541">
      <w:r>
        <w:t>Job Demands-Resources (JD-R) Model: Explores the effect of hybrid models on job demands, engagement, and burnout (</w:t>
      </w:r>
      <w:proofErr w:type="spellStart"/>
      <w:r w:rsidR="00806C64" w:rsidRPr="00806C64">
        <w:t>Pitchaya-Auckarakhun</w:t>
      </w:r>
      <w:proofErr w:type="spellEnd"/>
      <w:r w:rsidR="00806C64" w:rsidRPr="00806C64">
        <w:t>, M., 2024</w:t>
      </w:r>
      <w:r>
        <w:t>).</w:t>
      </w:r>
    </w:p>
    <w:p w14:paraId="37A2CE5D" w14:textId="7F7EB4CF" w:rsidR="004A0541" w:rsidRDefault="004A0541" w:rsidP="004A0541">
      <w:r>
        <w:t>Organisational Culture Theory: Examines how hybrid working restructures firm culture, inclusion, and communication (</w:t>
      </w:r>
      <w:r w:rsidR="0008270C" w:rsidRPr="0008270C">
        <w:t>Coulston, C.,</w:t>
      </w:r>
      <w:r w:rsidR="0008270C">
        <w:t xml:space="preserve"> et al 2025</w:t>
      </w:r>
      <w:r>
        <w:t>).</w:t>
      </w:r>
    </w:p>
    <w:p w14:paraId="7CA31CB4" w14:textId="2C66AF9D" w:rsidR="004A0541" w:rsidRDefault="004A0541" w:rsidP="004A0541">
      <w:r>
        <w:t>Change Management Theory: Frames adaptation in leadership and resistance to new workplace norms (Tran et al., 2022).</w:t>
      </w:r>
    </w:p>
    <w:p w14:paraId="18912A64" w14:textId="77777777" w:rsidR="004A0541" w:rsidRPr="004A0541" w:rsidRDefault="004A0541" w:rsidP="004A0541">
      <w:pPr>
        <w:rPr>
          <w:b/>
          <w:bCs/>
          <w:sz w:val="28"/>
          <w:szCs w:val="28"/>
        </w:rPr>
      </w:pPr>
      <w:r w:rsidRPr="004A0541">
        <w:rPr>
          <w:b/>
          <w:bCs/>
          <w:sz w:val="28"/>
          <w:szCs w:val="28"/>
        </w:rPr>
        <w:t>Research Gap</w:t>
      </w:r>
    </w:p>
    <w:p w14:paraId="5E91A217" w14:textId="40516DF2" w:rsidR="004A0541" w:rsidRDefault="004A0541" w:rsidP="004A0541">
      <w:r>
        <w:t xml:space="preserve">There is limited sector-specific research examining direct effects of hybrid working practices on management and productivity in UK financial services (Tran et al., 2022; </w:t>
      </w:r>
      <w:proofErr w:type="spellStart"/>
      <w:r w:rsidR="00806C64" w:rsidRPr="00806C64">
        <w:t>Pitchaya-Auckarakhun</w:t>
      </w:r>
      <w:proofErr w:type="spellEnd"/>
      <w:r w:rsidR="00806C64" w:rsidRPr="00806C64">
        <w:t>, M., 2024</w:t>
      </w:r>
      <w:r>
        <w:t>).</w:t>
      </w:r>
    </w:p>
    <w:p w14:paraId="7F764F9B" w14:textId="24F26476" w:rsidR="004A0541" w:rsidRDefault="004A0541" w:rsidP="004A0541">
      <w:r>
        <w:t>Few studies investigate the unique challenges faced by finance firms, especially high-pressure, globally distributed teams (</w:t>
      </w:r>
      <w:proofErr w:type="spellStart"/>
      <w:r w:rsidR="00DA5FCD" w:rsidRPr="00DA5FCD">
        <w:t>Agnoletto</w:t>
      </w:r>
      <w:proofErr w:type="spellEnd"/>
      <w:r w:rsidR="00DA5FCD" w:rsidRPr="00DA5FCD">
        <w:t>, M., 2024</w:t>
      </w:r>
      <w:r>
        <w:t>).</w:t>
      </w:r>
    </w:p>
    <w:p w14:paraId="361980F5" w14:textId="0A0BD7D0" w:rsidR="004A0541" w:rsidRDefault="004A0541" w:rsidP="004A0541">
      <w:r>
        <w:t>Systematic reviews of successful hybrid management models and their impacts on talent retention and performance remain scarce (Bloom et al., 2024).</w:t>
      </w:r>
    </w:p>
    <w:p w14:paraId="0B75060F" w14:textId="27473BCE" w:rsidR="004A0541" w:rsidRPr="004A0541" w:rsidRDefault="004A0541" w:rsidP="004A0541">
      <w:pPr>
        <w:rPr>
          <w:b/>
          <w:bCs/>
          <w:sz w:val="28"/>
          <w:szCs w:val="28"/>
        </w:rPr>
      </w:pPr>
      <w:r w:rsidRPr="004A0541">
        <w:rPr>
          <w:b/>
          <w:bCs/>
          <w:sz w:val="28"/>
          <w:szCs w:val="28"/>
        </w:rPr>
        <w:t xml:space="preserve">Reference List </w:t>
      </w:r>
    </w:p>
    <w:p w14:paraId="17360017" w14:textId="4D98F4AC" w:rsidR="0008270C" w:rsidRDefault="00806C64" w:rsidP="004A0541">
      <w:proofErr w:type="spellStart"/>
      <w:r w:rsidRPr="00806C64">
        <w:t>Pitchaya-Auckarakhun</w:t>
      </w:r>
      <w:proofErr w:type="spellEnd"/>
      <w:r w:rsidRPr="00806C64">
        <w:t xml:space="preserve">, M., 2024. The future of work: financial implications of remote and hybrid work models. </w:t>
      </w:r>
      <w:proofErr w:type="spellStart"/>
      <w:r w:rsidRPr="00806C64">
        <w:t>Nowoczesne</w:t>
      </w:r>
      <w:proofErr w:type="spellEnd"/>
      <w:r w:rsidRPr="00806C64">
        <w:t xml:space="preserve"> </w:t>
      </w:r>
      <w:proofErr w:type="spellStart"/>
      <w:r w:rsidRPr="00806C64">
        <w:t>Systemy</w:t>
      </w:r>
      <w:proofErr w:type="spellEnd"/>
      <w:r w:rsidRPr="00806C64">
        <w:t xml:space="preserve"> </w:t>
      </w:r>
      <w:proofErr w:type="spellStart"/>
      <w:r w:rsidRPr="00806C64">
        <w:t>Zarządzania</w:t>
      </w:r>
      <w:proofErr w:type="spellEnd"/>
      <w:r w:rsidRPr="00806C64">
        <w:t>. Modern Management Systems, (1), pp.13-38.</w:t>
      </w:r>
    </w:p>
    <w:p w14:paraId="008232D7" w14:textId="0E96F6AD" w:rsidR="00DA5FCD" w:rsidRDefault="00DA5FCD" w:rsidP="00446187">
      <w:proofErr w:type="spellStart"/>
      <w:r w:rsidRPr="00DA5FCD">
        <w:t>Agnoletto</w:t>
      </w:r>
      <w:proofErr w:type="spellEnd"/>
      <w:r w:rsidRPr="00DA5FCD">
        <w:t>, M., 2024. Flexible working and well-being: evidence from the UK. Journal of Demographic Economics, 90(4), pp.589-625.</w:t>
      </w:r>
    </w:p>
    <w:p w14:paraId="508210E8" w14:textId="34238484" w:rsidR="004B552C" w:rsidRDefault="004B552C" w:rsidP="00446187">
      <w:r w:rsidRPr="004B552C">
        <w:t>Bloom, N., Han, R. and Liang, J., 2024. Hybrid working from home improves retention without damaging performance. Nature, 630(8018), pp.920-925.</w:t>
      </w:r>
    </w:p>
    <w:p w14:paraId="519F7C17" w14:textId="1953935F" w:rsidR="004B552C" w:rsidRDefault="004B552C" w:rsidP="00446187">
      <w:r w:rsidRPr="004B552C">
        <w:t>Coulston, C., Shergill, S., Twumasi, R. and Duncan, M., 2025. Advancing virtual and hybrid team well-being through a job demand-resources lens. International journal of qualitative studies on health and well-being, 20(1), p.2472460.</w:t>
      </w:r>
    </w:p>
    <w:p w14:paraId="3649550A" w14:textId="077711D7" w:rsidR="004B552C" w:rsidRDefault="004B552C" w:rsidP="00446187">
      <w:proofErr w:type="spellStart"/>
      <w:r w:rsidRPr="004B552C">
        <w:t>Pitchaya-Auckarakhun</w:t>
      </w:r>
      <w:proofErr w:type="spellEnd"/>
      <w:r w:rsidRPr="004B552C">
        <w:t xml:space="preserve">, M., 2024. The future of work: financial implications of remote and hybrid work models. </w:t>
      </w:r>
      <w:proofErr w:type="spellStart"/>
      <w:r w:rsidRPr="004B552C">
        <w:t>Nowoczesne</w:t>
      </w:r>
      <w:proofErr w:type="spellEnd"/>
      <w:r w:rsidRPr="004B552C">
        <w:t xml:space="preserve"> </w:t>
      </w:r>
      <w:proofErr w:type="spellStart"/>
      <w:r w:rsidRPr="004B552C">
        <w:t>Systemy</w:t>
      </w:r>
      <w:proofErr w:type="spellEnd"/>
      <w:r w:rsidRPr="004B552C">
        <w:t xml:space="preserve"> </w:t>
      </w:r>
      <w:proofErr w:type="spellStart"/>
      <w:r w:rsidRPr="004B552C">
        <w:t>Zarządzania</w:t>
      </w:r>
      <w:proofErr w:type="spellEnd"/>
      <w:r w:rsidRPr="004B552C">
        <w:t>. Modern Management Systems, (1), pp.13-38.</w:t>
      </w:r>
    </w:p>
    <w:p w14:paraId="666AE39E" w14:textId="7200644C" w:rsidR="009B5A67" w:rsidRDefault="004B552C">
      <w:r w:rsidRPr="004B552C">
        <w:t>Tran, L., 2022. The Impact of Hybrid Work on Productivity: Understanding the Future of Work: A case study in agile software development teams.</w:t>
      </w:r>
    </w:p>
    <w:sectPr w:rsidR="009B5A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1D61F1" w14:textId="77777777" w:rsidR="00C22665" w:rsidRDefault="00C22665" w:rsidP="004A0541">
      <w:pPr>
        <w:spacing w:after="0" w:line="240" w:lineRule="auto"/>
      </w:pPr>
      <w:r>
        <w:separator/>
      </w:r>
    </w:p>
  </w:endnote>
  <w:endnote w:type="continuationSeparator" w:id="0">
    <w:p w14:paraId="4FB18660" w14:textId="77777777" w:rsidR="00C22665" w:rsidRDefault="00C22665" w:rsidP="004A05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DDDFFB" w14:textId="77777777" w:rsidR="00C22665" w:rsidRDefault="00C22665" w:rsidP="004A0541">
      <w:pPr>
        <w:spacing w:after="0" w:line="240" w:lineRule="auto"/>
      </w:pPr>
      <w:r>
        <w:separator/>
      </w:r>
    </w:p>
  </w:footnote>
  <w:footnote w:type="continuationSeparator" w:id="0">
    <w:p w14:paraId="075A3B93" w14:textId="77777777" w:rsidR="00C22665" w:rsidRDefault="00C22665" w:rsidP="004A054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0541"/>
    <w:rsid w:val="0008270C"/>
    <w:rsid w:val="00446187"/>
    <w:rsid w:val="004A0541"/>
    <w:rsid w:val="004B552C"/>
    <w:rsid w:val="00752B77"/>
    <w:rsid w:val="00806C64"/>
    <w:rsid w:val="009B5A67"/>
    <w:rsid w:val="00C22665"/>
    <w:rsid w:val="00DA5F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68BC77"/>
  <w15:chartTrackingRefBased/>
  <w15:docId w15:val="{16B05977-531A-424B-AA3F-2DA8004807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A05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0541"/>
  </w:style>
  <w:style w:type="paragraph" w:styleId="Footer">
    <w:name w:val="footer"/>
    <w:basedOn w:val="Normal"/>
    <w:link w:val="FooterChar"/>
    <w:uiPriority w:val="99"/>
    <w:unhideWhenUsed/>
    <w:rsid w:val="004A05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05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161069">
      <w:bodyDiv w:val="1"/>
      <w:marLeft w:val="0"/>
      <w:marRight w:val="0"/>
      <w:marTop w:val="0"/>
      <w:marBottom w:val="0"/>
      <w:divBdr>
        <w:top w:val="none" w:sz="0" w:space="0" w:color="auto"/>
        <w:left w:val="none" w:sz="0" w:space="0" w:color="auto"/>
        <w:bottom w:val="none" w:sz="0" w:space="0" w:color="auto"/>
        <w:right w:val="none" w:sz="0" w:space="0" w:color="auto"/>
      </w:divBdr>
    </w:div>
    <w:div w:id="1423642221">
      <w:bodyDiv w:val="1"/>
      <w:marLeft w:val="0"/>
      <w:marRight w:val="0"/>
      <w:marTop w:val="0"/>
      <w:marBottom w:val="0"/>
      <w:divBdr>
        <w:top w:val="none" w:sz="0" w:space="0" w:color="auto"/>
        <w:left w:val="none" w:sz="0" w:space="0" w:color="auto"/>
        <w:bottom w:val="none" w:sz="0" w:space="0" w:color="auto"/>
        <w:right w:val="none" w:sz="0" w:space="0" w:color="auto"/>
      </w:divBdr>
    </w:div>
    <w:div w:id="1466047228">
      <w:bodyDiv w:val="1"/>
      <w:marLeft w:val="0"/>
      <w:marRight w:val="0"/>
      <w:marTop w:val="0"/>
      <w:marBottom w:val="0"/>
      <w:divBdr>
        <w:top w:val="none" w:sz="0" w:space="0" w:color="auto"/>
        <w:left w:val="none" w:sz="0" w:space="0" w:color="auto"/>
        <w:bottom w:val="none" w:sz="0" w:space="0" w:color="auto"/>
        <w:right w:val="none" w:sz="0" w:space="0" w:color="auto"/>
      </w:divBdr>
    </w:div>
    <w:div w:id="2011172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TotalTime>
  <Pages>2</Pages>
  <Words>692</Words>
  <Characters>3946</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cp:revision>
  <dcterms:created xsi:type="dcterms:W3CDTF">2025-11-13T22:46:00Z</dcterms:created>
  <dcterms:modified xsi:type="dcterms:W3CDTF">2025-11-13T23:29:00Z</dcterms:modified>
</cp:coreProperties>
</file>