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BD3F5" w14:textId="77777777" w:rsidR="0029592D" w:rsidRDefault="0029592D" w:rsidP="0029592D">
      <w:pPr>
        <w:spacing w:before="240" w:after="240" w:line="432" w:lineRule="auto"/>
        <w:jc w:val="center"/>
        <w:rPr>
          <w:b/>
        </w:rPr>
      </w:pPr>
      <w:r>
        <w:rPr>
          <w:b/>
        </w:rPr>
        <w:t>Chapter 3 – Methodology</w:t>
      </w:r>
    </w:p>
    <w:p w14:paraId="633F0ACF" w14:textId="77777777" w:rsidR="0029592D" w:rsidRDefault="0029592D" w:rsidP="0029592D">
      <w:pPr>
        <w:spacing w:before="240" w:after="240" w:line="432" w:lineRule="auto"/>
        <w:jc w:val="center"/>
        <w:rPr>
          <w:b/>
        </w:rPr>
      </w:pPr>
      <w:r>
        <w:rPr>
          <w:b/>
        </w:rPr>
        <w:br/>
      </w:r>
    </w:p>
    <w:p w14:paraId="048E98DF" w14:textId="77777777" w:rsidR="0029592D" w:rsidRDefault="0029592D" w:rsidP="0029592D">
      <w:pPr>
        <w:spacing w:before="240" w:after="240" w:line="432" w:lineRule="auto"/>
        <w:rPr>
          <w:b/>
        </w:rPr>
      </w:pPr>
      <w:r>
        <w:rPr>
          <w:b/>
        </w:rPr>
        <w:t>3.1</w:t>
      </w:r>
      <w:r>
        <w:rPr>
          <w:b/>
        </w:rPr>
        <w:tab/>
        <w:t xml:space="preserve"> Research Aim and questions</w:t>
      </w:r>
    </w:p>
    <w:p w14:paraId="6D8B452D" w14:textId="0344A9E1" w:rsidR="0029592D" w:rsidRDefault="0029592D" w:rsidP="0029592D">
      <w:pPr>
        <w:spacing w:before="240" w:after="240" w:line="432" w:lineRule="auto"/>
      </w:pPr>
      <w:r>
        <w:t>This chapter</w:t>
      </w:r>
      <w:r>
        <w:rPr>
          <w:b/>
        </w:rPr>
        <w:t xml:space="preserve"> </w:t>
      </w:r>
      <w:r>
        <w:t>considers the methodological approach chosen to answer the overall research aim of ‘What is the impact on the wellbeing of police officers who have received a complaint or are under investigation and the potential implications for the organisation?’. The specific research questions are:</w:t>
      </w:r>
    </w:p>
    <w:p w14:paraId="12E9C8F6" w14:textId="77777777" w:rsidR="0029592D" w:rsidRDefault="0029592D" w:rsidP="0029592D">
      <w:pPr>
        <w:spacing w:before="240" w:after="240" w:line="432" w:lineRule="auto"/>
      </w:pPr>
      <w:r>
        <w:t>What are Police Officer’s experience of the complaints process?</w:t>
      </w:r>
    </w:p>
    <w:p w14:paraId="2DCF315A" w14:textId="77777777" w:rsidR="0029592D" w:rsidRDefault="0029592D" w:rsidP="0029592D">
      <w:pPr>
        <w:spacing w:before="240" w:after="240" w:line="432" w:lineRule="auto"/>
      </w:pPr>
      <w:r>
        <w:t>What impact does the complaints process have on the wellbeing of individual Police Officers?</w:t>
      </w:r>
    </w:p>
    <w:p w14:paraId="00A51514" w14:textId="77777777" w:rsidR="0029592D" w:rsidRDefault="0029592D" w:rsidP="0029592D">
      <w:pPr>
        <w:spacing w:before="240" w:after="240" w:line="432" w:lineRule="auto"/>
      </w:pPr>
      <w:r>
        <w:t>Are Police Officers prepared for receiving a complaint and aware of the support available to them?</w:t>
      </w:r>
    </w:p>
    <w:p w14:paraId="58264966" w14:textId="77777777" w:rsidR="0029592D" w:rsidRDefault="0029592D" w:rsidP="0029592D">
      <w:pPr>
        <w:spacing w:before="240" w:after="240" w:line="432" w:lineRule="auto"/>
      </w:pPr>
      <w:r>
        <w:t>What are Police Officers views on how wellbeing can be supported throughout a complaints process?</w:t>
      </w:r>
    </w:p>
    <w:p w14:paraId="4FDAC38B" w14:textId="77777777" w:rsidR="0029592D" w:rsidRDefault="0029592D" w:rsidP="0029592D">
      <w:pPr>
        <w:spacing w:before="240" w:after="240" w:line="432" w:lineRule="auto"/>
      </w:pPr>
      <w:r>
        <w:t>Are there any implications for the organisation?</w:t>
      </w:r>
    </w:p>
    <w:p w14:paraId="168C899C" w14:textId="77777777" w:rsidR="0029592D" w:rsidRDefault="0029592D" w:rsidP="0029592D">
      <w:pPr>
        <w:spacing w:before="240" w:after="240" w:line="432" w:lineRule="auto"/>
      </w:pPr>
      <w:r>
        <w:br/>
      </w:r>
    </w:p>
    <w:p w14:paraId="2887DE8B" w14:textId="77777777" w:rsidR="0029592D" w:rsidRDefault="0029592D" w:rsidP="0029592D">
      <w:pPr>
        <w:spacing w:before="240" w:after="240" w:line="432" w:lineRule="auto"/>
        <w:rPr>
          <w:b/>
        </w:rPr>
      </w:pPr>
      <w:r>
        <w:rPr>
          <w:b/>
        </w:rPr>
        <w:t>3.2</w:t>
      </w:r>
      <w:r>
        <w:rPr>
          <w:b/>
        </w:rPr>
        <w:tab/>
        <w:t>Research approach</w:t>
      </w:r>
    </w:p>
    <w:p w14:paraId="7F714F29" w14:textId="77777777" w:rsidR="0029592D" w:rsidRDefault="0029592D" w:rsidP="0029592D">
      <w:pPr>
        <w:spacing w:before="240" w:after="240" w:line="432" w:lineRule="auto"/>
      </w:pPr>
      <w:r>
        <w:t xml:space="preserve">The approach will include both primary and secondary research. Primary research involves the collection of original data </w:t>
      </w:r>
      <w:proofErr w:type="gramStart"/>
      <w:r>
        <w:t>in order to</w:t>
      </w:r>
      <w:proofErr w:type="gramEnd"/>
      <w:r>
        <w:t xml:space="preserve"> answer specific research questions, whilst secondary research makes use of existing data that has been published by others (O’ Leary 2021). Given the lack of available literature specifically focussing on the experience of police officers in the context of this study it is necessary to undertake both primary research </w:t>
      </w:r>
      <w:proofErr w:type="gramStart"/>
      <w:r>
        <w:t xml:space="preserve">in </w:t>
      </w:r>
      <w:r>
        <w:lastRenderedPageBreak/>
        <w:t>order to</w:t>
      </w:r>
      <w:proofErr w:type="gramEnd"/>
      <w:r>
        <w:t xml:space="preserve"> help fill a gap and secondary research so that an understanding of any existing relevant data can help to give wider context and meaning to the subject area.</w:t>
      </w:r>
    </w:p>
    <w:p w14:paraId="38F6E1D7" w14:textId="77777777" w:rsidR="0029592D" w:rsidRDefault="0029592D" w:rsidP="0029592D">
      <w:pPr>
        <w:spacing w:before="240" w:after="240" w:line="432" w:lineRule="auto"/>
      </w:pPr>
      <w:r>
        <w:t>The data collected will be primarily qualitative, however it will be useful to also collect some quantitative data in the form of some demographics of the research participants. This will help identify if there are any trends or differences in relation to</w:t>
      </w:r>
    </w:p>
    <w:p w14:paraId="7242B804" w14:textId="77777777" w:rsidR="0029592D" w:rsidRDefault="0029592D" w:rsidP="0029592D">
      <w:pPr>
        <w:spacing w:before="240" w:after="240" w:line="432" w:lineRule="auto"/>
      </w:pPr>
      <w:proofErr w:type="gramStart"/>
      <w:r>
        <w:t>particular individuals</w:t>
      </w:r>
      <w:proofErr w:type="gramEnd"/>
      <w:r>
        <w:t xml:space="preserve"> or groups. Bell et al (2024) suggest that a mixed methods approach may give the research a more comprehensive understanding of the area being studied.</w:t>
      </w:r>
    </w:p>
    <w:p w14:paraId="049A532A" w14:textId="77777777" w:rsidR="0029592D" w:rsidRDefault="0029592D" w:rsidP="0029592D">
      <w:pPr>
        <w:spacing w:before="240" w:after="240" w:line="432" w:lineRule="auto"/>
      </w:pPr>
      <w:r>
        <w:br/>
      </w:r>
    </w:p>
    <w:p w14:paraId="2F752057" w14:textId="77777777" w:rsidR="0029592D" w:rsidRDefault="0029592D" w:rsidP="0029592D">
      <w:pPr>
        <w:spacing w:before="240" w:after="240" w:line="432" w:lineRule="auto"/>
        <w:rPr>
          <w:b/>
        </w:rPr>
      </w:pPr>
      <w:r>
        <w:rPr>
          <w:b/>
        </w:rPr>
        <w:t xml:space="preserve">3.3 </w:t>
      </w:r>
      <w:r>
        <w:rPr>
          <w:b/>
        </w:rPr>
        <w:tab/>
        <w:t>Quantitative and qualitative research</w:t>
      </w:r>
    </w:p>
    <w:p w14:paraId="3B667848" w14:textId="77777777" w:rsidR="0029592D" w:rsidRDefault="0029592D" w:rsidP="0029592D">
      <w:pPr>
        <w:spacing w:before="240" w:after="240" w:line="432" w:lineRule="auto"/>
      </w:pPr>
      <w:r>
        <w:t>Quantitative research is described by Cresswell (2023 p.5) as a deductive approach that tests objective theories. It works with numbers and measurement that makes statistical analysis of the data possible (Flick 2020). Quantitative</w:t>
      </w:r>
      <w:r>
        <w:rPr>
          <w:b/>
        </w:rPr>
        <w:t xml:space="preserve"> </w:t>
      </w:r>
      <w:r>
        <w:t xml:space="preserve">data can be produced using a variety of research methods. In the case of this study both semi structured questionnaires and interviews will be used. In addition to some categories of demographic data, the inclusion of </w:t>
      </w:r>
      <w:proofErr w:type="gramStart"/>
      <w:r>
        <w:t>a number of</w:t>
      </w:r>
      <w:proofErr w:type="gramEnd"/>
      <w:r>
        <w:t xml:space="preserve"> closed questions in the questionnaire will lend themselves well to statistical measurement.</w:t>
      </w:r>
    </w:p>
    <w:p w14:paraId="6521315A" w14:textId="756D7594" w:rsidR="0029592D" w:rsidRDefault="0029592D" w:rsidP="0029592D">
      <w:pPr>
        <w:spacing w:before="240" w:after="240" w:line="432" w:lineRule="auto"/>
      </w:pPr>
      <w:r>
        <w:t xml:space="preserve">In contrast, the focus of qualitative research is around the individual and the experiences that are personal to them. Billups (2021 p1) suggests that the important question in any qualitative research is ‘What is really going on here?’. This will necessarily lead to an inductive exploration of the data as there is no pre-determined hypothesis to prove or disprove. Any themes identified will evolve from the data collected and the interpretation of the data. </w:t>
      </w:r>
      <w:proofErr w:type="spellStart"/>
      <w:r>
        <w:t>Mwita</w:t>
      </w:r>
      <w:proofErr w:type="spellEnd"/>
      <w:r>
        <w:t xml:space="preserve"> (2022) in undertaking a review of the literature regarding the strengths and weaknesses of a qualitative approach highlighted </w:t>
      </w:r>
      <w:proofErr w:type="gramStart"/>
      <w:r>
        <w:t>a number of</w:t>
      </w:r>
      <w:proofErr w:type="gramEnd"/>
      <w:r>
        <w:t xml:space="preserve"> advantages such as its flexibility and the potential to glean in-depth and detailed information. In contrast he highlights that the disadvantages include the challenge of complex data analysis and the limited scope there is for generalising the end results. He also highlights the risks of </w:t>
      </w:r>
      <w:r>
        <w:lastRenderedPageBreak/>
        <w:t xml:space="preserve">researcher bias, which is an important consideration in this </w:t>
      </w:r>
      <w:proofErr w:type="gramStart"/>
      <w:r>
        <w:t>particular study</w:t>
      </w:r>
      <w:proofErr w:type="gramEnd"/>
      <w:r>
        <w:t xml:space="preserve">, as the researcher is also a police officer working within the same organisation as the research participants. Billups (2022 p24), suggests, however, that this is only a cause for concern when the researcher does not disclose their own connection to or relationship with the study and lets their own views, experiences and assumptions pervade those of the participants. To mitigate this, the researcher should be open about their background and interest in the research focus, so that any connections are </w:t>
      </w:r>
      <w:r>
        <w:t>transparent,</w:t>
      </w:r>
      <w:r>
        <w:t xml:space="preserve"> and their personal views do not exclude or take precedence over those of the participants.</w:t>
      </w:r>
    </w:p>
    <w:p w14:paraId="456F49AC" w14:textId="272D041F" w:rsidR="0029592D" w:rsidRDefault="0029592D" w:rsidP="0029592D">
      <w:pPr>
        <w:spacing w:before="240" w:after="240" w:line="432" w:lineRule="auto"/>
      </w:pPr>
      <w:r>
        <w:t>Edwards (2023) offers further insights stating the importance of self-awareness and the ability of the researcher to be critically self-reflective in this respect</w:t>
      </w:r>
      <w:r>
        <w:t>.</w:t>
      </w:r>
    </w:p>
    <w:p w14:paraId="596A2E9D" w14:textId="77777777" w:rsidR="0029592D" w:rsidRDefault="0029592D" w:rsidP="0029592D">
      <w:pPr>
        <w:spacing w:before="240" w:after="240" w:line="432" w:lineRule="auto"/>
        <w:rPr>
          <w:b/>
        </w:rPr>
      </w:pPr>
      <w:r>
        <w:rPr>
          <w:b/>
        </w:rPr>
        <w:t xml:space="preserve">3.4 </w:t>
      </w:r>
      <w:r>
        <w:rPr>
          <w:b/>
        </w:rPr>
        <w:tab/>
        <w:t>Final choice rationale</w:t>
      </w:r>
    </w:p>
    <w:p w14:paraId="598B22C9" w14:textId="77777777" w:rsidR="0029592D" w:rsidRDefault="0029592D" w:rsidP="0029592D">
      <w:pPr>
        <w:spacing w:before="240" w:after="240" w:line="432" w:lineRule="auto"/>
      </w:pPr>
      <w:r>
        <w:t>The rationale for using both qualitative and quantitative research methods for this study is that qualitative methods will enable the collection of data that captures different perspectives and experiences in relation to a potentially sensitive area. The collection of demographic data and the use of some Likert scale options (McLeod 2021) and some closed questions in the questionnaire that can be measured quantitatively may identify similarities and differences between individuals and groups. It is recognised, however, that the small scale of this research will mean that any conclusions will not be generalizable.</w:t>
      </w:r>
    </w:p>
    <w:p w14:paraId="49C26C7C" w14:textId="77777777" w:rsidR="0029592D" w:rsidRDefault="0029592D" w:rsidP="0029592D">
      <w:pPr>
        <w:spacing w:before="240" w:after="240" w:line="432" w:lineRule="auto"/>
      </w:pPr>
      <w:r>
        <w:br/>
      </w:r>
    </w:p>
    <w:p w14:paraId="42C8A75D" w14:textId="77777777" w:rsidR="0029592D" w:rsidRDefault="0029592D" w:rsidP="0029592D">
      <w:pPr>
        <w:spacing w:before="240" w:after="240" w:line="432" w:lineRule="auto"/>
        <w:rPr>
          <w:b/>
        </w:rPr>
      </w:pPr>
      <w:r>
        <w:rPr>
          <w:b/>
        </w:rPr>
        <w:t xml:space="preserve">3.5 </w:t>
      </w:r>
      <w:r>
        <w:rPr>
          <w:b/>
        </w:rPr>
        <w:tab/>
        <w:t>Research tools</w:t>
      </w:r>
    </w:p>
    <w:p w14:paraId="26C97E38" w14:textId="77777777" w:rsidR="0029592D" w:rsidRDefault="0029592D" w:rsidP="0029592D">
      <w:pPr>
        <w:spacing w:before="240" w:after="240" w:line="432" w:lineRule="auto"/>
      </w:pPr>
      <w:r>
        <w:t xml:space="preserve">Having reviewed the broad range of research tools available and the pros and cons of each, the use of a semi structured interview and a questionnaire have been selected. In the first instance, a small number of participants will be identified for the semi structured interview. The questions will be ‘open’ and have been developed from the information in the literature review directly reflecting the research questions to be answered </w:t>
      </w:r>
      <w:r>
        <w:rPr>
          <w:color w:val="EE0000"/>
        </w:rPr>
        <w:t>(</w:t>
      </w:r>
      <w:r>
        <w:rPr>
          <w:i/>
          <w:color w:val="EE0000"/>
        </w:rPr>
        <w:t>Appendix of interview questions to be inserted later</w:t>
      </w:r>
      <w:r>
        <w:rPr>
          <w:color w:val="EE0000"/>
        </w:rPr>
        <w:t xml:space="preserve">). </w:t>
      </w:r>
      <w:r>
        <w:t xml:space="preserve">The use of open questions will allow for a deeper expression </w:t>
      </w:r>
      <w:r>
        <w:lastRenderedPageBreak/>
        <w:t xml:space="preserve">of the participants experience. Denscombe (2010 p.175) recognises that although the researcher will have </w:t>
      </w:r>
      <w:proofErr w:type="gramStart"/>
      <w:r>
        <w:t>a number of</w:t>
      </w:r>
      <w:proofErr w:type="gramEnd"/>
      <w:r>
        <w:t xml:space="preserve"> questions that will be included, there is scope for flexibility that facilitates the participant elaborating as they wish and including aspects that are important to them. One of the drawbacks of using interviews is the potential of having a large amount of data to manage. </w:t>
      </w:r>
      <w:proofErr w:type="spellStart"/>
      <w:r>
        <w:t>Adu</w:t>
      </w:r>
      <w:proofErr w:type="spellEnd"/>
      <w:r>
        <w:t xml:space="preserve"> &amp; Miles (2024) suggests that analysis can be time consuming and difficult to manage. It will be important to allow for this in the overall time management of the research so that completion of the research is not compromised. The nature of the research could be deemed sensitive by some participants and may trigger unsettling thoughts or unpleasant memories. The researcher will need to be aware of this and ensure communication is appropriate</w:t>
      </w:r>
    </w:p>
    <w:p w14:paraId="1AFBDF3F" w14:textId="77777777" w:rsidR="0029592D" w:rsidRDefault="0029592D" w:rsidP="0029592D">
      <w:pPr>
        <w:spacing w:before="240" w:after="240" w:line="432" w:lineRule="auto"/>
      </w:pPr>
      <w:r>
        <w:t>and responsive. Excellent listening skills, empathy if required, and a non-judgemental demeanour will help put the participant at ease.</w:t>
      </w:r>
    </w:p>
    <w:p w14:paraId="4BB03081" w14:textId="77777777" w:rsidR="0029592D" w:rsidRDefault="0029592D" w:rsidP="0029592D">
      <w:pPr>
        <w:spacing w:before="240" w:after="240" w:line="432" w:lineRule="auto"/>
      </w:pPr>
      <w:r>
        <w:t xml:space="preserve">The data from interviews will then be used to develop the questionnaires that will be made available to all police officers within the sample group. </w:t>
      </w:r>
      <w:r>
        <w:rPr>
          <w:i/>
          <w:color w:val="EE0000"/>
        </w:rPr>
        <w:t>(Questionnaire to be added to Appendix later)</w:t>
      </w:r>
      <w:r>
        <w:t xml:space="preserve"> Denscombe (2010) identifies that questionnaires can be useful when used with </w:t>
      </w:r>
      <w:proofErr w:type="gramStart"/>
      <w:r>
        <w:t>a large number of</w:t>
      </w:r>
      <w:proofErr w:type="gramEnd"/>
      <w:r>
        <w:t xml:space="preserve"> respondents who are located in different places as will be the case for this study. The questions will be a mix of closed, open and options to choose from. Gwent Police has a workforce of 1,553 officers (Gwent Police 2025); however, it is recognised that a potential limitation of the study is that responses to questionnaires can be as low. The busy workload of police officers may prohibit them from having the capacity to complete the questionnaire within the timescale available. The sensitive nature of some aspects of the research topic may also be a potential barrier. The researcher is also mindful that other officers completing the same educational programme will also be requesting voluntary participation in their research, which places competing demands on colleagues who are already managing heavy operational demands.</w:t>
      </w:r>
    </w:p>
    <w:p w14:paraId="41419CAE" w14:textId="77777777" w:rsidR="0029592D" w:rsidRDefault="0029592D" w:rsidP="0029592D">
      <w:pPr>
        <w:spacing w:before="240" w:after="240" w:line="432" w:lineRule="auto"/>
      </w:pPr>
      <w:r>
        <w:br/>
      </w:r>
    </w:p>
    <w:p w14:paraId="0D24948F" w14:textId="77777777" w:rsidR="0029592D" w:rsidRDefault="0029592D" w:rsidP="0029592D">
      <w:pPr>
        <w:spacing w:before="240" w:after="240" w:line="432" w:lineRule="auto"/>
        <w:rPr>
          <w:b/>
        </w:rPr>
      </w:pPr>
      <w:r>
        <w:rPr>
          <w:b/>
        </w:rPr>
        <w:t xml:space="preserve">3.4 </w:t>
      </w:r>
      <w:r>
        <w:rPr>
          <w:b/>
        </w:rPr>
        <w:tab/>
        <w:t>Validity and reliability</w:t>
      </w:r>
    </w:p>
    <w:p w14:paraId="4F63E127" w14:textId="77777777" w:rsidR="0029592D" w:rsidRDefault="0029592D" w:rsidP="0029592D">
      <w:pPr>
        <w:spacing w:before="240" w:after="240" w:line="432" w:lineRule="auto"/>
      </w:pPr>
      <w:r>
        <w:lastRenderedPageBreak/>
        <w:t>Reliability can be described as the extent to which the research tools chosen would produce the same results, under the same conditions on each occasion used. Bell et al (2024) highlights that if the research tools are unreliable, they will also lack validity, however, even if a tool is reliable, it still may not be valid. A research tool could be said to be valid if it measures what it is supposed to measure. Bell et al (2024) make an important distinction in relation to understanding validity and reliability in the context of qualitative rather than quantitative research. Rather than focussing on purely cause and effect outcomes, in qualitative research the aim is to explore and understand the ‘rich detail’ of the experience provided by the research participants. Bell et al (2024) therefore suggest that ‘trustworthiness’ is often used as a measure to evaluate qualitative research, citing the five components of credibility, transferability, dependability, confirmability and authenticity.</w:t>
      </w:r>
    </w:p>
    <w:p w14:paraId="45C17FA4" w14:textId="77777777" w:rsidR="0029592D" w:rsidRDefault="0029592D" w:rsidP="0029592D">
      <w:pPr>
        <w:spacing w:before="240" w:after="240" w:line="432" w:lineRule="auto"/>
      </w:pPr>
      <w:r>
        <w:br/>
      </w:r>
    </w:p>
    <w:p w14:paraId="2B4A94B1" w14:textId="77777777" w:rsidR="0029592D" w:rsidRDefault="0029592D" w:rsidP="0029592D">
      <w:pPr>
        <w:spacing w:before="240" w:after="240" w:line="432" w:lineRule="auto"/>
        <w:rPr>
          <w:b/>
        </w:rPr>
      </w:pPr>
      <w:r>
        <w:rPr>
          <w:b/>
        </w:rPr>
        <w:t>3.5</w:t>
      </w:r>
      <w:r>
        <w:rPr>
          <w:b/>
        </w:rPr>
        <w:tab/>
        <w:t>Sample Group</w:t>
      </w:r>
    </w:p>
    <w:p w14:paraId="6737032B" w14:textId="77777777" w:rsidR="0029592D" w:rsidRDefault="0029592D" w:rsidP="0029592D">
      <w:pPr>
        <w:spacing w:before="240" w:after="240" w:line="432" w:lineRule="auto"/>
      </w:pPr>
      <w:r>
        <w:t xml:space="preserve">The study will use ‘purposeful sampling’. Gentles et al (2015) state the importance of being explicit about the process of purposeful sampling in the context of the </w:t>
      </w:r>
      <w:proofErr w:type="gramStart"/>
      <w:r>
        <w:t>particular study</w:t>
      </w:r>
      <w:proofErr w:type="gramEnd"/>
      <w:r>
        <w:t xml:space="preserve"> being undertaken, as failure to do so robs the reader of sufficient information to judge the robustness of the approach. The participants in this study will be police officers from within Gwent Police, so the sampling strategy is also ‘criterion based’. Given the topic of the research, it is essential that participants are police officers as they will be required to provide information based on their individual experiences, feelings and perspectives. Patton (2002) describes such participants in qualitative research studies as ‘information rich’. Four volunteers will initially be sought to participate in a semi structure interview. These will be identified following an initial opportunistic request for a volunteer to participate from within the police station where the researcher is based. Following this a ‘snowball’ technique will be used to recruit the remaining 3 volunteers. A snowball technique relies on networking and referral as having identified an initial source the researcher then asks them to ask other people who they think may also be willing to participate (Parker et al 2019).</w:t>
      </w:r>
    </w:p>
    <w:p w14:paraId="448183A7" w14:textId="77777777" w:rsidR="0029592D" w:rsidRDefault="0029592D" w:rsidP="0029592D">
      <w:pPr>
        <w:spacing w:before="240" w:after="240" w:line="432" w:lineRule="auto"/>
      </w:pPr>
      <w:r>
        <w:lastRenderedPageBreak/>
        <w:t>The themes identified in the interviews, together with relevant information identified from secondary sources described in the literature review will be used to determine the questions for a questionnaire that will be sent via the force internal intranet system to request all police officers to consider participating in the research study.</w:t>
      </w:r>
    </w:p>
    <w:p w14:paraId="37A48140" w14:textId="77777777" w:rsidR="0029592D" w:rsidRDefault="0029592D" w:rsidP="0029592D">
      <w:pPr>
        <w:spacing w:before="240" w:after="240" w:line="432" w:lineRule="auto"/>
      </w:pPr>
      <w:r>
        <w:br/>
      </w:r>
    </w:p>
    <w:p w14:paraId="3CFF3716" w14:textId="77777777" w:rsidR="0029592D" w:rsidRDefault="0029592D" w:rsidP="0029592D">
      <w:pPr>
        <w:spacing w:before="240" w:after="240" w:line="432" w:lineRule="auto"/>
        <w:rPr>
          <w:b/>
        </w:rPr>
      </w:pPr>
      <w:r>
        <w:rPr>
          <w:b/>
        </w:rPr>
        <w:t>3.6</w:t>
      </w:r>
      <w:r>
        <w:rPr>
          <w:b/>
        </w:rPr>
        <w:tab/>
        <w:t>Ethics</w:t>
      </w:r>
    </w:p>
    <w:p w14:paraId="25F121BB" w14:textId="7B093D3D" w:rsidR="0029592D" w:rsidRDefault="0029592D" w:rsidP="0029592D">
      <w:pPr>
        <w:spacing w:before="240" w:after="240" w:line="432" w:lineRule="auto"/>
      </w:pPr>
      <w:r>
        <w:t xml:space="preserve">This research study is being completed in line with the ethical policy and procedures required by the university </w:t>
      </w:r>
      <w:r>
        <w:rPr>
          <w:i/>
          <w:color w:val="EE0000"/>
        </w:rPr>
        <w:t>(</w:t>
      </w:r>
      <w:r>
        <w:rPr>
          <w:i/>
          <w:color w:val="EE0000"/>
        </w:rPr>
        <w:t>Deepak can you please confirm</w:t>
      </w:r>
      <w:r>
        <w:rPr>
          <w:i/>
          <w:color w:val="EE0000"/>
        </w:rPr>
        <w:t xml:space="preserve"> if the ethics form needs to go into the Appendix). </w:t>
      </w:r>
      <w:r>
        <w:t>Davies &amp; Dodd (2002) emphasise the importance of recognising that ethics should not be treated as a separate part of the research that starts and finishes with completion of the ethics form as part of the research proposal. It must remain integral to all aspects of the research process.</w:t>
      </w:r>
    </w:p>
    <w:p w14:paraId="2EA7DB80" w14:textId="77777777" w:rsidR="0029592D" w:rsidRDefault="0029592D" w:rsidP="0029592D">
      <w:pPr>
        <w:spacing w:before="240" w:after="240" w:line="432" w:lineRule="auto"/>
      </w:pPr>
      <w:r>
        <w:t>Recognising the potential sensitivity of the research subject matter, it is imperative that informed consent is given by the participants and that their anonymity is protected. All data collected will be stored securely and password protected. All data will be securely destroyed at the end of the study.</w:t>
      </w:r>
    </w:p>
    <w:p w14:paraId="789C8BCC" w14:textId="77777777" w:rsidR="0029592D" w:rsidRDefault="0029592D" w:rsidP="0029592D">
      <w:pPr>
        <w:spacing w:before="240" w:after="240" w:line="432" w:lineRule="auto"/>
      </w:pPr>
      <w:r>
        <w:t>The approach of the researcher will play an important part in demonstrating care and respect for the participants ensuring that they can be signposted to the support available to them via police wellbeing services if required (Oscar Kilo 2025).</w:t>
      </w:r>
    </w:p>
    <w:p w14:paraId="28AC0A32" w14:textId="77777777" w:rsidR="0029592D" w:rsidRDefault="0029592D" w:rsidP="0029592D">
      <w:pPr>
        <w:spacing w:before="240" w:after="240" w:line="432" w:lineRule="auto"/>
        <w:rPr>
          <w:b/>
        </w:rPr>
      </w:pPr>
      <w:r>
        <w:rPr>
          <w:b/>
        </w:rPr>
        <w:t xml:space="preserve">3.7 </w:t>
      </w:r>
      <w:r>
        <w:rPr>
          <w:b/>
        </w:rPr>
        <w:tab/>
        <w:t>Data analysis</w:t>
      </w:r>
    </w:p>
    <w:p w14:paraId="6B0FE805" w14:textId="77777777" w:rsidR="0029592D" w:rsidRDefault="0029592D" w:rsidP="0029592D">
      <w:pPr>
        <w:spacing w:before="240" w:after="240" w:line="432" w:lineRule="auto"/>
      </w:pPr>
      <w:r>
        <w:t xml:space="preserve">The data collection method for the semi structured interviews will consist of recorded interviews that will be transcribed. A thematic approach to data analysis will be employed, using a three-stage process. This approach will involve the systematic qualitative analysis of transcripts of the semi-structured interviews which will allow the identification of any themes and connections. This will require the researcher to immerse themself in the data, to read and reread the transcripts and identify insights into the participants’ experiences, refining </w:t>
      </w:r>
      <w:r>
        <w:lastRenderedPageBreak/>
        <w:t>these insights into coded sub themes and in to more global themes as the analysis progresses. Although labour intensive, this will give the added value of the researcher knowing the data very well.</w:t>
      </w:r>
    </w:p>
    <w:p w14:paraId="5C44E912" w14:textId="77777777" w:rsidR="0029592D" w:rsidRDefault="0029592D" w:rsidP="0029592D">
      <w:pPr>
        <w:spacing w:before="240" w:after="240" w:line="432" w:lineRule="auto"/>
      </w:pPr>
      <w:r>
        <w:t xml:space="preserve">The design of the questionnaire will include answers to </w:t>
      </w:r>
      <w:proofErr w:type="gramStart"/>
      <w:r>
        <w:t>a number of</w:t>
      </w:r>
      <w:proofErr w:type="gramEnd"/>
      <w:r>
        <w:t xml:space="preserve"> closed questions which will be relatively quick to collect. There will be some open-ended questions that will allow for ‘free text’ which will also be reviewed and themed in the same way as for the semi structured interviews.</w:t>
      </w:r>
    </w:p>
    <w:p w14:paraId="5AAE4F0C" w14:textId="77777777" w:rsidR="0029592D" w:rsidRDefault="0029592D" w:rsidP="0029592D">
      <w:pPr>
        <w:spacing w:before="240" w:after="240" w:line="432" w:lineRule="auto"/>
      </w:pPr>
      <w:r>
        <w:t xml:space="preserve">1,911 words </w:t>
      </w:r>
      <w:r>
        <w:rPr>
          <w:color w:val="EE0000"/>
        </w:rPr>
        <w:t>(</w:t>
      </w:r>
      <w:r>
        <w:rPr>
          <w:i/>
          <w:color w:val="EE0000"/>
        </w:rPr>
        <w:t>Deepak I recognise that this chapter is well over the recommended word count. I can reduce it based on Supervisor feedback and the ongoing review of each chapter as the work develops</w:t>
      </w:r>
      <w:r>
        <w:t>)</w:t>
      </w:r>
    </w:p>
    <w:p w14:paraId="6C1B74B2" w14:textId="77777777" w:rsidR="0029592D" w:rsidRDefault="0029592D" w:rsidP="0029592D">
      <w:pPr>
        <w:spacing w:before="240" w:after="240" w:line="432" w:lineRule="auto"/>
        <w:rPr>
          <w:b/>
        </w:rPr>
      </w:pPr>
      <w:r>
        <w:rPr>
          <w:b/>
        </w:rPr>
        <w:t>References</w:t>
      </w:r>
    </w:p>
    <w:p w14:paraId="7458BBBC" w14:textId="77777777" w:rsidR="0029592D" w:rsidRDefault="0029592D" w:rsidP="0029592D">
      <w:pPr>
        <w:spacing w:before="240" w:after="240" w:line="288" w:lineRule="auto"/>
      </w:pPr>
      <w:proofErr w:type="spellStart"/>
      <w:r>
        <w:t>Adu</w:t>
      </w:r>
      <w:proofErr w:type="spellEnd"/>
      <w:r>
        <w:t xml:space="preserve"> P and Miles A (2024) Dissertation Research Methods: A step-by-step guide to writing up your research in social sciences. Routledge, Oxon, England, IK.</w:t>
      </w:r>
    </w:p>
    <w:p w14:paraId="0B270ADE" w14:textId="77777777" w:rsidR="0029592D" w:rsidRDefault="0029592D" w:rsidP="0029592D">
      <w:pPr>
        <w:spacing w:before="240" w:after="240" w:line="288" w:lineRule="auto"/>
      </w:pPr>
      <w:r>
        <w:br/>
      </w:r>
    </w:p>
    <w:p w14:paraId="73D8ABF4" w14:textId="77777777" w:rsidR="0029592D" w:rsidRDefault="0029592D" w:rsidP="0029592D">
      <w:pPr>
        <w:spacing w:before="240" w:after="240" w:line="288" w:lineRule="auto"/>
      </w:pPr>
      <w:r>
        <w:t>Bell J, Waters S, Johnson H (2024) Doing Your Research Project, 8</w:t>
      </w:r>
      <w:r>
        <w:rPr>
          <w:sz w:val="36"/>
          <w:szCs w:val="36"/>
          <w:vertAlign w:val="superscript"/>
        </w:rPr>
        <w:t>th</w:t>
      </w:r>
      <w:r>
        <w:t xml:space="preserve"> Edition, Open University Press McGraw Hill, Maidenhead.</w:t>
      </w:r>
    </w:p>
    <w:p w14:paraId="5A49B084" w14:textId="77777777" w:rsidR="0029592D" w:rsidRDefault="0029592D" w:rsidP="0029592D">
      <w:pPr>
        <w:spacing w:before="240" w:after="240" w:line="288" w:lineRule="auto"/>
      </w:pPr>
      <w:r>
        <w:br/>
      </w:r>
    </w:p>
    <w:p w14:paraId="5805A1FA" w14:textId="77777777" w:rsidR="0029592D" w:rsidRDefault="0029592D" w:rsidP="0029592D">
      <w:pPr>
        <w:spacing w:before="240" w:after="240" w:line="288" w:lineRule="auto"/>
      </w:pPr>
      <w:r>
        <w:t>Billups F (2021) Qualitative Data Collection Tools, Design, Development and Application. Sage Publications Ltd, London, UK.</w:t>
      </w:r>
    </w:p>
    <w:p w14:paraId="6B23CE7B" w14:textId="77777777" w:rsidR="0029592D" w:rsidRDefault="0029592D" w:rsidP="0029592D">
      <w:pPr>
        <w:spacing w:before="240" w:after="240" w:line="288" w:lineRule="auto"/>
      </w:pPr>
      <w:r>
        <w:br/>
      </w:r>
    </w:p>
    <w:p w14:paraId="57B53CA5" w14:textId="77777777" w:rsidR="0029592D" w:rsidRDefault="0029592D" w:rsidP="0029592D">
      <w:pPr>
        <w:spacing w:before="240" w:after="240" w:line="288" w:lineRule="auto"/>
      </w:pPr>
      <w:r>
        <w:t>Davies D and Dodd J (2002) Qualitative Research and the Question of Rigor. Qualitative Health Research 12(2):279-89</w:t>
      </w:r>
      <w:hyperlink r:id="rId4">
        <w:r>
          <w:t xml:space="preserve"> </w:t>
        </w:r>
      </w:hyperlink>
      <w:hyperlink r:id="rId5">
        <w:r>
          <w:rPr>
            <w:u w:val="single"/>
          </w:rPr>
          <w:t>(PDF) Qualitative Research and the Question of Rigor</w:t>
        </w:r>
      </w:hyperlink>
      <w:r>
        <w:t xml:space="preserve"> Accessed June 14</w:t>
      </w:r>
      <w:r>
        <w:rPr>
          <w:sz w:val="36"/>
          <w:szCs w:val="36"/>
          <w:vertAlign w:val="superscript"/>
        </w:rPr>
        <w:t>th</w:t>
      </w:r>
      <w:r>
        <w:t xml:space="preserve"> 2025</w:t>
      </w:r>
    </w:p>
    <w:p w14:paraId="5EE45870" w14:textId="77777777" w:rsidR="0029592D" w:rsidRDefault="0029592D" w:rsidP="0029592D">
      <w:pPr>
        <w:spacing w:before="240" w:after="240" w:line="288" w:lineRule="auto"/>
      </w:pPr>
      <w:r>
        <w:br/>
      </w:r>
    </w:p>
    <w:p w14:paraId="79219A00" w14:textId="77777777" w:rsidR="0029592D" w:rsidRDefault="0029592D" w:rsidP="0029592D">
      <w:pPr>
        <w:spacing w:before="240" w:after="240" w:line="288" w:lineRule="auto"/>
      </w:pPr>
      <w:r>
        <w:lastRenderedPageBreak/>
        <w:t>Denscombe (2010) The Good Research Guide for Small Scale Social Research Projects. Open University Press. McGraw Hill, Berkshire, England.</w:t>
      </w:r>
    </w:p>
    <w:p w14:paraId="191DDF9F" w14:textId="77777777" w:rsidR="0029592D" w:rsidRDefault="0029592D" w:rsidP="0029592D">
      <w:pPr>
        <w:spacing w:before="240" w:after="240" w:line="288" w:lineRule="auto"/>
      </w:pPr>
      <w:r>
        <w:br/>
      </w:r>
    </w:p>
    <w:p w14:paraId="2A18A6B6" w14:textId="77777777" w:rsidR="0029592D" w:rsidRDefault="0029592D" w:rsidP="0029592D">
      <w:pPr>
        <w:spacing w:before="240" w:after="240" w:line="288" w:lineRule="auto"/>
      </w:pPr>
      <w:r>
        <w:t xml:space="preserve">Edwards R. (2023). Why qualitative research isn’t biased. National Centre for Research Methods online learning resource. Available at </w:t>
      </w:r>
      <w:hyperlink r:id="rId6">
        <w:r>
          <w:rPr>
            <w:u w:val="single"/>
          </w:rPr>
          <w:t>https://www.ncrm.ac.uk/resources/online/all/?id=20810</w:t>
        </w:r>
      </w:hyperlink>
      <w:r>
        <w:t xml:space="preserve"> Accessed June 14</w:t>
      </w:r>
      <w:r>
        <w:rPr>
          <w:sz w:val="36"/>
          <w:szCs w:val="36"/>
          <w:vertAlign w:val="superscript"/>
        </w:rPr>
        <w:t>th</w:t>
      </w:r>
      <w:proofErr w:type="gramStart"/>
      <w:r>
        <w:t xml:space="preserve"> 2025</w:t>
      </w:r>
      <w:proofErr w:type="gramEnd"/>
      <w:r>
        <w:t>.</w:t>
      </w:r>
    </w:p>
    <w:p w14:paraId="0EC066B1" w14:textId="77777777" w:rsidR="0029592D" w:rsidRDefault="0029592D" w:rsidP="0029592D">
      <w:pPr>
        <w:spacing w:before="240" w:after="240" w:line="288" w:lineRule="auto"/>
      </w:pPr>
      <w:r>
        <w:br/>
      </w:r>
    </w:p>
    <w:p w14:paraId="06304E39" w14:textId="77777777" w:rsidR="0029592D" w:rsidRDefault="0029592D" w:rsidP="0029592D">
      <w:pPr>
        <w:spacing w:before="240" w:after="240" w:line="288" w:lineRule="auto"/>
      </w:pPr>
      <w:r>
        <w:t>Flick U (2020) Introducing Research Methodology. Sage Publications Ltd, London, UK.</w:t>
      </w:r>
    </w:p>
    <w:p w14:paraId="0635A3D9" w14:textId="77777777" w:rsidR="0029592D" w:rsidRDefault="0029592D" w:rsidP="0029592D">
      <w:pPr>
        <w:spacing w:before="240" w:after="240" w:line="288" w:lineRule="auto"/>
      </w:pPr>
      <w:r>
        <w:br/>
      </w:r>
    </w:p>
    <w:p w14:paraId="52DB65B7" w14:textId="77777777" w:rsidR="0029592D" w:rsidRDefault="0029592D" w:rsidP="0029592D">
      <w:pPr>
        <w:spacing w:before="240" w:after="240" w:line="288" w:lineRule="auto"/>
      </w:pPr>
      <w:r>
        <w:t xml:space="preserve">Gentles S, Charles C, Ploeg J, and </w:t>
      </w:r>
      <w:proofErr w:type="spellStart"/>
      <w:r>
        <w:t>McKibbon</w:t>
      </w:r>
      <w:proofErr w:type="spellEnd"/>
      <w:r>
        <w:t xml:space="preserve"> K, Sampling in Qualitative Research: Insights from an Overview of the Methods view of the Methods Literature. The Qualitative Report 2015 Volume 20, Number 11, Article 4, 1772-1789. McMaster University, Hamilton, Ontario.</w:t>
      </w:r>
      <w:hyperlink r:id="rId7">
        <w:r>
          <w:t xml:space="preserve"> </w:t>
        </w:r>
      </w:hyperlink>
      <w:hyperlink r:id="rId8">
        <w:r>
          <w:rPr>
            <w:u w:val="single"/>
          </w:rPr>
          <w:t>Sampling in Qualitative Research: Insights from an Overview of the Methods Literature</w:t>
        </w:r>
      </w:hyperlink>
      <w:r>
        <w:t xml:space="preserve"> Accessed June 11</w:t>
      </w:r>
      <w:r>
        <w:rPr>
          <w:sz w:val="36"/>
          <w:szCs w:val="36"/>
          <w:vertAlign w:val="superscript"/>
        </w:rPr>
        <w:t>th</w:t>
      </w:r>
      <w:r>
        <w:t>, 2025.</w:t>
      </w:r>
    </w:p>
    <w:p w14:paraId="45DA0BED" w14:textId="77777777" w:rsidR="0029592D" w:rsidRDefault="0029592D" w:rsidP="0029592D">
      <w:pPr>
        <w:spacing w:before="240" w:after="240" w:line="288" w:lineRule="auto"/>
      </w:pPr>
      <w:r>
        <w:br/>
      </w:r>
    </w:p>
    <w:p w14:paraId="590852E5" w14:textId="77777777" w:rsidR="0029592D" w:rsidRDefault="0029592D" w:rsidP="0029592D">
      <w:pPr>
        <w:spacing w:before="240" w:after="240" w:line="288" w:lineRule="auto"/>
      </w:pPr>
      <w:r>
        <w:t>Gwent Police (2025)</w:t>
      </w:r>
      <w:hyperlink r:id="rId9">
        <w:r>
          <w:t xml:space="preserve"> </w:t>
        </w:r>
      </w:hyperlink>
      <w:hyperlink r:id="rId10">
        <w:r>
          <w:rPr>
            <w:u w:val="single"/>
          </w:rPr>
          <w:t>Overview | Gwent Police</w:t>
        </w:r>
      </w:hyperlink>
      <w:r>
        <w:t xml:space="preserve"> Accessed June 11</w:t>
      </w:r>
      <w:r>
        <w:rPr>
          <w:sz w:val="36"/>
          <w:szCs w:val="36"/>
          <w:vertAlign w:val="superscript"/>
        </w:rPr>
        <w:t>th</w:t>
      </w:r>
      <w:r>
        <w:t xml:space="preserve"> 2025.</w:t>
      </w:r>
    </w:p>
    <w:p w14:paraId="2F610631" w14:textId="77777777" w:rsidR="0029592D" w:rsidRDefault="0029592D" w:rsidP="0029592D">
      <w:pPr>
        <w:spacing w:before="240" w:after="240" w:line="288" w:lineRule="auto"/>
      </w:pPr>
      <w:r>
        <w:br/>
      </w:r>
    </w:p>
    <w:p w14:paraId="383747F7" w14:textId="77777777" w:rsidR="0029592D" w:rsidRDefault="0029592D" w:rsidP="0029592D">
      <w:pPr>
        <w:spacing w:before="240" w:after="240" w:line="288" w:lineRule="auto"/>
      </w:pPr>
      <w:r>
        <w:t>McLeod S (2021)</w:t>
      </w:r>
      <w:r>
        <w:rPr>
          <w:b/>
          <w:sz w:val="69"/>
          <w:szCs w:val="69"/>
        </w:rPr>
        <w:t xml:space="preserve"> </w:t>
      </w:r>
      <w:r>
        <w:t>Likert Scale Questionnaire: Examples &amp; Analysis</w:t>
      </w:r>
      <w:hyperlink r:id="rId11">
        <w:r>
          <w:t xml:space="preserve"> </w:t>
        </w:r>
      </w:hyperlink>
      <w:hyperlink r:id="rId12">
        <w:r>
          <w:rPr>
            <w:u w:val="single"/>
          </w:rPr>
          <w:t>Likert Scale Questionnaire: Examples &amp; Analysis</w:t>
        </w:r>
      </w:hyperlink>
      <w:r>
        <w:t xml:space="preserve"> Accessed June 15</w:t>
      </w:r>
      <w:r>
        <w:rPr>
          <w:sz w:val="36"/>
          <w:szCs w:val="36"/>
          <w:vertAlign w:val="superscript"/>
        </w:rPr>
        <w:t>th</w:t>
      </w:r>
      <w:r>
        <w:t>, 2025.</w:t>
      </w:r>
    </w:p>
    <w:p w14:paraId="3BD0911E" w14:textId="77777777" w:rsidR="0029592D" w:rsidRDefault="0029592D" w:rsidP="0029592D">
      <w:pPr>
        <w:spacing w:before="240" w:after="240" w:line="288" w:lineRule="auto"/>
      </w:pPr>
      <w:r>
        <w:br/>
      </w:r>
    </w:p>
    <w:p w14:paraId="4B5C0331" w14:textId="77777777" w:rsidR="0029592D" w:rsidRDefault="0029592D" w:rsidP="0029592D">
      <w:pPr>
        <w:spacing w:before="240" w:after="240" w:line="288" w:lineRule="auto"/>
      </w:pPr>
      <w:proofErr w:type="spellStart"/>
      <w:r>
        <w:t>Mwita</w:t>
      </w:r>
      <w:proofErr w:type="spellEnd"/>
      <w:r>
        <w:t xml:space="preserve"> K (2022) Strengths and weaknesses of qualitative research in social science studies. International Journal of Research and Business Social Science 11 (6) P618-625.</w:t>
      </w:r>
      <w:hyperlink r:id="rId13">
        <w:r>
          <w:t xml:space="preserve"> </w:t>
        </w:r>
      </w:hyperlink>
      <w:hyperlink r:id="rId14">
        <w:r>
          <w:rPr>
            <w:u w:val="single"/>
          </w:rPr>
          <w:t>(PDF) Strengths and weaknesses of qualitative research in social science studies</w:t>
        </w:r>
      </w:hyperlink>
      <w:r>
        <w:t xml:space="preserve"> Accessed June 14</w:t>
      </w:r>
      <w:r>
        <w:rPr>
          <w:sz w:val="36"/>
          <w:szCs w:val="36"/>
          <w:vertAlign w:val="superscript"/>
        </w:rPr>
        <w:t>th</w:t>
      </w:r>
      <w:r>
        <w:t>, 2025</w:t>
      </w:r>
    </w:p>
    <w:p w14:paraId="23F339BB" w14:textId="77777777" w:rsidR="0029592D" w:rsidRDefault="0029592D" w:rsidP="0029592D">
      <w:pPr>
        <w:spacing w:before="240" w:after="240" w:line="288" w:lineRule="auto"/>
      </w:pPr>
      <w:r>
        <w:br/>
      </w:r>
    </w:p>
    <w:p w14:paraId="44FA86FC" w14:textId="77777777" w:rsidR="0029592D" w:rsidRDefault="0029592D" w:rsidP="0029592D">
      <w:pPr>
        <w:spacing w:before="240" w:after="240" w:line="288" w:lineRule="auto"/>
      </w:pPr>
      <w:r>
        <w:lastRenderedPageBreak/>
        <w:t>O’Leary, Z. (2021) The essential guide to doing your research project. 4th edition. Sage, London, UK.</w:t>
      </w:r>
    </w:p>
    <w:p w14:paraId="5A195965" w14:textId="77777777" w:rsidR="0029592D" w:rsidRDefault="0029592D" w:rsidP="0029592D">
      <w:pPr>
        <w:spacing w:before="240" w:after="240" w:line="288" w:lineRule="auto"/>
      </w:pPr>
      <w:r>
        <w:br/>
      </w:r>
    </w:p>
    <w:p w14:paraId="19876E75" w14:textId="77777777" w:rsidR="0029592D" w:rsidRDefault="0029592D" w:rsidP="0029592D">
      <w:pPr>
        <w:spacing w:before="240" w:after="240" w:line="288" w:lineRule="auto"/>
      </w:pPr>
      <w:r>
        <w:t>Oscar Kilo, National Police Wellbeing Service (2025)</w:t>
      </w:r>
      <w:hyperlink r:id="rId15">
        <w:r>
          <w:t xml:space="preserve"> </w:t>
        </w:r>
      </w:hyperlink>
      <w:hyperlink r:id="rId16">
        <w:r>
          <w:rPr>
            <w:u w:val="single"/>
          </w:rPr>
          <w:t>Police mental health and wellbeing support | Oscar Kilo</w:t>
        </w:r>
      </w:hyperlink>
      <w:r>
        <w:t xml:space="preserve"> Accessed June 15</w:t>
      </w:r>
      <w:r>
        <w:rPr>
          <w:sz w:val="36"/>
          <w:szCs w:val="36"/>
          <w:vertAlign w:val="superscript"/>
        </w:rPr>
        <w:t>th</w:t>
      </w:r>
      <w:r>
        <w:t>, 2025</w:t>
      </w:r>
    </w:p>
    <w:p w14:paraId="7BA52E28" w14:textId="77777777" w:rsidR="0029592D" w:rsidRDefault="0029592D" w:rsidP="0029592D">
      <w:pPr>
        <w:spacing w:before="240" w:after="240" w:line="288" w:lineRule="auto"/>
      </w:pPr>
      <w:r>
        <w:br/>
      </w:r>
    </w:p>
    <w:p w14:paraId="0AE8A274" w14:textId="77777777" w:rsidR="0029592D" w:rsidRDefault="0029592D" w:rsidP="0029592D">
      <w:pPr>
        <w:spacing w:before="240" w:after="240" w:line="288" w:lineRule="auto"/>
      </w:pPr>
      <w:r>
        <w:t xml:space="preserve">Patton, M.Q (2002). </w:t>
      </w:r>
      <w:r>
        <w:rPr>
          <w:i/>
        </w:rPr>
        <w:t>Qualitative research &amp; evaluation methods</w:t>
      </w:r>
      <w:r>
        <w:t>. Sage, London UK.</w:t>
      </w:r>
    </w:p>
    <w:p w14:paraId="19AD019A" w14:textId="77777777" w:rsidR="0029592D" w:rsidRDefault="0029592D" w:rsidP="0029592D">
      <w:pPr>
        <w:spacing w:before="240" w:after="240" w:line="288" w:lineRule="auto"/>
      </w:pPr>
      <w:r>
        <w:br/>
      </w:r>
    </w:p>
    <w:p w14:paraId="1D233309" w14:textId="77777777" w:rsidR="0029592D" w:rsidRDefault="0029592D" w:rsidP="0029592D">
      <w:pPr>
        <w:spacing w:before="240" w:after="240" w:line="288" w:lineRule="auto"/>
      </w:pPr>
      <w:r>
        <w:t>Parker C, Scott S and Geddes A (2019) Snowball Sampling Research Methods Foundations. Sage.</w:t>
      </w:r>
      <w:hyperlink r:id="rId17">
        <w:r>
          <w:t xml:space="preserve"> </w:t>
        </w:r>
      </w:hyperlink>
      <w:hyperlink r:id="rId18">
        <w:r>
          <w:rPr>
            <w:u w:val="single"/>
          </w:rPr>
          <w:t>http://methods.sagepub.com/foundations/snowball-sampling</w:t>
        </w:r>
      </w:hyperlink>
      <w:r>
        <w:t xml:space="preserve"> Accessed June 11</w:t>
      </w:r>
      <w:r>
        <w:rPr>
          <w:sz w:val="36"/>
          <w:szCs w:val="36"/>
          <w:vertAlign w:val="superscript"/>
        </w:rPr>
        <w:t>th</w:t>
      </w:r>
      <w:r>
        <w:t>, 2025.</w:t>
      </w:r>
    </w:p>
    <w:p w14:paraId="6A699BAF" w14:textId="77777777" w:rsidR="0029592D" w:rsidRDefault="0029592D" w:rsidP="0029592D"/>
    <w:p w14:paraId="5177B81D" w14:textId="77777777" w:rsidR="00F053AF" w:rsidRDefault="00F053AF"/>
    <w:sectPr w:rsidR="00F053AF" w:rsidSect="0029592D">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92D"/>
    <w:rsid w:val="001556E7"/>
    <w:rsid w:val="0029592D"/>
    <w:rsid w:val="00C27E5E"/>
    <w:rsid w:val="00F05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DB1AB"/>
  <w15:chartTrackingRefBased/>
  <w15:docId w15:val="{AFED4215-D0DC-40BE-8254-8225DBE4C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92D"/>
    <w:pPr>
      <w:spacing w:after="0" w:line="276" w:lineRule="auto"/>
    </w:pPr>
    <w:rPr>
      <w:rFonts w:ascii="Arial" w:eastAsia="Arial" w:hAnsi="Arial" w:cs="Arial"/>
      <w:lang w:eastAsia="en-GB"/>
    </w:rPr>
  </w:style>
  <w:style w:type="paragraph" w:styleId="Heading1">
    <w:name w:val="heading 1"/>
    <w:basedOn w:val="Normal"/>
    <w:next w:val="Normal"/>
    <w:link w:val="Heading1Char"/>
    <w:uiPriority w:val="9"/>
    <w:qFormat/>
    <w:rsid w:val="0029592D"/>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29592D"/>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29592D"/>
    <w:pPr>
      <w:keepNext/>
      <w:keepLines/>
      <w:spacing w:before="160" w:after="80" w:line="259" w:lineRule="auto"/>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29592D"/>
    <w:pPr>
      <w:keepNext/>
      <w:keepLines/>
      <w:spacing w:before="80" w:after="40" w:line="259" w:lineRule="auto"/>
      <w:outlineLvl w:val="3"/>
    </w:pPr>
    <w:rPr>
      <w:rFonts w:asciiTheme="minorHAnsi" w:eastAsiaTheme="majorEastAsia" w:hAnsiTheme="minorHAnsi"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29592D"/>
    <w:pPr>
      <w:keepNext/>
      <w:keepLines/>
      <w:spacing w:before="80" w:after="40" w:line="259" w:lineRule="auto"/>
      <w:outlineLvl w:val="4"/>
    </w:pPr>
    <w:rPr>
      <w:rFonts w:asciiTheme="minorHAnsi" w:eastAsiaTheme="majorEastAsia" w:hAnsiTheme="minorHAnsi"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29592D"/>
    <w:pPr>
      <w:keepNext/>
      <w:keepLines/>
      <w:spacing w:before="40" w:line="259" w:lineRule="auto"/>
      <w:outlineLvl w:val="5"/>
    </w:pPr>
    <w:rPr>
      <w:rFonts w:asciiTheme="minorHAnsi" w:eastAsiaTheme="majorEastAsia" w:hAnsiTheme="minorHAnsi"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29592D"/>
    <w:pPr>
      <w:keepNext/>
      <w:keepLines/>
      <w:spacing w:before="40" w:line="259" w:lineRule="auto"/>
      <w:outlineLvl w:val="6"/>
    </w:pPr>
    <w:rPr>
      <w:rFonts w:asciiTheme="minorHAnsi" w:eastAsiaTheme="majorEastAsia" w:hAnsiTheme="minorHAnsi"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29592D"/>
    <w:pPr>
      <w:keepNext/>
      <w:keepLines/>
      <w:spacing w:line="259" w:lineRule="auto"/>
      <w:outlineLvl w:val="7"/>
    </w:pPr>
    <w:rPr>
      <w:rFonts w:asciiTheme="minorHAnsi" w:eastAsiaTheme="majorEastAsia" w:hAnsiTheme="minorHAnsi"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29592D"/>
    <w:pPr>
      <w:keepNext/>
      <w:keepLines/>
      <w:spacing w:line="259" w:lineRule="auto"/>
      <w:outlineLvl w:val="8"/>
    </w:pPr>
    <w:rPr>
      <w:rFonts w:asciiTheme="minorHAnsi" w:eastAsiaTheme="majorEastAsia" w:hAnsiTheme="minorHAnsi"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9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59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59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59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59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59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59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59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592D"/>
    <w:rPr>
      <w:rFonts w:eastAsiaTheme="majorEastAsia" w:cstheme="majorBidi"/>
      <w:color w:val="272727" w:themeColor="text1" w:themeTint="D8"/>
    </w:rPr>
  </w:style>
  <w:style w:type="paragraph" w:styleId="Title">
    <w:name w:val="Title"/>
    <w:basedOn w:val="Normal"/>
    <w:next w:val="Normal"/>
    <w:link w:val="TitleChar"/>
    <w:uiPriority w:val="10"/>
    <w:qFormat/>
    <w:rsid w:val="0029592D"/>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2959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592D"/>
    <w:pPr>
      <w:numPr>
        <w:ilvl w:val="1"/>
      </w:numPr>
      <w:spacing w:after="160" w:line="259" w:lineRule="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2959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592D"/>
    <w:pPr>
      <w:spacing w:before="160" w:after="160" w:line="259" w:lineRule="auto"/>
      <w:jc w:val="center"/>
    </w:pPr>
    <w:rPr>
      <w:rFonts w:asciiTheme="minorHAnsi" w:eastAsiaTheme="minorHAnsi" w:hAnsiTheme="minorHAnsi" w:cstheme="minorBidi"/>
      <w:i/>
      <w:iCs/>
      <w:color w:val="404040" w:themeColor="text1" w:themeTint="BF"/>
      <w:lang w:eastAsia="en-US"/>
    </w:rPr>
  </w:style>
  <w:style w:type="character" w:customStyle="1" w:styleId="QuoteChar">
    <w:name w:val="Quote Char"/>
    <w:basedOn w:val="DefaultParagraphFont"/>
    <w:link w:val="Quote"/>
    <w:uiPriority w:val="29"/>
    <w:rsid w:val="0029592D"/>
    <w:rPr>
      <w:i/>
      <w:iCs/>
      <w:color w:val="404040" w:themeColor="text1" w:themeTint="BF"/>
    </w:rPr>
  </w:style>
  <w:style w:type="paragraph" w:styleId="ListParagraph">
    <w:name w:val="List Paragraph"/>
    <w:basedOn w:val="Normal"/>
    <w:uiPriority w:val="34"/>
    <w:qFormat/>
    <w:rsid w:val="0029592D"/>
    <w:pPr>
      <w:spacing w:after="160" w:line="259" w:lineRule="auto"/>
      <w:ind w:left="720"/>
      <w:contextualSpacing/>
    </w:pPr>
    <w:rPr>
      <w:rFonts w:asciiTheme="minorHAnsi" w:eastAsiaTheme="minorHAnsi" w:hAnsiTheme="minorHAnsi" w:cstheme="minorBidi"/>
      <w:lang w:eastAsia="en-US"/>
    </w:rPr>
  </w:style>
  <w:style w:type="character" w:styleId="IntenseEmphasis">
    <w:name w:val="Intense Emphasis"/>
    <w:basedOn w:val="DefaultParagraphFont"/>
    <w:uiPriority w:val="21"/>
    <w:qFormat/>
    <w:rsid w:val="0029592D"/>
    <w:rPr>
      <w:i/>
      <w:iCs/>
      <w:color w:val="0F4761" w:themeColor="accent1" w:themeShade="BF"/>
    </w:rPr>
  </w:style>
  <w:style w:type="paragraph" w:styleId="IntenseQuote">
    <w:name w:val="Intense Quote"/>
    <w:basedOn w:val="Normal"/>
    <w:next w:val="Normal"/>
    <w:link w:val="IntenseQuoteChar"/>
    <w:uiPriority w:val="30"/>
    <w:qFormat/>
    <w:rsid w:val="0029592D"/>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lang w:eastAsia="en-US"/>
    </w:rPr>
  </w:style>
  <w:style w:type="character" w:customStyle="1" w:styleId="IntenseQuoteChar">
    <w:name w:val="Intense Quote Char"/>
    <w:basedOn w:val="DefaultParagraphFont"/>
    <w:link w:val="IntenseQuote"/>
    <w:uiPriority w:val="30"/>
    <w:rsid w:val="0029592D"/>
    <w:rPr>
      <w:i/>
      <w:iCs/>
      <w:color w:val="0F4761" w:themeColor="accent1" w:themeShade="BF"/>
    </w:rPr>
  </w:style>
  <w:style w:type="character" w:styleId="IntenseReference">
    <w:name w:val="Intense Reference"/>
    <w:basedOn w:val="DefaultParagraphFont"/>
    <w:uiPriority w:val="32"/>
    <w:qFormat/>
    <w:rsid w:val="0029592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suworks.nova.edu/cgi/viewcontent.cgi?article=2373&amp;context=tqr" TargetMode="External"/><Relationship Id="rId13" Type="http://schemas.openxmlformats.org/officeDocument/2006/relationships/hyperlink" Target="https://www.researchgate.net/publication/363520457_Strengths_and_weaknesses_of_qualitative_research_in_social_science_studies" TargetMode="External"/><Relationship Id="rId18" Type="http://schemas.openxmlformats.org/officeDocument/2006/relationships/hyperlink" Target="http://methods.sagepub.com/foundations/snowball-sampling" TargetMode="External"/><Relationship Id="rId3" Type="http://schemas.openxmlformats.org/officeDocument/2006/relationships/webSettings" Target="webSettings.xml"/><Relationship Id="rId7" Type="http://schemas.openxmlformats.org/officeDocument/2006/relationships/hyperlink" Target="https://nsuworks.nova.edu/cgi/viewcontent.cgi?article=2373&amp;context=tqr" TargetMode="External"/><Relationship Id="rId12" Type="http://schemas.openxmlformats.org/officeDocument/2006/relationships/hyperlink" Target="https://www.simplypsychology.org/likert-scale.html" TargetMode="External"/><Relationship Id="rId17" Type="http://schemas.openxmlformats.org/officeDocument/2006/relationships/hyperlink" Target="http://methods.sagepub.com/foundations/snowball-sampling" TargetMode="External"/><Relationship Id="rId2" Type="http://schemas.openxmlformats.org/officeDocument/2006/relationships/settings" Target="settings.xml"/><Relationship Id="rId16" Type="http://schemas.openxmlformats.org/officeDocument/2006/relationships/hyperlink" Target="https://www.oscarkilo.org.uk/for-individual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ncrm.ac.uk/resources/online/all/?id=20810" TargetMode="External"/><Relationship Id="rId11" Type="http://schemas.openxmlformats.org/officeDocument/2006/relationships/hyperlink" Target="https://www.simplypsychology.org/likert-scale.html" TargetMode="External"/><Relationship Id="rId5" Type="http://schemas.openxmlformats.org/officeDocument/2006/relationships/hyperlink" Target="https://www.researchgate.net/publication/11524270_Qualitative_Research_and_the_Question_of_Rigor" TargetMode="External"/><Relationship Id="rId15" Type="http://schemas.openxmlformats.org/officeDocument/2006/relationships/hyperlink" Target="https://www.oscarkilo.org.uk/for-individuals" TargetMode="External"/><Relationship Id="rId10" Type="http://schemas.openxmlformats.org/officeDocument/2006/relationships/hyperlink" Target="https://www.gwent.police.uk/police-forces/gwent-police/areas/about-us/about-us/overview/" TargetMode="External"/><Relationship Id="rId19" Type="http://schemas.openxmlformats.org/officeDocument/2006/relationships/fontTable" Target="fontTable.xml"/><Relationship Id="rId4" Type="http://schemas.openxmlformats.org/officeDocument/2006/relationships/hyperlink" Target="https://www.researchgate.net/publication/11524270_Qualitative_Research_and_the_Question_of_Rigor" TargetMode="External"/><Relationship Id="rId9" Type="http://schemas.openxmlformats.org/officeDocument/2006/relationships/hyperlink" Target="https://www.gwent.police.uk/police-forces/gwent-police/areas/about-us/about-us/overview/" TargetMode="External"/><Relationship Id="rId14" Type="http://schemas.openxmlformats.org/officeDocument/2006/relationships/hyperlink" Target="https://www.researchgate.net/publication/363520457_Strengths_and_weaknesses_of_qualitative_research_in_social_science_stud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2435</Words>
  <Characters>13885</Characters>
  <Application>Microsoft Office Word</Application>
  <DocSecurity>0</DocSecurity>
  <Lines>115</Lines>
  <Paragraphs>32</Paragraphs>
  <ScaleCrop>false</ScaleCrop>
  <Company>Gwent Police</Company>
  <LinksUpToDate>false</LinksUpToDate>
  <CharactersWithSpaces>16288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Curran, Christie</dc:creator>
  <cp:keywords/>
  <dc:description/>
  <cp:lastModifiedBy>Curran, Christie</cp:lastModifiedBy>
  <cp:revision>1</cp:revision>
  <dcterms:created xsi:type="dcterms:W3CDTF">2025-06-16T18:25:00Z</dcterms:created>
  <dcterms:modified xsi:type="dcterms:W3CDTF">2025-06-16T18:26:00Z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2025-06-16T18:26:55Z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1987c4b1-76e5-487f-9a38-026725b7fcba</vt:lpwstr>
  </property>
  <property fmtid="{D5CDD505-2E9C-101B-9397-08002B2CF9AE}" pid="8" name="MSIP_Label_f2acd28b-79a3-4a0f-b0ff-4b75658b1549_ContentBits">
    <vt:lpwstr>0</vt:lpwstr>
  </property>
</Properties>
</file>