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C21FB65" w14:textId="77777777" w:rsidR="0045319A" w:rsidRDefault="0045319A" w:rsidP="0045319A">
      <w:pPr>
        <w:pStyle w:val="Normal1"/>
        <w:jc w:val="center"/>
        <w:rPr>
          <w:b/>
          <w:bCs/>
          <w:sz w:val="36"/>
          <w:szCs w:val="36"/>
        </w:rPr>
      </w:pPr>
    </w:p>
    <w:p w14:paraId="18EB290B" w14:textId="77777777" w:rsidR="0045319A" w:rsidRDefault="0045319A" w:rsidP="0045319A">
      <w:pPr>
        <w:pStyle w:val="Normal1"/>
        <w:jc w:val="center"/>
        <w:rPr>
          <w:b/>
          <w:bCs/>
          <w:sz w:val="36"/>
          <w:szCs w:val="36"/>
        </w:rPr>
      </w:pPr>
    </w:p>
    <w:p w14:paraId="59252F14" w14:textId="77777777" w:rsidR="0045319A" w:rsidRDefault="0045319A" w:rsidP="0045319A">
      <w:pPr>
        <w:pStyle w:val="Normal1"/>
        <w:jc w:val="center"/>
        <w:rPr>
          <w:b/>
          <w:bCs/>
          <w:sz w:val="36"/>
          <w:szCs w:val="36"/>
        </w:rPr>
      </w:pPr>
    </w:p>
    <w:p w14:paraId="50A50EAC" w14:textId="77777777" w:rsidR="0045319A" w:rsidRDefault="0045319A" w:rsidP="0045319A">
      <w:pPr>
        <w:pStyle w:val="Normal1"/>
        <w:jc w:val="center"/>
        <w:rPr>
          <w:b/>
          <w:bCs/>
          <w:sz w:val="36"/>
          <w:szCs w:val="36"/>
        </w:rPr>
      </w:pPr>
    </w:p>
    <w:p w14:paraId="554ABA3F" w14:textId="77777777" w:rsidR="0045319A" w:rsidRDefault="0045319A" w:rsidP="0045319A">
      <w:pPr>
        <w:pStyle w:val="Normal1"/>
        <w:jc w:val="center"/>
        <w:rPr>
          <w:b/>
          <w:bCs/>
          <w:sz w:val="36"/>
          <w:szCs w:val="36"/>
        </w:rPr>
      </w:pPr>
    </w:p>
    <w:p w14:paraId="3CDBCD45" w14:textId="233B7884" w:rsidR="006B1317" w:rsidRPr="006B1317" w:rsidRDefault="006B1317" w:rsidP="00100A0B">
      <w:pPr>
        <w:pStyle w:val="Normal1"/>
        <w:rPr>
          <w:b/>
          <w:bCs/>
          <w:sz w:val="36"/>
          <w:szCs w:val="36"/>
        </w:rPr>
      </w:pPr>
    </w:p>
    <w:p w14:paraId="575E96B9" w14:textId="5B21FEA4" w:rsidR="006B1317" w:rsidRPr="006B1317" w:rsidRDefault="006B1317" w:rsidP="006B1317">
      <w:pPr>
        <w:spacing w:after="160"/>
        <w:jc w:val="left"/>
        <w:rPr>
          <w:rFonts w:ascii="Arial" w:eastAsiaTheme="minorHAnsi" w:hAnsi="Arial" w:cs="Arial"/>
          <w:sz w:val="22"/>
          <w:szCs w:val="22"/>
          <w:lang w:val="en-GB"/>
        </w:rPr>
      </w:pPr>
    </w:p>
    <w:p w14:paraId="2700757D" w14:textId="62C91C0F" w:rsidR="00360D4A" w:rsidRPr="00360D4A" w:rsidRDefault="00360D4A" w:rsidP="00D5421A">
      <w:pPr>
        <w:rPr>
          <w:b/>
          <w:sz w:val="32"/>
          <w:szCs w:val="32"/>
          <w:lang w:val="en" w:eastAsia="en-GB"/>
        </w:rPr>
      </w:pPr>
      <w:r w:rsidRPr="00360D4A">
        <w:rPr>
          <w:b/>
          <w:sz w:val="32"/>
          <w:szCs w:val="32"/>
          <w:lang w:val="en" w:eastAsia="en-GB"/>
        </w:rPr>
        <w:t xml:space="preserve">BUSINESS MANAGEMENT </w:t>
      </w:r>
    </w:p>
    <w:p w14:paraId="57A80072" w14:textId="77777777" w:rsidR="00360D4A" w:rsidRPr="00360D4A" w:rsidRDefault="00360D4A" w:rsidP="00360D4A">
      <w:pPr>
        <w:jc w:val="left"/>
        <w:rPr>
          <w:rFonts w:ascii="Arial" w:eastAsia="Arial" w:hAnsi="Arial" w:cs="Arial"/>
          <w:sz w:val="22"/>
          <w:szCs w:val="22"/>
          <w:lang w:val="en" w:eastAsia="en-GB"/>
        </w:rPr>
      </w:pPr>
    </w:p>
    <w:p w14:paraId="6325EC8E" w14:textId="64513226" w:rsidR="00360D4A" w:rsidRPr="00360D4A" w:rsidRDefault="00360D4A" w:rsidP="00360D4A">
      <w:pPr>
        <w:spacing w:after="160"/>
        <w:jc w:val="left"/>
        <w:rPr>
          <w:rFonts w:ascii="Arial" w:eastAsiaTheme="minorHAnsi" w:hAnsi="Arial" w:cs="Arial"/>
          <w:b/>
          <w:bCs/>
          <w:sz w:val="22"/>
          <w:szCs w:val="22"/>
          <w:lang w:val="en-GB"/>
        </w:rPr>
      </w:pPr>
      <w:r w:rsidRPr="00360D4A">
        <w:rPr>
          <w:rFonts w:ascii="Arial" w:eastAsiaTheme="minorHAnsi" w:hAnsi="Arial" w:cs="Arial"/>
          <w:b/>
          <w:bCs/>
          <w:sz w:val="22"/>
          <w:szCs w:val="22"/>
          <w:lang w:val="en-GB"/>
        </w:rPr>
        <w:t xml:space="preserve">Assignment </w:t>
      </w:r>
      <w:r w:rsidR="00100A0B">
        <w:rPr>
          <w:rFonts w:ascii="Arial" w:eastAsiaTheme="minorHAnsi" w:hAnsi="Arial" w:cs="Arial"/>
          <w:b/>
          <w:bCs/>
          <w:sz w:val="22"/>
          <w:szCs w:val="22"/>
          <w:lang w:val="en-GB"/>
        </w:rPr>
        <w:t>2</w:t>
      </w:r>
    </w:p>
    <w:p w14:paraId="40F0E6F1" w14:textId="77777777" w:rsidR="00360D4A" w:rsidRPr="00360D4A" w:rsidRDefault="00360D4A" w:rsidP="00360D4A">
      <w:pPr>
        <w:spacing w:after="160"/>
        <w:jc w:val="left"/>
        <w:rPr>
          <w:rFonts w:ascii="Arial" w:eastAsiaTheme="minorHAnsi" w:hAnsi="Arial" w:cs="Arial"/>
          <w:sz w:val="22"/>
          <w:szCs w:val="22"/>
          <w:lang w:val="en-GB"/>
        </w:rPr>
      </w:pPr>
    </w:p>
    <w:p w14:paraId="74D87FD8" w14:textId="77777777" w:rsidR="00360D4A" w:rsidRPr="00360D4A" w:rsidRDefault="00360D4A" w:rsidP="00360D4A">
      <w:pPr>
        <w:spacing w:after="160"/>
        <w:jc w:val="left"/>
        <w:rPr>
          <w:rFonts w:ascii="Arial" w:eastAsiaTheme="minorHAnsi" w:hAnsi="Arial" w:cs="Arial"/>
          <w:sz w:val="22"/>
          <w:szCs w:val="22"/>
          <w:lang w:val="en-GB"/>
        </w:rPr>
      </w:pPr>
      <w:r w:rsidRPr="00360D4A">
        <w:rPr>
          <w:rFonts w:ascii="Arial" w:eastAsiaTheme="minorHAnsi" w:hAnsi="Arial" w:cs="Arial"/>
          <w:sz w:val="22"/>
          <w:szCs w:val="22"/>
          <w:lang w:val="en-GB"/>
        </w:rPr>
        <w:t xml:space="preserve">Module: Community engagement </w:t>
      </w:r>
    </w:p>
    <w:p w14:paraId="30AD6892" w14:textId="77777777" w:rsidR="00360D4A" w:rsidRPr="00360D4A" w:rsidRDefault="00360D4A" w:rsidP="00360D4A">
      <w:pPr>
        <w:spacing w:after="160"/>
        <w:jc w:val="left"/>
        <w:rPr>
          <w:rFonts w:ascii="Arial" w:eastAsiaTheme="minorHAnsi" w:hAnsi="Arial" w:cs="Arial"/>
          <w:sz w:val="22"/>
          <w:szCs w:val="22"/>
          <w:lang w:val="en-GB"/>
        </w:rPr>
      </w:pPr>
      <w:r w:rsidRPr="00360D4A">
        <w:rPr>
          <w:rFonts w:ascii="Arial" w:eastAsiaTheme="minorHAnsi" w:hAnsi="Arial" w:cs="Arial"/>
          <w:sz w:val="22"/>
          <w:szCs w:val="22"/>
          <w:lang w:val="en-GB"/>
        </w:rPr>
        <w:t>Module code: LCBB4002</w:t>
      </w:r>
    </w:p>
    <w:p w14:paraId="0791807C" w14:textId="77777777" w:rsidR="00360D4A" w:rsidRPr="00360D4A" w:rsidRDefault="00360D4A" w:rsidP="00360D4A">
      <w:pPr>
        <w:spacing w:after="160"/>
        <w:jc w:val="left"/>
        <w:rPr>
          <w:rFonts w:ascii="Arial" w:eastAsiaTheme="minorHAnsi" w:hAnsi="Arial" w:cs="Arial"/>
          <w:sz w:val="22"/>
          <w:szCs w:val="22"/>
          <w:lang w:val="en-GB"/>
        </w:rPr>
      </w:pPr>
      <w:r w:rsidRPr="00360D4A">
        <w:rPr>
          <w:rFonts w:ascii="Arial" w:eastAsiaTheme="minorHAnsi" w:hAnsi="Arial" w:cs="Arial"/>
          <w:sz w:val="22"/>
          <w:szCs w:val="22"/>
          <w:lang w:val="en-GB"/>
        </w:rPr>
        <w:t xml:space="preserve">Lecturer: </w:t>
      </w:r>
      <w:proofErr w:type="spellStart"/>
      <w:r w:rsidRPr="00360D4A">
        <w:rPr>
          <w:rFonts w:ascii="Arial" w:eastAsiaTheme="minorHAnsi" w:hAnsi="Arial" w:cs="Arial"/>
          <w:sz w:val="22"/>
          <w:szCs w:val="22"/>
          <w:lang w:val="en-GB"/>
        </w:rPr>
        <w:t>Akinseye</w:t>
      </w:r>
      <w:proofErr w:type="spellEnd"/>
      <w:r w:rsidRPr="00360D4A">
        <w:rPr>
          <w:rFonts w:ascii="Arial" w:eastAsiaTheme="minorHAnsi" w:hAnsi="Arial" w:cs="Arial"/>
          <w:sz w:val="22"/>
          <w:szCs w:val="22"/>
          <w:lang w:val="en-GB"/>
        </w:rPr>
        <w:t xml:space="preserve"> </w:t>
      </w:r>
      <w:proofErr w:type="spellStart"/>
      <w:r w:rsidRPr="00360D4A">
        <w:rPr>
          <w:rFonts w:ascii="Arial" w:eastAsiaTheme="minorHAnsi" w:hAnsi="Arial" w:cs="Arial"/>
          <w:sz w:val="22"/>
          <w:szCs w:val="22"/>
          <w:lang w:val="en-GB"/>
        </w:rPr>
        <w:t>Aluko</w:t>
      </w:r>
      <w:proofErr w:type="spellEnd"/>
      <w:r w:rsidRPr="00360D4A">
        <w:rPr>
          <w:rFonts w:ascii="Arial" w:eastAsiaTheme="minorHAnsi" w:hAnsi="Arial" w:cs="Arial"/>
          <w:sz w:val="22"/>
          <w:szCs w:val="22"/>
          <w:lang w:val="en-GB"/>
        </w:rPr>
        <w:t xml:space="preserve"> </w:t>
      </w:r>
    </w:p>
    <w:p w14:paraId="73FAC78C" w14:textId="77777777" w:rsidR="00360D4A" w:rsidRPr="00360D4A" w:rsidRDefault="00360D4A" w:rsidP="00360D4A">
      <w:pPr>
        <w:spacing w:after="160"/>
        <w:jc w:val="left"/>
        <w:rPr>
          <w:rFonts w:ascii="Arial" w:eastAsiaTheme="minorHAnsi" w:hAnsi="Arial" w:cs="Arial"/>
          <w:sz w:val="22"/>
          <w:szCs w:val="22"/>
          <w:lang w:val="en-GB"/>
        </w:rPr>
      </w:pPr>
      <w:r w:rsidRPr="00360D4A">
        <w:rPr>
          <w:rFonts w:ascii="Arial" w:eastAsiaTheme="minorHAnsi" w:hAnsi="Arial" w:cs="Arial"/>
          <w:sz w:val="22"/>
          <w:szCs w:val="22"/>
          <w:lang w:val="en-GB"/>
        </w:rPr>
        <w:t>Name: Ancuta Ambrus</w:t>
      </w:r>
    </w:p>
    <w:p w14:paraId="76C63008" w14:textId="77777777" w:rsidR="00360D4A" w:rsidRPr="00360D4A" w:rsidRDefault="00360D4A" w:rsidP="00360D4A">
      <w:pPr>
        <w:spacing w:after="160"/>
        <w:jc w:val="left"/>
        <w:rPr>
          <w:rFonts w:ascii="Arial" w:eastAsiaTheme="minorHAnsi" w:hAnsi="Arial" w:cs="Arial"/>
          <w:sz w:val="22"/>
          <w:szCs w:val="22"/>
          <w:lang w:val="en-GB"/>
        </w:rPr>
      </w:pPr>
      <w:r w:rsidRPr="00360D4A">
        <w:rPr>
          <w:rFonts w:ascii="Arial" w:eastAsiaTheme="minorHAnsi" w:hAnsi="Arial" w:cs="Arial"/>
          <w:sz w:val="22"/>
          <w:szCs w:val="22"/>
          <w:lang w:val="en-GB"/>
        </w:rPr>
        <w:t>Student ID: 2129047</w:t>
      </w:r>
    </w:p>
    <w:p w14:paraId="2C2D8B95" w14:textId="0660E11B" w:rsidR="00360D4A" w:rsidRPr="00360D4A" w:rsidRDefault="00360D4A" w:rsidP="00360D4A">
      <w:pPr>
        <w:spacing w:after="160"/>
        <w:jc w:val="left"/>
        <w:rPr>
          <w:rFonts w:ascii="Arial" w:eastAsiaTheme="minorHAnsi" w:hAnsi="Arial" w:cs="Arial"/>
          <w:sz w:val="22"/>
          <w:szCs w:val="22"/>
          <w:lang w:val="en-GB"/>
        </w:rPr>
      </w:pPr>
      <w:r w:rsidRPr="00360D4A">
        <w:rPr>
          <w:rFonts w:ascii="Arial" w:eastAsiaTheme="minorHAnsi" w:hAnsi="Arial" w:cs="Arial"/>
          <w:sz w:val="22"/>
          <w:szCs w:val="22"/>
          <w:lang w:val="en-GB"/>
        </w:rPr>
        <w:t xml:space="preserve">Submitted date: </w:t>
      </w:r>
      <w:r w:rsidR="00A9672B">
        <w:rPr>
          <w:rFonts w:ascii="Arial" w:eastAsiaTheme="minorHAnsi" w:hAnsi="Arial" w:cs="Arial"/>
          <w:sz w:val="22"/>
          <w:szCs w:val="22"/>
          <w:lang w:val="en-GB"/>
        </w:rPr>
        <w:t>9</w:t>
      </w:r>
      <w:r w:rsidRPr="00360D4A">
        <w:rPr>
          <w:rFonts w:ascii="Arial" w:eastAsiaTheme="minorHAnsi" w:hAnsi="Arial" w:cs="Arial"/>
          <w:sz w:val="22"/>
          <w:szCs w:val="22"/>
          <w:lang w:val="en-GB"/>
        </w:rPr>
        <w:t>/</w:t>
      </w:r>
      <w:r w:rsidR="00A9672B">
        <w:rPr>
          <w:rFonts w:ascii="Arial" w:eastAsiaTheme="minorHAnsi" w:hAnsi="Arial" w:cs="Arial"/>
          <w:sz w:val="22"/>
          <w:szCs w:val="22"/>
          <w:lang w:val="en-GB"/>
        </w:rPr>
        <w:t>01/</w:t>
      </w:r>
      <w:r w:rsidRPr="00360D4A">
        <w:rPr>
          <w:rFonts w:ascii="Arial" w:eastAsiaTheme="minorHAnsi" w:hAnsi="Arial" w:cs="Arial"/>
          <w:sz w:val="22"/>
          <w:szCs w:val="22"/>
          <w:lang w:val="en-GB"/>
        </w:rPr>
        <w:t>202</w:t>
      </w:r>
      <w:r w:rsidR="00A9672B">
        <w:rPr>
          <w:rFonts w:ascii="Arial" w:eastAsiaTheme="minorHAnsi" w:hAnsi="Arial" w:cs="Arial"/>
          <w:sz w:val="22"/>
          <w:szCs w:val="22"/>
          <w:lang w:val="en-GB"/>
        </w:rPr>
        <w:t>3</w:t>
      </w:r>
    </w:p>
    <w:p w14:paraId="6A50A386" w14:textId="77777777" w:rsidR="00360D4A" w:rsidRPr="00360D4A" w:rsidRDefault="00360D4A" w:rsidP="00360D4A">
      <w:pPr>
        <w:spacing w:after="160"/>
        <w:jc w:val="left"/>
        <w:rPr>
          <w:rFonts w:ascii="Arial" w:eastAsiaTheme="minorHAnsi" w:hAnsi="Arial" w:cs="Arial"/>
          <w:sz w:val="22"/>
          <w:szCs w:val="22"/>
          <w:lang w:val="en-GB"/>
        </w:rPr>
      </w:pPr>
      <w:r w:rsidRPr="00360D4A">
        <w:rPr>
          <w:rFonts w:ascii="Arial" w:eastAsiaTheme="minorHAnsi" w:hAnsi="Arial" w:cs="Arial"/>
          <w:sz w:val="22"/>
          <w:szCs w:val="22"/>
          <w:lang w:val="en-GB"/>
        </w:rPr>
        <w:br w:type="page"/>
      </w:r>
    </w:p>
    <w:p w14:paraId="00000004" w14:textId="329E4810" w:rsidR="00287378" w:rsidRDefault="00287378">
      <w:pPr>
        <w:pStyle w:val="Normal1"/>
      </w:pPr>
    </w:p>
    <w:sdt>
      <w:sdtPr>
        <w:rPr>
          <w:rFonts w:ascii="Times New Roman" w:eastAsia="Times New Roman" w:hAnsi="Times New Roman" w:cs="Times New Roman"/>
          <w:color w:val="auto"/>
          <w:sz w:val="24"/>
          <w:szCs w:val="24"/>
          <w:lang w:val=""/>
        </w:rPr>
        <w:id w:val="-1312092430"/>
        <w:docPartObj>
          <w:docPartGallery w:val="Table of Contents"/>
          <w:docPartUnique/>
        </w:docPartObj>
      </w:sdtPr>
      <w:sdtEndPr>
        <w:rPr>
          <w:b/>
          <w:bCs/>
          <w:noProof/>
        </w:rPr>
      </w:sdtEndPr>
      <w:sdtContent>
        <w:p w14:paraId="628F2297" w14:textId="080F4552" w:rsidR="0045319A" w:rsidRPr="0045319A" w:rsidRDefault="0045319A">
          <w:pPr>
            <w:pStyle w:val="TOCHeading"/>
            <w:rPr>
              <w:rFonts w:ascii="Times New Roman" w:hAnsi="Times New Roman" w:cs="Times New Roman"/>
            </w:rPr>
          </w:pPr>
          <w:r w:rsidRPr="0045319A">
            <w:rPr>
              <w:rFonts w:ascii="Times New Roman" w:hAnsi="Times New Roman" w:cs="Times New Roman"/>
            </w:rPr>
            <w:t>Table of Contents</w:t>
          </w:r>
        </w:p>
        <w:p w14:paraId="75EAB701" w14:textId="75715660" w:rsidR="0045319A" w:rsidRDefault="0045319A">
          <w:pPr>
            <w:pStyle w:val="TOC1"/>
            <w:tabs>
              <w:tab w:val="right" w:leader="dot" w:pos="9019"/>
            </w:tabs>
            <w:rPr>
              <w:rFonts w:asciiTheme="minorHAnsi" w:eastAsiaTheme="minorEastAsia" w:hAnsiTheme="minorHAnsi" w:cstheme="minorBidi"/>
              <w:noProof/>
              <w:sz w:val="22"/>
              <w:szCs w:val="22"/>
              <w:lang w:val="en-IN" w:eastAsia="en-IN"/>
            </w:rPr>
          </w:pPr>
          <w:r>
            <w:fldChar w:fldCharType="begin"/>
          </w:r>
          <w:r>
            <w:instrText xml:space="preserve"> TOC \o "1-3" \h \z \u </w:instrText>
          </w:r>
          <w:r>
            <w:fldChar w:fldCharType="separate"/>
          </w:r>
          <w:hyperlink w:anchor="_Toc123654955" w:history="1">
            <w:r w:rsidRPr="00BF75C1">
              <w:rPr>
                <w:rStyle w:val="Hyperlink"/>
                <w:noProof/>
              </w:rPr>
              <w:t>Introduction</w:t>
            </w:r>
            <w:r>
              <w:rPr>
                <w:noProof/>
                <w:webHidden/>
              </w:rPr>
              <w:tab/>
            </w:r>
            <w:r>
              <w:rPr>
                <w:noProof/>
                <w:webHidden/>
              </w:rPr>
              <w:fldChar w:fldCharType="begin"/>
            </w:r>
            <w:r>
              <w:rPr>
                <w:noProof/>
                <w:webHidden/>
              </w:rPr>
              <w:instrText xml:space="preserve"> PAGEREF _Toc123654955 \h </w:instrText>
            </w:r>
            <w:r>
              <w:rPr>
                <w:noProof/>
                <w:webHidden/>
              </w:rPr>
            </w:r>
            <w:r>
              <w:rPr>
                <w:noProof/>
                <w:webHidden/>
              </w:rPr>
              <w:fldChar w:fldCharType="separate"/>
            </w:r>
            <w:r>
              <w:rPr>
                <w:noProof/>
                <w:webHidden/>
              </w:rPr>
              <w:t>3</w:t>
            </w:r>
            <w:r>
              <w:rPr>
                <w:noProof/>
                <w:webHidden/>
              </w:rPr>
              <w:fldChar w:fldCharType="end"/>
            </w:r>
          </w:hyperlink>
        </w:p>
        <w:p w14:paraId="487B8F35" w14:textId="354899D9" w:rsidR="0045319A" w:rsidRDefault="00000000">
          <w:pPr>
            <w:pStyle w:val="TOC1"/>
            <w:tabs>
              <w:tab w:val="right" w:leader="dot" w:pos="9019"/>
            </w:tabs>
            <w:rPr>
              <w:rFonts w:asciiTheme="minorHAnsi" w:eastAsiaTheme="minorEastAsia" w:hAnsiTheme="minorHAnsi" w:cstheme="minorBidi"/>
              <w:noProof/>
              <w:sz w:val="22"/>
              <w:szCs w:val="22"/>
              <w:lang w:val="en-IN" w:eastAsia="en-IN"/>
            </w:rPr>
          </w:pPr>
          <w:hyperlink w:anchor="_Toc123654956" w:history="1">
            <w:r w:rsidR="0045319A" w:rsidRPr="00BF75C1">
              <w:rPr>
                <w:rStyle w:val="Hyperlink"/>
                <w:noProof/>
              </w:rPr>
              <w:t>Main body</w:t>
            </w:r>
            <w:r w:rsidR="0045319A">
              <w:rPr>
                <w:noProof/>
                <w:webHidden/>
              </w:rPr>
              <w:tab/>
            </w:r>
            <w:r w:rsidR="0045319A">
              <w:rPr>
                <w:noProof/>
                <w:webHidden/>
              </w:rPr>
              <w:fldChar w:fldCharType="begin"/>
            </w:r>
            <w:r w:rsidR="0045319A">
              <w:rPr>
                <w:noProof/>
                <w:webHidden/>
              </w:rPr>
              <w:instrText xml:space="preserve"> PAGEREF _Toc123654956 \h </w:instrText>
            </w:r>
            <w:r w:rsidR="0045319A">
              <w:rPr>
                <w:noProof/>
                <w:webHidden/>
              </w:rPr>
            </w:r>
            <w:r w:rsidR="0045319A">
              <w:rPr>
                <w:noProof/>
                <w:webHidden/>
              </w:rPr>
              <w:fldChar w:fldCharType="separate"/>
            </w:r>
            <w:r w:rsidR="0045319A">
              <w:rPr>
                <w:noProof/>
                <w:webHidden/>
              </w:rPr>
              <w:t>3</w:t>
            </w:r>
            <w:r w:rsidR="0045319A">
              <w:rPr>
                <w:noProof/>
                <w:webHidden/>
              </w:rPr>
              <w:fldChar w:fldCharType="end"/>
            </w:r>
          </w:hyperlink>
        </w:p>
        <w:p w14:paraId="4731C92F" w14:textId="65900731" w:rsidR="0045319A" w:rsidRDefault="00000000">
          <w:pPr>
            <w:pStyle w:val="TOC1"/>
            <w:tabs>
              <w:tab w:val="right" w:leader="dot" w:pos="9019"/>
            </w:tabs>
            <w:rPr>
              <w:rFonts w:asciiTheme="minorHAnsi" w:eastAsiaTheme="minorEastAsia" w:hAnsiTheme="minorHAnsi" w:cstheme="minorBidi"/>
              <w:noProof/>
              <w:sz w:val="22"/>
              <w:szCs w:val="22"/>
              <w:lang w:val="en-IN" w:eastAsia="en-IN"/>
            </w:rPr>
          </w:pPr>
          <w:hyperlink w:anchor="_Toc123654957" w:history="1">
            <w:r w:rsidR="0045319A" w:rsidRPr="00BF75C1">
              <w:rPr>
                <w:rStyle w:val="Hyperlink"/>
                <w:noProof/>
              </w:rPr>
              <w:t>Conclusion</w:t>
            </w:r>
            <w:r w:rsidR="0045319A">
              <w:rPr>
                <w:noProof/>
                <w:webHidden/>
              </w:rPr>
              <w:tab/>
            </w:r>
            <w:r w:rsidR="0045319A">
              <w:rPr>
                <w:noProof/>
                <w:webHidden/>
              </w:rPr>
              <w:fldChar w:fldCharType="begin"/>
            </w:r>
            <w:r w:rsidR="0045319A">
              <w:rPr>
                <w:noProof/>
                <w:webHidden/>
              </w:rPr>
              <w:instrText xml:space="preserve"> PAGEREF _Toc123654957 \h </w:instrText>
            </w:r>
            <w:r w:rsidR="0045319A">
              <w:rPr>
                <w:noProof/>
                <w:webHidden/>
              </w:rPr>
            </w:r>
            <w:r w:rsidR="0045319A">
              <w:rPr>
                <w:noProof/>
                <w:webHidden/>
              </w:rPr>
              <w:fldChar w:fldCharType="separate"/>
            </w:r>
            <w:r w:rsidR="0045319A">
              <w:rPr>
                <w:noProof/>
                <w:webHidden/>
              </w:rPr>
              <w:t>6</w:t>
            </w:r>
            <w:r w:rsidR="0045319A">
              <w:rPr>
                <w:noProof/>
                <w:webHidden/>
              </w:rPr>
              <w:fldChar w:fldCharType="end"/>
            </w:r>
          </w:hyperlink>
        </w:p>
        <w:p w14:paraId="5BFFDD40" w14:textId="4183D602" w:rsidR="0045319A" w:rsidRDefault="00000000">
          <w:pPr>
            <w:pStyle w:val="TOC1"/>
            <w:tabs>
              <w:tab w:val="right" w:leader="dot" w:pos="9019"/>
            </w:tabs>
            <w:rPr>
              <w:rFonts w:asciiTheme="minorHAnsi" w:eastAsiaTheme="minorEastAsia" w:hAnsiTheme="minorHAnsi" w:cstheme="minorBidi"/>
              <w:noProof/>
              <w:sz w:val="22"/>
              <w:szCs w:val="22"/>
              <w:lang w:val="en-IN" w:eastAsia="en-IN"/>
            </w:rPr>
          </w:pPr>
          <w:hyperlink w:anchor="_Toc123654958" w:history="1">
            <w:r w:rsidR="0045319A" w:rsidRPr="00BF75C1">
              <w:rPr>
                <w:rStyle w:val="Hyperlink"/>
                <w:noProof/>
              </w:rPr>
              <w:t>References</w:t>
            </w:r>
            <w:r w:rsidR="0045319A">
              <w:rPr>
                <w:noProof/>
                <w:webHidden/>
              </w:rPr>
              <w:tab/>
            </w:r>
            <w:r w:rsidR="0045319A">
              <w:rPr>
                <w:noProof/>
                <w:webHidden/>
              </w:rPr>
              <w:fldChar w:fldCharType="begin"/>
            </w:r>
            <w:r w:rsidR="0045319A">
              <w:rPr>
                <w:noProof/>
                <w:webHidden/>
              </w:rPr>
              <w:instrText xml:space="preserve"> PAGEREF _Toc123654958 \h </w:instrText>
            </w:r>
            <w:r w:rsidR="0045319A">
              <w:rPr>
                <w:noProof/>
                <w:webHidden/>
              </w:rPr>
            </w:r>
            <w:r w:rsidR="0045319A">
              <w:rPr>
                <w:noProof/>
                <w:webHidden/>
              </w:rPr>
              <w:fldChar w:fldCharType="separate"/>
            </w:r>
            <w:r w:rsidR="0045319A">
              <w:rPr>
                <w:noProof/>
                <w:webHidden/>
              </w:rPr>
              <w:t>7</w:t>
            </w:r>
            <w:r w:rsidR="0045319A">
              <w:rPr>
                <w:noProof/>
                <w:webHidden/>
              </w:rPr>
              <w:fldChar w:fldCharType="end"/>
            </w:r>
          </w:hyperlink>
        </w:p>
        <w:p w14:paraId="282EDAB1" w14:textId="01D7BD8A" w:rsidR="0045319A" w:rsidRDefault="0045319A">
          <w:r>
            <w:rPr>
              <w:b/>
              <w:bCs/>
              <w:noProof/>
            </w:rPr>
            <w:fldChar w:fldCharType="end"/>
          </w:r>
        </w:p>
      </w:sdtContent>
    </w:sdt>
    <w:p w14:paraId="00000005" w14:textId="69557729" w:rsidR="00287378" w:rsidRDefault="00000000">
      <w:pPr>
        <w:pStyle w:val="Normal1"/>
      </w:pPr>
      <w:r>
        <w:br w:type="page"/>
      </w:r>
    </w:p>
    <w:p w14:paraId="00000006" w14:textId="77777777" w:rsidR="00287378" w:rsidRDefault="00000000">
      <w:pPr>
        <w:pStyle w:val="Heading1"/>
      </w:pPr>
      <w:bookmarkStart w:id="0" w:name="_ij9evz3b1mfk" w:colFirst="0" w:colLast="0"/>
      <w:bookmarkStart w:id="1" w:name="_Toc123654955"/>
      <w:bookmarkEnd w:id="0"/>
      <w:r>
        <w:lastRenderedPageBreak/>
        <w:t>Introduction</w:t>
      </w:r>
      <w:bookmarkEnd w:id="1"/>
      <w:r>
        <w:t xml:space="preserve"> </w:t>
      </w:r>
    </w:p>
    <w:p w14:paraId="00000007" w14:textId="77777777" w:rsidR="00287378" w:rsidRDefault="00000000">
      <w:pPr>
        <w:pStyle w:val="Normal1"/>
      </w:pPr>
      <w:r>
        <w:t xml:space="preserve">This report aims to elaborate on community engagement and this will be based on the commonwealth game which occurred in Birmingham in the year 2022. This was can be seen as a mega event and in this mega event, there will be analyses of the economic evolvement, youth development, and engagement of the community in this game. In this assignment, there will also be a look at the impact of the local community because the local community is also attached to this game. For community engagement, the organising committee takes many initiatives and also implements numerous approaches in these mega-events. After that in this report, there will be a reflective point of view on the participation of all the stakeholders, consultation and communication and many others also. After that, there will be an analysis of what things could be implemented and also in which way it can boost community engagement. The commonwealth game is not only the game but here is the participation of the many games from the various countries so equality is one of the major concerns which will also be seen in this report. For community engagement, the organising committee held many programs which support improving community engagement along with following equality and humanism. After that, there will be an analysis of the key fundamentals of this program in this reflective report. </w:t>
      </w:r>
    </w:p>
    <w:p w14:paraId="00000008" w14:textId="0B40C62A" w:rsidR="00287378" w:rsidRDefault="0045319A">
      <w:pPr>
        <w:pStyle w:val="Heading1"/>
      </w:pPr>
      <w:bookmarkStart w:id="2" w:name="_k15m5jft4dzt" w:colFirst="0" w:colLast="0"/>
      <w:bookmarkStart w:id="3" w:name="_Toc123654956"/>
      <w:bookmarkEnd w:id="2"/>
      <w:r>
        <w:t>Main body</w:t>
      </w:r>
      <w:bookmarkEnd w:id="3"/>
      <w:r>
        <w:t xml:space="preserve"> </w:t>
      </w:r>
    </w:p>
    <w:p w14:paraId="00000009" w14:textId="337771D6" w:rsidR="00287378" w:rsidRDefault="00000000">
      <w:pPr>
        <w:pStyle w:val="Normal1"/>
      </w:pPr>
      <w:r>
        <w:t>In the initial stage, the British Empire was the name of the commonwealth game. At that time only this reason could participate in this game rather than it was global. There were various changes implemented by the organising committee in the year of 1954 and after that in 1966 the name was replaced with the name of the British empire and commonwealth Games. After moving for some time the organising committee decided to change their name and keep the commonwealth game. In the beginning, the organising committees were not fully stable for community engagement on a large level but it was on the way to programming towards community engagemen</w:t>
      </w:r>
      <w:r w:rsidR="002B4089">
        <w:t xml:space="preserve">t. </w:t>
      </w:r>
      <w:r>
        <w:t xml:space="preserve">This is one of the big mega events where more than 70 countries participated in the game so it was the responsibility of the organising committees to enhance community engagement along with following all the basic guidelines so that it can cover a large number of countries. Community engagement there were implemented many measures such as taking innovative approaches that can boost and enhance the experience of the customers because they are the base of community engagement. After that empower each volunteer to adjust to the new norms of the pandemic because of the impact of covid-19. Afterwards, they were taking innovative approaches towards community engagement as the organising committee tried to deliver the online orientation broadcasting on the global level which aids to bring all the volunteers not only on the virtual level but also unified the game on </w:t>
      </w:r>
      <w:r>
        <w:lastRenderedPageBreak/>
        <w:t>the media and public with spreading the importance of this game (Naidoo and Grevemberg, 2022). The game also integrated the comprehensive contractor program which worked to provide jobs for many people in the commonwealth game. Through this game, there are more than 40000 local communities who get employment and training opportunities which leads to community engagement in this mega event. For community engagement one of the crucial steps always taken is equality based on religion, gender, sex, caste and many others these are the things which work as they bring society together and it leads to community engagement in this game. The organising committee needs to improve the numbers of the community from 13000 to 18000 and this is required to do so because of improving the community engagement. Because a large number of volunteers in the commonwealth game helps to run the game soothingly and they will also help to create a unique experience which ultimately improves community engagement. After that, there is a need to provide adequate training practically and virtually. After that, for community engagement in this commonwealth game 2022, there is a need to encourage the members to spend more time and effort in this game which will lead to motivate other people for this game and ultimately it will lead to community engagement (Wcg. ac. UK, 2022). In the commonwealth game, there was the active participation of the communication, stakeholder and also consultation. In this way, the active consultation in this game helps to resolve their doubts regarding the game, and it helps to improve the services in this game which leads to improving the experience of the visitor. This also worlds as the community engagement in this mega event 2022 in Birmingham. The organising committees have several teams which are involved with active communication and it can be seen in this commonwealth game that it improves the overall motivation of the visitors these things were identified through getting positive feedback from the people which engaged in this game</w:t>
      </w:r>
      <w:r w:rsidR="002B4089">
        <w:t>.</w:t>
      </w:r>
      <w:r>
        <w:t xml:space="preserve"> All the participants who are associated with the commonwealth game, those called the stakeholder so in this case, the stakeholders are construction companies, suppliers, athletes, agencies, sponsors, volunteers and others. Increasing the influence of this game then it directly impacts the construction companies because of raising the work of construction near the area of this mega event and it leads to the development of the country as well as improves the craze of this game</w:t>
      </w:r>
      <w:r w:rsidR="002B4089">
        <w:t xml:space="preserve"> (Team England, 2022)</w:t>
      </w:r>
      <w:r>
        <w:t>. After that the volunteers in this game help to increase the level of satisfaction of the audience in the game through serving as catering, waste and cleanliness in this game. There were many responsibilities of the volunteers in this game such as supplying drinks and food to the visitors in this game, removing waste and keeping the venue clean after that they were working in the ceremony which is the major feature of this game</w:t>
      </w:r>
      <w:r w:rsidR="002B4089">
        <w:t>.</w:t>
      </w:r>
      <w:r>
        <w:t xml:space="preserve"> After that the commonwealth game federation which is the agency in this game and it provides the strategies </w:t>
      </w:r>
      <w:r>
        <w:lastRenderedPageBreak/>
        <w:t>guidance for this game in this way it leads to building peaceful, prosperous and sustainable communities throughout the world which aids to inspire the commonwealth game and also the associated members of this game. In the commonwealth game, the suppliers also make a crucial impact on the commonwealth game 2022. As in this game, the supplier brings the medical products, camera, and latest prints and also provides many services which aid the fan the commonwealth game 2022 also presents a procurement program in which the supplier provides all the things which are required in this game with the enhancement and legacy</w:t>
      </w:r>
      <w:r w:rsidR="002B4089">
        <w:t>(Bbc, 2022).</w:t>
      </w:r>
      <w:r>
        <w:t xml:space="preserve"> </w:t>
      </w:r>
    </w:p>
    <w:p w14:paraId="0000000A" w14:textId="77777777" w:rsidR="00287378" w:rsidRDefault="00000000">
      <w:pPr>
        <w:pStyle w:val="Normal1"/>
      </w:pPr>
      <w:r>
        <w:t xml:space="preserve">In the Commonwealth game, there was a panel installed by the organising committee and the name of this page is Brimpangam Race Impact Group. The role and responsibility of this panel are to evolve quality and also control the numerous consultants so that it can improve the level of satisfaction for fans who are visiting this game. In addition to this, this panel aims to watch out for community engagement, legacy and procurement inclusion in this game. This game mostly focuses on community engagement and smoothly run the game so that the organising committee take any initiative which leads to empowering the community and also drags the attention of the community through using the various platforms (Team England, 2022). On every platform, one of the crucial concerns is humanism and quality and throughout the game, they keep their efforts to maintain this so that it can make the feeling to every visitor in this game that there is the right place for them. This is a very diverse game because there are 16 core sports added in this game along with this 4 core para sports game also included. In this game, every kind of person has the opportunity to work hard and represent their county in this game and also get awards irrespective of handicapped. So that is one of the motivational factors in itself for dragging the attention of the people for these mega-events (Careerpower, 2022). </w:t>
      </w:r>
    </w:p>
    <w:p w14:paraId="0000000B" w14:textId="77777777" w:rsidR="00287378" w:rsidRDefault="00000000">
      <w:pPr>
        <w:pStyle w:val="Normal1"/>
      </w:pPr>
      <w:r>
        <w:t xml:space="preserve">In the current trend, one of the great ways for community engagement is social media which is effectively used by the team of the commonwealth game 2022. There are various platforms in social media which are Facebook, Instagram, Twitter and others also. In the social media platform, the committee collects the analysis of people who show their interest in the games and then runs ads about these mega events so that the people have made aware of it. After that on the official accounts in the social media channel, raise awareness about the happening mega event in the form of stories, images and videos so that it drags the attention of tube people (Birmingham 2022, 2022). In this digital platform, the team is very active in social engagement so 3-4 months started to raise awareness about it. Here is also a target to convert the people from social media to physical presence in the game so that continuously touch with the interested audience. It is very helpful to increase the level of incitement within the audience and it leads to the increase of the advertisement about this game. This is not only the platform </w:t>
      </w:r>
      <w:r>
        <w:lastRenderedPageBreak/>
        <w:t xml:space="preserve">for the advertisement but through the help of this platform, they connect more people throughout the world so that day by day it leads to an impact on the number of followers on the official page on the different platforms. So in the best practices, drag the attention of the people on the global level so that it can add more value to community engagement. In this way, diversity and inclusion are the core pillars of this game and their impact can be seen on social media (Bbc, 2022). In the commonwealth game 2022, the team that deals with social media who run continuously monitor the activities of the people because it helps a little bit to amuse the presence of customers from different regions. In the recent 2022 game, it advertised actively on social media and was also got success to involve more community engagement. So the huge number of audiences also ensured that they would reach the game. </w:t>
      </w:r>
    </w:p>
    <w:p w14:paraId="0000000C" w14:textId="77777777" w:rsidR="00287378" w:rsidRDefault="00000000" w:rsidP="0045319A">
      <w:pPr>
        <w:pStyle w:val="Heading1"/>
      </w:pPr>
      <w:bookmarkStart w:id="4" w:name="_Toc123654957"/>
      <w:r>
        <w:t>Conclusion</w:t>
      </w:r>
      <w:bookmarkEnd w:id="4"/>
    </w:p>
    <w:p w14:paraId="0000000D" w14:textId="77777777" w:rsidR="00287378" w:rsidRDefault="00000000">
      <w:pPr>
        <w:pStyle w:val="Normal1"/>
      </w:pPr>
      <w:r>
        <w:t xml:space="preserve">Summing up all the mentioned points with a clear understanding of the reflective assessment lays more focus on community engagement and it aids the organising team to bring success to this game. In the initial stage, the game was run with a different name but from the beginning, it lay focused on equality and humanism throughout this game. As the game reaches the global level, community engagement becomes an important aspect for the growth of its game. There are some approaches adopted in this commonwealth Games 2022 for community engagement. In this way enhancing the experience of the fans who visit this game, empowering volunteers and organising a committee tried to deliver the online orientation broadcasting on the global level. After that, it is also included in this game about a comprehensive contractor program which aids in providing jobs to many people through this game and these are the things which help to improve community engagement. In this way, there is a need to do more work which has increased the number of volunteers in this game so that it can provide more support to the fans in this game. As their role and responsibility of them are to clean waste, provide food and many other things. After that in the commonwealth game 2022, stakeholders such as consulting companies, agencies, suppliers, and others also help to improve community engagement in this game. In this way, communication and consultation help the audience to eliminate their difficulties regarding this game which also works as community engagement in this game. After that, social media is one of the great ways to community engagement. In social media, the team continuously updates about the game through pictures, videos and stories which helps to connect people throughout the world. </w:t>
      </w:r>
      <w:r>
        <w:br w:type="page"/>
      </w:r>
    </w:p>
    <w:p w14:paraId="0000000E" w14:textId="77777777" w:rsidR="00287378" w:rsidRDefault="00000000">
      <w:pPr>
        <w:pStyle w:val="Heading1"/>
      </w:pPr>
      <w:bookmarkStart w:id="5" w:name="_u82h3bmkqtzt" w:colFirst="0" w:colLast="0"/>
      <w:bookmarkStart w:id="6" w:name="_Toc123654958"/>
      <w:bookmarkEnd w:id="5"/>
      <w:r>
        <w:lastRenderedPageBreak/>
        <w:t>References</w:t>
      </w:r>
      <w:bookmarkEnd w:id="6"/>
    </w:p>
    <w:p w14:paraId="3C362DE2" w14:textId="77777777" w:rsidR="002B4089" w:rsidRDefault="002B4089">
      <w:pPr>
        <w:pStyle w:val="Normal1"/>
        <w:spacing w:before="240" w:after="240"/>
      </w:pPr>
      <w:r>
        <w:t xml:space="preserve">Bbc, (2022). </w:t>
      </w:r>
      <w:r>
        <w:rPr>
          <w:i/>
        </w:rPr>
        <w:t>'The Birmingham Commonwealth Games helped me get a job'</w:t>
      </w:r>
      <w:r>
        <w:t xml:space="preserve"> </w:t>
      </w:r>
      <w:r>
        <w:rPr>
          <w:i/>
        </w:rPr>
        <w:t>BBC News</w:t>
      </w:r>
      <w:r>
        <w:t xml:space="preserve">. BBC. Available at: https://www.bbc.com/news/uk-england-birmingham-62772062 (Accessed: January 3, 2023). </w:t>
      </w:r>
    </w:p>
    <w:p w14:paraId="058B0495" w14:textId="77777777" w:rsidR="002B4089" w:rsidRDefault="002B4089">
      <w:pPr>
        <w:pStyle w:val="Normal1"/>
        <w:spacing w:before="240" w:after="240"/>
      </w:pPr>
      <w:r>
        <w:t xml:space="preserve">Birmingham 2022, (2022). </w:t>
      </w:r>
      <w:r>
        <w:rPr>
          <w:i/>
        </w:rPr>
        <w:t>Home of the Birmingham 2022 commonwealth games</w:t>
      </w:r>
      <w:r>
        <w:t xml:space="preserve">  </w:t>
      </w:r>
      <w:r>
        <w:rPr>
          <w:i/>
        </w:rPr>
        <w:t>Commonwealth Games - Birmingham 2022</w:t>
      </w:r>
      <w:r>
        <w:t xml:space="preserve">. Available at: https://www.birmingham2022.com/ (Accessed: January 3, 2023). </w:t>
      </w:r>
    </w:p>
    <w:p w14:paraId="413B7490" w14:textId="77777777" w:rsidR="002B4089" w:rsidRDefault="002B4089" w:rsidP="002B4089">
      <w:pPr>
        <w:pStyle w:val="Normal1"/>
        <w:spacing w:before="240" w:after="240"/>
      </w:pPr>
      <w:r>
        <w:t xml:space="preserve">Career power, (2022). </w:t>
      </w:r>
      <w:r>
        <w:rPr>
          <w:i/>
        </w:rPr>
        <w:t>Commonwealth Games 2022 medal tally and table, Full winner list</w:t>
      </w:r>
      <w:r>
        <w:t xml:space="preserve">  </w:t>
      </w:r>
      <w:r>
        <w:rPr>
          <w:i/>
        </w:rPr>
        <w:t>Career Power - Coaching Classes for Govt and Entrance Exams</w:t>
      </w:r>
      <w:r>
        <w:t xml:space="preserve">. Available at: https://www.careerpower.in/commonwealth-games-2022-medal-tally.html (Accessed: January 3, 2023). </w:t>
      </w:r>
    </w:p>
    <w:p w14:paraId="20F38724" w14:textId="77777777" w:rsidR="002B4089" w:rsidRDefault="002B4089">
      <w:pPr>
        <w:pStyle w:val="Normal1"/>
      </w:pPr>
      <w:r>
        <w:t>Naidoo, U. and Grevemberg, D., (2022). The role of athlete commissions in addressing sport-related human rights abuses: a case study of the Commonwealth Games Federation Athletes Advisory Commission. The International Sports Law Journal, pp.1-6.</w:t>
      </w:r>
    </w:p>
    <w:p w14:paraId="399426DA" w14:textId="77777777" w:rsidR="002B4089" w:rsidRDefault="002B4089">
      <w:pPr>
        <w:pStyle w:val="Normal1"/>
        <w:spacing w:before="240" w:after="240"/>
      </w:pPr>
      <w:r>
        <w:t>Team England, (2022). The home of Team England, the nation's Commonwealth Games Team (2022). Available at: https://teamengland.org/ (Accessed: January 3, 2023).</w:t>
      </w:r>
    </w:p>
    <w:p w14:paraId="03A34A92" w14:textId="77777777" w:rsidR="002B4089" w:rsidRDefault="002B4089">
      <w:pPr>
        <w:pStyle w:val="Normal1"/>
        <w:spacing w:before="240" w:after="240"/>
      </w:pPr>
      <w:r>
        <w:t xml:space="preserve">Wcg.ac.uk, (2022) </w:t>
      </w:r>
      <w:r>
        <w:rPr>
          <w:i/>
        </w:rPr>
        <w:t>wcg.ac.uk</w:t>
      </w:r>
      <w:r>
        <w:t xml:space="preserve">. Available at: </w:t>
      </w:r>
      <w:hyperlink r:id="rId7">
        <w:r>
          <w:rPr>
            <w:color w:val="1155CC"/>
            <w:u w:val="single"/>
          </w:rPr>
          <w:t>https://wcg.ac.uk/page/1648/birmingham-2022-commonwealth-games-volunteer-programme-now-open</w:t>
        </w:r>
      </w:hyperlink>
      <w:r>
        <w:t xml:space="preserve">  (Accessed: January 3, 2023). </w:t>
      </w:r>
    </w:p>
    <w:p w14:paraId="00000019" w14:textId="77777777" w:rsidR="00287378" w:rsidRDefault="00287378">
      <w:pPr>
        <w:pStyle w:val="Normal1"/>
      </w:pPr>
    </w:p>
    <w:p w14:paraId="0000001A" w14:textId="77777777" w:rsidR="00287378" w:rsidRDefault="00287378">
      <w:pPr>
        <w:pStyle w:val="Normal1"/>
        <w:spacing w:before="240" w:after="240"/>
      </w:pPr>
    </w:p>
    <w:p w14:paraId="0000001B" w14:textId="77777777" w:rsidR="00287378" w:rsidRDefault="00287378">
      <w:pPr>
        <w:pStyle w:val="Normal1"/>
        <w:spacing w:before="240" w:after="240"/>
      </w:pPr>
    </w:p>
    <w:p w14:paraId="0000001C" w14:textId="77777777" w:rsidR="00287378" w:rsidRDefault="00287378">
      <w:pPr>
        <w:pStyle w:val="Normal1"/>
        <w:spacing w:before="240" w:after="240"/>
      </w:pPr>
    </w:p>
    <w:p w14:paraId="0000001D" w14:textId="77777777" w:rsidR="00287378" w:rsidRDefault="00287378">
      <w:pPr>
        <w:pStyle w:val="Normal1"/>
      </w:pPr>
    </w:p>
    <w:sectPr w:rsidR="00287378" w:rsidSect="0045319A">
      <w:headerReference w:type="even" r:id="rId8"/>
      <w:headerReference w:type="default" r:id="rId9"/>
      <w:footerReference w:type="even" r:id="rId10"/>
      <w:footerReference w:type="default" r:id="rId11"/>
      <w:headerReference w:type="first" r:id="rId12"/>
      <w:footerReference w:type="first" r:id="rId13"/>
      <w:pgSz w:w="11909" w:h="16834"/>
      <w:pgMar w:top="1440" w:right="1440" w:bottom="1440" w:left="1440" w:header="720" w:footer="720" w:gutter="0"/>
      <w:pgBorders w:offsetFrom="page">
        <w:top w:val="single" w:sz="8" w:space="24" w:color="auto"/>
        <w:left w:val="single" w:sz="8" w:space="24" w:color="auto"/>
        <w:bottom w:val="single" w:sz="8" w:space="24" w:color="auto"/>
        <w:right w:val="single" w:sz="8" w:space="24" w:color="auto"/>
      </w:pgBorders>
      <w:pgNumType w:start="1"/>
      <w:cols w:space="708"/>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40272C" w14:textId="77777777" w:rsidR="00BD2F72" w:rsidRDefault="00BD2F72" w:rsidP="0045319A">
      <w:pPr>
        <w:spacing w:line="240" w:lineRule="auto"/>
      </w:pPr>
      <w:r>
        <w:separator/>
      </w:r>
    </w:p>
  </w:endnote>
  <w:endnote w:type="continuationSeparator" w:id="0">
    <w:p w14:paraId="2A0E8412" w14:textId="77777777" w:rsidR="00BD2F72" w:rsidRDefault="00BD2F72" w:rsidP="0045319A">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21901453"/>
      <w:docPartObj>
        <w:docPartGallery w:val="Page Numbers (Bottom of Page)"/>
        <w:docPartUnique/>
      </w:docPartObj>
    </w:sdtPr>
    <w:sdtContent>
      <w:p w14:paraId="73E12E8A" w14:textId="00242911" w:rsidR="00505A82" w:rsidRDefault="00505A82" w:rsidP="00D809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DB008A7" w14:textId="77777777" w:rsidR="00505A82" w:rsidRDefault="00505A82">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508292358"/>
      <w:docPartObj>
        <w:docPartGallery w:val="Page Numbers (Bottom of Page)"/>
        <w:docPartUnique/>
      </w:docPartObj>
    </w:sdtPr>
    <w:sdtContent>
      <w:p w14:paraId="545BDE7F" w14:textId="337C9DF4" w:rsidR="00505A82" w:rsidRDefault="00505A82" w:rsidP="00D809BD">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565FE8B" w14:textId="77777777" w:rsidR="0045319A" w:rsidRDefault="0045319A">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7F8A87B" w14:textId="77777777" w:rsidR="00505A82" w:rsidRDefault="00505A8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47BC7A" w14:textId="77777777" w:rsidR="00BD2F72" w:rsidRDefault="00BD2F72" w:rsidP="0045319A">
      <w:pPr>
        <w:spacing w:line="240" w:lineRule="auto"/>
      </w:pPr>
      <w:r>
        <w:separator/>
      </w:r>
    </w:p>
  </w:footnote>
  <w:footnote w:type="continuationSeparator" w:id="0">
    <w:p w14:paraId="0D42046C" w14:textId="77777777" w:rsidR="00BD2F72" w:rsidRDefault="00BD2F72" w:rsidP="0045319A">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83241F" w14:textId="77777777" w:rsidR="00505A82" w:rsidRDefault="00505A82">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8F09CA6" w14:textId="77777777" w:rsidR="00505A82" w:rsidRDefault="00505A82">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B3162D" w14:textId="77777777" w:rsidR="00505A82" w:rsidRDefault="00505A82">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87378"/>
    <w:rsid w:val="00100A0B"/>
    <w:rsid w:val="002622BB"/>
    <w:rsid w:val="00287378"/>
    <w:rsid w:val="002B4089"/>
    <w:rsid w:val="00360D4A"/>
    <w:rsid w:val="0045319A"/>
    <w:rsid w:val="00505A82"/>
    <w:rsid w:val="00553DEF"/>
    <w:rsid w:val="005E7BBF"/>
    <w:rsid w:val="006B1317"/>
    <w:rsid w:val="008435C1"/>
    <w:rsid w:val="00A9672B"/>
    <w:rsid w:val="00B97458"/>
    <w:rsid w:val="00BD2F72"/>
    <w:rsid w:val="00E00C00"/>
    <w:rsid w:val="00F7669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D4B539"/>
  <w15:docId w15:val="{4A37E199-5DF1-4E6F-8209-8F0B01492DC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B77B5"/>
  </w:style>
  <w:style w:type="paragraph" w:styleId="Heading1">
    <w:name w:val="heading 1"/>
    <w:basedOn w:val="Normal1"/>
    <w:next w:val="Normal1"/>
    <w:pPr>
      <w:keepNext/>
      <w:keepLines/>
      <w:outlineLvl w:val="0"/>
    </w:pPr>
    <w:rPr>
      <w:b/>
    </w:rPr>
  </w:style>
  <w:style w:type="paragraph" w:styleId="Heading2">
    <w:name w:val="heading 2"/>
    <w:basedOn w:val="Normal1"/>
    <w:next w:val="Normal1"/>
    <w:pPr>
      <w:keepNext/>
      <w:keepLines/>
      <w:spacing w:before="360" w:after="120"/>
      <w:outlineLvl w:val="1"/>
    </w:pPr>
    <w:rPr>
      <w:sz w:val="32"/>
      <w:szCs w:val="32"/>
    </w:rPr>
  </w:style>
  <w:style w:type="paragraph" w:styleId="Heading3">
    <w:name w:val="heading 3"/>
    <w:basedOn w:val="Normal1"/>
    <w:next w:val="Normal1"/>
    <w:pPr>
      <w:keepNext/>
      <w:keepLines/>
      <w:spacing w:before="320" w:after="80"/>
      <w:outlineLvl w:val="2"/>
    </w:pPr>
    <w:rPr>
      <w:color w:val="434343"/>
      <w:sz w:val="28"/>
      <w:szCs w:val="28"/>
    </w:rPr>
  </w:style>
  <w:style w:type="paragraph" w:styleId="Heading4">
    <w:name w:val="heading 4"/>
    <w:basedOn w:val="Normal1"/>
    <w:next w:val="Normal1"/>
    <w:pPr>
      <w:keepNext/>
      <w:keepLines/>
      <w:spacing w:before="280" w:after="80"/>
      <w:outlineLvl w:val="3"/>
    </w:pPr>
    <w:rPr>
      <w:color w:val="666666"/>
    </w:rPr>
  </w:style>
  <w:style w:type="paragraph" w:styleId="Heading5">
    <w:name w:val="heading 5"/>
    <w:basedOn w:val="Normal1"/>
    <w:next w:val="Normal1"/>
    <w:pPr>
      <w:keepNext/>
      <w:keepLines/>
      <w:spacing w:before="240" w:after="80"/>
      <w:outlineLvl w:val="4"/>
    </w:pPr>
    <w:rPr>
      <w:color w:val="666666"/>
      <w:sz w:val="22"/>
      <w:szCs w:val="22"/>
    </w:rPr>
  </w:style>
  <w:style w:type="paragraph" w:styleId="Heading6">
    <w:name w:val="heading 6"/>
    <w:basedOn w:val="Normal1"/>
    <w:next w:val="Normal1"/>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style>
  <w:style w:type="table" w:customStyle="1" w:styleId="TableNormal1">
    <w:name w:val="Table Normal1"/>
    <w:tblPr>
      <w:tblCellMar>
        <w:top w:w="0" w:type="dxa"/>
        <w:left w:w="0" w:type="dxa"/>
        <w:bottom w:w="0" w:type="dxa"/>
        <w:right w:w="0" w:type="dxa"/>
      </w:tblCellMar>
    </w:tblPr>
  </w:style>
  <w:style w:type="paragraph" w:styleId="Title">
    <w:name w:val="Title"/>
    <w:basedOn w:val="Normal1"/>
    <w:next w:val="Normal1"/>
    <w:pPr>
      <w:keepNext/>
      <w:keepLines/>
      <w:spacing w:after="60"/>
    </w:pPr>
    <w:rPr>
      <w:sz w:val="52"/>
      <w:szCs w:val="52"/>
    </w:rPr>
  </w:style>
  <w:style w:type="paragraph" w:styleId="Subtitle">
    <w:name w:val="Subtitle"/>
    <w:basedOn w:val="Normal1"/>
    <w:next w:val="Normal1"/>
    <w:pPr>
      <w:keepNext/>
      <w:keepLines/>
      <w:spacing w:after="320"/>
    </w:pPr>
    <w:rPr>
      <w:rFonts w:ascii="Arial" w:eastAsia="Arial" w:hAnsi="Arial" w:cs="Arial"/>
      <w:color w:val="666666"/>
      <w:sz w:val="30"/>
      <w:szCs w:val="30"/>
    </w:rPr>
  </w:style>
  <w:style w:type="paragraph" w:styleId="TOCHeading">
    <w:name w:val="TOC Heading"/>
    <w:basedOn w:val="Heading1"/>
    <w:next w:val="Normal"/>
    <w:uiPriority w:val="39"/>
    <w:unhideWhenUsed/>
    <w:qFormat/>
    <w:rsid w:val="0045319A"/>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rPr>
  </w:style>
  <w:style w:type="paragraph" w:styleId="TOC1">
    <w:name w:val="toc 1"/>
    <w:basedOn w:val="Normal"/>
    <w:next w:val="Normal"/>
    <w:autoRedefine/>
    <w:uiPriority w:val="39"/>
    <w:unhideWhenUsed/>
    <w:rsid w:val="0045319A"/>
    <w:pPr>
      <w:spacing w:after="100"/>
    </w:pPr>
  </w:style>
  <w:style w:type="character" w:styleId="Hyperlink">
    <w:name w:val="Hyperlink"/>
    <w:basedOn w:val="DefaultParagraphFont"/>
    <w:uiPriority w:val="99"/>
    <w:unhideWhenUsed/>
    <w:rsid w:val="0045319A"/>
    <w:rPr>
      <w:color w:val="0000FF" w:themeColor="hyperlink"/>
      <w:u w:val="single"/>
    </w:rPr>
  </w:style>
  <w:style w:type="paragraph" w:styleId="Header">
    <w:name w:val="header"/>
    <w:basedOn w:val="Normal"/>
    <w:link w:val="HeaderChar"/>
    <w:uiPriority w:val="99"/>
    <w:unhideWhenUsed/>
    <w:rsid w:val="0045319A"/>
    <w:pPr>
      <w:tabs>
        <w:tab w:val="center" w:pos="4513"/>
        <w:tab w:val="right" w:pos="9026"/>
      </w:tabs>
      <w:spacing w:line="240" w:lineRule="auto"/>
    </w:pPr>
  </w:style>
  <w:style w:type="character" w:customStyle="1" w:styleId="HeaderChar">
    <w:name w:val="Header Char"/>
    <w:basedOn w:val="DefaultParagraphFont"/>
    <w:link w:val="Header"/>
    <w:uiPriority w:val="99"/>
    <w:rsid w:val="0045319A"/>
  </w:style>
  <w:style w:type="paragraph" w:styleId="Footer">
    <w:name w:val="footer"/>
    <w:basedOn w:val="Normal"/>
    <w:link w:val="FooterChar"/>
    <w:uiPriority w:val="99"/>
    <w:unhideWhenUsed/>
    <w:rsid w:val="0045319A"/>
    <w:pPr>
      <w:tabs>
        <w:tab w:val="center" w:pos="4513"/>
        <w:tab w:val="right" w:pos="9026"/>
      </w:tabs>
      <w:spacing w:line="240" w:lineRule="auto"/>
    </w:pPr>
  </w:style>
  <w:style w:type="character" w:customStyle="1" w:styleId="FooterChar">
    <w:name w:val="Footer Char"/>
    <w:basedOn w:val="DefaultParagraphFont"/>
    <w:link w:val="Footer"/>
    <w:uiPriority w:val="99"/>
    <w:rsid w:val="0045319A"/>
  </w:style>
  <w:style w:type="character" w:styleId="PageNumber">
    <w:name w:val="page number"/>
    <w:basedOn w:val="DefaultParagraphFont"/>
    <w:uiPriority w:val="99"/>
    <w:semiHidden/>
    <w:unhideWhenUsed/>
    <w:rsid w:val="00505A8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ettings" Target="settings.xml"/><Relationship Id="rId7" Type="http://schemas.openxmlformats.org/officeDocument/2006/relationships/hyperlink" Target="https://wcg.ac.uk/page/1648/birmingham-2022-commonwealth-games-volunteer-programme-now-open" TargetMode="External"/><Relationship Id="rId12" Type="http://schemas.openxmlformats.org/officeDocument/2006/relationships/header" Target="header3.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76BDFBE-E4B8-424E-B36B-C8FB824C567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16</TotalTime>
  <Pages>7</Pages>
  <Words>2053</Words>
  <Characters>11705</Characters>
  <Application>Microsoft Office Word</Application>
  <DocSecurity>0</DocSecurity>
  <Lines>97</Lines>
  <Paragraphs>27</Paragraphs>
  <ScaleCrop>false</ScaleCrop>
  <Company/>
  <LinksUpToDate>false</LinksUpToDate>
  <CharactersWithSpaces>13731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Ancuta Ambrus</cp:lastModifiedBy>
  <cp:revision>11</cp:revision>
  <dcterms:created xsi:type="dcterms:W3CDTF">2023-01-03T10:43:00Z</dcterms:created>
  <dcterms:modified xsi:type="dcterms:W3CDTF">2023-01-03T19:35:00Z</dcterms:modified>
</cp:coreProperties>
</file>