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E7C271" w14:textId="7A933A4C" w:rsidR="00E355C9" w:rsidRDefault="00183467" w:rsidP="00183467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Petronius  </w:t>
      </w:r>
      <w:r>
        <w:rPr>
          <w:i/>
          <w:iCs/>
          <w:sz w:val="32"/>
          <w:szCs w:val="32"/>
        </w:rPr>
        <w:t xml:space="preserve">Cena Trimalchionis </w:t>
      </w:r>
      <w:r>
        <w:rPr>
          <w:sz w:val="32"/>
          <w:szCs w:val="32"/>
        </w:rPr>
        <w:t>27-28: A Commentary</w:t>
      </w:r>
    </w:p>
    <w:p w14:paraId="5B0CBA11" w14:textId="77777777" w:rsidR="00A5263A" w:rsidRDefault="00183467" w:rsidP="00183467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304787">
        <w:rPr>
          <w:sz w:val="24"/>
          <w:szCs w:val="24"/>
        </w:rPr>
        <w:t xml:space="preserve">events of the </w:t>
      </w:r>
      <w:r w:rsidR="00304787">
        <w:rPr>
          <w:i/>
          <w:iCs/>
          <w:sz w:val="24"/>
          <w:szCs w:val="24"/>
        </w:rPr>
        <w:t xml:space="preserve">Cena </w:t>
      </w:r>
      <w:r w:rsidR="00304787">
        <w:rPr>
          <w:sz w:val="24"/>
          <w:szCs w:val="24"/>
        </w:rPr>
        <w:t>and its immediate sequel</w:t>
      </w:r>
      <w:r w:rsidR="00463942">
        <w:rPr>
          <w:sz w:val="24"/>
          <w:szCs w:val="24"/>
        </w:rPr>
        <w:t xml:space="preserve"> take place</w:t>
      </w:r>
      <w:r w:rsidR="00304787">
        <w:rPr>
          <w:sz w:val="24"/>
          <w:szCs w:val="24"/>
        </w:rPr>
        <w:t xml:space="preserve"> in a </w:t>
      </w:r>
      <w:r w:rsidR="00304787">
        <w:rPr>
          <w:i/>
          <w:iCs/>
          <w:sz w:val="24"/>
          <w:szCs w:val="24"/>
        </w:rPr>
        <w:t xml:space="preserve">graeca urbs, </w:t>
      </w:r>
      <w:r w:rsidR="00304787">
        <w:rPr>
          <w:sz w:val="24"/>
          <w:szCs w:val="24"/>
        </w:rPr>
        <w:t>with the participants  bear</w:t>
      </w:r>
      <w:r w:rsidR="00463942">
        <w:rPr>
          <w:sz w:val="24"/>
          <w:szCs w:val="24"/>
        </w:rPr>
        <w:t>ing</w:t>
      </w:r>
      <w:r w:rsidR="00304787">
        <w:rPr>
          <w:sz w:val="24"/>
          <w:szCs w:val="24"/>
        </w:rPr>
        <w:t xml:space="preserve"> Greek names, which suggest</w:t>
      </w:r>
      <w:r w:rsidR="00BB3D50">
        <w:rPr>
          <w:sz w:val="24"/>
          <w:szCs w:val="24"/>
        </w:rPr>
        <w:t>s</w:t>
      </w:r>
      <w:r w:rsidR="00304787">
        <w:rPr>
          <w:sz w:val="24"/>
          <w:szCs w:val="24"/>
        </w:rPr>
        <w:t xml:space="preserve"> either a Greek or a South Italian origin. They live in Puteoli and trade actively with the eastern Mediterranean.</w:t>
      </w:r>
      <w:r w:rsidR="00304787">
        <w:rPr>
          <w:rStyle w:val="FootnoteReference"/>
          <w:sz w:val="24"/>
          <w:szCs w:val="24"/>
        </w:rPr>
        <w:footnoteReference w:id="1"/>
      </w:r>
      <w:r w:rsidR="004E7480">
        <w:rPr>
          <w:sz w:val="24"/>
          <w:szCs w:val="24"/>
        </w:rPr>
        <w:t xml:space="preserve"> The story is set in mid first century, which gives it a </w:t>
      </w:r>
      <w:r w:rsidR="004E7480">
        <w:rPr>
          <w:i/>
          <w:iCs/>
          <w:sz w:val="24"/>
          <w:szCs w:val="24"/>
        </w:rPr>
        <w:t xml:space="preserve">terminus post quem, </w:t>
      </w:r>
      <w:r w:rsidR="004E7480">
        <w:rPr>
          <w:sz w:val="24"/>
          <w:szCs w:val="24"/>
        </w:rPr>
        <w:t>but that story cannot provide an indication of when it was written</w:t>
      </w:r>
      <w:r w:rsidR="0094672C">
        <w:rPr>
          <w:sz w:val="24"/>
          <w:szCs w:val="24"/>
        </w:rPr>
        <w:t>.</w:t>
      </w:r>
      <w:r w:rsidR="0094672C">
        <w:rPr>
          <w:rStyle w:val="FootnoteReference"/>
          <w:sz w:val="24"/>
          <w:szCs w:val="24"/>
        </w:rPr>
        <w:footnoteReference w:id="2"/>
      </w:r>
      <w:r w:rsidR="00D82FC8">
        <w:rPr>
          <w:sz w:val="24"/>
          <w:szCs w:val="24"/>
        </w:rPr>
        <w:t xml:space="preserve"> </w:t>
      </w:r>
    </w:p>
    <w:p w14:paraId="1C85EB02" w14:textId="0AAAF1D9" w:rsidR="0094672C" w:rsidRDefault="00602233" w:rsidP="00183467">
      <w:pPr>
        <w:rPr>
          <w:sz w:val="24"/>
          <w:szCs w:val="24"/>
        </w:rPr>
      </w:pPr>
      <w:r>
        <w:rPr>
          <w:sz w:val="24"/>
          <w:szCs w:val="24"/>
        </w:rPr>
        <w:t>Th</w:t>
      </w:r>
      <w:r w:rsidR="00BB3D50">
        <w:rPr>
          <w:sz w:val="24"/>
          <w:szCs w:val="24"/>
        </w:rPr>
        <w:t>e</w:t>
      </w:r>
      <w:r>
        <w:rPr>
          <w:sz w:val="24"/>
          <w:szCs w:val="24"/>
        </w:rPr>
        <w:t xml:space="preserve"> Satyricon represents the one-time adventures of the narrator, Encolpius, as recalled by him </w:t>
      </w:r>
      <w:r w:rsidR="006D3AE2">
        <w:rPr>
          <w:sz w:val="24"/>
          <w:szCs w:val="24"/>
        </w:rPr>
        <w:t>later</w:t>
      </w:r>
      <w:r w:rsidR="00E946A4">
        <w:rPr>
          <w:sz w:val="24"/>
          <w:szCs w:val="24"/>
        </w:rPr>
        <w:t>.</w:t>
      </w:r>
      <w:r w:rsidR="006D3AE2">
        <w:rPr>
          <w:sz w:val="24"/>
          <w:szCs w:val="24"/>
        </w:rPr>
        <w:t xml:space="preserve"> </w:t>
      </w:r>
      <w:r w:rsidR="00E946A4">
        <w:rPr>
          <w:sz w:val="24"/>
          <w:szCs w:val="24"/>
        </w:rPr>
        <w:t>We do not, however</w:t>
      </w:r>
      <w:r w:rsidR="006D3AE2">
        <w:rPr>
          <w:sz w:val="24"/>
          <w:szCs w:val="24"/>
        </w:rPr>
        <w:t xml:space="preserve">  come to know him due to the lack of a consistent focalisation of his own behaviour.</w:t>
      </w:r>
      <w:r w:rsidR="006D3AE2">
        <w:rPr>
          <w:rStyle w:val="FootnoteReference"/>
          <w:sz w:val="24"/>
          <w:szCs w:val="24"/>
        </w:rPr>
        <w:footnoteReference w:id="3"/>
      </w:r>
    </w:p>
    <w:p w14:paraId="0FBCDC67" w14:textId="36294DF3" w:rsidR="006F52DF" w:rsidRDefault="00183467" w:rsidP="00183467">
      <w:pPr>
        <w:rPr>
          <w:sz w:val="24"/>
          <w:szCs w:val="24"/>
        </w:rPr>
      </w:pPr>
      <w:r>
        <w:rPr>
          <w:sz w:val="24"/>
          <w:szCs w:val="24"/>
        </w:rPr>
        <w:t xml:space="preserve">Chapter 27 witnesses the </w:t>
      </w:r>
      <w:r>
        <w:rPr>
          <w:i/>
          <w:iCs/>
          <w:sz w:val="24"/>
          <w:szCs w:val="24"/>
        </w:rPr>
        <w:t xml:space="preserve">Cena </w:t>
      </w:r>
      <w:r>
        <w:rPr>
          <w:sz w:val="24"/>
          <w:szCs w:val="24"/>
        </w:rPr>
        <w:t>proper beginning at the bath</w:t>
      </w:r>
      <w:r w:rsidR="00945687">
        <w:rPr>
          <w:sz w:val="24"/>
          <w:szCs w:val="24"/>
        </w:rPr>
        <w:t>,</w:t>
      </w:r>
      <w:r w:rsidR="00BB3D50">
        <w:rPr>
          <w:sz w:val="24"/>
          <w:szCs w:val="24"/>
        </w:rPr>
        <w:t xml:space="preserve"> and an introduction of the Great Man </w:t>
      </w:r>
      <w:r w:rsidR="00BB3D50">
        <w:rPr>
          <w:i/>
          <w:iCs/>
          <w:sz w:val="24"/>
          <w:szCs w:val="24"/>
        </w:rPr>
        <w:t>ipsissimus</w:t>
      </w:r>
      <w:r w:rsidR="00A77002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F07949">
        <w:rPr>
          <w:sz w:val="24"/>
          <w:szCs w:val="24"/>
        </w:rPr>
        <w:t>A slave of Agamemnon arrives</w:t>
      </w:r>
      <w:r>
        <w:rPr>
          <w:sz w:val="24"/>
          <w:szCs w:val="24"/>
        </w:rPr>
        <w:t xml:space="preserve"> to remind Encolpius and his companion</w:t>
      </w:r>
      <w:r w:rsidR="008445CD">
        <w:rPr>
          <w:sz w:val="24"/>
          <w:szCs w:val="24"/>
        </w:rPr>
        <w:t>, Ascyltos</w:t>
      </w:r>
      <w:r w:rsidR="00A77002">
        <w:rPr>
          <w:sz w:val="24"/>
          <w:szCs w:val="24"/>
        </w:rPr>
        <w:t xml:space="preserve"> (a former lover),</w:t>
      </w:r>
      <w:r>
        <w:rPr>
          <w:sz w:val="24"/>
          <w:szCs w:val="24"/>
        </w:rPr>
        <w:t xml:space="preserve"> that </w:t>
      </w:r>
      <w:r w:rsidR="00F07949">
        <w:rPr>
          <w:sz w:val="24"/>
          <w:szCs w:val="24"/>
        </w:rPr>
        <w:t>their host this evening is to be Trimalchio</w:t>
      </w:r>
      <w:r w:rsidR="00487754">
        <w:rPr>
          <w:sz w:val="24"/>
          <w:szCs w:val="24"/>
        </w:rPr>
        <w:t>.</w:t>
      </w:r>
      <w:r w:rsidR="00F07949">
        <w:rPr>
          <w:rStyle w:val="FootnoteReference"/>
          <w:sz w:val="24"/>
          <w:szCs w:val="24"/>
        </w:rPr>
        <w:footnoteReference w:id="4"/>
      </w:r>
      <w:r>
        <w:rPr>
          <w:sz w:val="24"/>
          <w:szCs w:val="24"/>
        </w:rPr>
        <w:t xml:space="preserve"> </w:t>
      </w:r>
      <w:r w:rsidR="00E946A4">
        <w:rPr>
          <w:sz w:val="24"/>
          <w:szCs w:val="24"/>
        </w:rPr>
        <w:t>His full name is C.Pompeius Trimalchio Maecenatianus, indicating that he had once been the slave of one Maecenas.</w:t>
      </w:r>
      <w:r w:rsidR="00E946A4">
        <w:rPr>
          <w:rStyle w:val="FootnoteReference"/>
          <w:sz w:val="24"/>
          <w:szCs w:val="24"/>
        </w:rPr>
        <w:footnoteReference w:id="5"/>
      </w:r>
      <w:r w:rsidR="006F52DF">
        <w:rPr>
          <w:sz w:val="24"/>
          <w:szCs w:val="24"/>
        </w:rPr>
        <w:t xml:space="preserve"> Petronius lavishes a great deal of care on his portrait of the vulgar freedman</w:t>
      </w:r>
      <w:r w:rsidR="008F011F">
        <w:rPr>
          <w:sz w:val="24"/>
          <w:szCs w:val="24"/>
        </w:rPr>
        <w:t>,</w:t>
      </w:r>
      <w:r w:rsidR="006F52DF">
        <w:rPr>
          <w:rStyle w:val="FootnoteReference"/>
          <w:sz w:val="24"/>
          <w:szCs w:val="24"/>
        </w:rPr>
        <w:footnoteReference w:id="6"/>
      </w:r>
      <w:r w:rsidR="008F011F">
        <w:rPr>
          <w:sz w:val="24"/>
          <w:szCs w:val="24"/>
        </w:rPr>
        <w:t>a former Asian slave turned nouveau-riche</w:t>
      </w:r>
      <w:r w:rsidR="00705C42">
        <w:rPr>
          <w:sz w:val="24"/>
          <w:szCs w:val="24"/>
        </w:rPr>
        <w:t>, who has made a quick fortune out of transport and usury.</w:t>
      </w:r>
      <w:r w:rsidR="00705C42">
        <w:rPr>
          <w:rStyle w:val="FootnoteReference"/>
          <w:sz w:val="24"/>
          <w:szCs w:val="24"/>
        </w:rPr>
        <w:footnoteReference w:id="7"/>
      </w:r>
      <w:r w:rsidR="00325F32">
        <w:rPr>
          <w:sz w:val="24"/>
          <w:szCs w:val="24"/>
        </w:rPr>
        <w:t xml:space="preserve"> </w:t>
      </w:r>
      <w:r w:rsidR="00487754">
        <w:rPr>
          <w:sz w:val="24"/>
          <w:szCs w:val="24"/>
        </w:rPr>
        <w:t xml:space="preserve"> </w:t>
      </w:r>
      <w:r w:rsidR="00325F32">
        <w:rPr>
          <w:sz w:val="24"/>
          <w:szCs w:val="24"/>
        </w:rPr>
        <w:t>Comparisons have been drawn with such creations as Falstaff and Mr. Micawber.</w:t>
      </w:r>
      <w:r w:rsidR="00325F32">
        <w:rPr>
          <w:rStyle w:val="FootnoteReference"/>
          <w:sz w:val="24"/>
          <w:szCs w:val="24"/>
        </w:rPr>
        <w:footnoteReference w:id="8"/>
      </w:r>
      <w:r w:rsidR="009D2EF1">
        <w:rPr>
          <w:sz w:val="24"/>
          <w:szCs w:val="24"/>
        </w:rPr>
        <w:t xml:space="preserve"> </w:t>
      </w:r>
    </w:p>
    <w:p w14:paraId="486C2F91" w14:textId="4EBF8423" w:rsidR="00183467" w:rsidRDefault="009B6BA3" w:rsidP="00183467">
      <w:pPr>
        <w:rPr>
          <w:sz w:val="24"/>
          <w:szCs w:val="24"/>
        </w:rPr>
      </w:pPr>
      <w:r>
        <w:rPr>
          <w:sz w:val="24"/>
          <w:szCs w:val="24"/>
        </w:rPr>
        <w:t>Encolpius had probably been introduced to Agamemnon by his assistant, Menelaus (27.4), whose interest in finding students was more erotic than educational</w:t>
      </w:r>
      <w:r w:rsidR="00602233"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9"/>
      </w:r>
      <w:r w:rsidR="00F07949">
        <w:rPr>
          <w:sz w:val="24"/>
          <w:szCs w:val="24"/>
        </w:rPr>
        <w:t xml:space="preserve">  </w:t>
      </w:r>
      <w:r w:rsidR="00487754">
        <w:rPr>
          <w:sz w:val="24"/>
          <w:szCs w:val="24"/>
        </w:rPr>
        <w:t xml:space="preserve">For their part, obtaining free meals through association with Menelaus </w:t>
      </w:r>
      <w:r w:rsidR="00E946A4">
        <w:rPr>
          <w:sz w:val="24"/>
          <w:szCs w:val="24"/>
        </w:rPr>
        <w:t xml:space="preserve">probably </w:t>
      </w:r>
      <w:r w:rsidR="00487754">
        <w:rPr>
          <w:sz w:val="24"/>
          <w:szCs w:val="24"/>
        </w:rPr>
        <w:t xml:space="preserve">took precedence over any furthering of their education. </w:t>
      </w:r>
      <w:r w:rsidR="00216DCD">
        <w:rPr>
          <w:sz w:val="24"/>
          <w:szCs w:val="24"/>
        </w:rPr>
        <w:t xml:space="preserve">The </w:t>
      </w:r>
      <w:r w:rsidR="00216DCD">
        <w:rPr>
          <w:i/>
          <w:iCs/>
          <w:sz w:val="24"/>
          <w:szCs w:val="24"/>
        </w:rPr>
        <w:t xml:space="preserve">spectaculum </w:t>
      </w:r>
      <w:r w:rsidR="00216DCD">
        <w:rPr>
          <w:sz w:val="24"/>
          <w:szCs w:val="24"/>
        </w:rPr>
        <w:t>which Menelaus offered is the prelude (</w:t>
      </w:r>
      <w:r w:rsidR="00216DCD">
        <w:rPr>
          <w:i/>
          <w:iCs/>
          <w:sz w:val="24"/>
          <w:szCs w:val="24"/>
        </w:rPr>
        <w:t>principium</w:t>
      </w:r>
      <w:r w:rsidR="00216DCD">
        <w:rPr>
          <w:sz w:val="24"/>
          <w:szCs w:val="24"/>
        </w:rPr>
        <w:t xml:space="preserve">) to the Cena, which is to be full of </w:t>
      </w:r>
      <w:r w:rsidR="00216DCD">
        <w:rPr>
          <w:i/>
          <w:iCs/>
          <w:sz w:val="24"/>
          <w:szCs w:val="24"/>
        </w:rPr>
        <w:t>spectacula.</w:t>
      </w:r>
      <w:r w:rsidR="00216DCD">
        <w:rPr>
          <w:rStyle w:val="FootnoteReference"/>
          <w:i/>
          <w:iCs/>
          <w:sz w:val="24"/>
          <w:szCs w:val="24"/>
        </w:rPr>
        <w:footnoteReference w:id="10"/>
      </w:r>
      <w:r w:rsidR="004E7480">
        <w:rPr>
          <w:sz w:val="24"/>
          <w:szCs w:val="24"/>
        </w:rPr>
        <w:t xml:space="preserve"> </w:t>
      </w:r>
    </w:p>
    <w:p w14:paraId="089319E9" w14:textId="124B0CC6" w:rsidR="00304787" w:rsidRPr="009B6BA3" w:rsidRDefault="005C3335" w:rsidP="00183467">
      <w:pPr>
        <w:rPr>
          <w:sz w:val="24"/>
          <w:szCs w:val="24"/>
        </w:rPr>
      </w:pPr>
      <w:r>
        <w:rPr>
          <w:sz w:val="24"/>
          <w:szCs w:val="24"/>
        </w:rPr>
        <w:t xml:space="preserve">Encolpius and </w:t>
      </w:r>
      <w:r w:rsidR="00D03E79">
        <w:rPr>
          <w:sz w:val="24"/>
          <w:szCs w:val="24"/>
        </w:rPr>
        <w:t>Ascyltos,</w:t>
      </w:r>
      <w:r>
        <w:rPr>
          <w:sz w:val="24"/>
          <w:szCs w:val="24"/>
        </w:rPr>
        <w:t xml:space="preserve"> </w:t>
      </w:r>
      <w:r w:rsidR="00487754">
        <w:rPr>
          <w:sz w:val="24"/>
          <w:szCs w:val="24"/>
        </w:rPr>
        <w:t xml:space="preserve">relieved to be free from Quartilla’s orgiastic dinners of the previous two days </w:t>
      </w:r>
      <w:r w:rsidR="00B668EC">
        <w:rPr>
          <w:sz w:val="24"/>
          <w:szCs w:val="24"/>
        </w:rPr>
        <w:t>(it isn’t clear what hold Quartil</w:t>
      </w:r>
      <w:r w:rsidR="00A5263A">
        <w:rPr>
          <w:sz w:val="24"/>
          <w:szCs w:val="24"/>
        </w:rPr>
        <w:t>l</w:t>
      </w:r>
      <w:r w:rsidR="00B668EC">
        <w:rPr>
          <w:sz w:val="24"/>
          <w:szCs w:val="24"/>
        </w:rPr>
        <w:t>a has over them)</w:t>
      </w:r>
      <w:r w:rsidR="00B668EC">
        <w:rPr>
          <w:rStyle w:val="FootnoteReference"/>
          <w:sz w:val="24"/>
          <w:szCs w:val="24"/>
        </w:rPr>
        <w:footnoteReference w:id="11"/>
      </w:r>
      <w:r w:rsidR="00B668EC">
        <w:rPr>
          <w:sz w:val="24"/>
          <w:szCs w:val="24"/>
        </w:rPr>
        <w:t xml:space="preserve"> </w:t>
      </w:r>
      <w:r w:rsidR="00D11500">
        <w:rPr>
          <w:sz w:val="24"/>
          <w:szCs w:val="24"/>
        </w:rPr>
        <w:t>were</w:t>
      </w:r>
      <w:r w:rsidR="00487754">
        <w:rPr>
          <w:sz w:val="24"/>
          <w:szCs w:val="24"/>
        </w:rPr>
        <w:t xml:space="preserve"> </w:t>
      </w:r>
      <w:r w:rsidR="00B668EC">
        <w:rPr>
          <w:sz w:val="24"/>
          <w:szCs w:val="24"/>
        </w:rPr>
        <w:t xml:space="preserve">wounded. </w:t>
      </w:r>
      <w:r w:rsidR="00E946A4">
        <w:rPr>
          <w:sz w:val="24"/>
          <w:szCs w:val="24"/>
        </w:rPr>
        <w:t>T</w:t>
      </w:r>
      <w:r w:rsidR="00B668EC">
        <w:rPr>
          <w:sz w:val="24"/>
          <w:szCs w:val="24"/>
        </w:rPr>
        <w:t xml:space="preserve">hey </w:t>
      </w:r>
      <w:r>
        <w:rPr>
          <w:sz w:val="24"/>
          <w:szCs w:val="24"/>
        </w:rPr>
        <w:t xml:space="preserve">are late </w:t>
      </w:r>
      <w:r w:rsidR="00E946A4">
        <w:rPr>
          <w:sz w:val="24"/>
          <w:szCs w:val="24"/>
        </w:rPr>
        <w:t xml:space="preserve">arriving, </w:t>
      </w:r>
      <w:r>
        <w:rPr>
          <w:sz w:val="24"/>
          <w:szCs w:val="24"/>
        </w:rPr>
        <w:t>and as a result have time only for a quick bath</w:t>
      </w:r>
      <w:r w:rsidR="00B668EC">
        <w:rPr>
          <w:sz w:val="24"/>
          <w:szCs w:val="24"/>
        </w:rPr>
        <w:t>,</w:t>
      </w:r>
      <w:r>
        <w:rPr>
          <w:sz w:val="24"/>
          <w:szCs w:val="24"/>
        </w:rPr>
        <w:t xml:space="preserve"> (28.1)</w:t>
      </w:r>
      <w:r w:rsidR="00B668EC">
        <w:rPr>
          <w:sz w:val="24"/>
          <w:szCs w:val="24"/>
        </w:rPr>
        <w:t xml:space="preserve"> the appointed meeting place for both hosts and guests</w:t>
      </w:r>
      <w:r>
        <w:rPr>
          <w:sz w:val="24"/>
          <w:szCs w:val="24"/>
        </w:rPr>
        <w:t xml:space="preserve">. </w:t>
      </w:r>
      <w:r w:rsidR="00B668EC">
        <w:rPr>
          <w:sz w:val="24"/>
          <w:szCs w:val="24"/>
        </w:rPr>
        <w:t xml:space="preserve">A lacuna between the Quartila story and the banquet adds to the hastiness. </w:t>
      </w:r>
      <w:r w:rsidR="00304787">
        <w:rPr>
          <w:sz w:val="24"/>
          <w:szCs w:val="24"/>
        </w:rPr>
        <w:t xml:space="preserve"> </w:t>
      </w:r>
      <w:r w:rsidR="00D03E79">
        <w:rPr>
          <w:sz w:val="24"/>
          <w:szCs w:val="24"/>
        </w:rPr>
        <w:t>Giton</w:t>
      </w:r>
      <w:r w:rsidR="00A77002">
        <w:rPr>
          <w:sz w:val="24"/>
          <w:szCs w:val="24"/>
        </w:rPr>
        <w:t>a, Encolpius’ boy-lover,</w:t>
      </w:r>
      <w:r w:rsidR="00D03E79">
        <w:rPr>
          <w:sz w:val="24"/>
          <w:szCs w:val="24"/>
        </w:rPr>
        <w:t xml:space="preserve"> acts as their slave, as he has been doing in the preceding narrative</w:t>
      </w:r>
      <w:r w:rsidR="00A77002">
        <w:rPr>
          <w:sz w:val="24"/>
          <w:szCs w:val="24"/>
        </w:rPr>
        <w:t>,</w:t>
      </w:r>
      <w:r w:rsidR="00D03E79">
        <w:rPr>
          <w:sz w:val="24"/>
          <w:szCs w:val="24"/>
        </w:rPr>
        <w:t xml:space="preserve"> and will do in the </w:t>
      </w:r>
      <w:r w:rsidR="00D03E79">
        <w:rPr>
          <w:i/>
          <w:iCs/>
          <w:sz w:val="24"/>
          <w:szCs w:val="24"/>
        </w:rPr>
        <w:t xml:space="preserve">Cena. </w:t>
      </w:r>
    </w:p>
    <w:p w14:paraId="5ABDD3FE" w14:textId="68823A1E" w:rsidR="008445CD" w:rsidRDefault="00580582" w:rsidP="00183467">
      <w:pPr>
        <w:rPr>
          <w:sz w:val="24"/>
          <w:szCs w:val="24"/>
        </w:rPr>
      </w:pPr>
      <w:r>
        <w:rPr>
          <w:sz w:val="24"/>
          <w:szCs w:val="24"/>
        </w:rPr>
        <w:t xml:space="preserve">We are told that they are wandering around in the exercise room (27.1-2). </w:t>
      </w:r>
      <w:r>
        <w:rPr>
          <w:i/>
          <w:iCs/>
          <w:sz w:val="24"/>
          <w:szCs w:val="24"/>
        </w:rPr>
        <w:t xml:space="preserve">Immo </w:t>
      </w:r>
      <w:r>
        <w:rPr>
          <w:sz w:val="24"/>
          <w:szCs w:val="24"/>
        </w:rPr>
        <w:t xml:space="preserve">would not suggest aimless </w:t>
      </w:r>
      <w:r>
        <w:rPr>
          <w:i/>
          <w:iCs/>
          <w:sz w:val="24"/>
          <w:szCs w:val="24"/>
        </w:rPr>
        <w:t xml:space="preserve">errare </w:t>
      </w:r>
      <w:r>
        <w:rPr>
          <w:sz w:val="24"/>
          <w:szCs w:val="24"/>
        </w:rPr>
        <w:t xml:space="preserve">but that the boys, </w:t>
      </w:r>
      <w:r>
        <w:rPr>
          <w:i/>
          <w:iCs/>
          <w:sz w:val="24"/>
          <w:szCs w:val="24"/>
        </w:rPr>
        <w:t xml:space="preserve">circulis, </w:t>
      </w:r>
      <w:r w:rsidR="009D2EF1">
        <w:rPr>
          <w:sz w:val="24"/>
          <w:szCs w:val="24"/>
        </w:rPr>
        <w:t>joined different</w:t>
      </w:r>
      <w:r w:rsidR="009604AA">
        <w:rPr>
          <w:sz w:val="24"/>
          <w:szCs w:val="24"/>
        </w:rPr>
        <w:t xml:space="preserve"> groups of </w:t>
      </w:r>
      <w:r w:rsidR="009604AA">
        <w:rPr>
          <w:sz w:val="24"/>
          <w:szCs w:val="24"/>
        </w:rPr>
        <w:lastRenderedPageBreak/>
        <w:t>loungers.</w:t>
      </w:r>
      <w:r w:rsidR="009604AA">
        <w:rPr>
          <w:rStyle w:val="FootnoteReference"/>
          <w:sz w:val="24"/>
          <w:szCs w:val="24"/>
        </w:rPr>
        <w:footnoteReference w:id="12"/>
      </w:r>
      <w:r w:rsidR="009B6BA3">
        <w:rPr>
          <w:sz w:val="24"/>
          <w:szCs w:val="24"/>
        </w:rPr>
        <w:t xml:space="preserve"> </w:t>
      </w:r>
      <w:r>
        <w:rPr>
          <w:sz w:val="24"/>
          <w:szCs w:val="24"/>
        </w:rPr>
        <w:t>Schmeling draws attention to Patronius’ proclivity  for repetition of words in immediate contexts</w:t>
      </w:r>
      <w:r w:rsidR="006A630C">
        <w:rPr>
          <w:sz w:val="24"/>
          <w:szCs w:val="24"/>
        </w:rPr>
        <w:t xml:space="preserve">: </w:t>
      </w:r>
      <w:r>
        <w:rPr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 xml:space="preserve">ludentem </w:t>
      </w:r>
      <w:r>
        <w:rPr>
          <w:sz w:val="24"/>
          <w:szCs w:val="24"/>
        </w:rPr>
        <w:t xml:space="preserve">and </w:t>
      </w:r>
      <w:r>
        <w:rPr>
          <w:i/>
          <w:iCs/>
          <w:sz w:val="24"/>
          <w:szCs w:val="24"/>
        </w:rPr>
        <w:t>ludentium</w:t>
      </w:r>
      <w:r w:rsidR="00ED472F">
        <w:rPr>
          <w:i/>
          <w:iCs/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 xml:space="preserve"> </w:t>
      </w:r>
      <w:r w:rsidR="006A630C">
        <w:rPr>
          <w:sz w:val="24"/>
          <w:szCs w:val="24"/>
        </w:rPr>
        <w:t xml:space="preserve">in this passage has the effect of emphasizing the comic, jocular element, </w:t>
      </w:r>
      <w:r>
        <w:rPr>
          <w:sz w:val="24"/>
          <w:szCs w:val="24"/>
        </w:rPr>
        <w:t xml:space="preserve">without which </w:t>
      </w:r>
      <w:r>
        <w:rPr>
          <w:i/>
          <w:iCs/>
          <w:sz w:val="24"/>
          <w:szCs w:val="24"/>
        </w:rPr>
        <w:t xml:space="preserve">circulis </w:t>
      </w:r>
      <w:r>
        <w:rPr>
          <w:sz w:val="24"/>
          <w:szCs w:val="24"/>
        </w:rPr>
        <w:t>is too vague.</w:t>
      </w:r>
      <w:r>
        <w:rPr>
          <w:rStyle w:val="FootnoteReference"/>
          <w:sz w:val="24"/>
          <w:szCs w:val="24"/>
        </w:rPr>
        <w:footnoteReference w:id="13"/>
      </w:r>
    </w:p>
    <w:p w14:paraId="54B4A4C3" w14:textId="61790534" w:rsidR="009D2EF1" w:rsidRDefault="009D2EF1" w:rsidP="00183467">
      <w:pPr>
        <w:rPr>
          <w:sz w:val="24"/>
          <w:szCs w:val="24"/>
        </w:rPr>
      </w:pPr>
      <w:r>
        <w:rPr>
          <w:sz w:val="24"/>
          <w:szCs w:val="24"/>
        </w:rPr>
        <w:t>W</w:t>
      </w:r>
      <w:r w:rsidR="000A2709">
        <w:rPr>
          <w:sz w:val="24"/>
          <w:szCs w:val="24"/>
        </w:rPr>
        <w:t xml:space="preserve">e are told that the boys noticed </w:t>
      </w:r>
      <w:r w:rsidR="000A2709">
        <w:rPr>
          <w:i/>
          <w:iCs/>
          <w:sz w:val="24"/>
          <w:szCs w:val="24"/>
        </w:rPr>
        <w:t xml:space="preserve">senem </w:t>
      </w:r>
      <w:r w:rsidR="00397BCE">
        <w:rPr>
          <w:i/>
          <w:iCs/>
          <w:sz w:val="24"/>
          <w:szCs w:val="24"/>
        </w:rPr>
        <w:t xml:space="preserve">calvum. </w:t>
      </w:r>
      <w:r w:rsidR="00397BCE">
        <w:rPr>
          <w:sz w:val="24"/>
          <w:szCs w:val="24"/>
        </w:rPr>
        <w:t xml:space="preserve">He is scarcely </w:t>
      </w:r>
      <w:r w:rsidR="00D11500">
        <w:rPr>
          <w:sz w:val="24"/>
          <w:szCs w:val="24"/>
        </w:rPr>
        <w:t>old but</w:t>
      </w:r>
      <w:r w:rsidR="00397BCE">
        <w:rPr>
          <w:sz w:val="24"/>
          <w:szCs w:val="24"/>
        </w:rPr>
        <w:t xml:space="preserve"> seems so to the </w:t>
      </w:r>
      <w:r w:rsidR="00397BCE">
        <w:rPr>
          <w:i/>
          <w:iCs/>
          <w:sz w:val="24"/>
          <w:szCs w:val="24"/>
        </w:rPr>
        <w:t>iuuenes.</w:t>
      </w:r>
      <w:r w:rsidR="00397BCE">
        <w:rPr>
          <w:rStyle w:val="FootnoteReference"/>
          <w:i/>
          <w:iCs/>
          <w:sz w:val="24"/>
          <w:szCs w:val="24"/>
        </w:rPr>
        <w:footnoteReference w:id="14"/>
      </w:r>
      <w:r w:rsidR="00397BCE">
        <w:rPr>
          <w:i/>
          <w:iCs/>
          <w:sz w:val="24"/>
          <w:szCs w:val="24"/>
        </w:rPr>
        <w:t xml:space="preserve"> </w:t>
      </w:r>
      <w:r w:rsidR="00397BCE">
        <w:rPr>
          <w:sz w:val="24"/>
          <w:szCs w:val="24"/>
        </w:rPr>
        <w:t>Baldness is a condition about which Romans were particularly sensitive</w:t>
      </w:r>
      <w:r>
        <w:rPr>
          <w:sz w:val="24"/>
          <w:szCs w:val="24"/>
        </w:rPr>
        <w:t>.</w:t>
      </w:r>
      <w:r w:rsidR="002B1CA1">
        <w:rPr>
          <w:sz w:val="24"/>
          <w:szCs w:val="24"/>
        </w:rPr>
        <w:t xml:space="preserve"> Indeed, Nero scoffed at the baldness of the murdered Sulla as if it were a disfigurement, </w:t>
      </w:r>
      <w:r w:rsidR="002B1CA1">
        <w:rPr>
          <w:i/>
          <w:iCs/>
          <w:sz w:val="24"/>
          <w:szCs w:val="24"/>
        </w:rPr>
        <w:t>relatum caput eius inlusit Nero tamquam praematura canities deforme.</w:t>
      </w:r>
      <w:r w:rsidR="002B1CA1">
        <w:rPr>
          <w:rStyle w:val="FootnoteReference"/>
          <w:i/>
          <w:iCs/>
          <w:sz w:val="24"/>
          <w:szCs w:val="24"/>
        </w:rPr>
        <w:footnoteReference w:id="15"/>
      </w:r>
      <w:r w:rsidR="002B1CA1">
        <w:rPr>
          <w:sz w:val="24"/>
          <w:szCs w:val="24"/>
        </w:rPr>
        <w:t xml:space="preserve"> </w:t>
      </w:r>
      <w:r w:rsidR="00397BCE">
        <w:rPr>
          <w:sz w:val="24"/>
          <w:szCs w:val="24"/>
        </w:rPr>
        <w:t xml:space="preserve"> </w:t>
      </w:r>
    </w:p>
    <w:p w14:paraId="4D3C980A" w14:textId="370E488B" w:rsidR="000A2709" w:rsidRDefault="009D2EF1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>T</w:t>
      </w:r>
      <w:r w:rsidR="00397BCE">
        <w:rPr>
          <w:i/>
          <w:iCs/>
          <w:sz w:val="24"/>
          <w:szCs w:val="24"/>
        </w:rPr>
        <w:t>unica vestitum russea</w:t>
      </w:r>
      <w:r>
        <w:rPr>
          <w:i/>
          <w:iCs/>
          <w:sz w:val="24"/>
          <w:szCs w:val="24"/>
        </w:rPr>
        <w:t xml:space="preserve">: </w:t>
      </w:r>
      <w:r w:rsidR="00397BCE">
        <w:rPr>
          <w:i/>
          <w:iCs/>
          <w:sz w:val="24"/>
          <w:szCs w:val="24"/>
        </w:rPr>
        <w:t xml:space="preserve"> </w:t>
      </w:r>
      <w:r w:rsidR="00584B5F">
        <w:rPr>
          <w:sz w:val="24"/>
          <w:szCs w:val="24"/>
        </w:rPr>
        <w:t>Trimalchio likes to wear bright colours</w:t>
      </w:r>
      <w:r w:rsidR="006A630C">
        <w:rPr>
          <w:sz w:val="24"/>
          <w:szCs w:val="24"/>
        </w:rPr>
        <w:t>;</w:t>
      </w:r>
      <w:r w:rsidR="00584B5F">
        <w:rPr>
          <w:sz w:val="24"/>
          <w:szCs w:val="24"/>
        </w:rPr>
        <w:t xml:space="preserve"> </w:t>
      </w:r>
      <w:r w:rsidR="006A630C">
        <w:rPr>
          <w:sz w:val="24"/>
          <w:szCs w:val="24"/>
        </w:rPr>
        <w:t>w</w:t>
      </w:r>
      <w:r w:rsidR="00584B5F">
        <w:rPr>
          <w:sz w:val="24"/>
          <w:szCs w:val="24"/>
        </w:rPr>
        <w:t xml:space="preserve">e are told (28.4) that he was wrapped in a </w:t>
      </w:r>
      <w:r w:rsidR="003932FD">
        <w:rPr>
          <w:sz w:val="24"/>
          <w:szCs w:val="24"/>
        </w:rPr>
        <w:t xml:space="preserve">shaggy </w:t>
      </w:r>
      <w:r w:rsidR="00584B5F">
        <w:rPr>
          <w:sz w:val="24"/>
          <w:szCs w:val="24"/>
        </w:rPr>
        <w:t xml:space="preserve">scarlet woollen coat after his massage, </w:t>
      </w:r>
      <w:r w:rsidR="00584B5F" w:rsidRPr="00584B5F">
        <w:rPr>
          <w:i/>
          <w:iCs/>
          <w:sz w:val="24"/>
          <w:szCs w:val="24"/>
        </w:rPr>
        <w:t>coccina gausapa</w:t>
      </w:r>
      <w:r>
        <w:rPr>
          <w:i/>
          <w:iCs/>
          <w:sz w:val="24"/>
          <w:szCs w:val="24"/>
        </w:rPr>
        <w:t>,</w:t>
      </w:r>
      <w:r w:rsidR="00584B5F">
        <w:rPr>
          <w:rStyle w:val="FootnoteReference"/>
          <w:i/>
          <w:iCs/>
          <w:sz w:val="24"/>
          <w:szCs w:val="24"/>
        </w:rPr>
        <w:footnoteReference w:id="16"/>
      </w:r>
      <w:r w:rsidR="00584B5F">
        <w:rPr>
          <w:i/>
          <w:iCs/>
          <w:sz w:val="24"/>
          <w:szCs w:val="24"/>
        </w:rPr>
        <w:t xml:space="preserve"> </w:t>
      </w:r>
      <w:r w:rsidR="003932FD">
        <w:rPr>
          <w:sz w:val="24"/>
          <w:szCs w:val="24"/>
        </w:rPr>
        <w:t>with its colour displaying</w:t>
      </w:r>
      <w:r>
        <w:rPr>
          <w:sz w:val="24"/>
          <w:szCs w:val="24"/>
        </w:rPr>
        <w:t xml:space="preserve"> effeminite taste. </w:t>
      </w:r>
      <w:r w:rsidR="00705C42">
        <w:rPr>
          <w:sz w:val="24"/>
          <w:szCs w:val="24"/>
        </w:rPr>
        <w:t xml:space="preserve">Such passion for dazzling colours </w:t>
      </w:r>
      <w:r>
        <w:rPr>
          <w:sz w:val="24"/>
          <w:szCs w:val="24"/>
        </w:rPr>
        <w:t xml:space="preserve">also </w:t>
      </w:r>
      <w:r w:rsidR="00705C42">
        <w:rPr>
          <w:sz w:val="24"/>
          <w:szCs w:val="24"/>
        </w:rPr>
        <w:t xml:space="preserve">reflects </w:t>
      </w:r>
      <w:r w:rsidR="00B668EC">
        <w:rPr>
          <w:sz w:val="24"/>
          <w:szCs w:val="24"/>
        </w:rPr>
        <w:t>Trimalchio’s</w:t>
      </w:r>
      <w:r w:rsidR="00705C42">
        <w:rPr>
          <w:sz w:val="24"/>
          <w:szCs w:val="24"/>
        </w:rPr>
        <w:t xml:space="preserve"> vulgarity.</w:t>
      </w:r>
      <w:r w:rsidR="00705C42">
        <w:rPr>
          <w:rStyle w:val="FootnoteReference"/>
          <w:sz w:val="24"/>
          <w:szCs w:val="24"/>
        </w:rPr>
        <w:footnoteReference w:id="17"/>
      </w:r>
    </w:p>
    <w:p w14:paraId="3FA0532E" w14:textId="5D560497" w:rsidR="00EC3012" w:rsidRDefault="00B30BFD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Capillatos: </w:t>
      </w:r>
      <w:r w:rsidR="007D1413">
        <w:rPr>
          <w:sz w:val="24"/>
          <w:szCs w:val="24"/>
        </w:rPr>
        <w:t>Young,</w:t>
      </w:r>
      <w:r>
        <w:rPr>
          <w:sz w:val="24"/>
          <w:szCs w:val="24"/>
        </w:rPr>
        <w:t xml:space="preserve"> </w:t>
      </w:r>
      <w:r w:rsidR="007D1413">
        <w:rPr>
          <w:sz w:val="24"/>
          <w:szCs w:val="24"/>
        </w:rPr>
        <w:t>l</w:t>
      </w:r>
      <w:r>
        <w:rPr>
          <w:sz w:val="24"/>
          <w:szCs w:val="24"/>
        </w:rPr>
        <w:t xml:space="preserve">ong-haired boys were designated as </w:t>
      </w:r>
      <w:r>
        <w:rPr>
          <w:i/>
          <w:iCs/>
          <w:sz w:val="24"/>
          <w:szCs w:val="24"/>
        </w:rPr>
        <w:t>delicat</w:t>
      </w:r>
      <w:r w:rsidR="00B668EC">
        <w:rPr>
          <w:i/>
          <w:iCs/>
          <w:sz w:val="24"/>
          <w:szCs w:val="24"/>
        </w:rPr>
        <w:t>i</w:t>
      </w:r>
      <w:r>
        <w:rPr>
          <w:i/>
          <w:iCs/>
          <w:sz w:val="24"/>
          <w:szCs w:val="24"/>
        </w:rPr>
        <w:t xml:space="preserve">, </w:t>
      </w:r>
      <w:r>
        <w:rPr>
          <w:sz w:val="24"/>
          <w:szCs w:val="24"/>
        </w:rPr>
        <w:t>and Trimalchio himself had come to Rome as a ‘beautiful long-haired youth (29.3)</w:t>
      </w:r>
      <w:r w:rsidR="007D1413">
        <w:rPr>
          <w:sz w:val="24"/>
          <w:szCs w:val="24"/>
        </w:rPr>
        <w:t>, who was</w:t>
      </w:r>
      <w:r>
        <w:rPr>
          <w:sz w:val="24"/>
          <w:szCs w:val="24"/>
        </w:rPr>
        <w:t xml:space="preserve"> quickly bedded by both master and mistress (75. 10-11).</w:t>
      </w:r>
      <w:r w:rsidR="00EC3012">
        <w:rPr>
          <w:rStyle w:val="FootnoteReference"/>
          <w:sz w:val="24"/>
          <w:szCs w:val="24"/>
        </w:rPr>
        <w:footnoteReference w:id="18"/>
      </w:r>
      <w:r w:rsidR="00E114AF">
        <w:rPr>
          <w:sz w:val="24"/>
          <w:szCs w:val="24"/>
        </w:rPr>
        <w:t xml:space="preserve"> </w:t>
      </w:r>
      <w:r w:rsidR="00E114AF">
        <w:rPr>
          <w:i/>
          <w:iCs/>
          <w:sz w:val="24"/>
          <w:szCs w:val="24"/>
        </w:rPr>
        <w:t xml:space="preserve">Nec tam pueri nos: </w:t>
      </w:r>
      <w:r w:rsidR="00E114AF">
        <w:rPr>
          <w:sz w:val="24"/>
          <w:szCs w:val="24"/>
        </w:rPr>
        <w:t>has strong homosexual undertones.</w:t>
      </w:r>
      <w:r w:rsidR="00E946A4">
        <w:rPr>
          <w:sz w:val="24"/>
          <w:szCs w:val="24"/>
        </w:rPr>
        <w:t xml:space="preserve">  </w:t>
      </w:r>
      <w:r w:rsidR="00D10D59">
        <w:rPr>
          <w:sz w:val="24"/>
          <w:szCs w:val="24"/>
        </w:rPr>
        <w:t>T</w:t>
      </w:r>
      <w:r w:rsidR="00AA639C">
        <w:rPr>
          <w:sz w:val="24"/>
          <w:szCs w:val="24"/>
        </w:rPr>
        <w:t>he baths functioned very much like any other public venue -as places where the rich went deliberately to flaunt, show off, and thereby reinforce their claim to social superiority.</w:t>
      </w:r>
      <w:r w:rsidR="00AA639C">
        <w:rPr>
          <w:rStyle w:val="FootnoteReference"/>
          <w:sz w:val="24"/>
          <w:szCs w:val="24"/>
        </w:rPr>
        <w:footnoteReference w:id="19"/>
      </w:r>
    </w:p>
    <w:p w14:paraId="2FB32132" w14:textId="183EC422" w:rsidR="008C432E" w:rsidRDefault="008C432E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Pater familiae…soleatus: </w:t>
      </w:r>
      <w:r>
        <w:rPr>
          <w:sz w:val="24"/>
          <w:szCs w:val="24"/>
        </w:rPr>
        <w:t xml:space="preserve">The </w:t>
      </w:r>
      <w:r>
        <w:rPr>
          <w:i/>
          <w:iCs/>
          <w:sz w:val="24"/>
          <w:szCs w:val="24"/>
        </w:rPr>
        <w:t xml:space="preserve">senex, </w:t>
      </w:r>
      <w:r>
        <w:rPr>
          <w:sz w:val="24"/>
          <w:szCs w:val="24"/>
        </w:rPr>
        <w:t xml:space="preserve">Trimalchio was wearing slippers, often worn indoors; not the </w:t>
      </w:r>
      <w:r>
        <w:rPr>
          <w:i/>
          <w:iCs/>
          <w:sz w:val="24"/>
          <w:szCs w:val="24"/>
        </w:rPr>
        <w:t xml:space="preserve">calcei </w:t>
      </w:r>
      <w:r>
        <w:rPr>
          <w:sz w:val="24"/>
          <w:szCs w:val="24"/>
        </w:rPr>
        <w:t>which were worn outdoors.</w:t>
      </w:r>
      <w:r>
        <w:rPr>
          <w:rStyle w:val="FootnoteReference"/>
          <w:sz w:val="24"/>
          <w:szCs w:val="24"/>
        </w:rPr>
        <w:footnoteReference w:id="20"/>
      </w:r>
      <w:r>
        <w:rPr>
          <w:sz w:val="24"/>
          <w:szCs w:val="24"/>
        </w:rPr>
        <w:t xml:space="preserve"> </w:t>
      </w:r>
      <w:r w:rsidR="00333E54">
        <w:rPr>
          <w:sz w:val="24"/>
          <w:szCs w:val="24"/>
        </w:rPr>
        <w:t xml:space="preserve">It was considered bad taste for senators to be </w:t>
      </w:r>
      <w:r w:rsidR="00333E54">
        <w:rPr>
          <w:i/>
          <w:iCs/>
          <w:sz w:val="24"/>
          <w:szCs w:val="24"/>
        </w:rPr>
        <w:t xml:space="preserve">soleati </w:t>
      </w:r>
      <w:r w:rsidR="00333E54">
        <w:rPr>
          <w:sz w:val="24"/>
          <w:szCs w:val="24"/>
        </w:rPr>
        <w:t>outdoors</w:t>
      </w:r>
      <w:r w:rsidR="00912096">
        <w:rPr>
          <w:sz w:val="24"/>
          <w:szCs w:val="24"/>
        </w:rPr>
        <w:t>;</w:t>
      </w:r>
      <w:r w:rsidR="00C165A4">
        <w:rPr>
          <w:sz w:val="24"/>
          <w:szCs w:val="24"/>
        </w:rPr>
        <w:t xml:space="preserve"> </w:t>
      </w:r>
      <w:r w:rsidR="006A630C">
        <w:rPr>
          <w:sz w:val="24"/>
          <w:szCs w:val="24"/>
        </w:rPr>
        <w:t>Cicero writes</w:t>
      </w:r>
      <w:r w:rsidR="00C165A4">
        <w:rPr>
          <w:sz w:val="24"/>
          <w:szCs w:val="24"/>
        </w:rPr>
        <w:t>,</w:t>
      </w:r>
      <w:r w:rsidR="00333E54">
        <w:rPr>
          <w:sz w:val="24"/>
          <w:szCs w:val="24"/>
        </w:rPr>
        <w:t xml:space="preserve"> </w:t>
      </w:r>
      <w:r w:rsidR="00333E54">
        <w:rPr>
          <w:i/>
          <w:iCs/>
          <w:sz w:val="24"/>
          <w:szCs w:val="24"/>
        </w:rPr>
        <w:t>stetit soleatus praetor populi Romani.</w:t>
      </w:r>
      <w:r w:rsidR="002B1CA1">
        <w:rPr>
          <w:rStyle w:val="FootnoteReference"/>
          <w:i/>
          <w:iCs/>
          <w:sz w:val="24"/>
          <w:szCs w:val="24"/>
        </w:rPr>
        <w:footnoteReference w:id="21"/>
      </w:r>
      <w:r w:rsidR="00333E54">
        <w:rPr>
          <w:sz w:val="24"/>
          <w:szCs w:val="24"/>
        </w:rPr>
        <w:t xml:space="preserve"> </w:t>
      </w:r>
      <w:r w:rsidR="007D1413">
        <w:rPr>
          <w:sz w:val="24"/>
          <w:szCs w:val="24"/>
        </w:rPr>
        <w:t>T</w:t>
      </w:r>
      <w:r w:rsidR="00F71310">
        <w:rPr>
          <w:sz w:val="24"/>
          <w:szCs w:val="24"/>
        </w:rPr>
        <w:t xml:space="preserve">he juxtaposition of </w:t>
      </w:r>
      <w:r w:rsidR="00F71310">
        <w:rPr>
          <w:i/>
          <w:iCs/>
          <w:sz w:val="24"/>
          <w:szCs w:val="24"/>
        </w:rPr>
        <w:t xml:space="preserve">pila prasina </w:t>
      </w:r>
      <w:r w:rsidR="00F71310">
        <w:rPr>
          <w:sz w:val="24"/>
          <w:szCs w:val="24"/>
        </w:rPr>
        <w:t xml:space="preserve">would </w:t>
      </w:r>
      <w:r w:rsidR="007D1413">
        <w:rPr>
          <w:sz w:val="24"/>
          <w:szCs w:val="24"/>
        </w:rPr>
        <w:t xml:space="preserve">also </w:t>
      </w:r>
      <w:r w:rsidR="00F71310">
        <w:rPr>
          <w:sz w:val="24"/>
          <w:szCs w:val="24"/>
        </w:rPr>
        <w:t xml:space="preserve">suggest </w:t>
      </w:r>
      <w:r w:rsidR="00C165A4">
        <w:rPr>
          <w:sz w:val="24"/>
          <w:szCs w:val="24"/>
        </w:rPr>
        <w:t>impropriety</w:t>
      </w:r>
      <w:r w:rsidR="00F71310">
        <w:rPr>
          <w:sz w:val="24"/>
          <w:szCs w:val="24"/>
        </w:rPr>
        <w:t>.</w:t>
      </w:r>
      <w:r w:rsidR="00F71310">
        <w:rPr>
          <w:rStyle w:val="FootnoteReference"/>
          <w:sz w:val="24"/>
          <w:szCs w:val="24"/>
        </w:rPr>
        <w:footnoteReference w:id="22"/>
      </w:r>
    </w:p>
    <w:p w14:paraId="28610D76" w14:textId="5ABAB8B8" w:rsidR="00A30CCC" w:rsidRDefault="00E924E2" w:rsidP="00183467">
      <w:pPr>
        <w:rPr>
          <w:sz w:val="24"/>
          <w:szCs w:val="24"/>
        </w:rPr>
      </w:pPr>
      <w:r>
        <w:rPr>
          <w:sz w:val="24"/>
          <w:szCs w:val="24"/>
        </w:rPr>
        <w:t xml:space="preserve">The game which Trimalchio is playing is believed to be a variation of </w:t>
      </w:r>
      <w:r>
        <w:rPr>
          <w:i/>
          <w:iCs/>
          <w:sz w:val="24"/>
          <w:szCs w:val="24"/>
        </w:rPr>
        <w:t xml:space="preserve">trigon </w:t>
      </w:r>
      <w:r>
        <w:rPr>
          <w:sz w:val="24"/>
          <w:szCs w:val="24"/>
        </w:rPr>
        <w:t>(</w:t>
      </w:r>
      <w:r>
        <w:rPr>
          <w:i/>
          <w:iCs/>
          <w:sz w:val="24"/>
          <w:szCs w:val="24"/>
        </w:rPr>
        <w:t>pila trigonolis</w:t>
      </w:r>
      <w:r>
        <w:rPr>
          <w:sz w:val="24"/>
          <w:szCs w:val="24"/>
        </w:rPr>
        <w:t>)</w:t>
      </w:r>
      <w:r w:rsidR="00D10D59">
        <w:rPr>
          <w:sz w:val="24"/>
          <w:szCs w:val="24"/>
        </w:rPr>
        <w:t xml:space="preserve">, which was usually played  by three persons, each at one corner of a triangle, or by four players throwing and catching 6 balls. </w:t>
      </w:r>
      <w:r w:rsidR="0089202E">
        <w:rPr>
          <w:sz w:val="24"/>
          <w:szCs w:val="24"/>
        </w:rPr>
        <w:t>As a variation,</w:t>
      </w:r>
      <w:r w:rsidR="00D10D59">
        <w:rPr>
          <w:sz w:val="24"/>
          <w:szCs w:val="24"/>
        </w:rPr>
        <w:t xml:space="preserve"> Trimalchio throws balls to other players which they catch , with Trimalchio counting in his favour any balls they miss.</w:t>
      </w:r>
      <w:r w:rsidR="00FC5899">
        <w:rPr>
          <w:sz w:val="24"/>
          <w:szCs w:val="24"/>
        </w:rPr>
        <w:t xml:space="preserve"> </w:t>
      </w:r>
      <w:r w:rsidR="00ED472F">
        <w:rPr>
          <w:sz w:val="24"/>
          <w:szCs w:val="24"/>
        </w:rPr>
        <w:t>In an ostentatious display of wealth, Trimalchio did not bother to retrieve any ball that came into contact with the ground</w:t>
      </w:r>
      <w:r w:rsidR="00D10D59">
        <w:rPr>
          <w:sz w:val="24"/>
          <w:szCs w:val="24"/>
        </w:rPr>
        <w:t>.</w:t>
      </w:r>
      <w:r w:rsidR="00D10D59">
        <w:rPr>
          <w:rStyle w:val="FootnoteReference"/>
          <w:sz w:val="24"/>
          <w:szCs w:val="24"/>
        </w:rPr>
        <w:footnoteReference w:id="23"/>
      </w:r>
      <w:r w:rsidR="00D10D59">
        <w:rPr>
          <w:sz w:val="24"/>
          <w:szCs w:val="24"/>
        </w:rPr>
        <w:t xml:space="preserve"> </w:t>
      </w:r>
      <w:r w:rsidR="00FC5899">
        <w:rPr>
          <w:i/>
          <w:iCs/>
          <w:sz w:val="24"/>
          <w:szCs w:val="24"/>
        </w:rPr>
        <w:t xml:space="preserve">Iusu  expellente: </w:t>
      </w:r>
      <w:r w:rsidR="00FC5899">
        <w:rPr>
          <w:sz w:val="24"/>
          <w:szCs w:val="24"/>
        </w:rPr>
        <w:t xml:space="preserve">Given that the game involved catching and throwing a ball, we would have expected a passive rather than an active participle modifying </w:t>
      </w:r>
      <w:r w:rsidR="00FC5899">
        <w:rPr>
          <w:i/>
          <w:iCs/>
          <w:sz w:val="24"/>
          <w:szCs w:val="24"/>
        </w:rPr>
        <w:t>Iusu.</w:t>
      </w:r>
      <w:r w:rsidR="00FC5899">
        <w:rPr>
          <w:rStyle w:val="FootnoteReference"/>
          <w:i/>
          <w:iCs/>
          <w:sz w:val="24"/>
          <w:szCs w:val="24"/>
        </w:rPr>
        <w:footnoteReference w:id="24"/>
      </w:r>
    </w:p>
    <w:p w14:paraId="47F2AE37" w14:textId="4CED6C87" w:rsidR="009D6217" w:rsidRDefault="009D6217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lastRenderedPageBreak/>
        <w:t xml:space="preserve">Notavimus: </w:t>
      </w:r>
      <w:r w:rsidR="00853E13">
        <w:rPr>
          <w:sz w:val="24"/>
          <w:szCs w:val="24"/>
        </w:rPr>
        <w:t xml:space="preserve"> </w:t>
      </w:r>
      <w:r w:rsidR="008F3075">
        <w:rPr>
          <w:sz w:val="24"/>
          <w:szCs w:val="24"/>
        </w:rPr>
        <w:t>Encolpius and company function as spectators, much more than actors.</w:t>
      </w:r>
      <w:r w:rsidR="001A6891">
        <w:rPr>
          <w:sz w:val="24"/>
          <w:szCs w:val="24"/>
        </w:rPr>
        <w:t xml:space="preserve"> </w:t>
      </w:r>
      <w:r w:rsidR="008F3075">
        <w:rPr>
          <w:sz w:val="24"/>
          <w:szCs w:val="24"/>
        </w:rPr>
        <w:t xml:space="preserve"> </w:t>
      </w:r>
      <w:r w:rsidR="00853E13">
        <w:rPr>
          <w:sz w:val="24"/>
          <w:szCs w:val="24"/>
        </w:rPr>
        <w:t>As</w:t>
      </w:r>
      <w:r w:rsidR="008F3075">
        <w:rPr>
          <w:sz w:val="24"/>
          <w:szCs w:val="24"/>
        </w:rPr>
        <w:t xml:space="preserve"> a participant observer, Encolpius ‘gazes and guzzles, swills and sneers, mocks, marvels and munches.’ He is a narrator who is both appalled and amazed</w:t>
      </w:r>
      <w:r w:rsidR="00A5263A">
        <w:rPr>
          <w:sz w:val="24"/>
          <w:szCs w:val="24"/>
        </w:rPr>
        <w:t>;</w:t>
      </w:r>
      <w:r w:rsidR="008F3075">
        <w:rPr>
          <w:rStyle w:val="FootnoteReference"/>
          <w:sz w:val="24"/>
          <w:szCs w:val="24"/>
        </w:rPr>
        <w:footnoteReference w:id="25"/>
      </w:r>
      <w:r w:rsidR="008F3075">
        <w:rPr>
          <w:sz w:val="24"/>
          <w:szCs w:val="24"/>
        </w:rPr>
        <w:t xml:space="preserve"> </w:t>
      </w:r>
      <w:r w:rsidR="00A5263A">
        <w:rPr>
          <w:sz w:val="24"/>
          <w:szCs w:val="24"/>
        </w:rPr>
        <w:t>a nervous, squeamish guest.</w:t>
      </w:r>
      <w:r w:rsidR="00A5263A">
        <w:rPr>
          <w:rStyle w:val="FootnoteReference"/>
          <w:sz w:val="24"/>
          <w:szCs w:val="24"/>
        </w:rPr>
        <w:footnoteReference w:id="26"/>
      </w:r>
      <w:r w:rsidR="008A3F70">
        <w:rPr>
          <w:sz w:val="24"/>
          <w:szCs w:val="24"/>
        </w:rPr>
        <w:t xml:space="preserve">  </w:t>
      </w:r>
    </w:p>
    <w:p w14:paraId="3748299C" w14:textId="36C0AA1F" w:rsidR="00912096" w:rsidRPr="00912096" w:rsidRDefault="00912096" w:rsidP="00183467">
      <w:pPr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 xml:space="preserve">Duo spadones: </w:t>
      </w:r>
      <w:r>
        <w:rPr>
          <w:sz w:val="24"/>
          <w:szCs w:val="24"/>
        </w:rPr>
        <w:t>Owning eunuchs, who were seen as sexually trustworthy and thus generally reliable, is a sign of wealth and importance or pretentious luxury;</w:t>
      </w:r>
      <w:r>
        <w:rPr>
          <w:rStyle w:val="FootnoteReference"/>
          <w:sz w:val="24"/>
          <w:szCs w:val="24"/>
        </w:rPr>
        <w:footnoteReference w:id="27"/>
      </w:r>
      <w:r>
        <w:rPr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>Cum tener uxorem ducat spado, Mevia Tuscam figat aprum et nuda teneat venebula mamma</w:t>
      </w:r>
      <w:r w:rsidR="001A6891">
        <w:rPr>
          <w:i/>
          <w:iCs/>
          <w:sz w:val="24"/>
          <w:szCs w:val="24"/>
        </w:rPr>
        <w:t>.</w:t>
      </w:r>
      <w:r>
        <w:rPr>
          <w:rStyle w:val="FootnoteReference"/>
          <w:i/>
          <w:iCs/>
          <w:sz w:val="24"/>
          <w:szCs w:val="24"/>
        </w:rPr>
        <w:footnoteReference w:id="28"/>
      </w:r>
    </w:p>
    <w:p w14:paraId="10347854" w14:textId="18D2C5FC" w:rsidR="00FC5899" w:rsidRDefault="00FC5899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Miraremur lautitias: </w:t>
      </w:r>
      <w:r>
        <w:rPr>
          <w:sz w:val="24"/>
          <w:szCs w:val="24"/>
        </w:rPr>
        <w:t xml:space="preserve">This is meant </w:t>
      </w:r>
      <w:r w:rsidR="00853E13">
        <w:rPr>
          <w:sz w:val="24"/>
          <w:szCs w:val="24"/>
        </w:rPr>
        <w:t>ironically and</w:t>
      </w:r>
      <w:r w:rsidR="00705C42">
        <w:rPr>
          <w:sz w:val="24"/>
          <w:szCs w:val="24"/>
        </w:rPr>
        <w:t xml:space="preserve"> </w:t>
      </w:r>
      <w:r w:rsidR="001A6891">
        <w:rPr>
          <w:sz w:val="24"/>
          <w:szCs w:val="24"/>
        </w:rPr>
        <w:t xml:space="preserve">is </w:t>
      </w:r>
      <w:r w:rsidR="00705C42">
        <w:rPr>
          <w:sz w:val="24"/>
          <w:szCs w:val="24"/>
        </w:rPr>
        <w:t>characteristic of Encolpius and his friends who will stamp each example of ill-breeding with the seal of ironical approval.</w:t>
      </w:r>
      <w:r w:rsidR="00705C42">
        <w:rPr>
          <w:rStyle w:val="FootnoteReference"/>
          <w:sz w:val="24"/>
          <w:szCs w:val="24"/>
        </w:rPr>
        <w:footnoteReference w:id="29"/>
      </w:r>
      <w:r>
        <w:rPr>
          <w:sz w:val="24"/>
          <w:szCs w:val="24"/>
        </w:rPr>
        <w:t xml:space="preserve"> Agamemnon’s slave had described Trimalchio, in his naïve sincerity, as </w:t>
      </w:r>
      <w:r>
        <w:rPr>
          <w:i/>
          <w:iCs/>
          <w:sz w:val="24"/>
          <w:szCs w:val="24"/>
        </w:rPr>
        <w:t xml:space="preserve">lautissimus homo. </w:t>
      </w:r>
    </w:p>
    <w:p w14:paraId="4C4DDF3B" w14:textId="111FEF91" w:rsidR="00761060" w:rsidRDefault="00216DCD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Cubitum ponitis: </w:t>
      </w:r>
      <w:r>
        <w:rPr>
          <w:sz w:val="24"/>
          <w:szCs w:val="24"/>
        </w:rPr>
        <w:t>Romans frequently reclined at dinner</w:t>
      </w:r>
      <w:r w:rsidR="001A6891">
        <w:rPr>
          <w:sz w:val="24"/>
          <w:szCs w:val="24"/>
        </w:rPr>
        <w:t xml:space="preserve">, using </w:t>
      </w:r>
      <w:r>
        <w:rPr>
          <w:sz w:val="24"/>
          <w:szCs w:val="24"/>
        </w:rPr>
        <w:t xml:space="preserve">the right hand to eat while </w:t>
      </w:r>
      <w:r w:rsidR="001A6891">
        <w:rPr>
          <w:sz w:val="24"/>
          <w:szCs w:val="24"/>
        </w:rPr>
        <w:t>resting</w:t>
      </w:r>
      <w:r>
        <w:rPr>
          <w:sz w:val="24"/>
          <w:szCs w:val="24"/>
        </w:rPr>
        <w:t xml:space="preserve"> their left elbow on a pillow</w:t>
      </w:r>
      <w:r w:rsidR="00761060">
        <w:rPr>
          <w:sz w:val="24"/>
          <w:szCs w:val="24"/>
        </w:rPr>
        <w:t xml:space="preserve">. Facing the table, their feet would protrude at the back of the couch, which explains why slaves in the </w:t>
      </w:r>
      <w:r w:rsidR="00761060">
        <w:rPr>
          <w:i/>
          <w:iCs/>
          <w:sz w:val="24"/>
          <w:szCs w:val="24"/>
        </w:rPr>
        <w:t xml:space="preserve">Cena </w:t>
      </w:r>
      <w:r w:rsidR="00761060">
        <w:rPr>
          <w:sz w:val="24"/>
          <w:szCs w:val="24"/>
        </w:rPr>
        <w:t xml:space="preserve">are busily engaged with the feet of their </w:t>
      </w:r>
      <w:r w:rsidR="00946F97">
        <w:rPr>
          <w:sz w:val="24"/>
          <w:szCs w:val="24"/>
        </w:rPr>
        <w:t>guests</w:t>
      </w:r>
      <w:r w:rsidR="001A6891">
        <w:rPr>
          <w:sz w:val="24"/>
          <w:szCs w:val="24"/>
        </w:rPr>
        <w:t>,</w:t>
      </w:r>
      <w:r w:rsidR="00761060">
        <w:rPr>
          <w:sz w:val="24"/>
          <w:szCs w:val="24"/>
        </w:rPr>
        <w:t xml:space="preserve"> </w:t>
      </w:r>
      <w:r w:rsidR="00761060">
        <w:rPr>
          <w:i/>
          <w:iCs/>
          <w:sz w:val="24"/>
          <w:szCs w:val="24"/>
        </w:rPr>
        <w:t>servi a pedibus.</w:t>
      </w:r>
      <w:r w:rsidR="00761060">
        <w:rPr>
          <w:rStyle w:val="FootnoteReference"/>
          <w:i/>
          <w:iCs/>
          <w:sz w:val="24"/>
          <w:szCs w:val="24"/>
        </w:rPr>
        <w:footnoteReference w:id="30"/>
      </w:r>
      <w:r w:rsidR="00761060">
        <w:rPr>
          <w:i/>
          <w:iCs/>
          <w:sz w:val="24"/>
          <w:szCs w:val="24"/>
        </w:rPr>
        <w:t xml:space="preserve"> </w:t>
      </w:r>
      <w:r w:rsidR="00761060">
        <w:rPr>
          <w:sz w:val="24"/>
          <w:szCs w:val="24"/>
        </w:rPr>
        <w:t xml:space="preserve"> </w:t>
      </w:r>
    </w:p>
    <w:p w14:paraId="116E12CF" w14:textId="4A6E9048" w:rsidR="007B2BC2" w:rsidRDefault="00D26EE0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Digitis concrepuit: </w:t>
      </w:r>
      <w:r>
        <w:rPr>
          <w:sz w:val="24"/>
          <w:szCs w:val="24"/>
        </w:rPr>
        <w:t>Trimalchio</w:t>
      </w:r>
      <w:r w:rsidR="00B1376A">
        <w:rPr>
          <w:sz w:val="24"/>
          <w:szCs w:val="24"/>
        </w:rPr>
        <w:t>, typically trying to take control,</w:t>
      </w:r>
      <w:r>
        <w:rPr>
          <w:sz w:val="24"/>
          <w:szCs w:val="24"/>
        </w:rPr>
        <w:t xml:space="preserve"> summon</w:t>
      </w:r>
      <w:r w:rsidR="00B1376A">
        <w:rPr>
          <w:sz w:val="24"/>
          <w:szCs w:val="24"/>
        </w:rPr>
        <w:t>s</w:t>
      </w:r>
      <w:r>
        <w:rPr>
          <w:sz w:val="24"/>
          <w:szCs w:val="24"/>
        </w:rPr>
        <w:t xml:space="preserve"> a slave to bring him a </w:t>
      </w:r>
      <w:r>
        <w:rPr>
          <w:i/>
          <w:iCs/>
          <w:sz w:val="24"/>
          <w:szCs w:val="24"/>
        </w:rPr>
        <w:t xml:space="preserve">matella </w:t>
      </w:r>
      <w:r>
        <w:rPr>
          <w:sz w:val="24"/>
          <w:szCs w:val="24"/>
        </w:rPr>
        <w:t xml:space="preserve">(a bottle-shaped receptacle for urine rather than a chamber-pot – </w:t>
      </w:r>
      <w:r>
        <w:rPr>
          <w:i/>
          <w:iCs/>
          <w:sz w:val="24"/>
          <w:szCs w:val="24"/>
        </w:rPr>
        <w:t>lasanum</w:t>
      </w:r>
      <w:r>
        <w:rPr>
          <w:sz w:val="24"/>
          <w:szCs w:val="24"/>
        </w:rPr>
        <w:t xml:space="preserve">) 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>so that he could urinate on the spot</w:t>
      </w:r>
      <w:r w:rsidR="00853E13">
        <w:rPr>
          <w:sz w:val="24"/>
          <w:szCs w:val="24"/>
        </w:rPr>
        <w:t xml:space="preserve"> (drawing attention to himself) and</w:t>
      </w:r>
      <w:r w:rsidR="001A6891">
        <w:rPr>
          <w:sz w:val="24"/>
          <w:szCs w:val="24"/>
        </w:rPr>
        <w:t xml:space="preserve"> thus continu</w:t>
      </w:r>
      <w:r w:rsidR="00853E13">
        <w:rPr>
          <w:sz w:val="24"/>
          <w:szCs w:val="24"/>
        </w:rPr>
        <w:t>e</w:t>
      </w:r>
      <w:r w:rsidR="001A6891">
        <w:rPr>
          <w:sz w:val="24"/>
          <w:szCs w:val="24"/>
        </w:rPr>
        <w:t xml:space="preserve"> his game</w:t>
      </w:r>
      <w:r w:rsidR="00853E13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8E0802">
        <w:rPr>
          <w:sz w:val="24"/>
          <w:szCs w:val="24"/>
        </w:rPr>
        <w:t xml:space="preserve"> At 45.8, </w:t>
      </w:r>
      <w:r w:rsidR="008E0802">
        <w:rPr>
          <w:i/>
          <w:iCs/>
          <w:sz w:val="24"/>
          <w:szCs w:val="24"/>
        </w:rPr>
        <w:t xml:space="preserve">matella </w:t>
      </w:r>
      <w:r w:rsidR="008E0802">
        <w:rPr>
          <w:sz w:val="24"/>
          <w:szCs w:val="24"/>
        </w:rPr>
        <w:t xml:space="preserve">becomes an invective for an unfaithful wife, </w:t>
      </w:r>
      <w:r w:rsidR="008E0802">
        <w:rPr>
          <w:i/>
          <w:iCs/>
          <w:sz w:val="24"/>
          <w:szCs w:val="24"/>
        </w:rPr>
        <w:t>magis illa matella Digna fuit quam taurus iactaret.</w:t>
      </w:r>
      <w:r w:rsidR="008E0802">
        <w:rPr>
          <w:sz w:val="24"/>
          <w:szCs w:val="24"/>
        </w:rPr>
        <w:t xml:space="preserve"> </w:t>
      </w:r>
      <w:r w:rsidR="008E0802">
        <w:rPr>
          <w:i/>
          <w:iCs/>
          <w:sz w:val="24"/>
          <w:szCs w:val="24"/>
        </w:rPr>
        <w:t xml:space="preserve"> </w:t>
      </w:r>
      <w:r w:rsidR="007C48F8">
        <w:rPr>
          <w:sz w:val="24"/>
          <w:szCs w:val="24"/>
        </w:rPr>
        <w:t>W</w:t>
      </w:r>
      <w:r w:rsidR="008E0802">
        <w:rPr>
          <w:sz w:val="24"/>
          <w:szCs w:val="24"/>
        </w:rPr>
        <w:t xml:space="preserve">hile such vessels are usually earthernware, self-made men had silver or gold. </w:t>
      </w:r>
      <w:r w:rsidR="007C48F8">
        <w:rPr>
          <w:sz w:val="24"/>
          <w:szCs w:val="24"/>
        </w:rPr>
        <w:t xml:space="preserve"> </w:t>
      </w:r>
      <w:r w:rsidR="00D82FC8">
        <w:rPr>
          <w:sz w:val="24"/>
          <w:szCs w:val="24"/>
        </w:rPr>
        <w:t xml:space="preserve">Having washed his hands, </w:t>
      </w:r>
      <w:r w:rsidR="007C48F8">
        <w:rPr>
          <w:sz w:val="24"/>
          <w:szCs w:val="24"/>
        </w:rPr>
        <w:t>Trimalchio</w:t>
      </w:r>
      <w:r w:rsidR="00D82FC8">
        <w:rPr>
          <w:sz w:val="24"/>
          <w:szCs w:val="24"/>
        </w:rPr>
        <w:t xml:space="preserve"> dries them on the hair of a slave </w:t>
      </w:r>
      <w:r w:rsidR="00D82FC8">
        <w:rPr>
          <w:i/>
          <w:iCs/>
          <w:sz w:val="24"/>
          <w:szCs w:val="24"/>
        </w:rPr>
        <w:t xml:space="preserve">in capite..tersit, </w:t>
      </w:r>
      <w:r w:rsidR="007C48F8">
        <w:rPr>
          <w:sz w:val="24"/>
          <w:szCs w:val="24"/>
        </w:rPr>
        <w:t>an act typical among the</w:t>
      </w:r>
      <w:r w:rsidR="00D82FC8">
        <w:rPr>
          <w:sz w:val="24"/>
          <w:szCs w:val="24"/>
        </w:rPr>
        <w:t xml:space="preserve"> higher social strata</w:t>
      </w:r>
      <w:r w:rsidR="00853E13">
        <w:rPr>
          <w:sz w:val="24"/>
          <w:szCs w:val="24"/>
        </w:rPr>
        <w:t>,</w:t>
      </w:r>
      <w:r w:rsidR="00D82FC8">
        <w:rPr>
          <w:rStyle w:val="FootnoteReference"/>
          <w:sz w:val="24"/>
          <w:szCs w:val="24"/>
        </w:rPr>
        <w:footnoteReference w:id="31"/>
      </w:r>
      <w:r w:rsidR="00D82FC8">
        <w:rPr>
          <w:sz w:val="24"/>
          <w:szCs w:val="24"/>
        </w:rPr>
        <w:t xml:space="preserve">  echo</w:t>
      </w:r>
      <w:r w:rsidR="00853E13">
        <w:rPr>
          <w:sz w:val="24"/>
          <w:szCs w:val="24"/>
        </w:rPr>
        <w:t>ing</w:t>
      </w:r>
      <w:r w:rsidR="00D82FC8">
        <w:rPr>
          <w:sz w:val="24"/>
          <w:szCs w:val="24"/>
        </w:rPr>
        <w:t xml:space="preserve"> Luke</w:t>
      </w:r>
      <w:r w:rsidR="00E946A4">
        <w:rPr>
          <w:sz w:val="24"/>
          <w:szCs w:val="24"/>
        </w:rPr>
        <w:t>’s gospel;</w:t>
      </w:r>
      <w:r w:rsidR="00D82FC8">
        <w:rPr>
          <w:sz w:val="24"/>
          <w:szCs w:val="24"/>
        </w:rPr>
        <w:t xml:space="preserve"> 7:38</w:t>
      </w:r>
      <w:r w:rsidR="00853E13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4670D62C" w14:textId="3B177C4A" w:rsidR="00D26EE0" w:rsidRDefault="007B2BC2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>Longum erat</w:t>
      </w:r>
      <w:r w:rsidR="007C48F8">
        <w:rPr>
          <w:i/>
          <w:iCs/>
          <w:sz w:val="24"/>
          <w:szCs w:val="24"/>
        </w:rPr>
        <w:t xml:space="preserve"> </w:t>
      </w:r>
      <w:r w:rsidR="007C48F8">
        <w:rPr>
          <w:sz w:val="24"/>
          <w:szCs w:val="24"/>
        </w:rPr>
        <w:t>(</w:t>
      </w:r>
      <w:r w:rsidR="00853E13">
        <w:rPr>
          <w:sz w:val="24"/>
          <w:szCs w:val="24"/>
        </w:rPr>
        <w:t xml:space="preserve">Chapter </w:t>
      </w:r>
      <w:r w:rsidR="007C48F8">
        <w:rPr>
          <w:sz w:val="24"/>
          <w:szCs w:val="24"/>
        </w:rPr>
        <w:t>28)</w:t>
      </w:r>
      <w:r>
        <w:rPr>
          <w:i/>
          <w:iCs/>
          <w:sz w:val="24"/>
          <w:szCs w:val="24"/>
        </w:rPr>
        <w:t xml:space="preserve">: </w:t>
      </w:r>
      <w:r>
        <w:rPr>
          <w:sz w:val="24"/>
          <w:szCs w:val="24"/>
        </w:rPr>
        <w:t xml:space="preserve">‘It </w:t>
      </w:r>
      <w:r>
        <w:rPr>
          <w:i/>
          <w:iCs/>
          <w:sz w:val="24"/>
          <w:szCs w:val="24"/>
        </w:rPr>
        <w:t xml:space="preserve">would have </w:t>
      </w:r>
      <w:r>
        <w:rPr>
          <w:sz w:val="24"/>
          <w:szCs w:val="24"/>
        </w:rPr>
        <w:t xml:space="preserve">taken too long’. </w:t>
      </w:r>
      <w:r w:rsidR="00463680">
        <w:rPr>
          <w:sz w:val="24"/>
          <w:szCs w:val="24"/>
        </w:rPr>
        <w:t xml:space="preserve"> T</w:t>
      </w:r>
      <w:r>
        <w:rPr>
          <w:sz w:val="24"/>
          <w:szCs w:val="24"/>
        </w:rPr>
        <w:t xml:space="preserve">he whole movement of the scene is fast, </w:t>
      </w:r>
      <w:r w:rsidR="00BB3F74">
        <w:rPr>
          <w:sz w:val="24"/>
          <w:szCs w:val="24"/>
        </w:rPr>
        <w:t>with the undressing of the pair not described.</w:t>
      </w:r>
      <w:r w:rsidR="00D82FC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 xml:space="preserve">Intravimus balneum: </w:t>
      </w:r>
      <w:r>
        <w:rPr>
          <w:sz w:val="24"/>
          <w:szCs w:val="24"/>
        </w:rPr>
        <w:t>The normal hours for the opening of the public bath would be 8</w:t>
      </w:r>
      <w:r w:rsidRPr="007B2BC2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>-9</w:t>
      </w:r>
      <w:r w:rsidRPr="007B2BC2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hour</w:t>
      </w:r>
      <w:r w:rsidR="006278EE">
        <w:rPr>
          <w:sz w:val="24"/>
          <w:szCs w:val="24"/>
        </w:rPr>
        <w:t>.</w:t>
      </w:r>
      <w:r w:rsidR="006278EE">
        <w:rPr>
          <w:rStyle w:val="FootnoteReference"/>
          <w:sz w:val="24"/>
          <w:szCs w:val="24"/>
        </w:rPr>
        <w:footnoteReference w:id="32"/>
      </w:r>
      <w:r w:rsidR="006278EE">
        <w:rPr>
          <w:sz w:val="24"/>
          <w:szCs w:val="24"/>
        </w:rPr>
        <w:t xml:space="preserve"> The </w:t>
      </w:r>
      <w:r w:rsidR="006278EE">
        <w:rPr>
          <w:i/>
          <w:iCs/>
          <w:sz w:val="24"/>
          <w:szCs w:val="24"/>
        </w:rPr>
        <w:t xml:space="preserve">Cena </w:t>
      </w:r>
      <w:r w:rsidR="006278EE">
        <w:rPr>
          <w:sz w:val="24"/>
          <w:szCs w:val="24"/>
        </w:rPr>
        <w:t>would thus begin at about 9</w:t>
      </w:r>
      <w:r w:rsidR="006278EE" w:rsidRPr="006278EE">
        <w:rPr>
          <w:sz w:val="24"/>
          <w:szCs w:val="24"/>
          <w:vertAlign w:val="superscript"/>
        </w:rPr>
        <w:t>th</w:t>
      </w:r>
      <w:r w:rsidR="006278EE">
        <w:rPr>
          <w:sz w:val="24"/>
          <w:szCs w:val="24"/>
        </w:rPr>
        <w:t>-10</w:t>
      </w:r>
      <w:r w:rsidR="006278EE" w:rsidRPr="006278EE">
        <w:rPr>
          <w:sz w:val="24"/>
          <w:szCs w:val="24"/>
          <w:vertAlign w:val="superscript"/>
        </w:rPr>
        <w:t>th</w:t>
      </w:r>
      <w:r w:rsidR="006278EE">
        <w:rPr>
          <w:sz w:val="24"/>
          <w:szCs w:val="24"/>
        </w:rPr>
        <w:t xml:space="preserve"> hour.</w:t>
      </w:r>
    </w:p>
    <w:p w14:paraId="7BEF5E77" w14:textId="0EA1F606" w:rsidR="006278EE" w:rsidRDefault="006278EE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Calfacti: </w:t>
      </w:r>
      <w:r>
        <w:rPr>
          <w:sz w:val="24"/>
          <w:szCs w:val="24"/>
        </w:rPr>
        <w:t xml:space="preserve">From the </w:t>
      </w:r>
      <w:r>
        <w:rPr>
          <w:i/>
          <w:iCs/>
          <w:sz w:val="24"/>
          <w:szCs w:val="24"/>
        </w:rPr>
        <w:t xml:space="preserve">balneum </w:t>
      </w:r>
      <w:r>
        <w:rPr>
          <w:sz w:val="24"/>
          <w:szCs w:val="24"/>
        </w:rPr>
        <w:t xml:space="preserve">itself, the pair move quickly to the dry heat of the </w:t>
      </w:r>
      <w:r>
        <w:rPr>
          <w:i/>
          <w:iCs/>
          <w:sz w:val="24"/>
          <w:szCs w:val="24"/>
        </w:rPr>
        <w:t xml:space="preserve">laconicum, </w:t>
      </w:r>
      <w:r>
        <w:rPr>
          <w:sz w:val="24"/>
          <w:szCs w:val="24"/>
        </w:rPr>
        <w:t xml:space="preserve">and then on to the cold water of the  </w:t>
      </w:r>
      <w:r>
        <w:rPr>
          <w:i/>
          <w:iCs/>
          <w:sz w:val="24"/>
          <w:szCs w:val="24"/>
        </w:rPr>
        <w:t>frigidarium.</w:t>
      </w:r>
      <w:r>
        <w:rPr>
          <w:rStyle w:val="FootnoteReference"/>
          <w:i/>
          <w:iCs/>
          <w:sz w:val="24"/>
          <w:szCs w:val="24"/>
        </w:rPr>
        <w:footnoteReference w:id="33"/>
      </w:r>
      <w:r>
        <w:rPr>
          <w:i/>
          <w:iCs/>
          <w:sz w:val="24"/>
          <w:szCs w:val="24"/>
        </w:rPr>
        <w:t xml:space="preserve"> </w:t>
      </w:r>
      <w:r w:rsidR="00BB3F74">
        <w:rPr>
          <w:sz w:val="24"/>
          <w:szCs w:val="24"/>
        </w:rPr>
        <w:t xml:space="preserve"> Generally</w:t>
      </w:r>
      <w:r w:rsidR="00A45557">
        <w:rPr>
          <w:sz w:val="24"/>
          <w:szCs w:val="24"/>
        </w:rPr>
        <w:t xml:space="preserve"> the </w:t>
      </w:r>
      <w:r w:rsidR="00A45557">
        <w:rPr>
          <w:i/>
          <w:iCs/>
          <w:sz w:val="24"/>
          <w:szCs w:val="24"/>
        </w:rPr>
        <w:t xml:space="preserve">laconium </w:t>
      </w:r>
      <w:r w:rsidR="00A45557">
        <w:rPr>
          <w:sz w:val="24"/>
          <w:szCs w:val="24"/>
        </w:rPr>
        <w:t xml:space="preserve">(dry sweating room), </w:t>
      </w:r>
      <w:r w:rsidR="00BB3F74">
        <w:rPr>
          <w:sz w:val="24"/>
          <w:szCs w:val="24"/>
        </w:rPr>
        <w:t xml:space="preserve">would be visited first, </w:t>
      </w:r>
      <w:r w:rsidR="00A45557">
        <w:rPr>
          <w:sz w:val="24"/>
          <w:szCs w:val="24"/>
        </w:rPr>
        <w:t xml:space="preserve">followed by the </w:t>
      </w:r>
      <w:r w:rsidR="00A45557">
        <w:rPr>
          <w:i/>
          <w:iCs/>
          <w:sz w:val="24"/>
          <w:szCs w:val="24"/>
        </w:rPr>
        <w:t xml:space="preserve">tepidarium, caldarium, tepidarium </w:t>
      </w:r>
      <w:r w:rsidR="00A45557">
        <w:rPr>
          <w:sz w:val="24"/>
          <w:szCs w:val="24"/>
        </w:rPr>
        <w:t xml:space="preserve">again, and finally </w:t>
      </w:r>
      <w:r w:rsidR="00A45557">
        <w:rPr>
          <w:i/>
          <w:iCs/>
          <w:sz w:val="24"/>
          <w:szCs w:val="24"/>
        </w:rPr>
        <w:t>frigidarium.</w:t>
      </w:r>
      <w:r w:rsidR="00A45557">
        <w:rPr>
          <w:rStyle w:val="FootnoteReference"/>
          <w:i/>
          <w:iCs/>
          <w:sz w:val="24"/>
          <w:szCs w:val="24"/>
        </w:rPr>
        <w:footnoteReference w:id="34"/>
      </w:r>
      <w:r w:rsidR="00A45557">
        <w:rPr>
          <w:i/>
          <w:iCs/>
          <w:sz w:val="24"/>
          <w:szCs w:val="24"/>
        </w:rPr>
        <w:t xml:space="preserve"> </w:t>
      </w:r>
      <w:r w:rsidR="00A45557">
        <w:rPr>
          <w:sz w:val="24"/>
          <w:szCs w:val="24"/>
        </w:rPr>
        <w:t xml:space="preserve">Characteristic of Trimalchio’s love of the unusual, the bathers go directly into the </w:t>
      </w:r>
      <w:r w:rsidR="00A45557">
        <w:rPr>
          <w:i/>
          <w:iCs/>
          <w:sz w:val="24"/>
          <w:szCs w:val="24"/>
        </w:rPr>
        <w:t>frigidarium.</w:t>
      </w:r>
    </w:p>
    <w:p w14:paraId="26FF332B" w14:textId="2D3AE7D2" w:rsidR="00A45557" w:rsidRDefault="00A45557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lastRenderedPageBreak/>
        <w:t xml:space="preserve">Non linteis, sed palliis ex lana: </w:t>
      </w:r>
      <w:r w:rsidR="00D04629">
        <w:rPr>
          <w:sz w:val="24"/>
          <w:szCs w:val="24"/>
        </w:rPr>
        <w:t xml:space="preserve">After the bath proper Trimalchio is rubbed down with oil, not </w:t>
      </w:r>
      <w:r w:rsidR="00F52954">
        <w:rPr>
          <w:sz w:val="24"/>
          <w:szCs w:val="24"/>
        </w:rPr>
        <w:t>with</w:t>
      </w:r>
      <w:r w:rsidR="00D04629">
        <w:rPr>
          <w:sz w:val="24"/>
          <w:szCs w:val="24"/>
        </w:rPr>
        <w:t xml:space="preserve"> linen</w:t>
      </w:r>
      <w:r w:rsidR="00BB3F74">
        <w:rPr>
          <w:sz w:val="24"/>
          <w:szCs w:val="24"/>
        </w:rPr>
        <w:t>, which would have been perfectly adequate,</w:t>
      </w:r>
      <w:r w:rsidR="00F542E5">
        <w:rPr>
          <w:i/>
          <w:iCs/>
          <w:sz w:val="24"/>
          <w:szCs w:val="24"/>
        </w:rPr>
        <w:t xml:space="preserve"> et bucca foculum excitat et sonat unctis striglibus et pleno componit lintea guto</w:t>
      </w:r>
      <w:r w:rsidR="00BB3F74">
        <w:rPr>
          <w:sz w:val="24"/>
          <w:szCs w:val="24"/>
        </w:rPr>
        <w:t>,</w:t>
      </w:r>
      <w:r w:rsidR="00F542E5">
        <w:rPr>
          <w:rStyle w:val="FootnoteReference"/>
          <w:sz w:val="24"/>
          <w:szCs w:val="24"/>
        </w:rPr>
        <w:footnoteReference w:id="35"/>
      </w:r>
      <w:r w:rsidR="00D04629">
        <w:rPr>
          <w:sz w:val="24"/>
          <w:szCs w:val="24"/>
        </w:rPr>
        <w:t xml:space="preserve"> </w:t>
      </w:r>
      <w:r w:rsidR="00DA1B49">
        <w:rPr>
          <w:sz w:val="24"/>
          <w:szCs w:val="24"/>
        </w:rPr>
        <w:t xml:space="preserve">but, in a display of wealth, using </w:t>
      </w:r>
      <w:r w:rsidR="00D04629">
        <w:rPr>
          <w:sz w:val="24"/>
          <w:szCs w:val="24"/>
        </w:rPr>
        <w:t>great woollen blanket-like towels</w:t>
      </w:r>
      <w:r w:rsidR="00DA1B49">
        <w:rPr>
          <w:sz w:val="24"/>
          <w:szCs w:val="24"/>
        </w:rPr>
        <w:t xml:space="preserve"> which</w:t>
      </w:r>
      <w:r w:rsidR="00D04629">
        <w:rPr>
          <w:sz w:val="24"/>
          <w:szCs w:val="24"/>
        </w:rPr>
        <w:t xml:space="preserve"> cover</w:t>
      </w:r>
      <w:r w:rsidR="00DA1B49">
        <w:rPr>
          <w:sz w:val="24"/>
          <w:szCs w:val="24"/>
        </w:rPr>
        <w:t>ed</w:t>
      </w:r>
      <w:r w:rsidR="00D04629">
        <w:rPr>
          <w:sz w:val="24"/>
          <w:szCs w:val="24"/>
        </w:rPr>
        <w:t xml:space="preserve"> the whole body.</w:t>
      </w:r>
    </w:p>
    <w:p w14:paraId="42FB6FBC" w14:textId="66EBEB08" w:rsidR="00D04629" w:rsidRDefault="00D04629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Falernum </w:t>
      </w:r>
      <w:r>
        <w:rPr>
          <w:sz w:val="24"/>
          <w:szCs w:val="24"/>
        </w:rPr>
        <w:t>(</w:t>
      </w:r>
      <w:r>
        <w:rPr>
          <w:i/>
          <w:iCs/>
          <w:sz w:val="24"/>
          <w:szCs w:val="24"/>
        </w:rPr>
        <w:t>vinum</w:t>
      </w:r>
      <w:r>
        <w:rPr>
          <w:sz w:val="24"/>
          <w:szCs w:val="24"/>
        </w:rPr>
        <w:t xml:space="preserve">): </w:t>
      </w:r>
      <w:r w:rsidR="002A1B95">
        <w:rPr>
          <w:sz w:val="24"/>
          <w:szCs w:val="24"/>
        </w:rPr>
        <w:t xml:space="preserve"> Falernian wine was a truly fine Italian wine, even if it lacked the quality of the Setine, Caecuban or Chian wines found in the </w:t>
      </w:r>
      <w:r w:rsidR="002A1B95">
        <w:rPr>
          <w:i/>
          <w:iCs/>
          <w:sz w:val="24"/>
          <w:szCs w:val="24"/>
        </w:rPr>
        <w:t xml:space="preserve">Cena Nasidieni </w:t>
      </w:r>
      <w:r w:rsidR="002A1B95">
        <w:rPr>
          <w:sz w:val="24"/>
          <w:szCs w:val="24"/>
        </w:rPr>
        <w:t xml:space="preserve">of Horace, or the </w:t>
      </w:r>
      <w:r w:rsidR="002A1B95">
        <w:rPr>
          <w:i/>
          <w:iCs/>
          <w:sz w:val="24"/>
          <w:szCs w:val="24"/>
        </w:rPr>
        <w:t xml:space="preserve">Cena Virrionis </w:t>
      </w:r>
      <w:r w:rsidR="002A1B95">
        <w:rPr>
          <w:sz w:val="24"/>
          <w:szCs w:val="24"/>
        </w:rPr>
        <w:t>of Juvenal.</w:t>
      </w:r>
      <w:r w:rsidR="002A1B95">
        <w:rPr>
          <w:rStyle w:val="FootnoteReference"/>
          <w:sz w:val="24"/>
          <w:szCs w:val="24"/>
        </w:rPr>
        <w:footnoteReference w:id="36"/>
      </w:r>
      <w:r w:rsidR="002A1B95">
        <w:rPr>
          <w:sz w:val="24"/>
          <w:szCs w:val="24"/>
        </w:rPr>
        <w:t xml:space="preserve"> Baldwin notes a ‘Falernian Opinian’, dating from the consulship of Opinius in 121 BC</w:t>
      </w:r>
      <w:r w:rsidR="004A1344">
        <w:rPr>
          <w:sz w:val="24"/>
          <w:szCs w:val="24"/>
        </w:rPr>
        <w:t>,</w:t>
      </w:r>
      <w:r w:rsidR="00F542E5">
        <w:rPr>
          <w:sz w:val="24"/>
          <w:szCs w:val="24"/>
        </w:rPr>
        <w:t xml:space="preserve"> </w:t>
      </w:r>
      <w:r w:rsidR="007C02DB">
        <w:rPr>
          <w:sz w:val="24"/>
          <w:szCs w:val="24"/>
        </w:rPr>
        <w:t xml:space="preserve">but this would be undrinkable </w:t>
      </w:r>
      <w:r w:rsidR="00DA1B49">
        <w:rPr>
          <w:sz w:val="24"/>
          <w:szCs w:val="24"/>
        </w:rPr>
        <w:t>by now</w:t>
      </w:r>
      <w:r w:rsidR="007C02DB">
        <w:rPr>
          <w:sz w:val="24"/>
          <w:szCs w:val="24"/>
        </w:rPr>
        <w:t>.</w:t>
      </w:r>
      <w:r w:rsidR="004A1344">
        <w:rPr>
          <w:sz w:val="24"/>
          <w:szCs w:val="24"/>
        </w:rPr>
        <w:t xml:space="preserve"> </w:t>
      </w:r>
      <w:r w:rsidR="007C02DB">
        <w:rPr>
          <w:sz w:val="24"/>
          <w:szCs w:val="24"/>
        </w:rPr>
        <w:t>The term may well be standard for a venerable vintage</w:t>
      </w:r>
      <w:r w:rsidR="004A1344">
        <w:rPr>
          <w:sz w:val="24"/>
          <w:szCs w:val="24"/>
        </w:rPr>
        <w:t>.</w:t>
      </w:r>
      <w:r w:rsidR="007C02DB">
        <w:rPr>
          <w:sz w:val="24"/>
          <w:szCs w:val="24"/>
        </w:rPr>
        <w:t xml:space="preserve"> Trimalchio, who never buys his wine (48.2) is perhaps guilty of affixing approved labels on new bottles</w:t>
      </w:r>
      <w:r w:rsidR="00463680">
        <w:rPr>
          <w:sz w:val="24"/>
          <w:szCs w:val="24"/>
        </w:rPr>
        <w:t>,</w:t>
      </w:r>
      <w:r w:rsidR="007C02DB">
        <w:rPr>
          <w:rStyle w:val="FootnoteReference"/>
          <w:sz w:val="24"/>
          <w:szCs w:val="24"/>
        </w:rPr>
        <w:footnoteReference w:id="37"/>
      </w:r>
      <w:r w:rsidR="007C02DB">
        <w:rPr>
          <w:sz w:val="24"/>
          <w:szCs w:val="24"/>
        </w:rPr>
        <w:t xml:space="preserve">  </w:t>
      </w:r>
      <w:r w:rsidR="00463680">
        <w:rPr>
          <w:sz w:val="24"/>
          <w:szCs w:val="24"/>
        </w:rPr>
        <w:t xml:space="preserve">while </w:t>
      </w:r>
      <w:r w:rsidR="007C02DB">
        <w:rPr>
          <w:sz w:val="24"/>
          <w:szCs w:val="24"/>
        </w:rPr>
        <w:t>Baldwin believes that Encolpius would have been aware of the fraud</w:t>
      </w:r>
      <w:r w:rsidR="006F7529">
        <w:rPr>
          <w:sz w:val="24"/>
          <w:szCs w:val="24"/>
        </w:rPr>
        <w:t>.</w:t>
      </w:r>
      <w:r w:rsidR="006F7529">
        <w:rPr>
          <w:rStyle w:val="FootnoteReference"/>
          <w:sz w:val="24"/>
          <w:szCs w:val="24"/>
        </w:rPr>
        <w:footnoteReference w:id="38"/>
      </w:r>
    </w:p>
    <w:p w14:paraId="773FD830" w14:textId="7622F2E6" w:rsidR="004A1344" w:rsidRDefault="004A1344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Rixantes: </w:t>
      </w:r>
      <w:r>
        <w:rPr>
          <w:sz w:val="24"/>
          <w:szCs w:val="24"/>
        </w:rPr>
        <w:t xml:space="preserve">The </w:t>
      </w:r>
      <w:r>
        <w:rPr>
          <w:i/>
          <w:iCs/>
          <w:sz w:val="24"/>
          <w:szCs w:val="24"/>
        </w:rPr>
        <w:t>tres iatraliptae</w:t>
      </w:r>
      <w:r w:rsidR="00463680">
        <w:rPr>
          <w:sz w:val="24"/>
          <w:szCs w:val="24"/>
        </w:rPr>
        <w:t xml:space="preserve"> (physiotherapists as opposed to masseurs)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of Trimalchio are drinking and spilling </w:t>
      </w:r>
      <w:r>
        <w:rPr>
          <w:i/>
          <w:iCs/>
          <w:sz w:val="24"/>
          <w:szCs w:val="24"/>
        </w:rPr>
        <w:t xml:space="preserve">Falernum </w:t>
      </w:r>
      <w:r>
        <w:rPr>
          <w:sz w:val="24"/>
          <w:szCs w:val="24"/>
        </w:rPr>
        <w:t>in the bath</w:t>
      </w:r>
      <w:r w:rsidR="00DA1B49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DA1B49">
        <w:rPr>
          <w:sz w:val="24"/>
          <w:szCs w:val="24"/>
        </w:rPr>
        <w:t>There is characteristic quarrelling</w:t>
      </w:r>
      <w:r>
        <w:rPr>
          <w:sz w:val="24"/>
          <w:szCs w:val="24"/>
        </w:rPr>
        <w:t xml:space="preserve">, the most serious of which occurs at 74.8-17. </w:t>
      </w:r>
      <w:r w:rsidR="00DC7FF1">
        <w:rPr>
          <w:sz w:val="24"/>
          <w:szCs w:val="24"/>
        </w:rPr>
        <w:t xml:space="preserve"> Seneca </w:t>
      </w:r>
      <w:r w:rsidR="00DA1B49">
        <w:rPr>
          <w:sz w:val="24"/>
          <w:szCs w:val="24"/>
        </w:rPr>
        <w:t>deems</w:t>
      </w:r>
      <w:r w:rsidR="00DC7FF1">
        <w:rPr>
          <w:sz w:val="24"/>
          <w:szCs w:val="24"/>
        </w:rPr>
        <w:t xml:space="preserve"> such behaviour unsavoury, </w:t>
      </w:r>
      <w:r w:rsidR="00DC7FF1">
        <w:rPr>
          <w:i/>
          <w:iCs/>
          <w:sz w:val="24"/>
          <w:szCs w:val="24"/>
        </w:rPr>
        <w:t>Non videntur tibi contra naturam vivere qui ieiuni bibunt, qui vinum recipient inanibus venis et ad cibum ebrii transeunt?</w:t>
      </w:r>
      <w:r w:rsidR="00DC7FF1">
        <w:rPr>
          <w:rStyle w:val="FootnoteReference"/>
          <w:i/>
          <w:iCs/>
          <w:sz w:val="24"/>
          <w:szCs w:val="24"/>
        </w:rPr>
        <w:footnoteReference w:id="39"/>
      </w:r>
      <w:r w:rsidR="00BA3D83">
        <w:rPr>
          <w:sz w:val="24"/>
          <w:szCs w:val="24"/>
        </w:rPr>
        <w:t xml:space="preserve"> </w:t>
      </w:r>
    </w:p>
    <w:p w14:paraId="53773A0D" w14:textId="5B7D7053" w:rsidR="00C55979" w:rsidRDefault="00C55979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Suum propin esse: </w:t>
      </w:r>
      <w:r w:rsidR="006A3BE4">
        <w:rPr>
          <w:sz w:val="24"/>
          <w:szCs w:val="24"/>
        </w:rPr>
        <w:t xml:space="preserve">The spilled wine is called by Trimalchio his apertif, with </w:t>
      </w:r>
      <w:r w:rsidR="006A3BE4">
        <w:rPr>
          <w:i/>
          <w:iCs/>
          <w:sz w:val="24"/>
          <w:szCs w:val="24"/>
        </w:rPr>
        <w:t xml:space="preserve">propin </w:t>
      </w:r>
      <w:r w:rsidR="006A3BE4">
        <w:rPr>
          <w:sz w:val="24"/>
          <w:szCs w:val="24"/>
        </w:rPr>
        <w:t>being a vulgar form of</w:t>
      </w:r>
      <w:r w:rsidR="003932FD">
        <w:rPr>
          <w:sz w:val="24"/>
          <w:szCs w:val="24"/>
        </w:rPr>
        <w:t xml:space="preserve"> the Greek,</w:t>
      </w:r>
      <w:r w:rsidR="006A3BE4">
        <w:rPr>
          <w:sz w:val="24"/>
          <w:szCs w:val="24"/>
        </w:rPr>
        <w:t xml:space="preserve"> </w:t>
      </w:r>
      <w:r w:rsidR="006A3BE4">
        <w:rPr>
          <w:sz w:val="24"/>
          <w:szCs w:val="24"/>
          <w:lang w:val="el-GR"/>
        </w:rPr>
        <w:t>προπίνειν</w:t>
      </w:r>
      <w:r w:rsidR="006A3BE4" w:rsidRPr="006A3BE4">
        <w:rPr>
          <w:sz w:val="24"/>
          <w:szCs w:val="24"/>
        </w:rPr>
        <w:t>.</w:t>
      </w:r>
      <w:r w:rsidR="00DA1B49">
        <w:rPr>
          <w:sz w:val="24"/>
          <w:szCs w:val="24"/>
        </w:rPr>
        <w:t xml:space="preserve"> </w:t>
      </w:r>
      <w:r w:rsidR="001A185B">
        <w:rPr>
          <w:sz w:val="24"/>
          <w:szCs w:val="24"/>
        </w:rPr>
        <w:t>I</w:t>
      </w:r>
      <w:r w:rsidR="005E63BD">
        <w:rPr>
          <w:sz w:val="24"/>
          <w:szCs w:val="24"/>
        </w:rPr>
        <w:t>nstead of viewing  the spilling as waste,</w:t>
      </w:r>
      <w:r w:rsidR="00946F97">
        <w:rPr>
          <w:sz w:val="24"/>
          <w:szCs w:val="24"/>
        </w:rPr>
        <w:t xml:space="preserve"> </w:t>
      </w:r>
      <w:r w:rsidR="005E63BD">
        <w:rPr>
          <w:sz w:val="24"/>
          <w:szCs w:val="24"/>
        </w:rPr>
        <w:t>Trimalchio interprets it as an offering to the gods for his good health.</w:t>
      </w:r>
      <w:r w:rsidR="005E63BD">
        <w:rPr>
          <w:rStyle w:val="FootnoteReference"/>
          <w:sz w:val="24"/>
          <w:szCs w:val="24"/>
        </w:rPr>
        <w:footnoteReference w:id="40"/>
      </w:r>
      <w:r w:rsidR="00BA3D83">
        <w:rPr>
          <w:sz w:val="24"/>
          <w:szCs w:val="24"/>
        </w:rPr>
        <w:t xml:space="preserve"> </w:t>
      </w:r>
    </w:p>
    <w:p w14:paraId="37A05975" w14:textId="35DE1184" w:rsidR="00AA2F18" w:rsidRPr="003932FD" w:rsidRDefault="00AA2F18" w:rsidP="00183467">
      <w:pPr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The procession from the public baths which introduces the </w:t>
      </w:r>
      <w:r>
        <w:rPr>
          <w:i/>
          <w:iCs/>
          <w:sz w:val="24"/>
          <w:szCs w:val="24"/>
        </w:rPr>
        <w:t xml:space="preserve">Cena </w:t>
      </w:r>
      <w:r>
        <w:rPr>
          <w:sz w:val="24"/>
          <w:szCs w:val="24"/>
        </w:rPr>
        <w:t>(28. 4-5), resembles a Roman funeral cortege</w:t>
      </w:r>
      <w:r w:rsidR="003932FD">
        <w:rPr>
          <w:sz w:val="24"/>
          <w:szCs w:val="24"/>
        </w:rPr>
        <w:t>,</w:t>
      </w:r>
      <w:r>
        <w:rPr>
          <w:sz w:val="24"/>
          <w:szCs w:val="24"/>
        </w:rPr>
        <w:t xml:space="preserve"> and corresponds structurally and thematically, with his mock funeral in…78</w:t>
      </w:r>
      <w:r w:rsidR="00DA1B49"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41"/>
      </w:r>
      <w:r>
        <w:rPr>
          <w:sz w:val="24"/>
          <w:szCs w:val="24"/>
        </w:rPr>
        <w:t xml:space="preserve">  Trimalchio </w:t>
      </w:r>
      <w:r w:rsidR="003932FD">
        <w:rPr>
          <w:sz w:val="24"/>
          <w:szCs w:val="24"/>
        </w:rPr>
        <w:t xml:space="preserve">is </w:t>
      </w:r>
      <w:r>
        <w:rPr>
          <w:sz w:val="24"/>
          <w:szCs w:val="24"/>
        </w:rPr>
        <w:t xml:space="preserve">cast in the role of the deceased, with his </w:t>
      </w:r>
      <w:r w:rsidR="003932FD">
        <w:rPr>
          <w:sz w:val="24"/>
          <w:szCs w:val="24"/>
        </w:rPr>
        <w:t>house</w:t>
      </w:r>
      <w:r>
        <w:rPr>
          <w:sz w:val="24"/>
          <w:szCs w:val="24"/>
        </w:rPr>
        <w:t xml:space="preserve"> viewed as a mausoleum.</w:t>
      </w:r>
      <w:r>
        <w:rPr>
          <w:rStyle w:val="FootnoteReference"/>
          <w:sz w:val="24"/>
          <w:szCs w:val="24"/>
        </w:rPr>
        <w:footnoteReference w:id="42"/>
      </w:r>
      <w:r w:rsidR="00F542E5">
        <w:rPr>
          <w:sz w:val="24"/>
          <w:szCs w:val="24"/>
        </w:rPr>
        <w:t xml:space="preserve"> Virgil alludes to the serious ritual of pouring wine as a libation for the dead</w:t>
      </w:r>
      <w:r w:rsidR="00BA3D83">
        <w:rPr>
          <w:sz w:val="24"/>
          <w:szCs w:val="24"/>
        </w:rPr>
        <w:t xml:space="preserve">; </w:t>
      </w:r>
      <w:r w:rsidR="00BA3D83">
        <w:rPr>
          <w:i/>
          <w:iCs/>
          <w:sz w:val="24"/>
          <w:szCs w:val="24"/>
        </w:rPr>
        <w:t>hic duo rite mero libans carchesia Bacchofundit humi, duo lacte novo, duo sanguine sacro..</w:t>
      </w:r>
      <w:r w:rsidR="00BA3D83">
        <w:rPr>
          <w:rStyle w:val="FootnoteReference"/>
          <w:i/>
          <w:iCs/>
          <w:sz w:val="24"/>
          <w:szCs w:val="24"/>
        </w:rPr>
        <w:footnoteReference w:id="43"/>
      </w:r>
    </w:p>
    <w:p w14:paraId="07625AE1" w14:textId="37D1B614" w:rsidR="00BC3134" w:rsidRDefault="0034498A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Praecedentibus phaleratis cursoribus: phalerae </w:t>
      </w:r>
      <w:r>
        <w:rPr>
          <w:sz w:val="24"/>
          <w:szCs w:val="24"/>
        </w:rPr>
        <w:t xml:space="preserve">were primarily metal adornments for the breast and forehead, worn by soldiers and horses; indeed, Nero had a </w:t>
      </w:r>
      <w:r>
        <w:rPr>
          <w:i/>
          <w:iCs/>
          <w:sz w:val="24"/>
          <w:szCs w:val="24"/>
        </w:rPr>
        <w:t xml:space="preserve">phalerataque…turba…cursorum </w:t>
      </w:r>
      <w:r>
        <w:rPr>
          <w:sz w:val="24"/>
          <w:szCs w:val="24"/>
        </w:rPr>
        <w:t xml:space="preserve">(Suetonius </w:t>
      </w:r>
      <w:r>
        <w:rPr>
          <w:i/>
          <w:iCs/>
          <w:sz w:val="24"/>
          <w:szCs w:val="24"/>
        </w:rPr>
        <w:t xml:space="preserve">Nero </w:t>
      </w:r>
      <w:r>
        <w:rPr>
          <w:sz w:val="24"/>
          <w:szCs w:val="24"/>
        </w:rPr>
        <w:t>30.3</w:t>
      </w:r>
      <w:r w:rsidR="00DC7FF1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  <w:r>
        <w:rPr>
          <w:i/>
          <w:iCs/>
          <w:sz w:val="24"/>
          <w:szCs w:val="24"/>
        </w:rPr>
        <w:t xml:space="preserve">Cursores </w:t>
      </w:r>
      <w:r>
        <w:rPr>
          <w:sz w:val="24"/>
          <w:szCs w:val="24"/>
        </w:rPr>
        <w:t>were slaves who ran before their masters, as here, or who were runners who carried messages.</w:t>
      </w:r>
      <w:r>
        <w:rPr>
          <w:rStyle w:val="FootnoteReference"/>
          <w:sz w:val="24"/>
          <w:szCs w:val="24"/>
        </w:rPr>
        <w:footnoteReference w:id="44"/>
      </w:r>
      <w:r w:rsidR="00DA1B49">
        <w:rPr>
          <w:sz w:val="24"/>
          <w:szCs w:val="24"/>
        </w:rPr>
        <w:t xml:space="preserve"> </w:t>
      </w:r>
      <w:r w:rsidR="00BC3134">
        <w:rPr>
          <w:i/>
          <w:iCs/>
          <w:sz w:val="24"/>
          <w:szCs w:val="24"/>
        </w:rPr>
        <w:t xml:space="preserve">Chiramaxio: </w:t>
      </w:r>
      <w:r w:rsidR="001A59E1">
        <w:rPr>
          <w:sz w:val="24"/>
          <w:szCs w:val="24"/>
        </w:rPr>
        <w:t xml:space="preserve">A diminutive of </w:t>
      </w:r>
      <w:r w:rsidR="001A59E1">
        <w:rPr>
          <w:sz w:val="24"/>
          <w:szCs w:val="24"/>
          <w:lang w:val="el-GR"/>
        </w:rPr>
        <w:t>Χειράμαξα</w:t>
      </w:r>
      <w:r w:rsidR="001A59E1" w:rsidRPr="001A59E1">
        <w:rPr>
          <w:sz w:val="24"/>
          <w:szCs w:val="24"/>
        </w:rPr>
        <w:t xml:space="preserve">, </w:t>
      </w:r>
      <w:r w:rsidR="001A59E1">
        <w:rPr>
          <w:sz w:val="24"/>
          <w:szCs w:val="24"/>
        </w:rPr>
        <w:t xml:space="preserve">(hand wagon), very like a </w:t>
      </w:r>
      <w:r w:rsidR="001A185B">
        <w:rPr>
          <w:sz w:val="24"/>
          <w:szCs w:val="24"/>
        </w:rPr>
        <w:t>bathchair</w:t>
      </w:r>
      <w:r w:rsidR="001A59E1">
        <w:rPr>
          <w:sz w:val="24"/>
          <w:szCs w:val="24"/>
        </w:rPr>
        <w:t>.</w:t>
      </w:r>
      <w:r w:rsidR="001A59E1">
        <w:rPr>
          <w:rStyle w:val="FootnoteReference"/>
          <w:sz w:val="24"/>
          <w:szCs w:val="24"/>
        </w:rPr>
        <w:footnoteReference w:id="45"/>
      </w:r>
    </w:p>
    <w:p w14:paraId="4659EFD9" w14:textId="41852538" w:rsidR="001A59E1" w:rsidRPr="00FB4581" w:rsidRDefault="001A59E1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lastRenderedPageBreak/>
        <w:t xml:space="preserve">Deliciae…puer vetulus: </w:t>
      </w:r>
      <w:r>
        <w:rPr>
          <w:sz w:val="24"/>
          <w:szCs w:val="24"/>
        </w:rPr>
        <w:t xml:space="preserve">Trimalchio’s </w:t>
      </w:r>
      <w:r>
        <w:rPr>
          <w:i/>
          <w:iCs/>
          <w:sz w:val="24"/>
          <w:szCs w:val="24"/>
        </w:rPr>
        <w:t xml:space="preserve">deliciae </w:t>
      </w:r>
      <w:r>
        <w:rPr>
          <w:sz w:val="24"/>
          <w:szCs w:val="24"/>
        </w:rPr>
        <w:t xml:space="preserve">can be both </w:t>
      </w:r>
      <w:r>
        <w:rPr>
          <w:i/>
          <w:iCs/>
          <w:sz w:val="24"/>
          <w:szCs w:val="24"/>
        </w:rPr>
        <w:t xml:space="preserve">puer </w:t>
      </w:r>
      <w:r>
        <w:rPr>
          <w:sz w:val="24"/>
          <w:szCs w:val="24"/>
        </w:rPr>
        <w:t xml:space="preserve">and </w:t>
      </w:r>
      <w:r>
        <w:rPr>
          <w:i/>
          <w:iCs/>
          <w:sz w:val="24"/>
          <w:szCs w:val="24"/>
        </w:rPr>
        <w:t xml:space="preserve">vetulus. </w:t>
      </w:r>
      <w:r w:rsidR="005E63BD">
        <w:rPr>
          <w:sz w:val="24"/>
          <w:szCs w:val="24"/>
        </w:rPr>
        <w:t>He is the   Croesus of 64.6, uglier than his master but who nevertheless receives his affection.</w:t>
      </w:r>
      <w:r w:rsidR="005E63BD">
        <w:rPr>
          <w:rStyle w:val="FootnoteReference"/>
          <w:sz w:val="24"/>
          <w:szCs w:val="24"/>
        </w:rPr>
        <w:footnoteReference w:id="46"/>
      </w:r>
      <w:r w:rsidR="005E63BD">
        <w:rPr>
          <w:sz w:val="24"/>
          <w:szCs w:val="24"/>
        </w:rPr>
        <w:t xml:space="preserve"> </w:t>
      </w:r>
      <w:r w:rsidR="005E63BD">
        <w:rPr>
          <w:i/>
          <w:iCs/>
          <w:sz w:val="24"/>
          <w:szCs w:val="24"/>
        </w:rPr>
        <w:t xml:space="preserve">Lippus: </w:t>
      </w:r>
      <w:r w:rsidR="005E63BD">
        <w:rPr>
          <w:sz w:val="24"/>
          <w:szCs w:val="24"/>
        </w:rPr>
        <w:t>water-eyed.</w:t>
      </w:r>
      <w:r w:rsidR="00EB1F85">
        <w:rPr>
          <w:sz w:val="24"/>
          <w:szCs w:val="24"/>
        </w:rPr>
        <w:t xml:space="preserve"> </w:t>
      </w:r>
      <w:r w:rsidR="003F18CC">
        <w:rPr>
          <w:sz w:val="24"/>
          <w:szCs w:val="24"/>
        </w:rPr>
        <w:t>It is possible that</w:t>
      </w:r>
      <w:r w:rsidR="00FB4581">
        <w:rPr>
          <w:sz w:val="24"/>
          <w:szCs w:val="24"/>
        </w:rPr>
        <w:t xml:space="preserve"> Encolpius sees a little boy who has an ageing disorder.</w:t>
      </w:r>
    </w:p>
    <w:p w14:paraId="70883325" w14:textId="6C09615C" w:rsidR="003141FA" w:rsidRDefault="003141FA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Ad caput…accessit et tamquam in aurem aliquod secreto diceret: </w:t>
      </w:r>
      <w:r>
        <w:rPr>
          <w:sz w:val="24"/>
          <w:szCs w:val="24"/>
        </w:rPr>
        <w:t xml:space="preserve">Trimalchio perhaps wants the viewers to see this as a triumphal procession and him as </w:t>
      </w:r>
      <w:r>
        <w:rPr>
          <w:i/>
          <w:iCs/>
          <w:sz w:val="24"/>
          <w:szCs w:val="24"/>
        </w:rPr>
        <w:t>triumphator</w:t>
      </w:r>
      <w:r w:rsidR="00264149">
        <w:rPr>
          <w:i/>
          <w:iCs/>
          <w:sz w:val="24"/>
          <w:szCs w:val="24"/>
        </w:rPr>
        <w:t>.</w:t>
      </w:r>
      <w:r w:rsidR="00264149">
        <w:rPr>
          <w:rStyle w:val="FootnoteReference"/>
          <w:i/>
          <w:iCs/>
          <w:sz w:val="24"/>
          <w:szCs w:val="24"/>
        </w:rPr>
        <w:footnoteReference w:id="47"/>
      </w:r>
      <w:r w:rsidR="00264149">
        <w:rPr>
          <w:i/>
          <w:iCs/>
          <w:sz w:val="24"/>
          <w:szCs w:val="24"/>
        </w:rPr>
        <w:t xml:space="preserve"> </w:t>
      </w:r>
      <w:r w:rsidR="00264149">
        <w:rPr>
          <w:sz w:val="24"/>
          <w:szCs w:val="24"/>
        </w:rPr>
        <w:t>He is accompanied  by an oboe-player</w:t>
      </w:r>
      <w:r w:rsidR="00EB1F85">
        <w:rPr>
          <w:sz w:val="24"/>
          <w:szCs w:val="24"/>
        </w:rPr>
        <w:t xml:space="preserve"> whom </w:t>
      </w:r>
      <w:r w:rsidR="00264149">
        <w:rPr>
          <w:sz w:val="24"/>
          <w:szCs w:val="24"/>
        </w:rPr>
        <w:t>only Trimalchio can hear.</w:t>
      </w:r>
      <w:r w:rsidR="00264149">
        <w:rPr>
          <w:rStyle w:val="FootnoteReference"/>
          <w:sz w:val="24"/>
          <w:szCs w:val="24"/>
        </w:rPr>
        <w:footnoteReference w:id="48"/>
      </w:r>
      <w:r w:rsidR="00264149">
        <w:rPr>
          <w:sz w:val="24"/>
          <w:szCs w:val="24"/>
        </w:rPr>
        <w:t xml:space="preserve"> </w:t>
      </w:r>
      <w:r w:rsidR="00EB1F85">
        <w:rPr>
          <w:sz w:val="24"/>
          <w:szCs w:val="24"/>
        </w:rPr>
        <w:t>His</w:t>
      </w:r>
      <w:r w:rsidR="00264149">
        <w:rPr>
          <w:sz w:val="24"/>
          <w:szCs w:val="24"/>
        </w:rPr>
        <w:t xml:space="preserve"> fondness for music throughout the </w:t>
      </w:r>
      <w:r w:rsidR="00264149">
        <w:rPr>
          <w:i/>
          <w:iCs/>
          <w:sz w:val="24"/>
          <w:szCs w:val="24"/>
        </w:rPr>
        <w:t xml:space="preserve">Cena </w:t>
      </w:r>
      <w:r w:rsidR="00264149">
        <w:rPr>
          <w:sz w:val="24"/>
          <w:szCs w:val="24"/>
        </w:rPr>
        <w:t>is stressed (53. 12-13, where he speaks as if there were such a thing as Latin oboe-playing).</w:t>
      </w:r>
      <w:r w:rsidR="00264149">
        <w:rPr>
          <w:rStyle w:val="FootnoteReference"/>
          <w:sz w:val="24"/>
          <w:szCs w:val="24"/>
        </w:rPr>
        <w:footnoteReference w:id="49"/>
      </w:r>
      <w:r w:rsidR="005E7CAB">
        <w:rPr>
          <w:sz w:val="24"/>
          <w:szCs w:val="24"/>
        </w:rPr>
        <w:t xml:space="preserve"> </w:t>
      </w:r>
    </w:p>
    <w:p w14:paraId="7DE7335C" w14:textId="7EC4AC81" w:rsidR="00264149" w:rsidRPr="00946F97" w:rsidRDefault="00264149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>Sequimur nos admiration</w:t>
      </w:r>
      <w:r w:rsidR="004B1A6B">
        <w:rPr>
          <w:i/>
          <w:iCs/>
          <w:sz w:val="24"/>
          <w:szCs w:val="24"/>
        </w:rPr>
        <w:t>e</w:t>
      </w:r>
      <w:r>
        <w:rPr>
          <w:i/>
          <w:iCs/>
          <w:sz w:val="24"/>
          <w:szCs w:val="24"/>
        </w:rPr>
        <w:t xml:space="preserve"> iam saturi: </w:t>
      </w:r>
      <w:r>
        <w:rPr>
          <w:sz w:val="24"/>
          <w:szCs w:val="24"/>
        </w:rPr>
        <w:t xml:space="preserve">Positioning of the verb assists in dramatizing the rapid sequence of events. </w:t>
      </w:r>
      <w:r w:rsidR="004B1A6B">
        <w:rPr>
          <w:sz w:val="24"/>
          <w:szCs w:val="24"/>
        </w:rPr>
        <w:t xml:space="preserve">Encolpius and his companions follow, full of </w:t>
      </w:r>
      <w:r w:rsidR="004B1A6B">
        <w:rPr>
          <w:i/>
          <w:iCs/>
          <w:sz w:val="24"/>
          <w:szCs w:val="24"/>
        </w:rPr>
        <w:t xml:space="preserve">admiratio, </w:t>
      </w:r>
      <w:r w:rsidR="00EB1F85">
        <w:rPr>
          <w:sz w:val="24"/>
          <w:szCs w:val="24"/>
        </w:rPr>
        <w:t>here suggesting</w:t>
      </w:r>
      <w:r w:rsidR="004B1A6B">
        <w:rPr>
          <w:sz w:val="24"/>
          <w:szCs w:val="24"/>
        </w:rPr>
        <w:t xml:space="preserve"> amazement</w:t>
      </w:r>
      <w:r w:rsidR="007A6051">
        <w:rPr>
          <w:sz w:val="24"/>
          <w:szCs w:val="24"/>
        </w:rPr>
        <w:t xml:space="preserve"> as opposed to admiration</w:t>
      </w:r>
      <w:r w:rsidR="004B1A6B">
        <w:rPr>
          <w:sz w:val="24"/>
          <w:szCs w:val="24"/>
        </w:rPr>
        <w:t xml:space="preserve">. </w:t>
      </w:r>
      <w:r w:rsidR="00EB1F85">
        <w:rPr>
          <w:sz w:val="24"/>
          <w:szCs w:val="24"/>
        </w:rPr>
        <w:t xml:space="preserve"> </w:t>
      </w:r>
      <w:r w:rsidR="00EB1F85">
        <w:rPr>
          <w:i/>
          <w:iCs/>
          <w:sz w:val="24"/>
          <w:szCs w:val="24"/>
        </w:rPr>
        <w:t>Admiratio</w:t>
      </w:r>
      <w:r w:rsidR="004B1A6B">
        <w:rPr>
          <w:sz w:val="24"/>
          <w:szCs w:val="24"/>
        </w:rPr>
        <w:t xml:space="preserve"> is spoken of as if it were itself food (</w:t>
      </w:r>
      <w:r w:rsidR="004B1A6B">
        <w:rPr>
          <w:i/>
          <w:iCs/>
          <w:sz w:val="24"/>
          <w:szCs w:val="24"/>
        </w:rPr>
        <w:t xml:space="preserve">saturi, replete, </w:t>
      </w:r>
      <w:r w:rsidR="004B1A6B">
        <w:rPr>
          <w:sz w:val="24"/>
          <w:szCs w:val="24"/>
        </w:rPr>
        <w:t xml:space="preserve">both indicating repletion), </w:t>
      </w:r>
      <w:r w:rsidR="005E7CAB">
        <w:rPr>
          <w:sz w:val="24"/>
          <w:szCs w:val="24"/>
        </w:rPr>
        <w:t xml:space="preserve">suggesting that </w:t>
      </w:r>
      <w:r w:rsidR="004B1A6B">
        <w:rPr>
          <w:sz w:val="24"/>
          <w:szCs w:val="24"/>
        </w:rPr>
        <w:t>the meal is to impress as much as it is to feed.</w:t>
      </w:r>
      <w:r w:rsidR="004B1A6B">
        <w:rPr>
          <w:rStyle w:val="FootnoteReference"/>
          <w:sz w:val="24"/>
          <w:szCs w:val="24"/>
        </w:rPr>
        <w:footnoteReference w:id="50"/>
      </w:r>
    </w:p>
    <w:p w14:paraId="46F30340" w14:textId="3CC6CBA9" w:rsidR="004B1A6B" w:rsidRDefault="004B1A6B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Cum Agamemnone: </w:t>
      </w:r>
      <w:r>
        <w:rPr>
          <w:sz w:val="24"/>
          <w:szCs w:val="24"/>
        </w:rPr>
        <w:t>Agamemnon was not mentioned in the previous scene because he was already at the baths</w:t>
      </w:r>
      <w:r w:rsidR="00EB1F85">
        <w:rPr>
          <w:sz w:val="24"/>
          <w:szCs w:val="24"/>
        </w:rPr>
        <w:t>.</w:t>
      </w:r>
    </w:p>
    <w:p w14:paraId="75303FA4" w14:textId="56E97D7E" w:rsidR="004B1A6B" w:rsidRDefault="00624EC8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ad ianuam pervenimus: </w:t>
      </w:r>
      <w:r w:rsidR="00FD1E4A">
        <w:rPr>
          <w:sz w:val="24"/>
          <w:szCs w:val="24"/>
        </w:rPr>
        <w:t xml:space="preserve"> Whereas in most houses  the entrance opens onto an atrium, here</w:t>
      </w:r>
      <w:r w:rsidR="004B10A8">
        <w:rPr>
          <w:sz w:val="24"/>
          <w:szCs w:val="24"/>
        </w:rPr>
        <w:t xml:space="preserve"> </w:t>
      </w:r>
      <w:r w:rsidR="00FD1E4A">
        <w:rPr>
          <w:sz w:val="24"/>
          <w:szCs w:val="24"/>
        </w:rPr>
        <w:t>it opens immediately onto a peristyle instead.</w:t>
      </w:r>
      <w:r w:rsidR="00FD1E4A">
        <w:rPr>
          <w:rStyle w:val="FootnoteReference"/>
          <w:sz w:val="24"/>
          <w:szCs w:val="24"/>
        </w:rPr>
        <w:footnoteReference w:id="51"/>
      </w:r>
      <w:r w:rsidR="00FD1E4A">
        <w:rPr>
          <w:sz w:val="24"/>
          <w:szCs w:val="24"/>
        </w:rPr>
        <w:t xml:space="preserve"> </w:t>
      </w:r>
    </w:p>
    <w:p w14:paraId="631BDB31" w14:textId="577F4A58" w:rsidR="00EC0E3C" w:rsidRDefault="00EC0E3C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Quisquis servus sine dominico iussu foras exierit, accipiet plagas centum: </w:t>
      </w:r>
      <w:r>
        <w:rPr>
          <w:sz w:val="24"/>
          <w:szCs w:val="24"/>
        </w:rPr>
        <w:t xml:space="preserve">At first glance the inscription appears harsh. Slaves in the </w:t>
      </w:r>
      <w:r>
        <w:rPr>
          <w:i/>
          <w:iCs/>
          <w:sz w:val="24"/>
          <w:szCs w:val="24"/>
        </w:rPr>
        <w:t xml:space="preserve">familia urbana </w:t>
      </w:r>
      <w:r>
        <w:rPr>
          <w:sz w:val="24"/>
          <w:szCs w:val="24"/>
        </w:rPr>
        <w:t>brought them into direct contact with those whose ownership rights</w:t>
      </w:r>
      <w:r w:rsidR="00946F97">
        <w:rPr>
          <w:sz w:val="24"/>
          <w:szCs w:val="24"/>
        </w:rPr>
        <w:t xml:space="preserve"> imposed</w:t>
      </w:r>
      <w:r>
        <w:rPr>
          <w:sz w:val="24"/>
          <w:szCs w:val="24"/>
        </w:rPr>
        <w:t xml:space="preserve"> no restraints on capricious behaviour</w:t>
      </w:r>
      <w:r w:rsidR="004B10A8">
        <w:rPr>
          <w:sz w:val="24"/>
          <w:szCs w:val="24"/>
        </w:rPr>
        <w:t>. They were</w:t>
      </w:r>
      <w:r>
        <w:rPr>
          <w:sz w:val="24"/>
          <w:szCs w:val="24"/>
        </w:rPr>
        <w:t xml:space="preserve"> thus exposed  more readily to beatings and other physical humiliations</w:t>
      </w:r>
      <w:r w:rsidR="004B10A8">
        <w:rPr>
          <w:sz w:val="24"/>
          <w:szCs w:val="24"/>
        </w:rPr>
        <w:t>,</w:t>
      </w:r>
      <w:r>
        <w:rPr>
          <w:rStyle w:val="FootnoteReference"/>
          <w:sz w:val="24"/>
          <w:szCs w:val="24"/>
        </w:rPr>
        <w:footnoteReference w:id="52"/>
      </w:r>
      <w:r w:rsidR="00E65E03">
        <w:rPr>
          <w:sz w:val="24"/>
          <w:szCs w:val="24"/>
        </w:rPr>
        <w:t xml:space="preserve"> </w:t>
      </w:r>
      <w:r w:rsidR="004B10A8">
        <w:rPr>
          <w:sz w:val="24"/>
          <w:szCs w:val="24"/>
        </w:rPr>
        <w:t>which betrays</w:t>
      </w:r>
      <w:r w:rsidR="00946F97">
        <w:rPr>
          <w:sz w:val="24"/>
          <w:szCs w:val="24"/>
        </w:rPr>
        <w:t xml:space="preserve"> Trimalchio’s anxiety that he be viewed as master and authority of his house.</w:t>
      </w:r>
      <w:r w:rsidR="00946F97">
        <w:rPr>
          <w:rStyle w:val="FootnoteReference"/>
          <w:sz w:val="24"/>
          <w:szCs w:val="24"/>
        </w:rPr>
        <w:footnoteReference w:id="53"/>
      </w:r>
      <w:r w:rsidR="00946F97">
        <w:rPr>
          <w:sz w:val="24"/>
          <w:szCs w:val="24"/>
        </w:rPr>
        <w:t xml:space="preserve"> </w:t>
      </w:r>
      <w:r w:rsidR="00287E6C">
        <w:rPr>
          <w:sz w:val="24"/>
          <w:szCs w:val="24"/>
        </w:rPr>
        <w:t xml:space="preserve"> There is, however</w:t>
      </w:r>
      <w:r w:rsidR="00946F97">
        <w:rPr>
          <w:sz w:val="24"/>
          <w:szCs w:val="24"/>
        </w:rPr>
        <w:t xml:space="preserve"> evidence</w:t>
      </w:r>
      <w:r w:rsidR="00E65E03">
        <w:rPr>
          <w:sz w:val="24"/>
          <w:szCs w:val="24"/>
        </w:rPr>
        <w:t xml:space="preserve"> </w:t>
      </w:r>
      <w:r w:rsidR="00946F97">
        <w:rPr>
          <w:sz w:val="24"/>
          <w:szCs w:val="24"/>
        </w:rPr>
        <w:t>of</w:t>
      </w:r>
      <w:r w:rsidR="00E65E03">
        <w:rPr>
          <w:sz w:val="24"/>
          <w:szCs w:val="24"/>
        </w:rPr>
        <w:t xml:space="preserve"> bluster</w:t>
      </w:r>
      <w:r w:rsidR="004B10A8">
        <w:rPr>
          <w:sz w:val="24"/>
          <w:szCs w:val="24"/>
        </w:rPr>
        <w:t>,</w:t>
      </w:r>
      <w:r w:rsidR="00E65E03">
        <w:rPr>
          <w:sz w:val="24"/>
          <w:szCs w:val="24"/>
        </w:rPr>
        <w:t xml:space="preserve"> because only one slave is beaten during the </w:t>
      </w:r>
      <w:r w:rsidR="00E65E03">
        <w:rPr>
          <w:i/>
          <w:iCs/>
          <w:sz w:val="24"/>
          <w:szCs w:val="24"/>
        </w:rPr>
        <w:t xml:space="preserve">Cena </w:t>
      </w:r>
      <w:r w:rsidR="00E65E03">
        <w:rPr>
          <w:sz w:val="24"/>
          <w:szCs w:val="24"/>
        </w:rPr>
        <w:t>(54.3)</w:t>
      </w:r>
      <w:r w:rsidR="004B10A8">
        <w:rPr>
          <w:sz w:val="24"/>
          <w:szCs w:val="24"/>
        </w:rPr>
        <w:t>.</w:t>
      </w:r>
      <w:r w:rsidR="00E65E03">
        <w:rPr>
          <w:rStyle w:val="FootnoteReference"/>
          <w:sz w:val="24"/>
          <w:szCs w:val="24"/>
        </w:rPr>
        <w:footnoteReference w:id="54"/>
      </w:r>
      <w:r w:rsidR="00E65E03">
        <w:rPr>
          <w:sz w:val="24"/>
          <w:szCs w:val="24"/>
        </w:rPr>
        <w:t xml:space="preserve">  Here we also have the first indication that exiting the house will not be straightforward: the motif of the house is a labyrinth</w:t>
      </w:r>
      <w:r w:rsidR="004B10A8">
        <w:rPr>
          <w:sz w:val="24"/>
          <w:szCs w:val="24"/>
        </w:rPr>
        <w:t>,</w:t>
      </w:r>
      <w:r w:rsidR="00E65E03">
        <w:rPr>
          <w:sz w:val="24"/>
          <w:szCs w:val="24"/>
        </w:rPr>
        <w:t xml:space="preserve"> and Encolpius’ journey through it as a katabasis.</w:t>
      </w:r>
      <w:r w:rsidR="00E65E03">
        <w:rPr>
          <w:rStyle w:val="FootnoteReference"/>
          <w:sz w:val="24"/>
          <w:szCs w:val="24"/>
        </w:rPr>
        <w:footnoteReference w:id="55"/>
      </w:r>
    </w:p>
    <w:p w14:paraId="302B493C" w14:textId="7BA8EDDF" w:rsidR="001E1E89" w:rsidRDefault="001E1E89" w:rsidP="0018346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Ostarius prasinatus: </w:t>
      </w:r>
      <w:r>
        <w:rPr>
          <w:sz w:val="24"/>
          <w:szCs w:val="24"/>
        </w:rPr>
        <w:t>At the entrance stands a doorkeeper who is attended by a dog</w:t>
      </w:r>
      <w:r w:rsidR="003364F3">
        <w:rPr>
          <w:sz w:val="24"/>
          <w:szCs w:val="24"/>
        </w:rPr>
        <w:t xml:space="preserve">, as seen in Seneca </w:t>
      </w:r>
      <w:r w:rsidR="003364F3">
        <w:rPr>
          <w:i/>
          <w:iCs/>
          <w:sz w:val="24"/>
          <w:szCs w:val="24"/>
        </w:rPr>
        <w:t>Ira, Irasceris ergo catenario cani?</w:t>
      </w:r>
      <w:r w:rsidR="003364F3">
        <w:rPr>
          <w:sz w:val="24"/>
          <w:szCs w:val="24"/>
        </w:rPr>
        <w:t>.</w:t>
      </w:r>
      <w:r w:rsidR="003364F3">
        <w:rPr>
          <w:rStyle w:val="FootnoteReference"/>
          <w:sz w:val="24"/>
          <w:szCs w:val="24"/>
        </w:rPr>
        <w:footnoteReference w:id="56"/>
      </w:r>
      <w:r w:rsidR="003364F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‘To judge from the literary sources, even a…modest household might boast an ostarius’.</w:t>
      </w:r>
      <w:r>
        <w:rPr>
          <w:rStyle w:val="FootnoteReference"/>
          <w:sz w:val="24"/>
          <w:szCs w:val="24"/>
        </w:rPr>
        <w:footnoteReference w:id="57"/>
      </w:r>
      <w:r>
        <w:rPr>
          <w:sz w:val="24"/>
          <w:szCs w:val="24"/>
        </w:rPr>
        <w:t xml:space="preserve"> </w:t>
      </w:r>
      <w:r w:rsidR="004B10A8">
        <w:rPr>
          <w:sz w:val="24"/>
          <w:szCs w:val="24"/>
        </w:rPr>
        <w:t>T</w:t>
      </w:r>
      <w:r>
        <w:rPr>
          <w:sz w:val="24"/>
          <w:szCs w:val="24"/>
        </w:rPr>
        <w:t xml:space="preserve">he doorkeeper’s being dressed </w:t>
      </w:r>
      <w:r>
        <w:rPr>
          <w:sz w:val="24"/>
          <w:szCs w:val="24"/>
        </w:rPr>
        <w:lastRenderedPageBreak/>
        <w:t xml:space="preserve">in </w:t>
      </w:r>
      <w:r>
        <w:rPr>
          <w:i/>
          <w:iCs/>
          <w:sz w:val="24"/>
          <w:szCs w:val="24"/>
        </w:rPr>
        <w:t xml:space="preserve">prasinatus </w:t>
      </w:r>
      <w:r>
        <w:rPr>
          <w:sz w:val="24"/>
          <w:szCs w:val="24"/>
        </w:rPr>
        <w:t xml:space="preserve">and </w:t>
      </w:r>
      <w:r>
        <w:rPr>
          <w:i/>
          <w:iCs/>
          <w:sz w:val="24"/>
          <w:szCs w:val="24"/>
        </w:rPr>
        <w:t>cerasinus,</w:t>
      </w:r>
      <w:r w:rsidR="004B10A8">
        <w:rPr>
          <w:i/>
          <w:iCs/>
          <w:sz w:val="24"/>
          <w:szCs w:val="24"/>
        </w:rPr>
        <w:t xml:space="preserve"> </w:t>
      </w:r>
      <w:r w:rsidR="004B10A8">
        <w:rPr>
          <w:sz w:val="24"/>
          <w:szCs w:val="24"/>
        </w:rPr>
        <w:t>again</w:t>
      </w:r>
      <w:r>
        <w:rPr>
          <w:i/>
          <w:iCs/>
          <w:sz w:val="24"/>
          <w:szCs w:val="24"/>
        </w:rPr>
        <w:t xml:space="preserve"> </w:t>
      </w:r>
      <w:r w:rsidR="004B10A8">
        <w:rPr>
          <w:sz w:val="24"/>
          <w:szCs w:val="24"/>
        </w:rPr>
        <w:t xml:space="preserve">manifests Trimalchio’s liking for striking colours, </w:t>
      </w:r>
      <w:r>
        <w:rPr>
          <w:sz w:val="24"/>
          <w:szCs w:val="24"/>
        </w:rPr>
        <w:t xml:space="preserve">while </w:t>
      </w:r>
      <w:r w:rsidR="004B10A8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shelling </w:t>
      </w:r>
      <w:r w:rsidR="004B10A8">
        <w:rPr>
          <w:sz w:val="24"/>
          <w:szCs w:val="24"/>
        </w:rPr>
        <w:t xml:space="preserve">of </w:t>
      </w:r>
      <w:r>
        <w:rPr>
          <w:sz w:val="24"/>
          <w:szCs w:val="24"/>
        </w:rPr>
        <w:t>peas into a silver dish</w:t>
      </w:r>
      <w:r w:rsidR="004B10A8">
        <w:rPr>
          <w:sz w:val="24"/>
          <w:szCs w:val="24"/>
        </w:rPr>
        <w:t xml:space="preserve"> indicates</w:t>
      </w:r>
      <w:r>
        <w:rPr>
          <w:sz w:val="24"/>
          <w:szCs w:val="24"/>
        </w:rPr>
        <w:t xml:space="preserve"> the lavishness with which even </w:t>
      </w:r>
      <w:r w:rsidR="006A010D">
        <w:rPr>
          <w:sz w:val="24"/>
          <w:szCs w:val="24"/>
        </w:rPr>
        <w:t>humble tasks are undertaken in this household.</w:t>
      </w:r>
      <w:r w:rsidR="006A010D">
        <w:rPr>
          <w:rStyle w:val="FootnoteReference"/>
          <w:sz w:val="24"/>
          <w:szCs w:val="24"/>
        </w:rPr>
        <w:footnoteReference w:id="58"/>
      </w:r>
      <w:r w:rsidR="004B10A8">
        <w:rPr>
          <w:sz w:val="24"/>
          <w:szCs w:val="24"/>
        </w:rPr>
        <w:t xml:space="preserve"> </w:t>
      </w:r>
      <w:r w:rsidR="006A010D">
        <w:rPr>
          <w:sz w:val="24"/>
          <w:szCs w:val="24"/>
        </w:rPr>
        <w:t xml:space="preserve"> </w:t>
      </w:r>
      <w:r w:rsidR="000B087E">
        <w:rPr>
          <w:sz w:val="24"/>
          <w:szCs w:val="24"/>
        </w:rPr>
        <w:t xml:space="preserve">The job of a doorkeeper was not onerous and could be undertaken by an old man or woman. </w:t>
      </w:r>
      <w:r w:rsidR="006A010D">
        <w:rPr>
          <w:sz w:val="24"/>
          <w:szCs w:val="24"/>
        </w:rPr>
        <w:t>Bodel sees a ‘crass combination of stinginess and extravagance,’</w:t>
      </w:r>
      <w:r w:rsidR="001A185B">
        <w:rPr>
          <w:sz w:val="24"/>
          <w:szCs w:val="24"/>
        </w:rPr>
        <w:t xml:space="preserve"> </w:t>
      </w:r>
      <w:r w:rsidR="006A010D">
        <w:rPr>
          <w:sz w:val="24"/>
          <w:szCs w:val="24"/>
        </w:rPr>
        <w:t>yet the productive exploitation of the idle hours of slaves assigned to simple tasks was undoubtedly common’.</w:t>
      </w:r>
      <w:r w:rsidR="006A010D">
        <w:rPr>
          <w:rStyle w:val="FootnoteReference"/>
          <w:sz w:val="24"/>
          <w:szCs w:val="24"/>
        </w:rPr>
        <w:footnoteReference w:id="59"/>
      </w:r>
    </w:p>
    <w:p w14:paraId="5AFA61A5" w14:textId="6AE1061C" w:rsidR="006A010D" w:rsidRDefault="006A010D" w:rsidP="00183467">
      <w:pPr>
        <w:rPr>
          <w:rFonts w:ascii="Arial" w:hAnsi="Arial" w:cs="Arial"/>
          <w:sz w:val="24"/>
          <w:szCs w:val="24"/>
        </w:rPr>
      </w:pPr>
      <w:r>
        <w:rPr>
          <w:i/>
          <w:iCs/>
          <w:sz w:val="24"/>
          <w:szCs w:val="24"/>
        </w:rPr>
        <w:t xml:space="preserve">Super limen…cavea pendebat aurea, in qua pica varia intrantes: </w:t>
      </w:r>
      <w:r w:rsidR="000B087E">
        <w:rPr>
          <w:sz w:val="24"/>
          <w:szCs w:val="24"/>
        </w:rPr>
        <w:t>Several</w:t>
      </w:r>
      <w:r w:rsidR="00243EF3">
        <w:rPr>
          <w:sz w:val="24"/>
          <w:szCs w:val="24"/>
        </w:rPr>
        <w:t xml:space="preserve"> houses in Rome appear to have talking birds greet guests as they enter. Birds were trained to say ‘salve’, </w:t>
      </w:r>
      <w:r w:rsidR="00243EF3">
        <w:rPr>
          <w:sz w:val="24"/>
          <w:szCs w:val="24"/>
          <w:lang w:val="el-GR"/>
        </w:rPr>
        <w:t>Χα</w:t>
      </w:r>
      <w:r w:rsidR="00243EF3">
        <w:rPr>
          <w:rFonts w:ascii="Arial" w:hAnsi="Arial" w:cs="Arial"/>
          <w:sz w:val="24"/>
          <w:szCs w:val="24"/>
          <w:lang w:val="el-GR"/>
        </w:rPr>
        <w:t>ῖρε</w:t>
      </w:r>
      <w:r w:rsidR="00243EF3" w:rsidRPr="00243EF3">
        <w:rPr>
          <w:rFonts w:ascii="Arial" w:hAnsi="Arial" w:cs="Arial"/>
          <w:sz w:val="24"/>
          <w:szCs w:val="24"/>
        </w:rPr>
        <w:t>.</w:t>
      </w:r>
      <w:r w:rsidR="00243EF3">
        <w:rPr>
          <w:rFonts w:ascii="Arial" w:hAnsi="Arial" w:cs="Arial"/>
          <w:sz w:val="24"/>
          <w:szCs w:val="24"/>
        </w:rPr>
        <w:t xml:space="preserve"> From </w:t>
      </w:r>
      <w:r w:rsidR="00243EF3">
        <w:rPr>
          <w:rFonts w:ascii="Arial" w:hAnsi="Arial" w:cs="Arial"/>
          <w:i/>
          <w:iCs/>
          <w:sz w:val="24"/>
          <w:szCs w:val="24"/>
        </w:rPr>
        <w:t xml:space="preserve">cavea </w:t>
      </w:r>
      <w:r w:rsidR="00243EF3">
        <w:rPr>
          <w:rFonts w:ascii="Arial" w:hAnsi="Arial" w:cs="Arial"/>
          <w:sz w:val="24"/>
          <w:szCs w:val="24"/>
        </w:rPr>
        <w:t>comes the English and French ‘cage’.</w:t>
      </w:r>
      <w:r w:rsidR="00243EF3">
        <w:rPr>
          <w:rStyle w:val="FootnoteReference"/>
          <w:rFonts w:ascii="Arial" w:hAnsi="Arial" w:cs="Arial"/>
          <w:sz w:val="24"/>
          <w:szCs w:val="24"/>
        </w:rPr>
        <w:footnoteReference w:id="60"/>
      </w:r>
    </w:p>
    <w:p w14:paraId="38D8E0F5" w14:textId="74485511" w:rsidR="00243EF3" w:rsidRDefault="00243EF3" w:rsidP="001834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all affects Encolpius with such </w:t>
      </w:r>
      <w:r>
        <w:rPr>
          <w:rFonts w:ascii="Arial" w:hAnsi="Arial" w:cs="Arial"/>
          <w:i/>
          <w:iCs/>
          <w:sz w:val="24"/>
          <w:szCs w:val="24"/>
        </w:rPr>
        <w:t xml:space="preserve">stupor, </w:t>
      </w:r>
      <w:r>
        <w:rPr>
          <w:rFonts w:ascii="Arial" w:hAnsi="Arial" w:cs="Arial"/>
          <w:sz w:val="24"/>
          <w:szCs w:val="24"/>
        </w:rPr>
        <w:t xml:space="preserve">that at the beginning of 29 he takes for real a painting of a huge dog, with the common inscription </w:t>
      </w:r>
      <w:r>
        <w:rPr>
          <w:rFonts w:ascii="Arial" w:hAnsi="Arial" w:cs="Arial"/>
          <w:i/>
          <w:iCs/>
          <w:sz w:val="24"/>
          <w:szCs w:val="24"/>
        </w:rPr>
        <w:t xml:space="preserve">Cave Canem </w:t>
      </w:r>
      <w:r>
        <w:rPr>
          <w:rFonts w:ascii="Arial" w:hAnsi="Arial" w:cs="Arial"/>
          <w:sz w:val="24"/>
          <w:szCs w:val="24"/>
        </w:rPr>
        <w:t>and almost falls over in fright, which allowing for the fact that he is in a daze, betrays his naivity</w:t>
      </w:r>
      <w:r w:rsidR="00465914">
        <w:rPr>
          <w:rFonts w:ascii="Arial" w:hAnsi="Arial" w:cs="Arial"/>
          <w:sz w:val="24"/>
          <w:szCs w:val="24"/>
        </w:rPr>
        <w:t>.</w:t>
      </w:r>
      <w:r w:rsidR="00465914">
        <w:rPr>
          <w:rStyle w:val="FootnoteReference"/>
          <w:rFonts w:ascii="Arial" w:hAnsi="Arial" w:cs="Arial"/>
          <w:sz w:val="24"/>
          <w:szCs w:val="24"/>
        </w:rPr>
        <w:footnoteReference w:id="61"/>
      </w:r>
    </w:p>
    <w:p w14:paraId="50EA7579" w14:textId="6BF7272E" w:rsidR="007A6051" w:rsidRDefault="00AA2811" w:rsidP="00183467">
      <w:pPr>
        <w:rPr>
          <w:rFonts w:ascii="Arial" w:hAnsi="Arial" w:cs="Arial"/>
          <w:i/>
          <w:iCs/>
          <w:sz w:val="32"/>
          <w:szCs w:val="32"/>
        </w:rPr>
      </w:pPr>
      <w:r>
        <w:rPr>
          <w:rFonts w:ascii="Arial" w:hAnsi="Arial" w:cs="Arial"/>
          <w:sz w:val="24"/>
          <w:szCs w:val="24"/>
        </w:rPr>
        <w:t>Encolpius, on the one hand would have viewed the ostentatious vulgarity of the freed slave</w:t>
      </w:r>
      <w:r w:rsidR="0089202E">
        <w:rPr>
          <w:rFonts w:ascii="Arial" w:hAnsi="Arial" w:cs="Arial"/>
          <w:sz w:val="24"/>
          <w:szCs w:val="24"/>
        </w:rPr>
        <w:t xml:space="preserve"> and self made man</w:t>
      </w:r>
      <w:r>
        <w:rPr>
          <w:rFonts w:ascii="Arial" w:hAnsi="Arial" w:cs="Arial"/>
          <w:sz w:val="24"/>
          <w:szCs w:val="24"/>
        </w:rPr>
        <w:t xml:space="preserve"> with supercilious mirth, but on the other would have been fascinated by the idiosyncratic world illustrated so colourfully in the </w:t>
      </w:r>
      <w:r>
        <w:rPr>
          <w:rFonts w:ascii="Arial" w:hAnsi="Arial" w:cs="Arial"/>
          <w:i/>
          <w:iCs/>
          <w:sz w:val="24"/>
          <w:szCs w:val="24"/>
        </w:rPr>
        <w:t xml:space="preserve">Cena. </w:t>
      </w:r>
    </w:p>
    <w:p w14:paraId="2A87442D" w14:textId="77777777" w:rsidR="006F10C6" w:rsidRDefault="00AA2811" w:rsidP="006F10C6">
      <w:pPr>
        <w:jc w:val="center"/>
        <w:rPr>
          <w:rFonts w:ascii="Arial" w:hAnsi="Arial" w:cs="Arial"/>
          <w:sz w:val="32"/>
          <w:szCs w:val="32"/>
          <w:u w:val="single"/>
        </w:rPr>
      </w:pPr>
      <w:r w:rsidRPr="00AA2811">
        <w:rPr>
          <w:rFonts w:ascii="Arial" w:hAnsi="Arial" w:cs="Arial"/>
          <w:sz w:val="32"/>
          <w:szCs w:val="32"/>
          <w:u w:val="single"/>
        </w:rPr>
        <w:t>Bibliogr</w:t>
      </w:r>
      <w:r w:rsidR="006F10C6">
        <w:rPr>
          <w:rFonts w:ascii="Arial" w:hAnsi="Arial" w:cs="Arial"/>
          <w:sz w:val="32"/>
          <w:szCs w:val="32"/>
          <w:u w:val="single"/>
        </w:rPr>
        <w:t>aphy</w:t>
      </w:r>
    </w:p>
    <w:p w14:paraId="1693B80E" w14:textId="664568BA" w:rsidR="003F18CC" w:rsidRDefault="003F18CC" w:rsidP="003F18C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Cicero </w:t>
      </w:r>
      <w:r>
        <w:rPr>
          <w:rFonts w:ascii="Arial" w:hAnsi="Arial" w:cs="Arial"/>
          <w:i/>
          <w:iCs/>
          <w:sz w:val="28"/>
          <w:szCs w:val="28"/>
        </w:rPr>
        <w:t xml:space="preserve">Verrines  </w:t>
      </w:r>
      <w:r>
        <w:rPr>
          <w:rFonts w:ascii="Arial" w:hAnsi="Arial" w:cs="Arial"/>
          <w:sz w:val="28"/>
          <w:szCs w:val="28"/>
        </w:rPr>
        <w:t>5</w:t>
      </w:r>
    </w:p>
    <w:p w14:paraId="5DDBC1FA" w14:textId="68EDA245" w:rsidR="00544085" w:rsidRPr="00544085" w:rsidRDefault="00544085" w:rsidP="003F18C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Juvenal </w:t>
      </w:r>
      <w:r>
        <w:rPr>
          <w:rFonts w:ascii="Arial" w:hAnsi="Arial" w:cs="Arial"/>
          <w:i/>
          <w:iCs/>
          <w:sz w:val="28"/>
          <w:szCs w:val="28"/>
        </w:rPr>
        <w:t xml:space="preserve">Satire  </w:t>
      </w:r>
      <w:r>
        <w:rPr>
          <w:rFonts w:ascii="Arial" w:hAnsi="Arial" w:cs="Arial"/>
          <w:sz w:val="28"/>
          <w:szCs w:val="28"/>
        </w:rPr>
        <w:t>1 and 3</w:t>
      </w:r>
    </w:p>
    <w:p w14:paraId="16569587" w14:textId="769C44EB" w:rsidR="00544085" w:rsidRDefault="00544085" w:rsidP="003F18C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Seneca </w:t>
      </w:r>
      <w:r>
        <w:rPr>
          <w:rFonts w:ascii="Arial" w:hAnsi="Arial" w:cs="Arial"/>
          <w:i/>
          <w:iCs/>
          <w:sz w:val="28"/>
          <w:szCs w:val="28"/>
        </w:rPr>
        <w:t xml:space="preserve">Ira  </w:t>
      </w:r>
      <w:r>
        <w:rPr>
          <w:rFonts w:ascii="Arial" w:hAnsi="Arial" w:cs="Arial"/>
          <w:sz w:val="28"/>
          <w:szCs w:val="28"/>
        </w:rPr>
        <w:t>3</w:t>
      </w:r>
    </w:p>
    <w:p w14:paraId="2A56CCE6" w14:textId="48F63DD6" w:rsidR="00544085" w:rsidRPr="00544085" w:rsidRDefault="00544085" w:rsidP="003F18CC">
      <w:pPr>
        <w:rPr>
          <w:rFonts w:ascii="Arial" w:hAnsi="Arial" w:cs="Arial"/>
          <w:i/>
          <w:i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Seneca </w:t>
      </w:r>
      <w:r>
        <w:rPr>
          <w:rFonts w:ascii="Arial" w:hAnsi="Arial" w:cs="Arial"/>
          <w:i/>
          <w:iCs/>
          <w:sz w:val="28"/>
          <w:szCs w:val="28"/>
        </w:rPr>
        <w:t>Epistolae Morales ad Lucilium</w:t>
      </w:r>
    </w:p>
    <w:p w14:paraId="709E3DF8" w14:textId="6780DFC6" w:rsidR="003F18CC" w:rsidRDefault="003F18CC" w:rsidP="003F18C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Tacitus </w:t>
      </w:r>
      <w:r>
        <w:rPr>
          <w:rFonts w:ascii="Arial" w:hAnsi="Arial" w:cs="Arial"/>
          <w:i/>
          <w:iCs/>
          <w:sz w:val="28"/>
          <w:szCs w:val="28"/>
        </w:rPr>
        <w:t xml:space="preserve">Annals  </w:t>
      </w:r>
      <w:r>
        <w:rPr>
          <w:rFonts w:ascii="Arial" w:hAnsi="Arial" w:cs="Arial"/>
          <w:sz w:val="28"/>
          <w:szCs w:val="28"/>
        </w:rPr>
        <w:t>14</w:t>
      </w:r>
    </w:p>
    <w:p w14:paraId="28C9721E" w14:textId="004AB0F9" w:rsidR="003F18CC" w:rsidRPr="003F18CC" w:rsidRDefault="003F18CC" w:rsidP="003F18C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Virgil  </w:t>
      </w:r>
      <w:r>
        <w:rPr>
          <w:rFonts w:ascii="Arial" w:hAnsi="Arial" w:cs="Arial"/>
          <w:i/>
          <w:iCs/>
          <w:sz w:val="28"/>
          <w:szCs w:val="28"/>
        </w:rPr>
        <w:t xml:space="preserve">Aeneid  </w:t>
      </w:r>
      <w:r w:rsidR="00544085">
        <w:rPr>
          <w:rFonts w:ascii="Arial" w:hAnsi="Arial" w:cs="Arial"/>
          <w:sz w:val="28"/>
          <w:szCs w:val="28"/>
        </w:rPr>
        <w:t>5</w:t>
      </w:r>
    </w:p>
    <w:p w14:paraId="62C5251E" w14:textId="126CE955" w:rsidR="00E72806" w:rsidRPr="00E72806" w:rsidRDefault="00E72806" w:rsidP="00E72806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Barstch. S.,  Notes from the Cambridge Companion to the Greek and Roman Novel</w:t>
      </w:r>
    </w:p>
    <w:p w14:paraId="557B7282" w14:textId="5E2FA739" w:rsidR="006F10C6" w:rsidRPr="006F10C6" w:rsidRDefault="006F10C6" w:rsidP="006F10C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Bicknell’ P. 1968, ‘Opimian Bitters of “Opimian” Wine, American Journal of Philology 89.3: 347-349 </w:t>
      </w:r>
    </w:p>
    <w:p w14:paraId="196A9BE2" w14:textId="58159902" w:rsidR="00AA2811" w:rsidRDefault="004C2DAD" w:rsidP="006F10C6">
      <w:pPr>
        <w:rPr>
          <w:sz w:val="28"/>
          <w:szCs w:val="28"/>
        </w:rPr>
      </w:pPr>
      <w:r>
        <w:rPr>
          <w:sz w:val="28"/>
          <w:szCs w:val="28"/>
        </w:rPr>
        <w:t>Bodel, J., ‘Trimalchio’s Underworld’, in The Search for the Ancient Novel (ed). J. Tatum (Baltimore, 1994), 237-59</w:t>
      </w:r>
    </w:p>
    <w:p w14:paraId="3C6403B2" w14:textId="24831D5C" w:rsidR="006F10C6" w:rsidRDefault="006F10C6" w:rsidP="006F10C6">
      <w:pPr>
        <w:rPr>
          <w:sz w:val="28"/>
          <w:szCs w:val="28"/>
        </w:rPr>
      </w:pPr>
      <w:r>
        <w:rPr>
          <w:sz w:val="28"/>
          <w:szCs w:val="28"/>
        </w:rPr>
        <w:t>Bodel, J., ‘Slave Labour and Roman Society’, 2011</w:t>
      </w:r>
    </w:p>
    <w:p w14:paraId="0311B796" w14:textId="7B55A593" w:rsidR="00E72806" w:rsidRDefault="00E72806" w:rsidP="006F10C6">
      <w:pPr>
        <w:rPr>
          <w:sz w:val="28"/>
          <w:szCs w:val="28"/>
        </w:rPr>
      </w:pPr>
      <w:r>
        <w:rPr>
          <w:sz w:val="28"/>
          <w:szCs w:val="28"/>
        </w:rPr>
        <w:lastRenderedPageBreak/>
        <w:t>Courtney, E.,  2001  A Companion to Petronius  (Oxford)</w:t>
      </w:r>
    </w:p>
    <w:p w14:paraId="03B6E01A" w14:textId="5ED84839" w:rsidR="003F18CC" w:rsidRDefault="003F18CC" w:rsidP="006F10C6">
      <w:pPr>
        <w:rPr>
          <w:sz w:val="28"/>
          <w:szCs w:val="28"/>
        </w:rPr>
      </w:pPr>
      <w:r>
        <w:rPr>
          <w:sz w:val="28"/>
          <w:szCs w:val="28"/>
        </w:rPr>
        <w:t>Fagan, G.  (1981), ‘Bathing in Public in the Roman World (Ann Arbor)</w:t>
      </w:r>
    </w:p>
    <w:p w14:paraId="7215637E" w14:textId="72EBFCC2" w:rsidR="00E72806" w:rsidRPr="006F10C6" w:rsidRDefault="00E72806" w:rsidP="006F10C6">
      <w:pPr>
        <w:rPr>
          <w:rFonts w:ascii="Arial" w:hAnsi="Arial" w:cs="Arial"/>
          <w:sz w:val="28"/>
          <w:szCs w:val="28"/>
          <w:u w:val="single"/>
        </w:rPr>
      </w:pPr>
      <w:r>
        <w:rPr>
          <w:sz w:val="28"/>
          <w:szCs w:val="28"/>
        </w:rPr>
        <w:t>Gloyn, L. ‘She’s Only A Bird in a Gilded Cage: Freedwomen at Trimalchio’s Dinner Party’. Classical Quarterly 62.1 (2012), 260-80</w:t>
      </w:r>
    </w:p>
    <w:p w14:paraId="38269E1E" w14:textId="19A94ECD" w:rsidR="004C2DAD" w:rsidRDefault="004C2DAD" w:rsidP="00183467">
      <w:pPr>
        <w:rPr>
          <w:sz w:val="28"/>
          <w:szCs w:val="28"/>
        </w:rPr>
      </w:pPr>
      <w:r>
        <w:rPr>
          <w:sz w:val="28"/>
          <w:szCs w:val="28"/>
        </w:rPr>
        <w:t>Horsfall, N., 1989, ‘The Uses of Literacy’ and the ‘Cena Trimalchionis’ Greece and Rome, 36,1. 74-89</w:t>
      </w:r>
    </w:p>
    <w:p w14:paraId="01230598" w14:textId="2CF316C0" w:rsidR="006F10C6" w:rsidRDefault="006F10C6" w:rsidP="00183467">
      <w:pPr>
        <w:rPr>
          <w:sz w:val="28"/>
          <w:szCs w:val="28"/>
        </w:rPr>
      </w:pPr>
      <w:r>
        <w:rPr>
          <w:sz w:val="28"/>
          <w:szCs w:val="28"/>
        </w:rPr>
        <w:t>Laird, A. 2007. ‘The truse nature of the Satyricon?’ in The Greek and the Roman Novel: Parallel Readings edited by Michael Paschalis, 151-67</w:t>
      </w:r>
    </w:p>
    <w:p w14:paraId="42071CD4" w14:textId="47E7E4BD" w:rsidR="004C2DAD" w:rsidRDefault="004C2DAD" w:rsidP="00183467">
      <w:pPr>
        <w:rPr>
          <w:sz w:val="28"/>
          <w:szCs w:val="28"/>
        </w:rPr>
      </w:pPr>
      <w:r>
        <w:rPr>
          <w:sz w:val="28"/>
          <w:szCs w:val="28"/>
        </w:rPr>
        <w:t>Murgatroyd, T. ‘Petronius’ Satyrica’ in Emma Buckley, Martin T.Dinter (ed.), A Companion to the Neronian Age. 2013, 241-257</w:t>
      </w:r>
    </w:p>
    <w:p w14:paraId="2479A710" w14:textId="3F11D061" w:rsidR="006F10C6" w:rsidRDefault="006F10C6" w:rsidP="00183467">
      <w:pPr>
        <w:rPr>
          <w:sz w:val="28"/>
          <w:szCs w:val="28"/>
        </w:rPr>
      </w:pPr>
      <w:r>
        <w:rPr>
          <w:sz w:val="28"/>
          <w:szCs w:val="28"/>
        </w:rPr>
        <w:t>Ramsby, T., 2012 ‘Reading the Freed Slave in the Cena Trimalchionis’ in Freed at Last! The Impact of Freed Slaves on the Roman Empire (London: Bristol Classical Press, 6-87)</w:t>
      </w:r>
    </w:p>
    <w:p w14:paraId="6402D09C" w14:textId="04EBF356" w:rsidR="00F52954" w:rsidRDefault="00F52954" w:rsidP="00183467">
      <w:pPr>
        <w:rPr>
          <w:sz w:val="28"/>
          <w:szCs w:val="28"/>
        </w:rPr>
      </w:pPr>
      <w:r>
        <w:rPr>
          <w:sz w:val="28"/>
          <w:szCs w:val="28"/>
        </w:rPr>
        <w:t>Rimell, Victoria., 2002 ‘Petronius and the anatomy of fiction. Girton College, Cambridge.    Cambridge University Press</w:t>
      </w:r>
    </w:p>
    <w:p w14:paraId="7503ADD4" w14:textId="450F3C5B" w:rsidR="004C2DAD" w:rsidRPr="00E72806" w:rsidRDefault="004C2DAD" w:rsidP="00183467">
      <w:pPr>
        <w:rPr>
          <w:sz w:val="28"/>
          <w:szCs w:val="28"/>
        </w:rPr>
      </w:pPr>
      <w:r>
        <w:rPr>
          <w:sz w:val="28"/>
          <w:szCs w:val="28"/>
        </w:rPr>
        <w:t xml:space="preserve">Schmeling, G., 1996 ‘The Satyrica of Petronius’ in </w:t>
      </w:r>
      <w:r w:rsidRPr="00E72806">
        <w:rPr>
          <w:i/>
          <w:iCs/>
          <w:sz w:val="28"/>
          <w:szCs w:val="28"/>
        </w:rPr>
        <w:t>The Novel in the Ancient</w:t>
      </w:r>
      <w:r>
        <w:rPr>
          <w:sz w:val="28"/>
          <w:szCs w:val="28"/>
        </w:rPr>
        <w:t xml:space="preserve"> </w:t>
      </w:r>
      <w:r w:rsidRPr="00E72806">
        <w:rPr>
          <w:i/>
          <w:iCs/>
          <w:sz w:val="28"/>
          <w:szCs w:val="28"/>
        </w:rPr>
        <w:t>World</w:t>
      </w:r>
      <w:r w:rsidR="00E72806">
        <w:rPr>
          <w:i/>
          <w:iCs/>
          <w:sz w:val="28"/>
          <w:szCs w:val="28"/>
        </w:rPr>
        <w:t xml:space="preserve"> ed G. Schmeling </w:t>
      </w:r>
      <w:r w:rsidR="00E72806">
        <w:rPr>
          <w:sz w:val="28"/>
          <w:szCs w:val="28"/>
        </w:rPr>
        <w:t>(Leiden, 1996), 457-490</w:t>
      </w:r>
    </w:p>
    <w:p w14:paraId="4EA6AD30" w14:textId="3CF01F49" w:rsidR="006F10C6" w:rsidRDefault="006F10C6" w:rsidP="00183467">
      <w:pPr>
        <w:rPr>
          <w:sz w:val="28"/>
          <w:szCs w:val="28"/>
        </w:rPr>
      </w:pPr>
      <w:r>
        <w:rPr>
          <w:sz w:val="28"/>
          <w:szCs w:val="28"/>
        </w:rPr>
        <w:t>Schmeling, G., 1970. ‘Trimalchio’s Menu and Wine List’ Classical Philology 65: 248-51</w:t>
      </w:r>
    </w:p>
    <w:p w14:paraId="7F71FD97" w14:textId="6F6C988D" w:rsidR="003F18CC" w:rsidRDefault="003F18CC" w:rsidP="00183467">
      <w:pPr>
        <w:rPr>
          <w:sz w:val="28"/>
          <w:szCs w:val="28"/>
        </w:rPr>
      </w:pPr>
      <w:r>
        <w:rPr>
          <w:sz w:val="28"/>
          <w:szCs w:val="28"/>
        </w:rPr>
        <w:t>Schmeling, G., 2011.  A Commentary on the Satyrica of Petronius,  2011  (Oxford)</w:t>
      </w:r>
    </w:p>
    <w:p w14:paraId="47675310" w14:textId="43B43077" w:rsidR="00E72806" w:rsidRDefault="003F18CC" w:rsidP="00183467">
      <w:pPr>
        <w:rPr>
          <w:sz w:val="28"/>
          <w:szCs w:val="28"/>
        </w:rPr>
      </w:pPr>
      <w:r>
        <w:rPr>
          <w:sz w:val="28"/>
          <w:szCs w:val="28"/>
        </w:rPr>
        <w:t>Sedgwick, W.B. 1925  ‘The Cena Trimalchionis of Petronius, together with Seneca’s Apocolocyntosis.  (Oxford at the Clarendon Press)</w:t>
      </w:r>
    </w:p>
    <w:p w14:paraId="2E0366E5" w14:textId="0D799FFD" w:rsidR="00E72806" w:rsidRDefault="00E72806" w:rsidP="00183467">
      <w:pPr>
        <w:rPr>
          <w:sz w:val="28"/>
          <w:szCs w:val="28"/>
        </w:rPr>
      </w:pPr>
      <w:r>
        <w:rPr>
          <w:sz w:val="28"/>
          <w:szCs w:val="28"/>
        </w:rPr>
        <w:t>Steadman, G., 2018.  Petronius’ Cena Trimalchionis</w:t>
      </w:r>
    </w:p>
    <w:p w14:paraId="1E057667" w14:textId="067BE30C" w:rsidR="00E72806" w:rsidRDefault="00E72806" w:rsidP="00183467">
      <w:pPr>
        <w:rPr>
          <w:sz w:val="28"/>
          <w:szCs w:val="28"/>
        </w:rPr>
      </w:pPr>
      <w:r>
        <w:rPr>
          <w:sz w:val="28"/>
          <w:szCs w:val="28"/>
        </w:rPr>
        <w:t>Sullivan, J.P. 1968. The Satyricon of Petronius: a Literary Study (London)</w:t>
      </w:r>
    </w:p>
    <w:p w14:paraId="7FA05300" w14:textId="4B73263B" w:rsidR="00E72806" w:rsidRDefault="00E72806" w:rsidP="00183467">
      <w:pPr>
        <w:rPr>
          <w:sz w:val="28"/>
          <w:szCs w:val="28"/>
        </w:rPr>
      </w:pPr>
      <w:r>
        <w:rPr>
          <w:sz w:val="28"/>
          <w:szCs w:val="28"/>
        </w:rPr>
        <w:t>Walsh, P.G.  1970.  The Roman Novel  (London)</w:t>
      </w:r>
    </w:p>
    <w:p w14:paraId="0833AA85" w14:textId="77777777" w:rsidR="004C2DAD" w:rsidRPr="004C2DAD" w:rsidRDefault="004C2DAD" w:rsidP="00183467">
      <w:pPr>
        <w:rPr>
          <w:sz w:val="28"/>
          <w:szCs w:val="28"/>
        </w:rPr>
      </w:pPr>
    </w:p>
    <w:p w14:paraId="6BAF81AD" w14:textId="77777777" w:rsidR="00A30CCC" w:rsidRPr="00E924E2" w:rsidRDefault="00A30CCC" w:rsidP="00183467">
      <w:pPr>
        <w:rPr>
          <w:sz w:val="24"/>
          <w:szCs w:val="24"/>
        </w:rPr>
      </w:pPr>
    </w:p>
    <w:p w14:paraId="74CC1490" w14:textId="77777777" w:rsidR="00F71310" w:rsidRPr="00333E54" w:rsidRDefault="00F71310" w:rsidP="00183467">
      <w:pPr>
        <w:rPr>
          <w:sz w:val="24"/>
          <w:szCs w:val="24"/>
        </w:rPr>
      </w:pPr>
    </w:p>
    <w:p w14:paraId="2726CD2B" w14:textId="77777777" w:rsidR="00AA639C" w:rsidRPr="00AA639C" w:rsidRDefault="00AA639C" w:rsidP="00183467">
      <w:pPr>
        <w:rPr>
          <w:sz w:val="24"/>
          <w:szCs w:val="24"/>
        </w:rPr>
      </w:pPr>
    </w:p>
    <w:p w14:paraId="47B8C0AA" w14:textId="77777777" w:rsidR="00EC3012" w:rsidRPr="00B30BFD" w:rsidRDefault="00EC3012" w:rsidP="00183467">
      <w:pPr>
        <w:rPr>
          <w:sz w:val="24"/>
          <w:szCs w:val="24"/>
        </w:rPr>
      </w:pPr>
    </w:p>
    <w:p w14:paraId="0ADDC6E8" w14:textId="77777777" w:rsidR="009604AA" w:rsidRPr="00580582" w:rsidRDefault="009604AA" w:rsidP="00183467">
      <w:pPr>
        <w:rPr>
          <w:sz w:val="24"/>
          <w:szCs w:val="24"/>
        </w:rPr>
      </w:pPr>
    </w:p>
    <w:p w14:paraId="6F698F4C" w14:textId="77777777" w:rsidR="00F07949" w:rsidRPr="00183467" w:rsidRDefault="00F07949" w:rsidP="00183467">
      <w:pPr>
        <w:rPr>
          <w:sz w:val="24"/>
          <w:szCs w:val="24"/>
        </w:rPr>
      </w:pPr>
    </w:p>
    <w:sectPr w:rsidR="00F07949" w:rsidRPr="001834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F6B67C7" w14:textId="77777777" w:rsidR="0095228E" w:rsidRDefault="0095228E" w:rsidP="00183467">
      <w:pPr>
        <w:spacing w:after="0" w:line="240" w:lineRule="auto"/>
      </w:pPr>
      <w:r>
        <w:separator/>
      </w:r>
    </w:p>
  </w:endnote>
  <w:endnote w:type="continuationSeparator" w:id="0">
    <w:p w14:paraId="072FB8F6" w14:textId="77777777" w:rsidR="0095228E" w:rsidRDefault="0095228E" w:rsidP="001834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AC1F3F" w14:textId="77777777" w:rsidR="0095228E" w:rsidRDefault="0095228E" w:rsidP="00183467">
      <w:pPr>
        <w:spacing w:after="0" w:line="240" w:lineRule="auto"/>
      </w:pPr>
      <w:r>
        <w:separator/>
      </w:r>
    </w:p>
  </w:footnote>
  <w:footnote w:type="continuationSeparator" w:id="0">
    <w:p w14:paraId="06757107" w14:textId="77777777" w:rsidR="0095228E" w:rsidRDefault="0095228E" w:rsidP="00183467">
      <w:pPr>
        <w:spacing w:after="0" w:line="240" w:lineRule="auto"/>
      </w:pPr>
      <w:r>
        <w:continuationSeparator/>
      </w:r>
    </w:p>
  </w:footnote>
  <w:footnote w:id="1">
    <w:p w14:paraId="220C359A" w14:textId="7396D95C" w:rsidR="00304787" w:rsidRDefault="00304787">
      <w:pPr>
        <w:pStyle w:val="FootnoteText"/>
      </w:pPr>
      <w:r>
        <w:rPr>
          <w:rStyle w:val="FootnoteReference"/>
        </w:rPr>
        <w:footnoteRef/>
      </w:r>
      <w:r>
        <w:t xml:space="preserve"> Horsfall</w:t>
      </w:r>
      <w:r w:rsidR="00544085">
        <w:t xml:space="preserve">  1989</w:t>
      </w:r>
      <w:r>
        <w:t xml:space="preserve">  77</w:t>
      </w:r>
    </w:p>
  </w:footnote>
  <w:footnote w:id="2">
    <w:p w14:paraId="28DB58F4" w14:textId="3B46D7F3" w:rsidR="0094672C" w:rsidRDefault="0094672C">
      <w:pPr>
        <w:pStyle w:val="FootnoteText"/>
      </w:pPr>
      <w:r>
        <w:rPr>
          <w:rStyle w:val="FootnoteReference"/>
        </w:rPr>
        <w:footnoteRef/>
      </w:r>
      <w:r>
        <w:t xml:space="preserve"> Laird</w:t>
      </w:r>
      <w:r w:rsidR="00544085">
        <w:t xml:space="preserve">  2007</w:t>
      </w:r>
      <w:r>
        <w:t xml:space="preserve">  158</w:t>
      </w:r>
    </w:p>
  </w:footnote>
  <w:footnote w:id="3">
    <w:p w14:paraId="2012DAB6" w14:textId="5E70DEB2" w:rsidR="006D3AE2" w:rsidRDefault="006D3AE2">
      <w:pPr>
        <w:pStyle w:val="FootnoteText"/>
      </w:pPr>
      <w:r>
        <w:rPr>
          <w:rStyle w:val="FootnoteReference"/>
        </w:rPr>
        <w:footnoteRef/>
      </w:r>
      <w:r>
        <w:t xml:space="preserve"> Barstch Notes</w:t>
      </w:r>
    </w:p>
  </w:footnote>
  <w:footnote w:id="4">
    <w:p w14:paraId="25C8A072" w14:textId="4B150EA6" w:rsidR="00F07949" w:rsidRDefault="00F07949">
      <w:pPr>
        <w:pStyle w:val="FootnoteText"/>
      </w:pPr>
      <w:r>
        <w:rPr>
          <w:rStyle w:val="FootnoteReference"/>
        </w:rPr>
        <w:footnoteRef/>
      </w:r>
      <w:r>
        <w:t xml:space="preserve"> Courtney</w:t>
      </w:r>
      <w:r w:rsidR="00544085">
        <w:t xml:space="preserve">  2001 </w:t>
      </w:r>
      <w:r>
        <w:t xml:space="preserve"> 72</w:t>
      </w:r>
    </w:p>
  </w:footnote>
  <w:footnote w:id="5">
    <w:p w14:paraId="6ABEEDF0" w14:textId="18860A34" w:rsidR="00E946A4" w:rsidRDefault="00E946A4">
      <w:pPr>
        <w:pStyle w:val="FootnoteText"/>
      </w:pPr>
      <w:r>
        <w:rPr>
          <w:rStyle w:val="FootnoteReference"/>
        </w:rPr>
        <w:footnoteRef/>
      </w:r>
      <w:r>
        <w:t xml:space="preserve"> Sedgwick</w:t>
      </w:r>
      <w:r w:rsidR="00544085">
        <w:t xml:space="preserve">  1925 </w:t>
      </w:r>
      <w:r>
        <w:t xml:space="preserve"> 87</w:t>
      </w:r>
    </w:p>
  </w:footnote>
  <w:footnote w:id="6">
    <w:p w14:paraId="0E4AE2D3" w14:textId="72C135C5" w:rsidR="006F52DF" w:rsidRDefault="006F52DF">
      <w:pPr>
        <w:pStyle w:val="FootnoteText"/>
      </w:pPr>
      <w:r>
        <w:rPr>
          <w:rStyle w:val="FootnoteReference"/>
        </w:rPr>
        <w:footnoteRef/>
      </w:r>
      <w:r>
        <w:t xml:space="preserve"> Sullivan 1968 152</w:t>
      </w:r>
    </w:p>
  </w:footnote>
  <w:footnote w:id="7">
    <w:p w14:paraId="31846705" w14:textId="70CF5ED4" w:rsidR="00705C42" w:rsidRDefault="00705C42">
      <w:pPr>
        <w:pStyle w:val="FootnoteText"/>
      </w:pPr>
      <w:r>
        <w:rPr>
          <w:rStyle w:val="FootnoteReference"/>
        </w:rPr>
        <w:footnoteRef/>
      </w:r>
      <w:r>
        <w:t xml:space="preserve"> Walsh 1970 113</w:t>
      </w:r>
    </w:p>
  </w:footnote>
  <w:footnote w:id="8">
    <w:p w14:paraId="581C1C46" w14:textId="69CC34E5" w:rsidR="00325F32" w:rsidRDefault="00325F32">
      <w:pPr>
        <w:pStyle w:val="FootnoteText"/>
      </w:pPr>
      <w:r>
        <w:rPr>
          <w:rStyle w:val="FootnoteReference"/>
        </w:rPr>
        <w:footnoteRef/>
      </w:r>
      <w:r>
        <w:t xml:space="preserve"> Sullivan  1968  151</w:t>
      </w:r>
    </w:p>
  </w:footnote>
  <w:footnote w:id="9">
    <w:p w14:paraId="603E5DDF" w14:textId="2DA7F429" w:rsidR="009B6BA3" w:rsidRDefault="009B6BA3">
      <w:pPr>
        <w:pStyle w:val="FootnoteText"/>
      </w:pPr>
      <w:r>
        <w:rPr>
          <w:rStyle w:val="FootnoteReference"/>
        </w:rPr>
        <w:footnoteRef/>
      </w:r>
      <w:r>
        <w:t xml:space="preserve"> Schmeling  1996  462</w:t>
      </w:r>
    </w:p>
  </w:footnote>
  <w:footnote w:id="10">
    <w:p w14:paraId="727D3239" w14:textId="358C9F2B" w:rsidR="00216DCD" w:rsidRDefault="00216DCD">
      <w:pPr>
        <w:pStyle w:val="FootnoteText"/>
      </w:pPr>
      <w:r>
        <w:rPr>
          <w:rStyle w:val="FootnoteReference"/>
        </w:rPr>
        <w:footnoteRef/>
      </w:r>
      <w:r>
        <w:t xml:space="preserve"> Courtney </w:t>
      </w:r>
      <w:r w:rsidR="00544085">
        <w:t xml:space="preserve"> 2001  </w:t>
      </w:r>
      <w:r>
        <w:t>74</w:t>
      </w:r>
    </w:p>
  </w:footnote>
  <w:footnote w:id="11">
    <w:p w14:paraId="05B66155" w14:textId="6A1B1966" w:rsidR="00B668EC" w:rsidRDefault="00B668EC">
      <w:pPr>
        <w:pStyle w:val="FootnoteText"/>
      </w:pPr>
      <w:r>
        <w:rPr>
          <w:rStyle w:val="FootnoteReference"/>
        </w:rPr>
        <w:footnoteRef/>
      </w:r>
      <w:r>
        <w:t xml:space="preserve"> Murgatroyd </w:t>
      </w:r>
      <w:r w:rsidR="00544085">
        <w:t xml:space="preserve"> 2013 </w:t>
      </w:r>
      <w:r>
        <w:t xml:space="preserve"> 248</w:t>
      </w:r>
    </w:p>
  </w:footnote>
  <w:footnote w:id="12">
    <w:p w14:paraId="7654956A" w14:textId="2B2DD8EA" w:rsidR="009604AA" w:rsidRDefault="009604AA">
      <w:pPr>
        <w:pStyle w:val="FootnoteText"/>
      </w:pPr>
      <w:r>
        <w:rPr>
          <w:rStyle w:val="FootnoteReference"/>
        </w:rPr>
        <w:footnoteRef/>
      </w:r>
      <w:r>
        <w:t xml:space="preserve"> Sedgwick</w:t>
      </w:r>
      <w:r w:rsidR="00544085">
        <w:t xml:space="preserve">  1925</w:t>
      </w:r>
      <w:r>
        <w:t xml:space="preserve">  88</w:t>
      </w:r>
    </w:p>
  </w:footnote>
  <w:footnote w:id="13">
    <w:p w14:paraId="2E2903BF" w14:textId="505A70B1" w:rsidR="00580582" w:rsidRDefault="00580582">
      <w:pPr>
        <w:pStyle w:val="FootnoteText"/>
      </w:pPr>
      <w:r>
        <w:rPr>
          <w:rStyle w:val="FootnoteReference"/>
        </w:rPr>
        <w:footnoteRef/>
      </w:r>
      <w:r>
        <w:t xml:space="preserve"> Schmeling  2011  86</w:t>
      </w:r>
    </w:p>
  </w:footnote>
  <w:footnote w:id="14">
    <w:p w14:paraId="2248E5C7" w14:textId="29193979" w:rsidR="00397BCE" w:rsidRDefault="00397BCE">
      <w:pPr>
        <w:pStyle w:val="FootnoteText"/>
      </w:pPr>
      <w:r>
        <w:rPr>
          <w:rStyle w:val="FootnoteReference"/>
        </w:rPr>
        <w:footnoteRef/>
      </w:r>
      <w:r>
        <w:t xml:space="preserve"> Courtney</w:t>
      </w:r>
      <w:r w:rsidR="00544085">
        <w:t xml:space="preserve">  2001 </w:t>
      </w:r>
      <w:r>
        <w:t xml:space="preserve"> 73</w:t>
      </w:r>
    </w:p>
  </w:footnote>
  <w:footnote w:id="15">
    <w:p w14:paraId="0CD415F2" w14:textId="3FBA628A" w:rsidR="002B1CA1" w:rsidRPr="002B1CA1" w:rsidRDefault="002B1CA1">
      <w:pPr>
        <w:pStyle w:val="FootnoteText"/>
      </w:pPr>
      <w:r>
        <w:rPr>
          <w:rStyle w:val="FootnoteReference"/>
        </w:rPr>
        <w:footnoteRef/>
      </w:r>
      <w:r>
        <w:t xml:space="preserve"> Tacitus </w:t>
      </w:r>
      <w:r>
        <w:rPr>
          <w:i/>
          <w:iCs/>
        </w:rPr>
        <w:t xml:space="preserve">Ann. </w:t>
      </w:r>
      <w:r>
        <w:t>14. 57</w:t>
      </w:r>
    </w:p>
  </w:footnote>
  <w:footnote w:id="16">
    <w:p w14:paraId="636C6373" w14:textId="4A9374B6" w:rsidR="00584B5F" w:rsidRDefault="00584B5F">
      <w:pPr>
        <w:pStyle w:val="FootnoteText"/>
      </w:pPr>
      <w:r>
        <w:rPr>
          <w:rStyle w:val="FootnoteReference"/>
        </w:rPr>
        <w:footnoteRef/>
      </w:r>
      <w:r>
        <w:t xml:space="preserve"> Gloyn</w:t>
      </w:r>
      <w:r w:rsidR="00544085">
        <w:t xml:space="preserve">  2012</w:t>
      </w:r>
      <w:r>
        <w:t xml:space="preserve">  265</w:t>
      </w:r>
    </w:p>
  </w:footnote>
  <w:footnote w:id="17">
    <w:p w14:paraId="69728494" w14:textId="02DD2194" w:rsidR="00705C42" w:rsidRDefault="00705C42">
      <w:pPr>
        <w:pStyle w:val="FootnoteText"/>
      </w:pPr>
      <w:r>
        <w:rPr>
          <w:rStyle w:val="FootnoteReference"/>
        </w:rPr>
        <w:footnoteRef/>
      </w:r>
      <w:r>
        <w:t xml:space="preserve"> Walsh 1970 114</w:t>
      </w:r>
    </w:p>
  </w:footnote>
  <w:footnote w:id="18">
    <w:p w14:paraId="058E2890" w14:textId="214983EC" w:rsidR="00EC3012" w:rsidRDefault="00EC3012">
      <w:pPr>
        <w:pStyle w:val="FootnoteText"/>
      </w:pPr>
      <w:r>
        <w:rPr>
          <w:rStyle w:val="FootnoteReference"/>
        </w:rPr>
        <w:footnoteRef/>
      </w:r>
      <w:r>
        <w:t xml:space="preserve"> Schmeling  2011  87</w:t>
      </w:r>
    </w:p>
  </w:footnote>
  <w:footnote w:id="19">
    <w:p w14:paraId="06FE52B9" w14:textId="15F14FB9" w:rsidR="00AA639C" w:rsidRDefault="00AA639C">
      <w:pPr>
        <w:pStyle w:val="FootnoteText"/>
      </w:pPr>
      <w:r>
        <w:rPr>
          <w:rStyle w:val="FootnoteReference"/>
        </w:rPr>
        <w:footnoteRef/>
      </w:r>
      <w:r>
        <w:t xml:space="preserve"> Fagan 1999  215</w:t>
      </w:r>
    </w:p>
  </w:footnote>
  <w:footnote w:id="20">
    <w:p w14:paraId="625F101C" w14:textId="658C2B5F" w:rsidR="008C432E" w:rsidRDefault="008C432E">
      <w:pPr>
        <w:pStyle w:val="FootnoteText"/>
      </w:pPr>
      <w:r>
        <w:rPr>
          <w:rStyle w:val="FootnoteReference"/>
        </w:rPr>
        <w:footnoteRef/>
      </w:r>
      <w:r>
        <w:t xml:space="preserve"> Steadman </w:t>
      </w:r>
      <w:r w:rsidR="00544085">
        <w:t xml:space="preserve"> </w:t>
      </w:r>
      <w:r>
        <w:t>2018  2</w:t>
      </w:r>
    </w:p>
  </w:footnote>
  <w:footnote w:id="21">
    <w:p w14:paraId="2F74BDA7" w14:textId="10370386" w:rsidR="002B1CA1" w:rsidRPr="002B1CA1" w:rsidRDefault="002B1CA1">
      <w:pPr>
        <w:pStyle w:val="FootnoteText"/>
      </w:pPr>
      <w:r>
        <w:rPr>
          <w:rStyle w:val="FootnoteReference"/>
        </w:rPr>
        <w:footnoteRef/>
      </w:r>
      <w:r>
        <w:t xml:space="preserve"> Cicero </w:t>
      </w:r>
      <w:r>
        <w:rPr>
          <w:i/>
          <w:iCs/>
        </w:rPr>
        <w:t xml:space="preserve">Verr. </w:t>
      </w:r>
      <w:r>
        <w:t>5.86</w:t>
      </w:r>
    </w:p>
  </w:footnote>
  <w:footnote w:id="22">
    <w:p w14:paraId="560C0C67" w14:textId="45B72738" w:rsidR="00F71310" w:rsidRDefault="00F71310">
      <w:pPr>
        <w:pStyle w:val="FootnoteText"/>
      </w:pPr>
      <w:r>
        <w:rPr>
          <w:rStyle w:val="FootnoteReference"/>
        </w:rPr>
        <w:footnoteRef/>
      </w:r>
      <w:r>
        <w:t xml:space="preserve"> Schmeling </w:t>
      </w:r>
      <w:r w:rsidR="00544085">
        <w:t xml:space="preserve">  </w:t>
      </w:r>
      <w:r>
        <w:t xml:space="preserve">2011  87 </w:t>
      </w:r>
    </w:p>
  </w:footnote>
  <w:footnote w:id="23">
    <w:p w14:paraId="33314F7A" w14:textId="27DCD322" w:rsidR="00D10D59" w:rsidRDefault="00D10D59">
      <w:pPr>
        <w:pStyle w:val="FootnoteText"/>
      </w:pPr>
      <w:r>
        <w:rPr>
          <w:rStyle w:val="FootnoteReference"/>
        </w:rPr>
        <w:footnoteRef/>
      </w:r>
      <w:r>
        <w:t xml:space="preserve"> Schmeling </w:t>
      </w:r>
      <w:r w:rsidR="00544085">
        <w:t xml:space="preserve">  </w:t>
      </w:r>
      <w:r>
        <w:t>2011  87</w:t>
      </w:r>
    </w:p>
  </w:footnote>
  <w:footnote w:id="24">
    <w:p w14:paraId="0EEEA41B" w14:textId="5AD0686E" w:rsidR="00FC5899" w:rsidRDefault="00FC5899">
      <w:pPr>
        <w:pStyle w:val="FootnoteText"/>
      </w:pPr>
      <w:r>
        <w:rPr>
          <w:rStyle w:val="FootnoteReference"/>
        </w:rPr>
        <w:footnoteRef/>
      </w:r>
      <w:r>
        <w:t xml:space="preserve"> Steadman </w:t>
      </w:r>
      <w:r w:rsidR="00544085">
        <w:t xml:space="preserve"> </w:t>
      </w:r>
      <w:r>
        <w:t>2018</w:t>
      </w:r>
      <w:r w:rsidR="00544085">
        <w:t xml:space="preserve"> </w:t>
      </w:r>
      <w:r>
        <w:t xml:space="preserve"> 2</w:t>
      </w:r>
    </w:p>
  </w:footnote>
  <w:footnote w:id="25">
    <w:p w14:paraId="1FF3CF84" w14:textId="1188D8C0" w:rsidR="008F3075" w:rsidRDefault="008F3075">
      <w:pPr>
        <w:pStyle w:val="FootnoteText"/>
      </w:pPr>
      <w:r>
        <w:rPr>
          <w:rStyle w:val="FootnoteReference"/>
        </w:rPr>
        <w:footnoteRef/>
      </w:r>
      <w:r>
        <w:t xml:space="preserve"> Horsfall 1989 74</w:t>
      </w:r>
    </w:p>
  </w:footnote>
  <w:footnote w:id="26">
    <w:p w14:paraId="78430268" w14:textId="1BD494D5" w:rsidR="00A5263A" w:rsidRDefault="00A5263A">
      <w:pPr>
        <w:pStyle w:val="FootnoteText"/>
      </w:pPr>
      <w:r>
        <w:rPr>
          <w:rStyle w:val="FootnoteReference"/>
        </w:rPr>
        <w:footnoteRef/>
      </w:r>
      <w:r>
        <w:t xml:space="preserve"> Rimell  2002  186</w:t>
      </w:r>
    </w:p>
  </w:footnote>
  <w:footnote w:id="27">
    <w:p w14:paraId="16A088CA" w14:textId="0F6C537C" w:rsidR="00912096" w:rsidRDefault="00912096">
      <w:pPr>
        <w:pStyle w:val="FootnoteText"/>
      </w:pPr>
      <w:r>
        <w:rPr>
          <w:rStyle w:val="FootnoteReference"/>
        </w:rPr>
        <w:footnoteRef/>
      </w:r>
      <w:r>
        <w:t xml:space="preserve"> Schmeling 2011  88</w:t>
      </w:r>
    </w:p>
  </w:footnote>
  <w:footnote w:id="28">
    <w:p w14:paraId="03A0924E" w14:textId="5DE46FA8" w:rsidR="00912096" w:rsidRDefault="00912096">
      <w:pPr>
        <w:pStyle w:val="FootnoteText"/>
      </w:pPr>
      <w:r>
        <w:rPr>
          <w:rStyle w:val="FootnoteReference"/>
        </w:rPr>
        <w:footnoteRef/>
      </w:r>
      <w:r>
        <w:t xml:space="preserve"> Juvenal 1. 22</w:t>
      </w:r>
    </w:p>
  </w:footnote>
  <w:footnote w:id="29">
    <w:p w14:paraId="1FE040CE" w14:textId="762A9C5E" w:rsidR="00705C42" w:rsidRDefault="00705C42">
      <w:pPr>
        <w:pStyle w:val="FootnoteText"/>
      </w:pPr>
      <w:r>
        <w:rPr>
          <w:rStyle w:val="FootnoteReference"/>
        </w:rPr>
        <w:footnoteRef/>
      </w:r>
      <w:r>
        <w:t xml:space="preserve"> Walsh 1970 139</w:t>
      </w:r>
    </w:p>
  </w:footnote>
  <w:footnote w:id="30">
    <w:p w14:paraId="4CCECDE9" w14:textId="135961F2" w:rsidR="00761060" w:rsidRDefault="00761060">
      <w:pPr>
        <w:pStyle w:val="FootnoteText"/>
      </w:pPr>
      <w:r>
        <w:rPr>
          <w:rStyle w:val="FootnoteReference"/>
        </w:rPr>
        <w:footnoteRef/>
      </w:r>
      <w:r>
        <w:t xml:space="preserve"> Schmeling </w:t>
      </w:r>
      <w:r w:rsidR="00544085">
        <w:t xml:space="preserve">  </w:t>
      </w:r>
      <w:r>
        <w:t>2011  89</w:t>
      </w:r>
    </w:p>
  </w:footnote>
  <w:footnote w:id="31">
    <w:p w14:paraId="7718A34F" w14:textId="18EDDD77" w:rsidR="00D82FC8" w:rsidRDefault="00D82FC8">
      <w:pPr>
        <w:pStyle w:val="FootnoteText"/>
      </w:pPr>
      <w:r>
        <w:rPr>
          <w:rStyle w:val="FootnoteReference"/>
        </w:rPr>
        <w:footnoteRef/>
      </w:r>
      <w:r>
        <w:t xml:space="preserve"> Courtney </w:t>
      </w:r>
      <w:r w:rsidR="00544085">
        <w:t xml:space="preserve"> 2001  </w:t>
      </w:r>
      <w:r>
        <w:t>74</w:t>
      </w:r>
    </w:p>
  </w:footnote>
  <w:footnote w:id="32">
    <w:p w14:paraId="0A819B89" w14:textId="60A40114" w:rsidR="006278EE" w:rsidRDefault="006278EE">
      <w:pPr>
        <w:pStyle w:val="FootnoteText"/>
      </w:pPr>
      <w:r>
        <w:rPr>
          <w:rStyle w:val="FootnoteReference"/>
        </w:rPr>
        <w:footnoteRef/>
      </w:r>
      <w:r>
        <w:t xml:space="preserve"> Fagan 1999  22</w:t>
      </w:r>
    </w:p>
  </w:footnote>
  <w:footnote w:id="33">
    <w:p w14:paraId="2E0E46AE" w14:textId="78BD37B3" w:rsidR="006278EE" w:rsidRDefault="006278EE">
      <w:pPr>
        <w:pStyle w:val="FootnoteText"/>
      </w:pPr>
      <w:r>
        <w:rPr>
          <w:rStyle w:val="FootnoteReference"/>
        </w:rPr>
        <w:footnoteRef/>
      </w:r>
      <w:r>
        <w:t xml:space="preserve"> Steadman  2018  3</w:t>
      </w:r>
    </w:p>
  </w:footnote>
  <w:footnote w:id="34">
    <w:p w14:paraId="7462C702" w14:textId="7B948F64" w:rsidR="00A45557" w:rsidRDefault="00A45557">
      <w:pPr>
        <w:pStyle w:val="FootnoteText"/>
      </w:pPr>
      <w:r>
        <w:rPr>
          <w:rStyle w:val="FootnoteReference"/>
        </w:rPr>
        <w:footnoteRef/>
      </w:r>
      <w:r>
        <w:t xml:space="preserve"> Fagan 1999 10</w:t>
      </w:r>
    </w:p>
  </w:footnote>
  <w:footnote w:id="35">
    <w:p w14:paraId="74D7BF5C" w14:textId="7C9AD77C" w:rsidR="00F542E5" w:rsidRDefault="00F542E5">
      <w:pPr>
        <w:pStyle w:val="FootnoteText"/>
      </w:pPr>
      <w:r>
        <w:rPr>
          <w:rStyle w:val="FootnoteReference"/>
        </w:rPr>
        <w:footnoteRef/>
      </w:r>
      <w:r>
        <w:t xml:space="preserve"> Juvenal 3. 261-3</w:t>
      </w:r>
    </w:p>
  </w:footnote>
  <w:footnote w:id="36">
    <w:p w14:paraId="0D19FEC1" w14:textId="6F3EB5C3" w:rsidR="002A1B95" w:rsidRDefault="002A1B95">
      <w:pPr>
        <w:pStyle w:val="FootnoteText"/>
      </w:pPr>
      <w:r>
        <w:rPr>
          <w:rStyle w:val="FootnoteReference"/>
        </w:rPr>
        <w:footnoteRef/>
      </w:r>
      <w:r>
        <w:t xml:space="preserve"> Schmeling  1970  249</w:t>
      </w:r>
    </w:p>
  </w:footnote>
  <w:footnote w:id="37">
    <w:p w14:paraId="148D4BF1" w14:textId="3C8B1348" w:rsidR="007C02DB" w:rsidRDefault="007C02DB">
      <w:pPr>
        <w:pStyle w:val="FootnoteText"/>
      </w:pPr>
      <w:r>
        <w:rPr>
          <w:rStyle w:val="FootnoteReference"/>
        </w:rPr>
        <w:footnoteRef/>
      </w:r>
      <w:r>
        <w:t xml:space="preserve"> Walsh  1970  117</w:t>
      </w:r>
    </w:p>
  </w:footnote>
  <w:footnote w:id="38">
    <w:p w14:paraId="5F0A96AD" w14:textId="64F51D85" w:rsidR="006F7529" w:rsidRDefault="006F7529">
      <w:pPr>
        <w:pStyle w:val="FootnoteText"/>
      </w:pPr>
      <w:r>
        <w:rPr>
          <w:rStyle w:val="FootnoteReference"/>
        </w:rPr>
        <w:footnoteRef/>
      </w:r>
      <w:r>
        <w:t xml:space="preserve"> Baldwin  1968  347</w:t>
      </w:r>
    </w:p>
  </w:footnote>
  <w:footnote w:id="39">
    <w:p w14:paraId="4D64785C" w14:textId="47A0A0D2" w:rsidR="00DC7FF1" w:rsidRPr="00DC7FF1" w:rsidRDefault="00DC7FF1">
      <w:pPr>
        <w:pStyle w:val="FootnoteText"/>
      </w:pPr>
      <w:r>
        <w:rPr>
          <w:rStyle w:val="FootnoteReference"/>
        </w:rPr>
        <w:footnoteRef/>
      </w:r>
      <w:r>
        <w:t xml:space="preserve"> Seneca </w:t>
      </w:r>
      <w:r>
        <w:rPr>
          <w:i/>
          <w:iCs/>
        </w:rPr>
        <w:t xml:space="preserve">Ep. </w:t>
      </w:r>
      <w:r>
        <w:t>122. 6</w:t>
      </w:r>
    </w:p>
  </w:footnote>
  <w:footnote w:id="40">
    <w:p w14:paraId="0AC56006" w14:textId="0FD958BD" w:rsidR="005E63BD" w:rsidRDefault="005E63BD">
      <w:pPr>
        <w:pStyle w:val="FootnoteText"/>
      </w:pPr>
      <w:r>
        <w:rPr>
          <w:rStyle w:val="FootnoteReference"/>
        </w:rPr>
        <w:footnoteRef/>
      </w:r>
      <w:r>
        <w:t xml:space="preserve"> Steadman </w:t>
      </w:r>
      <w:r w:rsidR="00544085">
        <w:t xml:space="preserve"> </w:t>
      </w:r>
      <w:r>
        <w:t>2018</w:t>
      </w:r>
      <w:r w:rsidR="00544085">
        <w:t xml:space="preserve"> </w:t>
      </w:r>
      <w:r>
        <w:t xml:space="preserve"> 4</w:t>
      </w:r>
    </w:p>
  </w:footnote>
  <w:footnote w:id="41">
    <w:p w14:paraId="5A623850" w14:textId="4ADEFF78" w:rsidR="00AA2F18" w:rsidRDefault="00AA2F18">
      <w:pPr>
        <w:pStyle w:val="FootnoteText"/>
      </w:pPr>
      <w:r>
        <w:rPr>
          <w:rStyle w:val="FootnoteReference"/>
        </w:rPr>
        <w:footnoteRef/>
      </w:r>
      <w:r>
        <w:t xml:space="preserve"> Bodel 1994  256</w:t>
      </w:r>
    </w:p>
  </w:footnote>
  <w:footnote w:id="42">
    <w:p w14:paraId="70BBCD2D" w14:textId="45B9F466" w:rsidR="00AA2F18" w:rsidRDefault="00AA2F18">
      <w:pPr>
        <w:pStyle w:val="FootnoteText"/>
      </w:pPr>
      <w:r>
        <w:rPr>
          <w:rStyle w:val="FootnoteReference"/>
        </w:rPr>
        <w:footnoteRef/>
      </w:r>
      <w:r>
        <w:t xml:space="preserve"> Bodel 1994  243</w:t>
      </w:r>
    </w:p>
  </w:footnote>
  <w:footnote w:id="43">
    <w:p w14:paraId="54C74580" w14:textId="43A4FADB" w:rsidR="00BA3D83" w:rsidRPr="00BA3D83" w:rsidRDefault="00BA3D83">
      <w:pPr>
        <w:pStyle w:val="FootnoteText"/>
      </w:pPr>
      <w:r>
        <w:rPr>
          <w:rStyle w:val="FootnoteReference"/>
        </w:rPr>
        <w:footnoteRef/>
      </w:r>
      <w:r>
        <w:t xml:space="preserve"> Virgil </w:t>
      </w:r>
      <w:r>
        <w:rPr>
          <w:i/>
          <w:iCs/>
        </w:rPr>
        <w:t xml:space="preserve">Aeneid </w:t>
      </w:r>
      <w:r>
        <w:t>5. 77-8</w:t>
      </w:r>
    </w:p>
  </w:footnote>
  <w:footnote w:id="44">
    <w:p w14:paraId="13DF9B64" w14:textId="10FDD46D" w:rsidR="0034498A" w:rsidRDefault="0034498A">
      <w:pPr>
        <w:pStyle w:val="FootnoteText"/>
      </w:pPr>
      <w:r>
        <w:rPr>
          <w:rStyle w:val="FootnoteReference"/>
        </w:rPr>
        <w:footnoteRef/>
      </w:r>
      <w:r>
        <w:t xml:space="preserve"> Schmeling</w:t>
      </w:r>
      <w:r w:rsidR="00544085">
        <w:t xml:space="preserve">  </w:t>
      </w:r>
      <w:r>
        <w:t xml:space="preserve"> 2011 </w:t>
      </w:r>
      <w:r w:rsidR="00544085">
        <w:t xml:space="preserve"> </w:t>
      </w:r>
      <w:r>
        <w:t>92</w:t>
      </w:r>
    </w:p>
  </w:footnote>
  <w:footnote w:id="45">
    <w:p w14:paraId="31BF9511" w14:textId="7E025EAB" w:rsidR="001A59E1" w:rsidRDefault="001A59E1">
      <w:pPr>
        <w:pStyle w:val="FootnoteText"/>
      </w:pPr>
      <w:r>
        <w:rPr>
          <w:rStyle w:val="FootnoteReference"/>
        </w:rPr>
        <w:footnoteRef/>
      </w:r>
      <w:r>
        <w:t xml:space="preserve"> Sedgwick </w:t>
      </w:r>
      <w:r w:rsidR="00544085">
        <w:t xml:space="preserve"> 1925  </w:t>
      </w:r>
      <w:r>
        <w:t>89</w:t>
      </w:r>
    </w:p>
  </w:footnote>
  <w:footnote w:id="46">
    <w:p w14:paraId="0131BAD4" w14:textId="74CB0907" w:rsidR="005E63BD" w:rsidRDefault="005E63BD">
      <w:pPr>
        <w:pStyle w:val="FootnoteText"/>
      </w:pPr>
      <w:r>
        <w:rPr>
          <w:rStyle w:val="FootnoteReference"/>
        </w:rPr>
        <w:footnoteRef/>
      </w:r>
      <w:r>
        <w:t xml:space="preserve"> Steadman </w:t>
      </w:r>
      <w:r w:rsidR="00544085">
        <w:t xml:space="preserve"> </w:t>
      </w:r>
      <w:r>
        <w:t>2018  4</w:t>
      </w:r>
    </w:p>
  </w:footnote>
  <w:footnote w:id="47">
    <w:p w14:paraId="362DBCD9" w14:textId="52ADFA11" w:rsidR="00264149" w:rsidRDefault="00264149">
      <w:pPr>
        <w:pStyle w:val="FootnoteText"/>
      </w:pPr>
      <w:r>
        <w:rPr>
          <w:rStyle w:val="FootnoteReference"/>
        </w:rPr>
        <w:footnoteRef/>
      </w:r>
      <w:r>
        <w:t xml:space="preserve"> Schmeling </w:t>
      </w:r>
      <w:r w:rsidR="00544085">
        <w:t xml:space="preserve">  </w:t>
      </w:r>
      <w:r>
        <w:t>2011  92</w:t>
      </w:r>
    </w:p>
  </w:footnote>
  <w:footnote w:id="48">
    <w:p w14:paraId="39C36D7A" w14:textId="588AC1B8" w:rsidR="00264149" w:rsidRDefault="00264149">
      <w:pPr>
        <w:pStyle w:val="FootnoteText"/>
      </w:pPr>
      <w:r>
        <w:rPr>
          <w:rStyle w:val="FootnoteReference"/>
        </w:rPr>
        <w:footnoteRef/>
      </w:r>
      <w:r>
        <w:t xml:space="preserve"> Courtney</w:t>
      </w:r>
      <w:r w:rsidR="00544085">
        <w:t xml:space="preserve">  2001 </w:t>
      </w:r>
      <w:r>
        <w:t xml:space="preserve"> 74</w:t>
      </w:r>
    </w:p>
  </w:footnote>
  <w:footnote w:id="49">
    <w:p w14:paraId="30413FA6" w14:textId="73A30C87" w:rsidR="00264149" w:rsidRDefault="00264149">
      <w:pPr>
        <w:pStyle w:val="FootnoteText"/>
      </w:pPr>
      <w:r>
        <w:rPr>
          <w:rStyle w:val="FootnoteReference"/>
        </w:rPr>
        <w:footnoteRef/>
      </w:r>
      <w:r>
        <w:t xml:space="preserve"> Courtney </w:t>
      </w:r>
      <w:r w:rsidR="00544085">
        <w:t xml:space="preserve"> 2001  </w:t>
      </w:r>
      <w:r>
        <w:t>74</w:t>
      </w:r>
    </w:p>
  </w:footnote>
  <w:footnote w:id="50">
    <w:p w14:paraId="56D3022A" w14:textId="472DA8A1" w:rsidR="004B1A6B" w:rsidRDefault="004B1A6B">
      <w:pPr>
        <w:pStyle w:val="FootnoteText"/>
      </w:pPr>
      <w:r>
        <w:rPr>
          <w:rStyle w:val="FootnoteReference"/>
        </w:rPr>
        <w:footnoteRef/>
      </w:r>
      <w:r>
        <w:t xml:space="preserve"> Courtney </w:t>
      </w:r>
      <w:r w:rsidR="00544085">
        <w:t xml:space="preserve"> 2001  </w:t>
      </w:r>
      <w:r>
        <w:t>75</w:t>
      </w:r>
    </w:p>
  </w:footnote>
  <w:footnote w:id="51">
    <w:p w14:paraId="436C14BA" w14:textId="6681EB4B" w:rsidR="00FD1E4A" w:rsidRDefault="00FD1E4A">
      <w:pPr>
        <w:pStyle w:val="FootnoteText"/>
      </w:pPr>
      <w:r>
        <w:rPr>
          <w:rStyle w:val="FootnoteReference"/>
        </w:rPr>
        <w:footnoteRef/>
      </w:r>
      <w:r>
        <w:t xml:space="preserve"> Schmeling </w:t>
      </w:r>
      <w:r w:rsidR="00544085">
        <w:t xml:space="preserve">  </w:t>
      </w:r>
      <w:r>
        <w:t>2011  93</w:t>
      </w:r>
    </w:p>
  </w:footnote>
  <w:footnote w:id="52">
    <w:p w14:paraId="26A3F662" w14:textId="47555B21" w:rsidR="00EC0E3C" w:rsidRDefault="00EC0E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44085">
        <w:t>Bodel</w:t>
      </w:r>
      <w:r w:rsidR="00E65E03">
        <w:t xml:space="preserve"> </w:t>
      </w:r>
      <w:r w:rsidR="00544085">
        <w:t xml:space="preserve">  </w:t>
      </w:r>
      <w:r w:rsidR="00E65E03">
        <w:t>2011  330</w:t>
      </w:r>
    </w:p>
  </w:footnote>
  <w:footnote w:id="53">
    <w:p w14:paraId="3A665507" w14:textId="59E2A62E" w:rsidR="00946F97" w:rsidRDefault="00946F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F10C6">
        <w:t>Ramsby  2012</w:t>
      </w:r>
      <w:r>
        <w:t xml:space="preserve"> 73</w:t>
      </w:r>
    </w:p>
  </w:footnote>
  <w:footnote w:id="54">
    <w:p w14:paraId="005BF0D5" w14:textId="3095E997" w:rsidR="00E65E03" w:rsidRDefault="00E65E03">
      <w:pPr>
        <w:pStyle w:val="FootnoteText"/>
      </w:pPr>
      <w:r>
        <w:rPr>
          <w:rStyle w:val="FootnoteReference"/>
        </w:rPr>
        <w:footnoteRef/>
      </w:r>
      <w:r>
        <w:t xml:space="preserve"> Courtney  </w:t>
      </w:r>
      <w:r w:rsidR="00544085">
        <w:t xml:space="preserve"> </w:t>
      </w:r>
      <w:r>
        <w:t>2001  10</w:t>
      </w:r>
    </w:p>
  </w:footnote>
  <w:footnote w:id="55">
    <w:p w14:paraId="266819C4" w14:textId="022F0F37" w:rsidR="00E65E03" w:rsidRDefault="00E65E03">
      <w:pPr>
        <w:pStyle w:val="FootnoteText"/>
      </w:pPr>
      <w:r>
        <w:rPr>
          <w:rStyle w:val="FootnoteReference"/>
        </w:rPr>
        <w:footnoteRef/>
      </w:r>
      <w:r>
        <w:t xml:space="preserve"> Schmeling  </w:t>
      </w:r>
      <w:r w:rsidR="00544085">
        <w:t xml:space="preserve"> </w:t>
      </w:r>
      <w:r>
        <w:t>2011  94</w:t>
      </w:r>
    </w:p>
  </w:footnote>
  <w:footnote w:id="56">
    <w:p w14:paraId="5E05DE46" w14:textId="2F073023" w:rsidR="003364F3" w:rsidRPr="003364F3" w:rsidRDefault="003364F3">
      <w:pPr>
        <w:pStyle w:val="FootnoteText"/>
      </w:pPr>
      <w:r>
        <w:rPr>
          <w:rStyle w:val="FootnoteReference"/>
        </w:rPr>
        <w:footnoteRef/>
      </w:r>
      <w:r>
        <w:t xml:space="preserve"> Seneca</w:t>
      </w:r>
      <w:r w:rsidR="00544085">
        <w:t xml:space="preserve"> </w:t>
      </w:r>
      <w:r>
        <w:t xml:space="preserve"> </w:t>
      </w:r>
      <w:r>
        <w:rPr>
          <w:i/>
          <w:iCs/>
        </w:rPr>
        <w:t xml:space="preserve">Ira </w:t>
      </w:r>
      <w:r w:rsidR="00544085">
        <w:rPr>
          <w:i/>
          <w:iCs/>
        </w:rPr>
        <w:t xml:space="preserve"> </w:t>
      </w:r>
      <w:r>
        <w:t>3.37.2</w:t>
      </w:r>
    </w:p>
  </w:footnote>
  <w:footnote w:id="57">
    <w:p w14:paraId="20069C6B" w14:textId="3651ED20" w:rsidR="001E1E89" w:rsidRDefault="001E1E89">
      <w:pPr>
        <w:pStyle w:val="FootnoteText"/>
      </w:pPr>
      <w:r>
        <w:rPr>
          <w:rStyle w:val="FootnoteReference"/>
        </w:rPr>
        <w:footnoteRef/>
      </w:r>
      <w:r>
        <w:t xml:space="preserve"> Bodel  2010  325</w:t>
      </w:r>
    </w:p>
  </w:footnote>
  <w:footnote w:id="58">
    <w:p w14:paraId="4A3FB934" w14:textId="3691335C" w:rsidR="006A010D" w:rsidRDefault="006A010D">
      <w:pPr>
        <w:pStyle w:val="FootnoteText"/>
      </w:pPr>
      <w:r>
        <w:rPr>
          <w:rStyle w:val="FootnoteReference"/>
        </w:rPr>
        <w:footnoteRef/>
      </w:r>
      <w:r>
        <w:t xml:space="preserve"> Courtney  2001  75</w:t>
      </w:r>
    </w:p>
  </w:footnote>
  <w:footnote w:id="59">
    <w:p w14:paraId="51BE3CB9" w14:textId="36DCEA22" w:rsidR="006A010D" w:rsidRDefault="006A010D">
      <w:pPr>
        <w:pStyle w:val="FootnoteText"/>
      </w:pPr>
      <w:r>
        <w:rPr>
          <w:rStyle w:val="FootnoteReference"/>
        </w:rPr>
        <w:footnoteRef/>
      </w:r>
      <w:r>
        <w:t xml:space="preserve"> Bodel  2010  326</w:t>
      </w:r>
    </w:p>
  </w:footnote>
  <w:footnote w:id="60">
    <w:p w14:paraId="7BD4D455" w14:textId="0EF85711" w:rsidR="00243EF3" w:rsidRDefault="00243EF3">
      <w:pPr>
        <w:pStyle w:val="FootnoteText"/>
      </w:pPr>
      <w:r>
        <w:rPr>
          <w:rStyle w:val="FootnoteReference"/>
        </w:rPr>
        <w:footnoteRef/>
      </w:r>
      <w:r>
        <w:t xml:space="preserve"> Sedgwick  89</w:t>
      </w:r>
    </w:p>
  </w:footnote>
  <w:footnote w:id="61">
    <w:p w14:paraId="15F454CE" w14:textId="748E40E1" w:rsidR="00465914" w:rsidRDefault="00465914">
      <w:pPr>
        <w:pStyle w:val="FootnoteText"/>
      </w:pPr>
      <w:r>
        <w:rPr>
          <w:rStyle w:val="FootnoteReference"/>
        </w:rPr>
        <w:footnoteRef/>
      </w:r>
      <w:r>
        <w:t xml:space="preserve"> Courtney  2001  75-76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467"/>
    <w:rsid w:val="000A2709"/>
    <w:rsid w:val="000B087E"/>
    <w:rsid w:val="00142F33"/>
    <w:rsid w:val="00177FC2"/>
    <w:rsid w:val="00183467"/>
    <w:rsid w:val="001A185B"/>
    <w:rsid w:val="001A59E1"/>
    <w:rsid w:val="001A6891"/>
    <w:rsid w:val="001E1E89"/>
    <w:rsid w:val="00216DCD"/>
    <w:rsid w:val="00243EF3"/>
    <w:rsid w:val="002601C4"/>
    <w:rsid w:val="00264149"/>
    <w:rsid w:val="00275DF9"/>
    <w:rsid w:val="00287E6C"/>
    <w:rsid w:val="002A1B95"/>
    <w:rsid w:val="002B1CA1"/>
    <w:rsid w:val="00304787"/>
    <w:rsid w:val="003141FA"/>
    <w:rsid w:val="00325F32"/>
    <w:rsid w:val="00333E54"/>
    <w:rsid w:val="003364F3"/>
    <w:rsid w:val="0034498A"/>
    <w:rsid w:val="003932FD"/>
    <w:rsid w:val="00397BCE"/>
    <w:rsid w:val="003F18CC"/>
    <w:rsid w:val="00447790"/>
    <w:rsid w:val="00463680"/>
    <w:rsid w:val="00463942"/>
    <w:rsid w:val="00465914"/>
    <w:rsid w:val="00487754"/>
    <w:rsid w:val="004A1344"/>
    <w:rsid w:val="004B10A8"/>
    <w:rsid w:val="004B1A6B"/>
    <w:rsid w:val="004C2DAD"/>
    <w:rsid w:val="004E7480"/>
    <w:rsid w:val="00532D7D"/>
    <w:rsid w:val="00544085"/>
    <w:rsid w:val="0057434D"/>
    <w:rsid w:val="00580582"/>
    <w:rsid w:val="00584B5F"/>
    <w:rsid w:val="005C3335"/>
    <w:rsid w:val="005E63BD"/>
    <w:rsid w:val="005E7CAB"/>
    <w:rsid w:val="00602233"/>
    <w:rsid w:val="00624EC8"/>
    <w:rsid w:val="006278EE"/>
    <w:rsid w:val="006A010D"/>
    <w:rsid w:val="006A3BE4"/>
    <w:rsid w:val="006A630C"/>
    <w:rsid w:val="006D3AE2"/>
    <w:rsid w:val="006F10C6"/>
    <w:rsid w:val="006F52DF"/>
    <w:rsid w:val="006F7529"/>
    <w:rsid w:val="00705C42"/>
    <w:rsid w:val="00761060"/>
    <w:rsid w:val="00785AD7"/>
    <w:rsid w:val="007A6051"/>
    <w:rsid w:val="007B2BC2"/>
    <w:rsid w:val="007C02DB"/>
    <w:rsid w:val="007C34EF"/>
    <w:rsid w:val="007C48F8"/>
    <w:rsid w:val="007D1413"/>
    <w:rsid w:val="008445CD"/>
    <w:rsid w:val="008454B4"/>
    <w:rsid w:val="00853E13"/>
    <w:rsid w:val="008662F0"/>
    <w:rsid w:val="00891486"/>
    <w:rsid w:val="0089202E"/>
    <w:rsid w:val="008A3F70"/>
    <w:rsid w:val="008C432E"/>
    <w:rsid w:val="008E0802"/>
    <w:rsid w:val="008F011F"/>
    <w:rsid w:val="008F3075"/>
    <w:rsid w:val="00904DB2"/>
    <w:rsid w:val="00912096"/>
    <w:rsid w:val="00945687"/>
    <w:rsid w:val="0094672C"/>
    <w:rsid w:val="00946F97"/>
    <w:rsid w:val="0095228E"/>
    <w:rsid w:val="009604AA"/>
    <w:rsid w:val="009B6BA3"/>
    <w:rsid w:val="009D2EF1"/>
    <w:rsid w:val="009D6217"/>
    <w:rsid w:val="00A30CCC"/>
    <w:rsid w:val="00A325B4"/>
    <w:rsid w:val="00A45557"/>
    <w:rsid w:val="00A5263A"/>
    <w:rsid w:val="00A77002"/>
    <w:rsid w:val="00A87CC1"/>
    <w:rsid w:val="00AA2811"/>
    <w:rsid w:val="00AA2F18"/>
    <w:rsid w:val="00AA639C"/>
    <w:rsid w:val="00AB2057"/>
    <w:rsid w:val="00B06901"/>
    <w:rsid w:val="00B1376A"/>
    <w:rsid w:val="00B30BFD"/>
    <w:rsid w:val="00B668EC"/>
    <w:rsid w:val="00B77E5A"/>
    <w:rsid w:val="00BA3D83"/>
    <w:rsid w:val="00BB3D50"/>
    <w:rsid w:val="00BB3F74"/>
    <w:rsid w:val="00BC3134"/>
    <w:rsid w:val="00BE3EA8"/>
    <w:rsid w:val="00C165A4"/>
    <w:rsid w:val="00C55979"/>
    <w:rsid w:val="00C911D0"/>
    <w:rsid w:val="00CC0022"/>
    <w:rsid w:val="00CC5869"/>
    <w:rsid w:val="00D03E79"/>
    <w:rsid w:val="00D04629"/>
    <w:rsid w:val="00D10D59"/>
    <w:rsid w:val="00D11500"/>
    <w:rsid w:val="00D26EE0"/>
    <w:rsid w:val="00D82FC8"/>
    <w:rsid w:val="00DA1B49"/>
    <w:rsid w:val="00DC7FF1"/>
    <w:rsid w:val="00E114AF"/>
    <w:rsid w:val="00E355C9"/>
    <w:rsid w:val="00E56AC5"/>
    <w:rsid w:val="00E65E03"/>
    <w:rsid w:val="00E72806"/>
    <w:rsid w:val="00E924E2"/>
    <w:rsid w:val="00E946A4"/>
    <w:rsid w:val="00EB1F85"/>
    <w:rsid w:val="00EC0E3C"/>
    <w:rsid w:val="00EC3012"/>
    <w:rsid w:val="00ED472F"/>
    <w:rsid w:val="00EF0321"/>
    <w:rsid w:val="00F07949"/>
    <w:rsid w:val="00F52954"/>
    <w:rsid w:val="00F542E5"/>
    <w:rsid w:val="00F71310"/>
    <w:rsid w:val="00FB4581"/>
    <w:rsid w:val="00FC5899"/>
    <w:rsid w:val="00FD1E4A"/>
    <w:rsid w:val="00FE3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1F6144"/>
  <w15:chartTrackingRefBased/>
  <w15:docId w15:val="{B58C4FCF-6A0C-4CDE-8C61-69120A12B5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34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34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34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34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34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34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34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34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34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34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34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34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34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34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34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34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34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34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34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34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34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34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34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34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34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34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34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3467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8346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8346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8346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6F15A3-89E9-4A56-A888-94219F0362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1090</TotalTime>
  <Pages>1</Pages>
  <Words>2224</Words>
  <Characters>12681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Bee (96000040)</dc:creator>
  <cp:keywords/>
  <dc:description/>
  <cp:lastModifiedBy>Nicholas Bee (96000040)</cp:lastModifiedBy>
  <cp:revision>34</cp:revision>
  <dcterms:created xsi:type="dcterms:W3CDTF">2024-01-15T09:33:00Z</dcterms:created>
  <dcterms:modified xsi:type="dcterms:W3CDTF">2024-02-20T09:14:00Z</dcterms:modified>
</cp:coreProperties>
</file>