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ind w:left="0" w:firstLine="0"/>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Using an example of your choice, discuss the issues that arise in the presentation of a site or collection which could be termed ‘difficult heritage’.</w:t>
      </w:r>
    </w:p>
    <w:p w:rsidR="00000000" w:rsidDel="00000000" w:rsidP="00000000" w:rsidRDefault="00000000" w:rsidRPr="00000000" w14:paraId="00000002">
      <w:pP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Presenting difficult heritage: Ethical challenges at Auschwitz-Birkenau</w:t>
      </w:r>
    </w:p>
    <w:p w:rsidR="00000000" w:rsidDel="00000000" w:rsidP="00000000" w:rsidRDefault="00000000" w:rsidRPr="00000000" w14:paraId="00000003">
      <w:pP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Times New Roman" w:cs="Times New Roman" w:eastAsia="Times New Roman" w:hAnsi="Times New Roman"/>
          <w:b w:val="1"/>
          <w:bCs w:val="1"/>
          <w:sz w:val="24"/>
          <w:szCs w:val="24"/>
          <w:rtl w:val="0"/>
        </w:rPr>
        <w:t xml:space="preserve">      </w:t>
      </w:r>
      <w:r w:rsidDel="00000000" w:rsidR="00000000" w:rsidRPr="00000000">
        <w:rPr>
          <w:rFonts w:ascii="Georgia" w:cs="Georgia" w:eastAsia="Georgia" w:hAnsi="Georgia"/>
          <w:sz w:val="24"/>
          <w:szCs w:val="24"/>
          <w:rtl w:val="0"/>
        </w:rPr>
        <w:t xml:space="preserve">Heritage sites are often associated with celebrating culture and pride. However, not all heritage is celebratory. Some sites embody histories of trauma, violence and moral failure, which becomes challenging when presented to the public. Such places are frequently described as ‘difficult heritage’. The former Nazi concentration and extermination camp of Auschwitz-Birkenau represents one of the most famous examples of difficult heritage, standing as a reminder of the Holocaust and the genocide of six million Jews, alongside other persecuted groups during the Second World War. </w:t>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presentation of Auschwitz-Birkenau raises complex emotional, ethical and political questions. The site must be able to balance multiple responsibilities: commemorate the victims and educate visitors accurately. These responsibilities are further complicated by the intense emotional weight of the site. Decisions about what to display and how much narrative and context to provide are deeply embedded in moral frameworks. Having first hand experience of the site and directly encountering the emotional power of the camp’s remains, is beneficial when examining the key issues that arise in the presentation of difficult heritage. This essay will explore debates surrounding authenticity and preservation, the representation of victims, visitor experience and emotional response, highlighting the tension between memorialisation and tourism.  </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‘Difficult heritage is the production and curation of our tragic past, dark tourism is the consumption and experience of such tragedies’</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concept of ‘difficult heritage’ has been most prominently used by Sharon Macdonald, who uses the term to describe heritage that is unsettling or troubling, in her book </w:t>
      </w:r>
      <w:r w:rsidDel="00000000" w:rsidR="00000000" w:rsidRPr="00000000">
        <w:rPr>
          <w:rFonts w:ascii="Georgia" w:cs="Georgia" w:eastAsia="Georgia" w:hAnsi="Georgia"/>
          <w:i w:val="1"/>
          <w:iCs w:val="1"/>
          <w:sz w:val="24"/>
          <w:szCs w:val="24"/>
          <w:rtl w:val="0"/>
        </w:rPr>
        <w:t xml:space="preserve">Difficult heritage </w:t>
      </w:r>
      <w:r w:rsidDel="00000000" w:rsidR="00000000" w:rsidRPr="00000000">
        <w:rPr>
          <w:rFonts w:ascii="Georgia" w:cs="Georgia" w:eastAsia="Georgia" w:hAnsi="Georgia"/>
          <w:i w:val="1"/>
          <w:iCs w:val="1"/>
          <w:sz w:val="24"/>
          <w:szCs w:val="24"/>
          <w:rtl w:val="0"/>
        </w:rPr>
        <w:t xml:space="preserve">Negotiating the Nazi Past in Nuremberg and Beyond </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Sites like Auschwitz foreground histories of violence, shame and moral failure, often provoking discomfort. This site materialises the Holocaust in a physical landscape that resists aestheticisation or heroic framing. It requires presentation methods that prioritise commemoration and education over consumption or entertainment.  Derek Dalton emphasises that ‘it must be acknowledged that Auschwitz is generally described as the ‘epitome of dark tourism’</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when writing about Auschwitz as a difficult heritage site, meaning many believe it is the perfect example of dark tourism, with many people travelling there just because of that title. </w:t>
      </w:r>
      <w:r w:rsidDel="00000000" w:rsidR="00000000" w:rsidRPr="00000000">
        <w:rPr>
          <w:rtl w:val="0"/>
        </w:rPr>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Auschwitz-Birkenau presents a challenging example of difficult heritage due to its transformation from a site of mass murder into a formalised heritage site, memorial and museum. Auschwitz was established by Germans in 1940 in the suburbs of Oswiecim, a Polish city that was added to the Third Reich by the Nazis.</w:t>
      </w:r>
      <w:r w:rsidDel="00000000" w:rsidR="00000000" w:rsidRPr="00000000">
        <w:rPr>
          <w:rFonts w:ascii="Georgia" w:cs="Georgia" w:eastAsia="Georgia" w:hAnsi="Georgia"/>
          <w:sz w:val="24"/>
          <w:szCs w:val="24"/>
          <w:rtl w:val="0"/>
        </w:rPr>
        <w:t xml:space="preserve"> Auschwitz functioned as both a concentration and extermination camp, becoming one of the largest places for murder where over one million people were killed. The scale and organisation of violence at Auschwitz distinguishes it from many other heritage sites and intensifies the ethical challenges when preserving and interpreting the site.  Following its liberation by Soviet forces in January 1945, </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The site immediately posed difficult questions regarding how such a place should be treated: the physical remains of the camp stood as evidence of Nazi crimes, yet their preservation could risk retraumatising survivors and affected communities.  Two years later in 1947, the Polish government established the Auschwitz-Birkenau State Museum, marking a shift from a site of atrocity to one of commemoration and education, Auschwitz being transformed into a museum displaying artefacts and evidence, whereas Birkenau is a preserved former deathcamp, with a few restored buildings. Mainly used for the purpose of remembering. </w:t>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One of the most debated issues in the presentation of Auschwitz is the tension and line between tourism and memorialisation. Pointed out by Daniel P. Reynolds, ‘without tourists, historical museums and memorials would struggle to fill their commemoration and educational commitments’</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Auschwitz is primarily intended as a place of remembrance and education; however, it also functions as a major international tourist destination, attracting over a million visitors annually.</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Fonts w:ascii="Georgia" w:cs="Georgia" w:eastAsia="Georgia" w:hAnsi="Georgia"/>
          <w:sz w:val="24"/>
          <w:szCs w:val="24"/>
          <w:rtl w:val="0"/>
        </w:rPr>
        <w:t xml:space="preserve"> Measures such as ticketing systems, guided tours, visitor facilities and crowd management are necessary for practical reasons, yet they can contribute to the perception of Auschwitz as a consumable experience rather than a space for reflection. ‘Auschwitz, in the modern era, has become a big business’.</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 During a visit to Auschwitz the overcrowding was very noticeable, especially in such confined spaces. This made it quite uncomfortable and at times constrained opportunities for reflection. Visitor behaviour further exposes this tension. The presence of photography, mobile phones and inappropriate conversations made it seem more of a tourist destination than a place of remembrance. It was very difficult at times to concentrate on the tour with so much disrespectful behaviour happening around. While such behaviour is often criticised, it reflects the challenge of regulating emotional responses in a space encountered by visitors with varying levels of historical knowledge and personal connection. On one hand, allowing visitors to tour Auschwitz helps educate millions about the Holocaust, ensuring that what happened is not forgotten and that historical denial is challenged. On the other hand, the scale of tourism risks undermining the purpose of the site. From a first hand experience, the crowds and inappropriate behaviour does reduce Auschwitz to a ‘tourist attraction’. It felt morally wrong to be there, especially with the lack of empathy shown by other guests who were more concerned with taking photos, even asking other visitors to move out of the way for a photo.  </w:t>
      </w:r>
      <w:r w:rsidDel="00000000" w:rsidR="00000000" w:rsidRPr="00000000">
        <w:rPr>
          <w:rFonts w:ascii="Georgia" w:cs="Georgia" w:eastAsia="Georgia" w:hAnsi="Georgia"/>
          <w:sz w:val="24"/>
          <w:szCs w:val="24"/>
          <w:rtl w:val="0"/>
        </w:rPr>
        <w:t xml:space="preserve">For example, asking younger visitors to move out the way to take a photo of the sign that displayed ‘death chamber’ with a lack of dignity and respect. </w:t>
      </w:r>
      <w:r w:rsidDel="00000000" w:rsidR="00000000" w:rsidRPr="00000000">
        <w:rPr>
          <w:rFonts w:ascii="Georgia" w:cs="Georgia" w:eastAsia="Georgia" w:hAnsi="Georgia"/>
          <w:sz w:val="24"/>
          <w:szCs w:val="24"/>
          <w:rtl w:val="0"/>
        </w:rPr>
        <w:t xml:space="preserve">The atmosphere felt even more uncomfortable because of tourist behavior, finding it rather insensitive. Daniel P Reynolds makes the point that ‘there are ethical concerns about the potentially voyeuristic nature of tourism, combined with the commodification of a traumatic history.’</w:t>
      </w:r>
      <w:r w:rsidDel="00000000" w:rsidR="00000000" w:rsidRPr="00000000">
        <w:rPr>
          <w:rFonts w:ascii="Georgia" w:cs="Georgia" w:eastAsia="Georgia" w:hAnsi="Georgia"/>
          <w:sz w:val="24"/>
          <w:szCs w:val="24"/>
          <w:vertAlign w:val="superscript"/>
        </w:rPr>
        <w:footnoteReference w:customMarkFollows="0" w:id="7"/>
      </w:r>
      <w:r w:rsidDel="00000000" w:rsidR="00000000" w:rsidRPr="00000000">
        <w:rPr>
          <w:rFonts w:ascii="Georgia" w:cs="Georgia" w:eastAsia="Georgia" w:hAnsi="Georgia"/>
          <w:sz w:val="24"/>
          <w:szCs w:val="24"/>
          <w:rtl w:val="0"/>
        </w:rPr>
        <w:t xml:space="preserve"> He further goes on to talk about inappropriate behaviour using examples such as graffiti, stealing artefacts and one case where a woman was arrested and fined for doing the Nazi salute. Furthermore, on a search of the ‘best attractions’ or things to do in Krakow, a tour package of Auschwitz-Birkenau will always be a top result, therefore highlighting the need for careful management of visitor access to ensure education and commemoration remain central to the museum.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F">
      <w:pPr>
        <w:rPr>
          <w:rFonts w:ascii="Georgia" w:cs="Georgia" w:eastAsia="Georgia" w:hAnsi="Georgia"/>
          <w:sz w:val="24"/>
          <w:szCs w:val="24"/>
          <w:shd w:fill="a4c2f4" w:val="clear"/>
        </w:rPr>
      </w:pPr>
      <w:r w:rsidDel="00000000" w:rsidR="00000000" w:rsidRPr="00000000">
        <w:rPr>
          <w:rFonts w:ascii="Georgia" w:cs="Georgia" w:eastAsia="Georgia" w:hAnsi="Georgia"/>
          <w:sz w:val="24"/>
          <w:szCs w:val="24"/>
          <w:rtl w:val="0"/>
        </w:rPr>
        <w:t xml:space="preserve">    Another major ethical issue in presenting difficult heritage sites like Auschwitz is representation and narrative control. There is an ethical challenge in deciding whose stories are told and how they are told. </w:t>
      </w:r>
      <w:r w:rsidDel="00000000" w:rsidR="00000000" w:rsidRPr="00000000">
        <w:rPr>
          <w:rFonts w:ascii="Georgia" w:cs="Georgia" w:eastAsia="Georgia" w:hAnsi="Georgia"/>
          <w:sz w:val="24"/>
          <w:szCs w:val="24"/>
          <w:rtl w:val="0"/>
        </w:rPr>
        <w:t xml:space="preserve">Christine Berberich in the book </w:t>
      </w:r>
      <w:r w:rsidDel="00000000" w:rsidR="00000000" w:rsidRPr="00000000">
        <w:rPr>
          <w:rFonts w:ascii="Georgia" w:cs="Georgia" w:eastAsia="Georgia" w:hAnsi="Georgia"/>
          <w:i w:val="1"/>
          <w:iCs w:val="1"/>
          <w:sz w:val="24"/>
          <w:szCs w:val="24"/>
          <w:rtl w:val="0"/>
        </w:rPr>
        <w:t xml:space="preserve">Trauma and Memory</w:t>
      </w:r>
      <w:r w:rsidDel="00000000" w:rsidR="00000000" w:rsidRPr="00000000">
        <w:rPr>
          <w:rFonts w:ascii="Georgia" w:cs="Georgia" w:eastAsia="Georgia" w:hAnsi="Georgia"/>
          <w:sz w:val="24"/>
          <w:szCs w:val="24"/>
          <w:rtl w:val="0"/>
        </w:rPr>
        <w:t xml:space="preserve">, talks about a first hand experience from visiting Auschwitz and highlights the ethical concerns on representation and narrative control, she states </w:t>
      </w:r>
      <w:r w:rsidDel="00000000" w:rsidR="00000000" w:rsidRPr="00000000">
        <w:rPr>
          <w:rFonts w:ascii="Georgia" w:cs="Georgia" w:eastAsia="Georgia" w:hAnsi="Georgia"/>
          <w:sz w:val="24"/>
          <w:szCs w:val="24"/>
          <w:rtl w:val="0"/>
        </w:rPr>
        <w:t xml:space="preserve">‘the tour guides can be said to prioritise narrative concerns over historical accuracy, seeking out heroes and villains, death- defying stunts, acts of bravery and tales of survival against all odds’</w:t>
      </w:r>
      <w:r w:rsidDel="00000000" w:rsidR="00000000" w:rsidRPr="00000000">
        <w:rPr>
          <w:rFonts w:ascii="Georgia" w:cs="Georgia" w:eastAsia="Georgia" w:hAnsi="Georgia"/>
          <w:sz w:val="24"/>
          <w:szCs w:val="24"/>
          <w:vertAlign w:val="superscript"/>
        </w:rPr>
        <w:footnoteReference w:customMarkFollows="0" w:id="8"/>
      </w:r>
      <w:r w:rsidDel="00000000" w:rsidR="00000000" w:rsidRPr="00000000">
        <w:rPr>
          <w:rFonts w:ascii="Georgia" w:cs="Georgia" w:eastAsia="Georgia" w:hAnsi="Georgia"/>
          <w:sz w:val="24"/>
          <w:szCs w:val="24"/>
          <w:rtl w:val="0"/>
        </w:rPr>
        <w:t xml:space="preserve"> Even though accounts of escape attempts or acts of bravery were little.  Berberich further emphasises this point by highlighting the lack of information given about certain buildings in Auschwitz, she uses the example of the brothel which has only recently been researched in depth by scholars. ‘It can therefore be argued that the Auschwitz-Bikernau State Museum enforces a hierarchy of representation within exhibitions’</w:t>
      </w:r>
      <w:r w:rsidDel="00000000" w:rsidR="00000000" w:rsidRPr="00000000">
        <w:rPr>
          <w:rFonts w:ascii="Georgia" w:cs="Georgia" w:eastAsia="Georgia" w:hAnsi="Georgia"/>
          <w:sz w:val="24"/>
          <w:szCs w:val="24"/>
          <w:vertAlign w:val="superscript"/>
        </w:rPr>
        <w:footnoteReference w:customMarkFollows="0" w:id="9"/>
      </w:r>
      <w:r w:rsidDel="00000000" w:rsidR="00000000" w:rsidRPr="00000000">
        <w:rPr>
          <w:rFonts w:ascii="Georgia" w:cs="Georgia" w:eastAsia="Georgia" w:hAnsi="Georgia"/>
          <w:sz w:val="24"/>
          <w:szCs w:val="24"/>
          <w:rtl w:val="0"/>
        </w:rPr>
        <w:t xml:space="preserve">. Nazi systems of documentation and classification reduced prisoners to numbers, a practice that enacted dehumanisation by stripping individuals of names, histories and identities. Narratives that foreground statistics like death tolls and transport numbers risk turning human suffering into data. At the same time, avoiding all statistics can risk a lack of emphasis on the scale and systematic nature of the crime. Auschwitz was experienced differently by many cultural groups like Jews, Roma, Soviet prisoners of war and others. Presenting these experiences in a museum risks simplifying or prioritising certain narratives over others. There is a major responsibility to present the history accurately, sensitively and inclusively, while avoiding the exploitation of trauma for impact, again relating to the debate over tourism vs memorialisation.</w:t>
      </w:r>
      <w:r w:rsidDel="00000000" w:rsidR="00000000" w:rsidRPr="00000000">
        <w:rPr>
          <w:rtl w:val="0"/>
        </w:rPr>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In the book </w:t>
      </w:r>
      <w:r w:rsidDel="00000000" w:rsidR="00000000" w:rsidRPr="00000000">
        <w:rPr>
          <w:rFonts w:ascii="Georgia" w:cs="Georgia" w:eastAsia="Georgia" w:hAnsi="Georgia"/>
          <w:i w:val="1"/>
          <w:iCs w:val="1"/>
          <w:sz w:val="24"/>
          <w:szCs w:val="24"/>
          <w:rtl w:val="0"/>
        </w:rPr>
        <w:t xml:space="preserve">Antisemitism and Its Opponents in Modern Poland </w:t>
      </w:r>
      <w:r w:rsidDel="00000000" w:rsidR="00000000" w:rsidRPr="00000000">
        <w:rPr>
          <w:rFonts w:ascii="Georgia" w:cs="Georgia" w:eastAsia="Georgia" w:hAnsi="Georgia"/>
          <w:sz w:val="24"/>
          <w:szCs w:val="24"/>
          <w:rtl w:val="0"/>
        </w:rPr>
        <w:t xml:space="preserve">by Robert Blobaum, it highlights a controversy occurring in 1998 surrounding the planting of crosses at Auschwitz. This case foregrounds the ethical tensions between religious symbolism. When Polish Catholics erected numerous crosses near the former camp some argued it was a legitimate expression of mourning for Polish Catholic victims of Nazi persecution. However critics, particularly Jewish organisations and Holocaust scholars like Blobaum, argued that the symbol risked christianising a site whose primary history is about the genocide of Eurpean Jews. This is an ethical challenge in how symbolic acts can overwrite or distort historical narratives: the cross, while meaningful within catholic suffering, can have the danger of marginalising Jewish experiences or other affected groups.</w:t>
      </w:r>
      <w:r w:rsidDel="00000000" w:rsidR="00000000" w:rsidRPr="00000000">
        <w:rPr>
          <w:rFonts w:ascii="Georgia" w:cs="Georgia" w:eastAsia="Georgia" w:hAnsi="Georgia"/>
          <w:sz w:val="24"/>
          <w:szCs w:val="24"/>
          <w:vertAlign w:val="superscript"/>
        </w:rPr>
        <w:footnoteReference w:customMarkFollows="0" w:id="10"/>
      </w:r>
      <w:r w:rsidDel="00000000" w:rsidR="00000000" w:rsidRPr="00000000">
        <w:rPr>
          <w:rFonts w:ascii="Georgia" w:cs="Georgia" w:eastAsia="Georgia" w:hAnsi="Georgia"/>
          <w:sz w:val="24"/>
          <w:szCs w:val="24"/>
          <w:rtl w:val="0"/>
        </w:rPr>
        <w:t xml:space="preserve"> This controversy highlights the problem of narrative control in memorial spaces. Ultimately the removal of crosses highlighted the principle that representation at such sites must prioritise historical accuracy and ethical sensitivity. The Holocaust victims cannot be generalised and it must be recognised that many different groups were targeted. </w:t>
      </w:r>
    </w:p>
    <w:p w:rsidR="00000000" w:rsidDel="00000000" w:rsidP="00000000" w:rsidRDefault="00000000" w:rsidRPr="00000000" w14:paraId="0000001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A significant ethical issue in presenting difficult heritage at Auschwitz is the tension between reconstruction and authenticity. Pointed out by Derek Dalton in his book on dark tourism and crime, ‘As these monuments continue to age and deteriorate, tensions have emerged between maintaining authenticity and performing reconstruction to maintain their appearance.’</w:t>
      </w:r>
      <w:r w:rsidDel="00000000" w:rsidR="00000000" w:rsidRPr="00000000">
        <w:rPr>
          <w:rFonts w:ascii="Georgia" w:cs="Georgia" w:eastAsia="Georgia" w:hAnsi="Georgia"/>
          <w:sz w:val="24"/>
          <w:szCs w:val="24"/>
          <w:vertAlign w:val="superscript"/>
        </w:rPr>
        <w:footnoteReference w:customMarkFollows="0" w:id="11"/>
      </w:r>
      <w:r w:rsidDel="00000000" w:rsidR="00000000" w:rsidRPr="00000000">
        <w:rPr>
          <w:rFonts w:ascii="Georgia" w:cs="Georgia" w:eastAsia="Georgia" w:hAnsi="Georgia"/>
          <w:sz w:val="24"/>
          <w:szCs w:val="24"/>
          <w:rtl w:val="0"/>
        </w:rPr>
        <w:t xml:space="preserve"> As a site of mass tourism, Auschwitz must remain accessible and safe for large numbers of visitors, which means conservation and reinforcement of structures such as the wooden barracks at Birkenau is important. These interventions raise concerns that the need to accommodate tourism may lead to over-restoration, making the place into a curated historical attraction. However, allowing the site to decay in order to keep authenticity could reduce educational impact and weaken its role as a memorial site for future generations. It can be important to reconstruct so we do not forget the atrocities that took place there. On the other hand, the image of the destroyed gas chambers in Birkenau still has a huge emotional impact on visitors and reconstruction is not necessary to imagine the horrors that happened there. ‘The bleakness of Birkenau fits the Jewish memory of genocide as Shoah: total devastion and ruin’.</w:t>
      </w:r>
      <w:r w:rsidDel="00000000" w:rsidR="00000000" w:rsidRPr="00000000">
        <w:rPr>
          <w:rFonts w:ascii="Georgia" w:cs="Georgia" w:eastAsia="Georgia" w:hAnsi="Georgia"/>
          <w:sz w:val="24"/>
          <w:szCs w:val="24"/>
          <w:vertAlign w:val="superscript"/>
        </w:rPr>
        <w:footnoteReference w:customMarkFollows="0" w:id="12"/>
      </w:r>
      <w:r w:rsidDel="00000000" w:rsidR="00000000" w:rsidRPr="00000000">
        <w:rPr>
          <w:rFonts w:ascii="Georgia" w:cs="Georgia" w:eastAsia="Georgia" w:hAnsi="Georgia"/>
          <w:sz w:val="24"/>
          <w:szCs w:val="24"/>
          <w:rtl w:val="0"/>
        </w:rPr>
        <w:t xml:space="preserve"> The collapsed concrete and broken chimneys are an intentional attempt to erase evidence of mass murder; it better portrays the history. A study put together in 2022 by the Technological University of the Shannon about holocaust tourism and whether it was education or exploitation, argues that </w:t>
      </w:r>
      <w:r w:rsidDel="00000000" w:rsidR="00000000" w:rsidRPr="00000000">
        <w:rPr>
          <w:rtl w:val="0"/>
        </w:rPr>
        <w:t xml:space="preserve">‘</w:t>
      </w:r>
      <w:r w:rsidDel="00000000" w:rsidR="00000000" w:rsidRPr="00000000">
        <w:rPr>
          <w:rFonts w:ascii="Georgia" w:cs="Georgia" w:eastAsia="Georgia" w:hAnsi="Georgia"/>
          <w:sz w:val="24"/>
          <w:szCs w:val="24"/>
          <w:rtl w:val="0"/>
        </w:rPr>
        <w:t xml:space="preserve">The commercial and industrial development of these sites was indicated as a potential threat to the authenticity of the topic and to the information being retained by visitors’. </w:t>
      </w:r>
      <w:r w:rsidDel="00000000" w:rsidR="00000000" w:rsidRPr="00000000">
        <w:rPr>
          <w:rFonts w:ascii="Georgia" w:cs="Georgia" w:eastAsia="Georgia" w:hAnsi="Georgia"/>
          <w:sz w:val="24"/>
          <w:szCs w:val="24"/>
          <w:vertAlign w:val="superscript"/>
        </w:rPr>
        <w:footnoteReference w:customMarkFollows="0" w:id="13"/>
      </w:r>
      <w:r w:rsidDel="00000000" w:rsidR="00000000" w:rsidRPr="00000000">
        <w:rPr>
          <w:rFonts w:ascii="Georgia" w:cs="Georgia" w:eastAsia="Georgia" w:hAnsi="Georgia"/>
          <w:sz w:val="24"/>
          <w:szCs w:val="24"/>
          <w:rtl w:val="0"/>
        </w:rPr>
        <w:t xml:space="preserve">Rebuilding these would risk the site turning into more of a simulation, and leaving the remains untouched acknowledges that what happened there cannot ever happen again. </w:t>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use of displays at Auschwitz presents challenges as curators must decide how to communicate the scale and brutality of the Holocaust without being disrespectful to the victims. Many of the museum’s most powerful exhibitions rely on original artefacts, including piles of shoes, suitcases, human hair and everyday items which provide material evidence of the mass murder. These displays are often defended on educational grounds, as being able to actually visualise and see that what once was abstract statistics can have a massive impact on visitors' reality and realisation of how terrible this event was, creating a huge emotional impact. However, the display of such items raises ethical concerns about dignity, consent and the potential objectification of victims. Displaying belongings and bodily remains like hair risks reducing individuals to symbols of suffering, particularly when viewed by large crowds taking photos and not having time to reflect. Christine Berberich in her book asks important questions about these artefacts that highlights the ethical challenges, ‘what does our knowledge of these objects -a spoon, shoes, uniform- have to do with our knowledge of historical events?’</w:t>
      </w:r>
      <w:r w:rsidDel="00000000" w:rsidR="00000000" w:rsidRPr="00000000">
        <w:rPr>
          <w:rFonts w:ascii="Georgia" w:cs="Georgia" w:eastAsia="Georgia" w:hAnsi="Georgia"/>
          <w:sz w:val="24"/>
          <w:szCs w:val="24"/>
          <w:vertAlign w:val="superscript"/>
        </w:rPr>
        <w:footnoteReference w:customMarkFollows="0" w:id="14"/>
      </w:r>
      <w:r w:rsidDel="00000000" w:rsidR="00000000" w:rsidRPr="00000000">
        <w:rPr>
          <w:rFonts w:ascii="Georgia" w:cs="Georgia" w:eastAsia="Georgia" w:hAnsi="Georgia"/>
          <w:sz w:val="24"/>
          <w:szCs w:val="24"/>
          <w:rtl w:val="0"/>
        </w:rPr>
        <w:t xml:space="preserve"> Displays such as survivor testimonies and diaries play a much stronger role in connecting visitors to the historical site and provide more education than exhibits arguably used for shock value and emotional impact. </w:t>
      </w:r>
      <w:r w:rsidDel="00000000" w:rsidR="00000000" w:rsidRPr="00000000">
        <w:rPr>
          <w:rFonts w:ascii="Georgia" w:cs="Georgia" w:eastAsia="Georgia" w:hAnsi="Georgia"/>
          <w:sz w:val="24"/>
          <w:szCs w:val="24"/>
          <w:rtl w:val="0"/>
        </w:rPr>
        <w:t xml:space="preserve">At the same time, removing these exhibits could diminish the site’s educational power and weaken its role as a memorial that shows visitors the reality of genocide. They are essential tools for memory but they also must be able to honour the victims respectfully. Some scholars at Leeds Beckett University argue that these objects hold ‘the past and emotions’, further explaining that ‘</w:t>
      </w:r>
      <w:r w:rsidDel="00000000" w:rsidR="00000000" w:rsidRPr="00000000">
        <w:rPr>
          <w:rFonts w:ascii="Georgia" w:cs="Georgia" w:eastAsia="Georgia" w:hAnsi="Georgia"/>
          <w:sz w:val="24"/>
          <w:szCs w:val="24"/>
          <w:rtl w:val="0"/>
        </w:rPr>
        <w:t xml:space="preserve">They carry and link the personal and political space together and influence our perception of history.’</w:t>
      </w:r>
      <w:r w:rsidDel="00000000" w:rsidR="00000000" w:rsidRPr="00000000">
        <w:rPr>
          <w:rFonts w:ascii="Georgia" w:cs="Georgia" w:eastAsia="Georgia" w:hAnsi="Georgia"/>
          <w:sz w:val="24"/>
          <w:szCs w:val="24"/>
          <w:vertAlign w:val="superscript"/>
        </w:rPr>
        <w:footnoteReference w:customMarkFollows="0" w:id="15"/>
      </w:r>
      <w:r w:rsidDel="00000000" w:rsidR="00000000" w:rsidRPr="00000000">
        <w:rPr>
          <w:rFonts w:ascii="Georgia" w:cs="Georgia" w:eastAsia="Georgia" w:hAnsi="Georgia"/>
          <w:sz w:val="24"/>
          <w:szCs w:val="24"/>
          <w:rtl w:val="0"/>
        </w:rPr>
        <w:t xml:space="preserve">  Furthermore ‘authentic original artefacts, held in museums at original sites of the Holocaust, are needed to counter Holocaust deniers now, and in the future’.</w:t>
      </w:r>
      <w:r w:rsidDel="00000000" w:rsidR="00000000" w:rsidRPr="00000000">
        <w:rPr>
          <w:rFonts w:ascii="Georgia" w:cs="Georgia" w:eastAsia="Georgia" w:hAnsi="Georgia"/>
          <w:sz w:val="24"/>
          <w:szCs w:val="24"/>
          <w:vertAlign w:val="superscript"/>
        </w:rPr>
        <w:footnoteReference w:customMarkFollows="0" w:id="16"/>
      </w:r>
      <w:r w:rsidDel="00000000" w:rsidR="00000000" w:rsidRPr="00000000">
        <w:rPr>
          <w:rFonts w:ascii="Georgia" w:cs="Georgia" w:eastAsia="Georgia" w:hAnsi="Georgia"/>
          <w:sz w:val="24"/>
          <w:szCs w:val="24"/>
          <w:rtl w:val="0"/>
        </w:rPr>
        <w:t xml:space="preserve"> This point was made by Bernice L. Murphy in the book </w:t>
      </w:r>
      <w:r w:rsidDel="00000000" w:rsidR="00000000" w:rsidRPr="00000000">
        <w:rPr>
          <w:rFonts w:ascii="Georgia" w:cs="Georgia" w:eastAsia="Georgia" w:hAnsi="Georgia"/>
          <w:i w:val="1"/>
          <w:iCs w:val="1"/>
          <w:sz w:val="24"/>
          <w:szCs w:val="24"/>
          <w:rtl w:val="0"/>
        </w:rPr>
        <w:t xml:space="preserve">Museums, Ethics and Cultural Heritage. </w:t>
      </w:r>
      <w:r w:rsidDel="00000000" w:rsidR="00000000" w:rsidRPr="00000000">
        <w:rPr>
          <w:rFonts w:ascii="Georgia" w:cs="Georgia" w:eastAsia="Georgia" w:hAnsi="Georgia"/>
          <w:sz w:val="24"/>
          <w:szCs w:val="24"/>
          <w:rtl w:val="0"/>
        </w:rPr>
        <w:t xml:space="preserve">Evidence is important to show the true astrostrices that took place and so that it becomes impossible to deny. </w:t>
      </w:r>
      <w:r w:rsidDel="00000000" w:rsidR="00000000" w:rsidRPr="00000000">
        <w:rPr>
          <w:rtl w:val="0"/>
        </w:rPr>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Dicky Arinta defines terms commonly used when describing sites like Auschwitz in their book on </w:t>
      </w:r>
      <w:r w:rsidDel="00000000" w:rsidR="00000000" w:rsidRPr="00000000">
        <w:rPr>
          <w:rFonts w:ascii="Georgia" w:cs="Georgia" w:eastAsia="Georgia" w:hAnsi="Georgia"/>
          <w:i w:val="1"/>
          <w:iCs w:val="1"/>
          <w:sz w:val="24"/>
          <w:szCs w:val="24"/>
          <w:rtl w:val="0"/>
        </w:rPr>
        <w:t xml:space="preserve">Reframing Dark  Tourism </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rtl w:val="0"/>
        </w:rPr>
        <w:t xml:space="preserve">Dark tourism refers to the practice of traveling to locations associated with death, tragedy, and suffering, and has become a global phenomenon that has sparked academic debate.’</w:t>
      </w:r>
      <w:r w:rsidDel="00000000" w:rsidR="00000000" w:rsidRPr="00000000">
        <w:rPr>
          <w:rFonts w:ascii="Georgia" w:cs="Georgia" w:eastAsia="Georgia" w:hAnsi="Georgia"/>
          <w:sz w:val="24"/>
          <w:szCs w:val="24"/>
          <w:vertAlign w:val="superscript"/>
        </w:rPr>
        <w:footnoteReference w:customMarkFollows="0" w:id="17"/>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Scholars often conceptualise dark tourism as reflecting modern fascination with morality and catastrophic events, often through museums and memorial sites. </w:t>
      </w:r>
    </w:p>
    <w:p w:rsidR="00000000" w:rsidDel="00000000" w:rsidP="00000000" w:rsidRDefault="00000000" w:rsidRPr="00000000" w14:paraId="0000001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Dark tourism presents a significant ethical challenge to the presentation of Auschwitz, as it risks transforming a site of human suffering into a destination for consumption rather than commemoration. While visitor engagement is extremely important when it comes to education, there has been a massive increase in dark tourism and people visiting these places as just something to ‘see’ or ‘tick off a bucket list’ leading suffering being reduced to a spectacle. However when carefully managed, it can encourage reflection and remembrance, which is important to the site. Managing something like this is extremely difficult with the hugely diverse groups of people who visit; everyone will interpret and react differently to such a site. As argued by many scholars, for example Phillip R Stone and Daniel W.M Wright, ‘dark tourism is challenged by consumer behaviour and visitor experiences’. </w:t>
      </w:r>
      <w:r w:rsidDel="00000000" w:rsidR="00000000" w:rsidRPr="00000000">
        <w:rPr>
          <w:rFonts w:ascii="Georgia" w:cs="Georgia" w:eastAsia="Georgia" w:hAnsi="Georgia"/>
          <w:sz w:val="24"/>
          <w:szCs w:val="24"/>
          <w:vertAlign w:val="superscript"/>
        </w:rPr>
        <w:footnoteReference w:customMarkFollows="0" w:id="18"/>
      </w:r>
      <w:r w:rsidDel="00000000" w:rsidR="00000000" w:rsidRPr="00000000">
        <w:rPr>
          <w:rFonts w:ascii="Georgia" w:cs="Georgia" w:eastAsia="Georgia" w:hAnsi="Georgia"/>
          <w:sz w:val="24"/>
          <w:szCs w:val="24"/>
          <w:rtl w:val="0"/>
        </w:rPr>
        <w:t xml:space="preserve"> Creating an environment where everyone is being respectful is extremely difficult when people's behaviour cannot be controlled. </w:t>
      </w:r>
      <w:r w:rsidDel="00000000" w:rsidR="00000000" w:rsidRPr="00000000">
        <w:rPr>
          <w:rtl w:val="0"/>
        </w:rPr>
      </w:r>
    </w:p>
    <w:p w:rsidR="00000000" w:rsidDel="00000000" w:rsidP="00000000" w:rsidRDefault="00000000" w:rsidRPr="00000000" w14:paraId="00000019">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A">
      <w:pPr>
        <w:ind w:left="0" w:firstLine="0"/>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Conclusion</w:t>
      </w:r>
    </w:p>
    <w:p w:rsidR="00000000" w:rsidDel="00000000" w:rsidP="00000000" w:rsidRDefault="00000000" w:rsidRPr="00000000" w14:paraId="0000001B">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conclusion, the presentation of difficult heritage sites such as Auschwitz-Birkenau poses complex ethical challenges that demand careful and reflective approaches when managing. As a site linked to mass suffering, genocide and dehumanisation of millions, Auschwitz cannot be handled lightly without risking ethical concerns. Curators, governing institutions and educators have the responsibility of respecting the memory of the victims and ensuring historical narratives remain accurate, centred on victims' experiences. Visitor behaviour and emotional responses must be considered when examining the ethical issues, as inappropriate behaviour can undermine the dignity of the site and its commemorative purpose. It requires clear guidelines which becomes difficult with the diverse audience that visits Auschwitz yearly. </w:t>
      </w:r>
    </w:p>
    <w:p w:rsidR="00000000" w:rsidDel="00000000" w:rsidP="00000000" w:rsidRDefault="00000000" w:rsidRPr="00000000" w14:paraId="0000001C">
      <w:pPr>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ethical challenges at Auschwitz-Birkenau highlight the broader issues when it comes to managing difficult heritage. These sites not only function as historical evidence but also as a moral reminder that confronts people with the consequences of intolerance, violence and indifference.   </w:t>
      </w:r>
    </w:p>
    <w:p w:rsidR="00000000" w:rsidDel="00000000" w:rsidP="00000000" w:rsidRDefault="00000000" w:rsidRPr="00000000" w14:paraId="0000001D">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Bibliography </w:t>
      </w:r>
    </w:p>
    <w:p w:rsidR="00000000" w:rsidDel="00000000" w:rsidP="00000000" w:rsidRDefault="00000000" w:rsidRPr="00000000" w14:paraId="0000001F">
      <w:pPr>
        <w:ind w:left="0" w:firstLine="0"/>
        <w:rPr>
          <w:rFonts w:ascii="Times New Roman" w:cs="Times New Roman" w:eastAsia="Times New Roman" w:hAnsi="Times New Roman"/>
          <w:b w:val="1"/>
          <w:bCs w:val="1"/>
          <w:sz w:val="26"/>
          <w:szCs w:val="26"/>
        </w:rPr>
      </w:pPr>
      <w:r w:rsidDel="00000000" w:rsidR="00000000" w:rsidRPr="00000000">
        <w:rPr>
          <w:rtl w:val="0"/>
        </w:rPr>
      </w:r>
    </w:p>
    <w:p w:rsidR="00000000" w:rsidDel="00000000" w:rsidP="00000000" w:rsidRDefault="00000000" w:rsidRPr="00000000" w14:paraId="00000020">
      <w:pPr>
        <w:ind w:left="0" w:firstLine="0"/>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Amanda Dawson, Sinéad O'Leary and Noëlle O'Connor. (2022). </w:t>
      </w:r>
      <w:r w:rsidDel="00000000" w:rsidR="00000000" w:rsidRPr="00000000">
        <w:rPr>
          <w:rFonts w:ascii="Georgia" w:cs="Georgia" w:eastAsia="Georgia" w:hAnsi="Georgia"/>
          <w:i w:val="1"/>
          <w:iCs w:val="1"/>
          <w:sz w:val="24"/>
          <w:szCs w:val="24"/>
          <w:rtl w:val="0"/>
        </w:rPr>
        <w:t xml:space="preserve">Holocaust tourism: education or exploitation?</w:t>
      </w:r>
      <w:r w:rsidDel="00000000" w:rsidR="00000000" w:rsidRPr="00000000">
        <w:rPr>
          <w:rFonts w:ascii="Georgia" w:cs="Georgia" w:eastAsia="Georgia" w:hAnsi="Georgia"/>
          <w:sz w:val="24"/>
          <w:szCs w:val="24"/>
          <w:highlight w:val="white"/>
          <w:rtl w:val="0"/>
        </w:rPr>
        <w:t xml:space="preserve">. Ireland: Technological University of the Shannon: Midlands Midwest (TUS). p.Pg 41.</w:t>
      </w:r>
      <w:r w:rsidDel="00000000" w:rsidR="00000000" w:rsidRPr="00000000">
        <w:rPr>
          <w:rtl w:val="0"/>
        </w:rPr>
      </w:r>
    </w:p>
    <w:p w:rsidR="00000000" w:rsidDel="00000000" w:rsidP="00000000" w:rsidRDefault="00000000" w:rsidRPr="00000000" w14:paraId="00000021">
      <w:pPr>
        <w:ind w:left="0" w:firstLine="0"/>
        <w:rPr>
          <w:rFonts w:ascii="Times New Roman" w:cs="Times New Roman" w:eastAsia="Times New Roman" w:hAnsi="Times New Roman"/>
          <w:b w:val="1"/>
          <w:bCs w:val="1"/>
          <w:sz w:val="26"/>
          <w:szCs w:val="26"/>
        </w:rPr>
      </w:pPr>
      <w:r w:rsidDel="00000000" w:rsidR="00000000" w:rsidRPr="00000000">
        <w:rPr>
          <w:rtl w:val="0"/>
        </w:rPr>
      </w:r>
    </w:p>
    <w:p w:rsidR="00000000" w:rsidDel="00000000" w:rsidP="00000000" w:rsidRDefault="00000000" w:rsidRPr="00000000" w14:paraId="00000022">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Auschwitz-Birkenau State Museum. (N/A). </w:t>
      </w:r>
      <w:r w:rsidDel="00000000" w:rsidR="00000000" w:rsidRPr="00000000">
        <w:rPr>
          <w:rFonts w:ascii="Georgia" w:cs="Georgia" w:eastAsia="Georgia" w:hAnsi="Georgia"/>
          <w:i w:val="1"/>
          <w:iCs w:val="1"/>
          <w:sz w:val="24"/>
          <w:szCs w:val="24"/>
          <w:rtl w:val="0"/>
        </w:rPr>
        <w:t xml:space="preserve">Attendance</w:t>
      </w:r>
      <w:r w:rsidDel="00000000" w:rsidR="00000000" w:rsidRPr="00000000">
        <w:rPr>
          <w:rFonts w:ascii="Georgia" w:cs="Georgia" w:eastAsia="Georgia" w:hAnsi="Georgia"/>
          <w:sz w:val="24"/>
          <w:szCs w:val="24"/>
          <w:highlight w:val="white"/>
          <w:rtl w:val="0"/>
        </w:rPr>
        <w:t xml:space="preserve">. [Online]. AUSCHWITZ-BIRKENAU. Available at: https://www.auschwitz.org/en/visiting/attendance/ [Accessed 5 January 2026].</w:t>
      </w:r>
    </w:p>
    <w:p w:rsidR="00000000" w:rsidDel="00000000" w:rsidP="00000000" w:rsidRDefault="00000000" w:rsidRPr="00000000" w14:paraId="00000023">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4">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Bar Convent Living Heritage Centre. (2018). </w:t>
      </w:r>
      <w:r w:rsidDel="00000000" w:rsidR="00000000" w:rsidRPr="00000000">
        <w:rPr>
          <w:rFonts w:ascii="Georgia" w:cs="Georgia" w:eastAsia="Georgia" w:hAnsi="Georgia"/>
          <w:i w:val="1"/>
          <w:iCs w:val="1"/>
          <w:sz w:val="24"/>
          <w:szCs w:val="24"/>
          <w:highlight w:val="white"/>
          <w:rtl w:val="0"/>
        </w:rPr>
        <w:t xml:space="preserve">Difficult Heritage: Making Sense of Uncomfortable Histories</w:t>
      </w:r>
      <w:r w:rsidDel="00000000" w:rsidR="00000000" w:rsidRPr="00000000">
        <w:rPr>
          <w:rFonts w:ascii="Georgia" w:cs="Georgia" w:eastAsia="Georgia" w:hAnsi="Georgia"/>
          <w:sz w:val="24"/>
          <w:szCs w:val="24"/>
          <w:highlight w:val="white"/>
          <w:rtl w:val="0"/>
        </w:rPr>
        <w:t xml:space="preserve">. York: The Heritage Consortium.</w:t>
      </w:r>
    </w:p>
    <w:p w:rsidR="00000000" w:rsidDel="00000000" w:rsidP="00000000" w:rsidRDefault="00000000" w:rsidRPr="00000000" w14:paraId="00000025">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6">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Bernice L. Murphy. (2016). </w:t>
      </w:r>
      <w:r w:rsidDel="00000000" w:rsidR="00000000" w:rsidRPr="00000000">
        <w:rPr>
          <w:rFonts w:ascii="Georgia" w:cs="Georgia" w:eastAsia="Georgia" w:hAnsi="Georgia"/>
          <w:i w:val="1"/>
          <w:iCs w:val="1"/>
          <w:sz w:val="24"/>
          <w:szCs w:val="24"/>
          <w:highlight w:val="white"/>
          <w:rtl w:val="0"/>
        </w:rPr>
        <w:t xml:space="preserve">Museums, Ethics and Cultural Heritage</w:t>
      </w:r>
      <w:r w:rsidDel="00000000" w:rsidR="00000000" w:rsidRPr="00000000">
        <w:rPr>
          <w:rFonts w:ascii="Georgia" w:cs="Georgia" w:eastAsia="Georgia" w:hAnsi="Georgia"/>
          <w:sz w:val="24"/>
          <w:szCs w:val="24"/>
          <w:highlight w:val="white"/>
          <w:rtl w:val="0"/>
        </w:rPr>
        <w:t xml:space="preserve">. London: Taylor and Francis. p.333</w:t>
      </w:r>
    </w:p>
    <w:p w:rsidR="00000000" w:rsidDel="00000000" w:rsidP="00000000" w:rsidRDefault="00000000" w:rsidRPr="00000000" w14:paraId="00000027">
      <w:pPr>
        <w:ind w:left="0" w:firstLine="0"/>
        <w:rPr>
          <w:b w:val="1"/>
          <w:bCs w:val="1"/>
          <w:sz w:val="30"/>
          <w:szCs w:val="30"/>
          <w:highlight w:val="white"/>
        </w:rPr>
      </w:pPr>
      <w:r w:rsidDel="00000000" w:rsidR="00000000" w:rsidRPr="00000000">
        <w:rPr>
          <w:rtl w:val="0"/>
        </w:rPr>
      </w:r>
    </w:p>
    <w:p w:rsidR="00000000" w:rsidDel="00000000" w:rsidP="00000000" w:rsidRDefault="00000000" w:rsidRPr="00000000" w14:paraId="00000028">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Christine Berberich. (2021). </w:t>
      </w:r>
      <w:r w:rsidDel="00000000" w:rsidR="00000000" w:rsidRPr="00000000">
        <w:rPr>
          <w:rFonts w:ascii="Georgia" w:cs="Georgia" w:eastAsia="Georgia" w:hAnsi="Georgia"/>
          <w:i w:val="1"/>
          <w:iCs w:val="1"/>
          <w:sz w:val="24"/>
          <w:szCs w:val="24"/>
          <w:highlight w:val="white"/>
          <w:rtl w:val="0"/>
        </w:rPr>
        <w:t xml:space="preserve">Trauma &amp; Memory The Holocaust in Contemporary Culture</w:t>
      </w:r>
      <w:r w:rsidDel="00000000" w:rsidR="00000000" w:rsidRPr="00000000">
        <w:rPr>
          <w:rFonts w:ascii="Georgia" w:cs="Georgia" w:eastAsia="Georgia" w:hAnsi="Georgia"/>
          <w:sz w:val="24"/>
          <w:szCs w:val="24"/>
          <w:highlight w:val="white"/>
          <w:rtl w:val="0"/>
        </w:rPr>
        <w:t xml:space="preserve">. London: Taylor and Francis. p.200.</w:t>
      </w:r>
    </w:p>
    <w:p w:rsidR="00000000" w:rsidDel="00000000" w:rsidP="00000000" w:rsidRDefault="00000000" w:rsidRPr="00000000" w14:paraId="00000029">
      <w:pPr>
        <w:ind w:left="0" w:firstLine="0"/>
        <w:rPr>
          <w:b w:val="1"/>
          <w:bCs w:val="1"/>
          <w:sz w:val="30"/>
          <w:szCs w:val="30"/>
          <w:highlight w:val="white"/>
        </w:rPr>
      </w:pPr>
      <w:r w:rsidDel="00000000" w:rsidR="00000000" w:rsidRPr="00000000">
        <w:rPr>
          <w:rtl w:val="0"/>
        </w:rPr>
      </w:r>
    </w:p>
    <w:p w:rsidR="00000000" w:rsidDel="00000000" w:rsidP="00000000" w:rsidRDefault="00000000" w:rsidRPr="00000000" w14:paraId="0000002A">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Daniel P. Reynolds. (2025). </w:t>
      </w:r>
      <w:r w:rsidDel="00000000" w:rsidR="00000000" w:rsidRPr="00000000">
        <w:rPr>
          <w:rFonts w:ascii="Georgia" w:cs="Georgia" w:eastAsia="Georgia" w:hAnsi="Georgia"/>
          <w:i w:val="1"/>
          <w:iCs w:val="1"/>
          <w:sz w:val="24"/>
          <w:szCs w:val="24"/>
          <w:highlight w:val="white"/>
          <w:rtl w:val="0"/>
        </w:rPr>
        <w:t xml:space="preserve">The Routledge Handbook to Auschwitz-Birkenau</w:t>
      </w:r>
      <w:r w:rsidDel="00000000" w:rsidR="00000000" w:rsidRPr="00000000">
        <w:rPr>
          <w:rFonts w:ascii="Georgia" w:cs="Georgia" w:eastAsia="Georgia" w:hAnsi="Georgia"/>
          <w:sz w:val="24"/>
          <w:szCs w:val="24"/>
          <w:highlight w:val="white"/>
          <w:rtl w:val="0"/>
        </w:rPr>
        <w:t xml:space="preserve">. London: Taylor and Francis. p.35.</w:t>
      </w:r>
    </w:p>
    <w:p w:rsidR="00000000" w:rsidDel="00000000" w:rsidP="00000000" w:rsidRDefault="00000000" w:rsidRPr="00000000" w14:paraId="0000002B">
      <w:pPr>
        <w:ind w:left="0" w:firstLine="0"/>
        <w:rPr>
          <w:b w:val="1"/>
          <w:bCs w:val="1"/>
          <w:sz w:val="30"/>
          <w:szCs w:val="30"/>
          <w:highlight w:val="white"/>
        </w:rPr>
      </w:pPr>
      <w:r w:rsidDel="00000000" w:rsidR="00000000" w:rsidRPr="00000000">
        <w:rPr>
          <w:rtl w:val="0"/>
        </w:rPr>
      </w:r>
    </w:p>
    <w:p w:rsidR="00000000" w:rsidDel="00000000" w:rsidP="00000000" w:rsidRDefault="00000000" w:rsidRPr="00000000" w14:paraId="0000002C">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Derek Dalton. (2014). </w:t>
      </w:r>
      <w:r w:rsidDel="00000000" w:rsidR="00000000" w:rsidRPr="00000000">
        <w:rPr>
          <w:rFonts w:ascii="Georgia" w:cs="Georgia" w:eastAsia="Georgia" w:hAnsi="Georgia"/>
          <w:i w:val="1"/>
          <w:iCs w:val="1"/>
          <w:sz w:val="24"/>
          <w:szCs w:val="24"/>
          <w:highlight w:val="white"/>
          <w:rtl w:val="0"/>
        </w:rPr>
        <w:t xml:space="preserve">Dark Tourism and Crime</w:t>
      </w:r>
      <w:r w:rsidDel="00000000" w:rsidR="00000000" w:rsidRPr="00000000">
        <w:rPr>
          <w:rFonts w:ascii="Georgia" w:cs="Georgia" w:eastAsia="Georgia" w:hAnsi="Georgia"/>
          <w:sz w:val="24"/>
          <w:szCs w:val="24"/>
          <w:highlight w:val="white"/>
          <w:rtl w:val="0"/>
        </w:rPr>
        <w:t xml:space="preserve">. London: Taylor &amp; Francis.</w:t>
      </w:r>
    </w:p>
    <w:p w:rsidR="00000000" w:rsidDel="00000000" w:rsidP="00000000" w:rsidRDefault="00000000" w:rsidRPr="00000000" w14:paraId="0000002D">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E">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Dicky Arinta. (2025). </w:t>
      </w:r>
      <w:r w:rsidDel="00000000" w:rsidR="00000000" w:rsidRPr="00000000">
        <w:rPr>
          <w:rFonts w:ascii="Georgia" w:cs="Georgia" w:eastAsia="Georgia" w:hAnsi="Georgia"/>
          <w:i w:val="1"/>
          <w:iCs w:val="1"/>
          <w:sz w:val="24"/>
          <w:szCs w:val="24"/>
          <w:highlight w:val="white"/>
          <w:rtl w:val="0"/>
        </w:rPr>
        <w:t xml:space="preserve">Reframing Dark Tourism: A Systematic Review of Destination Image, Ethics, and Ed</w:t>
      </w:r>
      <w:r w:rsidDel="00000000" w:rsidR="00000000" w:rsidRPr="00000000">
        <w:rPr>
          <w:rFonts w:ascii="Georgia" w:cs="Georgia" w:eastAsia="Georgia" w:hAnsi="Georgia"/>
          <w:sz w:val="24"/>
          <w:szCs w:val="24"/>
          <w:highlight w:val="white"/>
          <w:rtl w:val="0"/>
        </w:rPr>
        <w:t xml:space="preserve">. Indonesia: State University of Malang. p.1</w:t>
      </w:r>
    </w:p>
    <w:p w:rsidR="00000000" w:rsidDel="00000000" w:rsidP="00000000" w:rsidRDefault="00000000" w:rsidRPr="00000000" w14:paraId="0000002F">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0">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Jennifer Putnam. (2025). </w:t>
      </w:r>
      <w:r w:rsidDel="00000000" w:rsidR="00000000" w:rsidRPr="00000000">
        <w:rPr>
          <w:rFonts w:ascii="Georgia" w:cs="Georgia" w:eastAsia="Georgia" w:hAnsi="Georgia"/>
          <w:i w:val="1"/>
          <w:iCs w:val="1"/>
          <w:sz w:val="24"/>
          <w:szCs w:val="24"/>
          <w:highlight w:val="white"/>
          <w:rtl w:val="0"/>
        </w:rPr>
        <w:t xml:space="preserve">The Liberation of Auschwitz</w:t>
      </w:r>
      <w:r w:rsidDel="00000000" w:rsidR="00000000" w:rsidRPr="00000000">
        <w:rPr>
          <w:rFonts w:ascii="Georgia" w:cs="Georgia" w:eastAsia="Georgia" w:hAnsi="Georgia"/>
          <w:sz w:val="24"/>
          <w:szCs w:val="24"/>
          <w:highlight w:val="white"/>
          <w:rtl w:val="0"/>
        </w:rPr>
        <w:t xml:space="preserve">. [Online]. The National WWII Museum. Available at: https://www.nationalww2museum.org/war/articles/liberation-auschwitz [Accessed 9 January 2026].</w:t>
      </w:r>
    </w:p>
    <w:p w:rsidR="00000000" w:rsidDel="00000000" w:rsidP="00000000" w:rsidRDefault="00000000" w:rsidRPr="00000000" w14:paraId="00000031">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2">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Phillip R stone, Daniel W.M Wright. (2024). </w:t>
      </w:r>
      <w:r w:rsidDel="00000000" w:rsidR="00000000" w:rsidRPr="00000000">
        <w:rPr>
          <w:rFonts w:ascii="Georgia" w:cs="Georgia" w:eastAsia="Georgia" w:hAnsi="Georgia"/>
          <w:i w:val="1"/>
          <w:iCs w:val="1"/>
          <w:sz w:val="24"/>
          <w:szCs w:val="24"/>
          <w:highlight w:val="white"/>
          <w:rtl w:val="0"/>
        </w:rPr>
        <w:t xml:space="preserve">The Future of Dark Tourism</w:t>
      </w:r>
      <w:r w:rsidDel="00000000" w:rsidR="00000000" w:rsidRPr="00000000">
        <w:rPr>
          <w:rFonts w:ascii="Georgia" w:cs="Georgia" w:eastAsia="Georgia" w:hAnsi="Georgia"/>
          <w:sz w:val="24"/>
          <w:szCs w:val="24"/>
          <w:highlight w:val="white"/>
          <w:rtl w:val="0"/>
        </w:rPr>
        <w:t xml:space="preserve">. London: Channel View Publications</w:t>
      </w:r>
    </w:p>
    <w:p w:rsidR="00000000" w:rsidDel="00000000" w:rsidP="00000000" w:rsidRDefault="00000000" w:rsidRPr="00000000" w14:paraId="00000033">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4">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Robert Blobaum. (2005). </w:t>
      </w:r>
      <w:r w:rsidDel="00000000" w:rsidR="00000000" w:rsidRPr="00000000">
        <w:rPr>
          <w:rFonts w:ascii="Georgia" w:cs="Georgia" w:eastAsia="Georgia" w:hAnsi="Georgia"/>
          <w:i w:val="1"/>
          <w:iCs w:val="1"/>
          <w:sz w:val="24"/>
          <w:szCs w:val="24"/>
          <w:highlight w:val="white"/>
          <w:rtl w:val="0"/>
        </w:rPr>
        <w:t xml:space="preserve">Antisemitism and Its Opponents in Modern Poland</w:t>
      </w:r>
      <w:r w:rsidDel="00000000" w:rsidR="00000000" w:rsidRPr="00000000">
        <w:rPr>
          <w:rFonts w:ascii="Georgia" w:cs="Georgia" w:eastAsia="Georgia" w:hAnsi="Georgia"/>
          <w:sz w:val="24"/>
          <w:szCs w:val="24"/>
          <w:highlight w:val="white"/>
          <w:rtl w:val="0"/>
        </w:rPr>
        <w:t xml:space="preserve">. New York: Cornell University Press. Pp.301-314.</w:t>
      </w:r>
    </w:p>
    <w:p w:rsidR="00000000" w:rsidDel="00000000" w:rsidP="00000000" w:rsidRDefault="00000000" w:rsidRPr="00000000" w14:paraId="00000035">
      <w:pPr>
        <w:ind w:left="0" w:firstLine="0"/>
        <w:rPr>
          <w:sz w:val="30"/>
          <w:szCs w:val="30"/>
          <w:highlight w:val="white"/>
        </w:rPr>
      </w:pPr>
      <w:r w:rsidDel="00000000" w:rsidR="00000000" w:rsidRPr="00000000">
        <w:rPr>
          <w:rtl w:val="0"/>
        </w:rPr>
      </w:r>
    </w:p>
    <w:p w:rsidR="00000000" w:rsidDel="00000000" w:rsidP="00000000" w:rsidRDefault="00000000" w:rsidRPr="00000000" w14:paraId="00000036">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Sharon Macdonald. (2009). </w:t>
      </w:r>
      <w:r w:rsidDel="00000000" w:rsidR="00000000" w:rsidRPr="00000000">
        <w:rPr>
          <w:rFonts w:ascii="Georgia" w:cs="Georgia" w:eastAsia="Georgia" w:hAnsi="Georgia"/>
          <w:i w:val="1"/>
          <w:iCs w:val="1"/>
          <w:sz w:val="24"/>
          <w:szCs w:val="24"/>
          <w:rtl w:val="0"/>
        </w:rPr>
        <w:t xml:space="preserve">Difficult Heritage Negotiating the Nazi Past in Nuremberg and Beyond</w:t>
      </w:r>
      <w:r w:rsidDel="00000000" w:rsidR="00000000" w:rsidRPr="00000000">
        <w:rPr>
          <w:rFonts w:ascii="Georgia" w:cs="Georgia" w:eastAsia="Georgia" w:hAnsi="Georgia"/>
          <w:sz w:val="24"/>
          <w:szCs w:val="24"/>
          <w:highlight w:val="white"/>
          <w:rtl w:val="0"/>
        </w:rPr>
        <w:t xml:space="preserve">. London: Routledge.</w:t>
      </w:r>
    </w:p>
    <w:p w:rsidR="00000000" w:rsidDel="00000000" w:rsidP="00000000" w:rsidRDefault="00000000" w:rsidRPr="00000000" w14:paraId="00000037">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8">
      <w:pPr>
        <w:ind w:left="0" w:firstLine="0"/>
        <w:rPr>
          <w:rFonts w:ascii="Georgia" w:cs="Georgia" w:eastAsia="Georgia" w:hAnsi="Georgia"/>
          <w:sz w:val="24"/>
          <w:szCs w:val="24"/>
          <w:highlight w:val="white"/>
        </w:rPr>
      </w:pPr>
      <w:r w:rsidDel="00000000" w:rsidR="00000000" w:rsidRPr="00000000">
        <w:rPr>
          <w:rtl w:val="0"/>
        </w:rPr>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1">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Sharon Macdonald. (2009). </w:t>
      </w:r>
      <w:r w:rsidDel="00000000" w:rsidR="00000000" w:rsidRPr="00000000">
        <w:rPr>
          <w:i w:val="1"/>
          <w:iCs w:val="1"/>
          <w:sz w:val="20"/>
          <w:szCs w:val="20"/>
          <w:rtl w:val="0"/>
        </w:rPr>
        <w:t xml:space="preserve">Difficult Heritage Negotiating the Nazi Past in Nuremberg and Beyond</w:t>
      </w:r>
      <w:r w:rsidDel="00000000" w:rsidR="00000000" w:rsidRPr="00000000">
        <w:rPr>
          <w:sz w:val="20"/>
          <w:szCs w:val="20"/>
          <w:highlight w:val="white"/>
          <w:rtl w:val="0"/>
        </w:rPr>
        <w:t xml:space="preserve">. London: Routledge.</w:t>
      </w:r>
      <w:r w:rsidDel="00000000" w:rsidR="00000000" w:rsidRPr="00000000">
        <w:rPr>
          <w:rtl w:val="0"/>
        </w:rPr>
      </w:r>
    </w:p>
  </w:footnote>
  <w:footnote w:id="5">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Auschwitz-Birkenau State Museum. (N/A). </w:t>
      </w:r>
      <w:r w:rsidDel="00000000" w:rsidR="00000000" w:rsidRPr="00000000">
        <w:rPr>
          <w:i w:val="1"/>
          <w:iCs w:val="1"/>
          <w:sz w:val="20"/>
          <w:szCs w:val="20"/>
          <w:rtl w:val="0"/>
        </w:rPr>
        <w:t xml:space="preserve">Attendance</w:t>
      </w:r>
      <w:r w:rsidDel="00000000" w:rsidR="00000000" w:rsidRPr="00000000">
        <w:rPr>
          <w:sz w:val="20"/>
          <w:szCs w:val="20"/>
          <w:highlight w:val="white"/>
          <w:rtl w:val="0"/>
        </w:rPr>
        <w:t xml:space="preserve">. [Online]. AUSCHWITZ-BIRKENAU. Available at: https://www.auschwitz.org/en/visiting/attendance/ [Accessed 5 January 2026].</w:t>
      </w:r>
      <w:r w:rsidDel="00000000" w:rsidR="00000000" w:rsidRPr="00000000">
        <w:rPr>
          <w:rtl w:val="0"/>
        </w:rPr>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Derek Dalton. (2014). </w:t>
      </w:r>
      <w:r w:rsidDel="00000000" w:rsidR="00000000" w:rsidRPr="00000000">
        <w:rPr>
          <w:i w:val="1"/>
          <w:iCs w:val="1"/>
          <w:sz w:val="20"/>
          <w:szCs w:val="20"/>
          <w:rtl w:val="0"/>
        </w:rPr>
        <w:t xml:space="preserve">Dark Tourism and Crime</w:t>
      </w:r>
      <w:r w:rsidDel="00000000" w:rsidR="00000000" w:rsidRPr="00000000">
        <w:rPr>
          <w:sz w:val="20"/>
          <w:szCs w:val="20"/>
          <w:highlight w:val="white"/>
          <w:rtl w:val="0"/>
        </w:rPr>
        <w:t xml:space="preserve">. London: Taylor &amp; Francis. Pg 23</w:t>
      </w:r>
      <w:r w:rsidDel="00000000" w:rsidR="00000000" w:rsidRPr="00000000">
        <w:rPr>
          <w:rtl w:val="0"/>
        </w:rPr>
      </w:r>
    </w:p>
  </w:footnote>
  <w:footnote w:id="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Derek Dalton. (2014). </w:t>
      </w:r>
      <w:r w:rsidDel="00000000" w:rsidR="00000000" w:rsidRPr="00000000">
        <w:rPr>
          <w:i w:val="1"/>
          <w:iCs w:val="1"/>
          <w:sz w:val="20"/>
          <w:szCs w:val="20"/>
          <w:rtl w:val="0"/>
        </w:rPr>
        <w:t xml:space="preserve">Dark Tourism and Crime</w:t>
      </w:r>
      <w:r w:rsidDel="00000000" w:rsidR="00000000" w:rsidRPr="00000000">
        <w:rPr>
          <w:sz w:val="20"/>
          <w:szCs w:val="20"/>
          <w:highlight w:val="white"/>
          <w:rtl w:val="0"/>
        </w:rPr>
        <w:t xml:space="preserve">. London: Taylor &amp; Francis. Pg 16</w:t>
      </w:r>
      <w:r w:rsidDel="00000000" w:rsidR="00000000" w:rsidRPr="00000000">
        <w:rPr>
          <w:rtl w:val="0"/>
        </w:rPr>
      </w:r>
    </w:p>
  </w:footnote>
  <w:footnote w:id="3">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Jennifer Putnam. (2025). </w:t>
      </w:r>
      <w:r w:rsidDel="00000000" w:rsidR="00000000" w:rsidRPr="00000000">
        <w:rPr>
          <w:i w:val="1"/>
          <w:iCs w:val="1"/>
          <w:sz w:val="20"/>
          <w:szCs w:val="20"/>
          <w:rtl w:val="0"/>
        </w:rPr>
        <w:t xml:space="preserve">The Liberation of Auschwitz</w:t>
      </w:r>
      <w:r w:rsidDel="00000000" w:rsidR="00000000" w:rsidRPr="00000000">
        <w:rPr>
          <w:sz w:val="20"/>
          <w:szCs w:val="20"/>
          <w:highlight w:val="white"/>
          <w:rtl w:val="0"/>
        </w:rPr>
        <w:t xml:space="preserve">. [Online]. The National WWII Museum. Available at: https://www.nationalww2museum.org/war/articles/liberation-auschwitz [Accessed 9 January 2026].</w:t>
      </w:r>
      <w:r w:rsidDel="00000000" w:rsidR="00000000" w:rsidRPr="00000000">
        <w:rPr>
          <w:rtl w:val="0"/>
        </w:rPr>
      </w:r>
    </w:p>
  </w:footnote>
  <w:footnote w:id="1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Amanda Dawson, Sinéad O'Leary and Noëlle O'Connor. (2022). </w:t>
      </w:r>
      <w:r w:rsidDel="00000000" w:rsidR="00000000" w:rsidRPr="00000000">
        <w:rPr>
          <w:i w:val="1"/>
          <w:iCs w:val="1"/>
          <w:sz w:val="20"/>
          <w:szCs w:val="20"/>
          <w:rtl w:val="0"/>
        </w:rPr>
        <w:t xml:space="preserve">Holocaust tourism: education or exploitation?</w:t>
      </w:r>
      <w:r w:rsidDel="00000000" w:rsidR="00000000" w:rsidRPr="00000000">
        <w:rPr>
          <w:sz w:val="20"/>
          <w:szCs w:val="20"/>
          <w:highlight w:val="white"/>
          <w:rtl w:val="0"/>
        </w:rPr>
        <w:t xml:space="preserve">. Ireland: Technological University of the Shannon: Midlands Midwest (TUS). p.Pg 41.</w:t>
      </w:r>
      <w:r w:rsidDel="00000000" w:rsidR="00000000" w:rsidRPr="00000000">
        <w:rPr>
          <w:rtl w:val="0"/>
        </w:rPr>
      </w:r>
    </w:p>
  </w:footnote>
  <w:footnote w:id="17">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Dicky Arinta. (2025). </w:t>
      </w:r>
      <w:r w:rsidDel="00000000" w:rsidR="00000000" w:rsidRPr="00000000">
        <w:rPr>
          <w:i w:val="1"/>
          <w:iCs w:val="1"/>
          <w:sz w:val="20"/>
          <w:szCs w:val="20"/>
          <w:rtl w:val="0"/>
        </w:rPr>
        <w:t xml:space="preserve">Reframing Dark Tourism: A Systematic Review of Destination Image, Ethics, and Ed</w:t>
      </w:r>
      <w:r w:rsidDel="00000000" w:rsidR="00000000" w:rsidRPr="00000000">
        <w:rPr>
          <w:sz w:val="20"/>
          <w:szCs w:val="20"/>
          <w:highlight w:val="white"/>
          <w:rtl w:val="0"/>
        </w:rPr>
        <w:t xml:space="preserve">. Indonesia: State University of Malang. p.1</w:t>
      </w:r>
      <w:r w:rsidDel="00000000" w:rsidR="00000000" w:rsidRPr="00000000">
        <w:rPr>
          <w:rtl w:val="0"/>
        </w:rPr>
      </w:r>
    </w:p>
  </w:footnote>
  <w:footnote w:id="1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Bar Convent Living Heritage Centre. (2018). </w:t>
      </w:r>
      <w:r w:rsidDel="00000000" w:rsidR="00000000" w:rsidRPr="00000000">
        <w:rPr>
          <w:i w:val="1"/>
          <w:iCs w:val="1"/>
          <w:sz w:val="20"/>
          <w:szCs w:val="20"/>
          <w:rtl w:val="0"/>
        </w:rPr>
        <w:t xml:space="preserve">Difficult Heritage: Making Sense of Uncomfortable Histories</w:t>
      </w:r>
      <w:r w:rsidDel="00000000" w:rsidR="00000000" w:rsidRPr="00000000">
        <w:rPr>
          <w:sz w:val="20"/>
          <w:szCs w:val="20"/>
          <w:highlight w:val="white"/>
          <w:rtl w:val="0"/>
        </w:rPr>
        <w:t xml:space="preserve">. York: The Heritage Consortium.</w:t>
      </w:r>
      <w:r w:rsidDel="00000000" w:rsidR="00000000" w:rsidRPr="00000000">
        <w:rPr>
          <w:rtl w:val="0"/>
        </w:rPr>
      </w:r>
    </w:p>
  </w:footnote>
  <w:footnote w:id="0">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Phillip R stone, Daniel W.M Wright. (2024). </w:t>
      </w:r>
      <w:r w:rsidDel="00000000" w:rsidR="00000000" w:rsidRPr="00000000">
        <w:rPr>
          <w:i w:val="1"/>
          <w:iCs w:val="1"/>
          <w:sz w:val="20"/>
          <w:szCs w:val="20"/>
          <w:rtl w:val="0"/>
        </w:rPr>
        <w:t xml:space="preserve">The Future of Dark Tourism</w:t>
      </w:r>
      <w:r w:rsidDel="00000000" w:rsidR="00000000" w:rsidRPr="00000000">
        <w:rPr>
          <w:sz w:val="20"/>
          <w:szCs w:val="20"/>
          <w:highlight w:val="white"/>
          <w:rtl w:val="0"/>
        </w:rPr>
        <w:t xml:space="preserve">. London: Channel View Publications</w:t>
      </w:r>
      <w:r w:rsidDel="00000000" w:rsidR="00000000" w:rsidRPr="00000000">
        <w:rPr>
          <w:rtl w:val="0"/>
        </w:rPr>
      </w:r>
    </w:p>
  </w:footnote>
  <w:footnote w:id="18">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Phillip R stone, Daniel W.M Wright. (2024). </w:t>
      </w:r>
      <w:r w:rsidDel="00000000" w:rsidR="00000000" w:rsidRPr="00000000">
        <w:rPr>
          <w:i w:val="1"/>
          <w:iCs w:val="1"/>
          <w:sz w:val="20"/>
          <w:szCs w:val="20"/>
          <w:rtl w:val="0"/>
        </w:rPr>
        <w:t xml:space="preserve">The Future of Dark Tourism</w:t>
      </w:r>
      <w:r w:rsidDel="00000000" w:rsidR="00000000" w:rsidRPr="00000000">
        <w:rPr>
          <w:rtl w:val="0"/>
        </w:rPr>
      </w:r>
    </w:p>
  </w:footnote>
  <w:footnote w:id="16">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Bernice L. Murphy. (2016). </w:t>
      </w:r>
      <w:r w:rsidDel="00000000" w:rsidR="00000000" w:rsidRPr="00000000">
        <w:rPr>
          <w:i w:val="1"/>
          <w:iCs w:val="1"/>
          <w:sz w:val="20"/>
          <w:szCs w:val="20"/>
          <w:rtl w:val="0"/>
        </w:rPr>
        <w:t xml:space="preserve">Museums, Ethics and Cultural Heritage</w:t>
      </w:r>
      <w:r w:rsidDel="00000000" w:rsidR="00000000" w:rsidRPr="00000000">
        <w:rPr>
          <w:sz w:val="20"/>
          <w:szCs w:val="20"/>
          <w:highlight w:val="white"/>
          <w:rtl w:val="0"/>
        </w:rPr>
        <w:t xml:space="preserve">. London: Taylor and Francis. p.333</w:t>
      </w:r>
      <w:r w:rsidDel="00000000" w:rsidR="00000000" w:rsidRPr="00000000">
        <w:rPr>
          <w:rtl w:val="0"/>
        </w:rPr>
      </w:r>
    </w:p>
  </w:footnote>
  <w:footnote w:id="12">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Christine Berberich. (2021). </w:t>
      </w:r>
      <w:r w:rsidDel="00000000" w:rsidR="00000000" w:rsidRPr="00000000">
        <w:rPr>
          <w:i w:val="1"/>
          <w:iCs w:val="1"/>
          <w:sz w:val="20"/>
          <w:szCs w:val="20"/>
          <w:rtl w:val="0"/>
        </w:rPr>
        <w:t xml:space="preserve">Trauma &amp; Memory The Holocaust in Contemporary Culture</w:t>
      </w:r>
      <w:r w:rsidDel="00000000" w:rsidR="00000000" w:rsidRPr="00000000">
        <w:rPr>
          <w:sz w:val="20"/>
          <w:szCs w:val="20"/>
          <w:highlight w:val="white"/>
          <w:rtl w:val="0"/>
        </w:rPr>
        <w:t xml:space="preserve">. p.200.</w:t>
      </w:r>
      <w:r w:rsidDel="00000000" w:rsidR="00000000" w:rsidRPr="00000000">
        <w:rPr>
          <w:rtl w:val="0"/>
        </w:rPr>
      </w:r>
    </w:p>
  </w:footnote>
  <w:footnote w:id="8">
    <w:p w:rsidR="00000000" w:rsidDel="00000000" w:rsidP="00000000" w:rsidRDefault="00000000" w:rsidRPr="00000000" w14:paraId="00000046">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Christine Berberich. (2021). </w:t>
      </w:r>
      <w:r w:rsidDel="00000000" w:rsidR="00000000" w:rsidRPr="00000000">
        <w:rPr>
          <w:rFonts w:ascii="Georgia" w:cs="Georgia" w:eastAsia="Georgia" w:hAnsi="Georgia"/>
          <w:i w:val="1"/>
          <w:iCs w:val="1"/>
          <w:sz w:val="20"/>
          <w:szCs w:val="20"/>
          <w:rtl w:val="0"/>
        </w:rPr>
        <w:t xml:space="preserve">Trauma &amp; Memory The Holocaust in Contemporary Culture</w:t>
      </w:r>
      <w:r w:rsidDel="00000000" w:rsidR="00000000" w:rsidRPr="00000000">
        <w:rPr>
          <w:rFonts w:ascii="Georgia" w:cs="Georgia" w:eastAsia="Georgia" w:hAnsi="Georgia"/>
          <w:sz w:val="20"/>
          <w:szCs w:val="20"/>
          <w:highlight w:val="white"/>
          <w:rtl w:val="0"/>
        </w:rPr>
        <w:t xml:space="preserve">. London: Taylor and Francis. p.199</w:t>
      </w:r>
      <w:r w:rsidDel="00000000" w:rsidR="00000000" w:rsidRPr="00000000">
        <w:rPr>
          <w:rtl w:val="0"/>
        </w:rPr>
      </w:r>
    </w:p>
  </w:footnote>
  <w:footnote w:id="6">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Christine Berberich. (2021). </w:t>
      </w:r>
      <w:r w:rsidDel="00000000" w:rsidR="00000000" w:rsidRPr="00000000">
        <w:rPr>
          <w:rFonts w:ascii="Georgia" w:cs="Georgia" w:eastAsia="Georgia" w:hAnsi="Georgia"/>
          <w:i w:val="1"/>
          <w:iCs w:val="1"/>
          <w:sz w:val="20"/>
          <w:szCs w:val="20"/>
          <w:rtl w:val="0"/>
        </w:rPr>
        <w:t xml:space="preserve">Trauma &amp; Memory The Holocaust in Contemporary Culture</w:t>
      </w:r>
      <w:r w:rsidDel="00000000" w:rsidR="00000000" w:rsidRPr="00000000">
        <w:rPr>
          <w:rFonts w:ascii="Georgia" w:cs="Georgia" w:eastAsia="Georgia" w:hAnsi="Georgia"/>
          <w:sz w:val="20"/>
          <w:szCs w:val="20"/>
          <w:highlight w:val="white"/>
          <w:rtl w:val="0"/>
        </w:rPr>
        <w:t xml:space="preserve">. London: Taylor and Francis. p.193</w:t>
      </w:r>
      <w:r w:rsidDel="00000000" w:rsidR="00000000" w:rsidRPr="00000000">
        <w:rPr>
          <w:rtl w:val="0"/>
        </w:rPr>
      </w:r>
    </w:p>
  </w:footnote>
  <w:footnote w:id="14">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Christine Berberich. (2021). </w:t>
      </w:r>
      <w:r w:rsidDel="00000000" w:rsidR="00000000" w:rsidRPr="00000000">
        <w:rPr>
          <w:i w:val="1"/>
          <w:iCs w:val="1"/>
          <w:sz w:val="20"/>
          <w:szCs w:val="20"/>
          <w:rtl w:val="0"/>
        </w:rPr>
        <w:t xml:space="preserve">Trauma &amp; Memory The Holocaust in Contemporary Culture</w:t>
      </w:r>
      <w:r w:rsidDel="00000000" w:rsidR="00000000" w:rsidRPr="00000000">
        <w:rPr>
          <w:sz w:val="20"/>
          <w:szCs w:val="20"/>
          <w:highlight w:val="white"/>
          <w:rtl w:val="0"/>
        </w:rPr>
        <w:t xml:space="preserve">. p.195</w:t>
      </w:r>
      <w:r w:rsidDel="00000000" w:rsidR="00000000" w:rsidRPr="00000000">
        <w:rPr>
          <w:rtl w:val="0"/>
        </w:rPr>
      </w:r>
    </w:p>
  </w:footnote>
  <w:footnote w:id="9">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Christine Berberich. (2021). </w:t>
      </w:r>
      <w:r w:rsidDel="00000000" w:rsidR="00000000" w:rsidRPr="00000000">
        <w:rPr>
          <w:rFonts w:ascii="Georgia" w:cs="Georgia" w:eastAsia="Georgia" w:hAnsi="Georgia"/>
          <w:i w:val="1"/>
          <w:iCs w:val="1"/>
          <w:sz w:val="20"/>
          <w:szCs w:val="20"/>
          <w:rtl w:val="0"/>
        </w:rPr>
        <w:t xml:space="preserve">Trauma &amp; Memory The Holocaust in Contemporary Culture</w:t>
      </w:r>
      <w:r w:rsidDel="00000000" w:rsidR="00000000" w:rsidRPr="00000000">
        <w:rPr>
          <w:rFonts w:ascii="Georgia" w:cs="Georgia" w:eastAsia="Georgia" w:hAnsi="Georgia"/>
          <w:sz w:val="20"/>
          <w:szCs w:val="20"/>
          <w:highlight w:val="white"/>
          <w:rtl w:val="0"/>
        </w:rPr>
        <w:t xml:space="preserve">.p.196</w:t>
      </w:r>
      <w:r w:rsidDel="00000000" w:rsidR="00000000" w:rsidRPr="00000000">
        <w:rPr>
          <w:rtl w:val="0"/>
        </w:rPr>
      </w:r>
    </w:p>
  </w:footnote>
  <w:footnote w:id="4">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Daniel P. Reynolds. (2025). </w:t>
      </w:r>
      <w:r w:rsidDel="00000000" w:rsidR="00000000" w:rsidRPr="00000000">
        <w:rPr>
          <w:i w:val="1"/>
          <w:iCs w:val="1"/>
          <w:sz w:val="20"/>
          <w:szCs w:val="20"/>
          <w:rtl w:val="0"/>
        </w:rPr>
        <w:t xml:space="preserve">The Routledge Handbook to Auschwitz-Birkenau</w:t>
      </w:r>
      <w:r w:rsidDel="00000000" w:rsidR="00000000" w:rsidRPr="00000000">
        <w:rPr>
          <w:sz w:val="20"/>
          <w:szCs w:val="20"/>
          <w:highlight w:val="white"/>
          <w:rtl w:val="0"/>
        </w:rPr>
        <w:t xml:space="preserve">. London: Taylor and Francis. p.35.</w:t>
      </w:r>
      <w:r w:rsidDel="00000000" w:rsidR="00000000" w:rsidRPr="00000000">
        <w:rPr>
          <w:rtl w:val="0"/>
        </w:rPr>
      </w:r>
    </w:p>
  </w:footnote>
  <w:footnote w:id="7">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Daniel P. Reynolds. (2025). </w:t>
      </w:r>
      <w:r w:rsidDel="00000000" w:rsidR="00000000" w:rsidRPr="00000000">
        <w:rPr>
          <w:i w:val="1"/>
          <w:iCs w:val="1"/>
          <w:sz w:val="20"/>
          <w:szCs w:val="20"/>
          <w:rtl w:val="0"/>
        </w:rPr>
        <w:t xml:space="preserve">The Routledge Handbook to Auschwitz-Birkenau</w:t>
      </w:r>
      <w:r w:rsidDel="00000000" w:rsidR="00000000" w:rsidRPr="00000000">
        <w:rPr>
          <w:sz w:val="20"/>
          <w:szCs w:val="20"/>
          <w:highlight w:val="white"/>
          <w:rtl w:val="0"/>
        </w:rPr>
        <w:t xml:space="preserve">.</w:t>
      </w:r>
      <w:r w:rsidDel="00000000" w:rsidR="00000000" w:rsidRPr="00000000">
        <w:rPr>
          <w:rtl w:val="0"/>
        </w:rPr>
      </w:r>
    </w:p>
  </w:footnote>
  <w:footnote w:id="10">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Robert Blobaum. (2005). </w:t>
      </w:r>
      <w:r w:rsidDel="00000000" w:rsidR="00000000" w:rsidRPr="00000000">
        <w:rPr>
          <w:i w:val="1"/>
          <w:iCs w:val="1"/>
          <w:sz w:val="20"/>
          <w:szCs w:val="20"/>
          <w:rtl w:val="0"/>
        </w:rPr>
        <w:t xml:space="preserve">Antisemitism and Its Opponents in Modern Poland</w:t>
      </w:r>
      <w:r w:rsidDel="00000000" w:rsidR="00000000" w:rsidRPr="00000000">
        <w:rPr>
          <w:sz w:val="20"/>
          <w:szCs w:val="20"/>
          <w:highlight w:val="white"/>
          <w:rtl w:val="0"/>
        </w:rPr>
        <w:t xml:space="preserve">. New York: Cornell University Press. pp.301-314.</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rPr/>
    </w:pPr>
    <w:r w:rsidDel="00000000" w:rsidR="00000000" w:rsidRPr="00000000">
      <w:rPr>
        <w:rtl w:val="0"/>
      </w:rPr>
      <w:t xml:space="preserve">Katie Howell                    Wordcount: 2729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