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AC664" w14:textId="77777777" w:rsidR="001A07CF" w:rsidRPr="001A07CF" w:rsidRDefault="001A07CF" w:rsidP="001A07CF">
      <w:pPr>
        <w:spacing w:line="360" w:lineRule="auto"/>
        <w:jc w:val="both"/>
        <w:rPr>
          <w:rFonts w:ascii="Arial" w:hAnsi="Arial" w:cs="Arial"/>
          <w:sz w:val="22"/>
          <w:szCs w:val="22"/>
        </w:rPr>
      </w:pPr>
    </w:p>
    <w:p w14:paraId="3969DB05" w14:textId="77777777" w:rsidR="001A07CF" w:rsidRPr="001A07CF" w:rsidRDefault="001A07CF" w:rsidP="001A07CF">
      <w:pPr>
        <w:spacing w:line="360" w:lineRule="auto"/>
        <w:jc w:val="both"/>
        <w:rPr>
          <w:rFonts w:ascii="Arial" w:hAnsi="Arial" w:cs="Arial"/>
          <w:sz w:val="22"/>
          <w:szCs w:val="22"/>
        </w:rPr>
      </w:pPr>
    </w:p>
    <w:p w14:paraId="2D042FDA" w14:textId="77777777" w:rsidR="001A07CF" w:rsidRPr="001A07CF" w:rsidRDefault="001A07CF" w:rsidP="001A07CF">
      <w:pPr>
        <w:spacing w:line="360" w:lineRule="auto"/>
        <w:jc w:val="both"/>
        <w:rPr>
          <w:rFonts w:ascii="Arial" w:hAnsi="Arial" w:cs="Arial"/>
          <w:sz w:val="22"/>
          <w:szCs w:val="22"/>
        </w:rPr>
      </w:pPr>
    </w:p>
    <w:p w14:paraId="14AC7A4A" w14:textId="77777777" w:rsidR="001A07CF" w:rsidRPr="001A07CF" w:rsidRDefault="001A07CF" w:rsidP="001A07CF">
      <w:pPr>
        <w:spacing w:line="360" w:lineRule="auto"/>
        <w:jc w:val="both"/>
        <w:rPr>
          <w:rFonts w:ascii="Arial" w:hAnsi="Arial" w:cs="Arial"/>
          <w:sz w:val="22"/>
          <w:szCs w:val="22"/>
        </w:rPr>
      </w:pPr>
    </w:p>
    <w:p w14:paraId="37DC3649" w14:textId="77777777" w:rsidR="001A07CF" w:rsidRPr="001A07CF" w:rsidRDefault="001A07CF" w:rsidP="001A07CF">
      <w:pPr>
        <w:spacing w:line="360" w:lineRule="auto"/>
        <w:jc w:val="both"/>
        <w:rPr>
          <w:rFonts w:ascii="Arial" w:hAnsi="Arial" w:cs="Arial"/>
          <w:sz w:val="22"/>
          <w:szCs w:val="22"/>
        </w:rPr>
      </w:pPr>
    </w:p>
    <w:p w14:paraId="161B5A5A" w14:textId="77777777" w:rsidR="001A07CF" w:rsidRPr="001A07CF" w:rsidRDefault="001A07CF" w:rsidP="001A07CF">
      <w:pPr>
        <w:spacing w:line="360" w:lineRule="auto"/>
        <w:jc w:val="both"/>
        <w:rPr>
          <w:rFonts w:ascii="Arial" w:hAnsi="Arial" w:cs="Arial"/>
          <w:sz w:val="22"/>
          <w:szCs w:val="22"/>
        </w:rPr>
      </w:pPr>
      <w:r w:rsidRPr="001A07CF">
        <w:rPr>
          <w:rFonts w:ascii="Arial" w:hAnsi="Arial" w:cs="Arial"/>
          <w:sz w:val="22"/>
          <w:szCs w:val="22"/>
        </w:rPr>
        <w:t>A Scoping Review of The Effectiveness of Telehealth Consultations in UK Primary Healthcare: Identifying Themes Using Aveyard’s Simplified Thematic Analysis</w:t>
      </w:r>
    </w:p>
    <w:p w14:paraId="3265DB47" w14:textId="77777777" w:rsidR="001A07CF" w:rsidRPr="001A07CF" w:rsidRDefault="001A07CF" w:rsidP="001A07CF">
      <w:pPr>
        <w:spacing w:line="360" w:lineRule="auto"/>
        <w:jc w:val="both"/>
        <w:rPr>
          <w:rFonts w:ascii="Arial" w:hAnsi="Arial" w:cs="Arial"/>
          <w:sz w:val="22"/>
          <w:szCs w:val="22"/>
        </w:rPr>
      </w:pPr>
    </w:p>
    <w:p w14:paraId="089A0F8F" w14:textId="77777777" w:rsidR="001A07CF" w:rsidRPr="001A07CF" w:rsidRDefault="001A07CF" w:rsidP="001A07CF">
      <w:pPr>
        <w:spacing w:line="360" w:lineRule="auto"/>
        <w:jc w:val="both"/>
        <w:rPr>
          <w:rFonts w:ascii="Arial" w:hAnsi="Arial" w:cs="Arial"/>
          <w:sz w:val="22"/>
          <w:szCs w:val="22"/>
        </w:rPr>
      </w:pPr>
    </w:p>
    <w:p w14:paraId="19538F7B" w14:textId="77777777" w:rsidR="001A07CF" w:rsidRPr="001A07CF" w:rsidRDefault="001A07CF" w:rsidP="001A07CF">
      <w:pPr>
        <w:spacing w:line="360" w:lineRule="auto"/>
        <w:jc w:val="both"/>
        <w:rPr>
          <w:rFonts w:ascii="Arial" w:hAnsi="Arial" w:cs="Arial"/>
          <w:sz w:val="22"/>
          <w:szCs w:val="22"/>
        </w:rPr>
      </w:pPr>
      <w:r w:rsidRPr="001A07CF">
        <w:rPr>
          <w:rFonts w:ascii="Arial" w:hAnsi="Arial" w:cs="Arial"/>
          <w:sz w:val="22"/>
          <w:szCs w:val="22"/>
        </w:rPr>
        <w:t>Student Name: Gazala Haroon</w:t>
      </w:r>
      <w:r w:rsidRPr="001A07CF">
        <w:rPr>
          <w:rFonts w:ascii="Arial" w:hAnsi="Arial" w:cs="Arial"/>
          <w:sz w:val="22"/>
          <w:szCs w:val="22"/>
        </w:rPr>
        <w:tab/>
      </w:r>
    </w:p>
    <w:p w14:paraId="35B433CE" w14:textId="77777777" w:rsidR="001A07CF" w:rsidRDefault="001A07CF" w:rsidP="001A07CF">
      <w:pPr>
        <w:spacing w:line="360" w:lineRule="auto"/>
        <w:jc w:val="both"/>
        <w:rPr>
          <w:rFonts w:ascii="Arial" w:hAnsi="Arial" w:cs="Arial"/>
          <w:sz w:val="22"/>
          <w:szCs w:val="22"/>
        </w:rPr>
      </w:pPr>
      <w:r w:rsidRPr="001A07CF">
        <w:rPr>
          <w:rFonts w:ascii="Arial" w:hAnsi="Arial" w:cs="Arial"/>
          <w:sz w:val="22"/>
          <w:szCs w:val="22"/>
        </w:rPr>
        <w:t>Student Number: 2411422</w:t>
      </w:r>
    </w:p>
    <w:p w14:paraId="0200EAD0" w14:textId="30EF4B73" w:rsidR="00FA7C0E" w:rsidRPr="001A07CF" w:rsidRDefault="00FA7C0E" w:rsidP="001A07CF">
      <w:pPr>
        <w:spacing w:line="360" w:lineRule="auto"/>
        <w:jc w:val="both"/>
        <w:rPr>
          <w:rFonts w:ascii="Arial" w:hAnsi="Arial" w:cs="Arial"/>
          <w:sz w:val="22"/>
          <w:szCs w:val="22"/>
        </w:rPr>
      </w:pPr>
      <w:r>
        <w:rPr>
          <w:rFonts w:ascii="Arial" w:hAnsi="Arial" w:cs="Arial"/>
          <w:sz w:val="22"/>
          <w:szCs w:val="22"/>
        </w:rPr>
        <w:t>Module code: BMHP5019</w:t>
      </w:r>
    </w:p>
    <w:p w14:paraId="267531DA" w14:textId="782C633A" w:rsidR="001A07CF" w:rsidRPr="001A07CF" w:rsidRDefault="001A07CF" w:rsidP="001A07CF">
      <w:pPr>
        <w:spacing w:line="360" w:lineRule="auto"/>
        <w:jc w:val="both"/>
        <w:rPr>
          <w:rFonts w:ascii="Arial" w:hAnsi="Arial" w:cs="Arial"/>
          <w:sz w:val="22"/>
          <w:szCs w:val="22"/>
        </w:rPr>
      </w:pPr>
    </w:p>
    <w:p w14:paraId="1491297E" w14:textId="77777777" w:rsidR="001459F9" w:rsidRDefault="001A07CF" w:rsidP="001A07CF">
      <w:pPr>
        <w:spacing w:line="360" w:lineRule="auto"/>
        <w:jc w:val="both"/>
        <w:rPr>
          <w:rFonts w:ascii="Arial" w:hAnsi="Arial" w:cs="Arial"/>
          <w:sz w:val="22"/>
          <w:szCs w:val="22"/>
        </w:rPr>
      </w:pPr>
      <w:r w:rsidRPr="001A07CF">
        <w:rPr>
          <w:rFonts w:ascii="Arial" w:hAnsi="Arial" w:cs="Arial"/>
          <w:sz w:val="22"/>
          <w:szCs w:val="22"/>
        </w:rPr>
        <w:t xml:space="preserve">The role of Telehealth Consultations in UK Primary Healthcare: Scoping Review </w:t>
      </w:r>
      <w:bookmarkStart w:id="0" w:name="_Toc232931777"/>
    </w:p>
    <w:p w14:paraId="7906455E" w14:textId="2E6C8759" w:rsidR="001A07CF" w:rsidRPr="001A07CF" w:rsidRDefault="001A07CF" w:rsidP="001A07CF">
      <w:pPr>
        <w:spacing w:line="360" w:lineRule="auto"/>
        <w:jc w:val="both"/>
        <w:rPr>
          <w:rFonts w:ascii="Arial" w:hAnsi="Arial" w:cs="Arial"/>
          <w:b/>
          <w:bCs/>
          <w:sz w:val="22"/>
          <w:szCs w:val="22"/>
        </w:rPr>
      </w:pPr>
      <w:r w:rsidRPr="001A07CF">
        <w:rPr>
          <w:rFonts w:ascii="Arial" w:hAnsi="Arial" w:cs="Arial"/>
          <w:b/>
          <w:bCs/>
          <w:sz w:val="22"/>
          <w:szCs w:val="22"/>
        </w:rPr>
        <w:t>Introduction</w:t>
      </w:r>
      <w:bookmarkEnd w:id="0"/>
    </w:p>
    <w:p w14:paraId="00A02ACD"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The rapid advancement of digital technologies has transformed healthcare delivery worldwide, especially after the COVID-19 pandemic (</w:t>
      </w:r>
      <w:proofErr w:type="spellStart"/>
      <w:r w:rsidRPr="001A07CF">
        <w:rPr>
          <w:rFonts w:ascii="Arial" w:hAnsi="Arial" w:cs="Arial"/>
          <w:sz w:val="22"/>
          <w:szCs w:val="22"/>
        </w:rPr>
        <w:t>Alashek</w:t>
      </w:r>
      <w:proofErr w:type="spellEnd"/>
      <w:r w:rsidRPr="001A07CF">
        <w:rPr>
          <w:rFonts w:ascii="Arial" w:hAnsi="Arial" w:cs="Arial"/>
          <w:sz w:val="22"/>
          <w:szCs w:val="22"/>
        </w:rPr>
        <w:t xml:space="preserve"> and Ali, 2024). One of the most significant developments has been the increased use of telehealth consultations within primary healthcare settings. In the United Kingdom, the National Health Service (NHS) has increasingly adopted telehealth to improve healthcare accessibility, efficiency, and continuity of care (</w:t>
      </w:r>
      <w:proofErr w:type="spellStart"/>
      <w:r w:rsidRPr="001A07CF">
        <w:rPr>
          <w:rFonts w:ascii="Arial" w:hAnsi="Arial" w:cs="Arial"/>
          <w:sz w:val="22"/>
          <w:szCs w:val="22"/>
        </w:rPr>
        <w:t>Alashek</w:t>
      </w:r>
      <w:proofErr w:type="spellEnd"/>
      <w:r w:rsidRPr="001A07CF">
        <w:rPr>
          <w:rFonts w:ascii="Arial" w:hAnsi="Arial" w:cs="Arial"/>
          <w:sz w:val="22"/>
          <w:szCs w:val="22"/>
        </w:rPr>
        <w:t xml:space="preserve"> and Ali, 2024). As telehealth becomes a crucial component of healthcare delivery, it is important to understand its effectiveness and the challenges associated with its implementation in UK primary care.</w:t>
      </w:r>
    </w:p>
    <w:p w14:paraId="1B96B37F"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1" w:name="_Toc232931778"/>
      <w:r w:rsidRPr="001A07CF">
        <w:rPr>
          <w:rFonts w:ascii="Arial" w:hAnsi="Arial" w:cs="Arial"/>
          <w:b/>
          <w:bCs/>
          <w:i/>
          <w:iCs/>
          <w:color w:val="auto"/>
          <w:sz w:val="22"/>
          <w:szCs w:val="22"/>
        </w:rPr>
        <w:t>Definition of Key Concepts</w:t>
      </w:r>
      <w:bookmarkEnd w:id="1"/>
    </w:p>
    <w:p w14:paraId="7F70CB60" w14:textId="77777777" w:rsidR="001A07CF" w:rsidRPr="001A07CF" w:rsidRDefault="001A07CF" w:rsidP="001A07CF">
      <w:pPr>
        <w:pStyle w:val="ListParagraph"/>
        <w:numPr>
          <w:ilvl w:val="0"/>
          <w:numId w:val="3"/>
        </w:numPr>
        <w:spacing w:line="360" w:lineRule="auto"/>
        <w:jc w:val="both"/>
        <w:rPr>
          <w:rFonts w:ascii="Arial" w:hAnsi="Arial" w:cs="Arial"/>
          <w:sz w:val="22"/>
          <w:szCs w:val="22"/>
        </w:rPr>
      </w:pPr>
      <w:r w:rsidRPr="001A07CF">
        <w:rPr>
          <w:rFonts w:ascii="Arial" w:hAnsi="Arial" w:cs="Arial"/>
          <w:b/>
          <w:bCs/>
          <w:sz w:val="22"/>
          <w:szCs w:val="22"/>
        </w:rPr>
        <w:t>Telehealth:</w:t>
      </w:r>
      <w:r w:rsidRPr="001A07CF">
        <w:rPr>
          <w:rFonts w:ascii="Arial" w:hAnsi="Arial" w:cs="Arial"/>
          <w:sz w:val="22"/>
          <w:szCs w:val="22"/>
        </w:rPr>
        <w:t xml:space="preserve"> Telehealth refers to the delivery of healthcare services through information and communication technologies that enable healthcare professionals and patients to communicate remotely. It may include telephone consultations, video consultations, remote monitoring, mobile health applications, and online healthcare platforms (Sharma et al, 2022). </w:t>
      </w:r>
    </w:p>
    <w:p w14:paraId="25372F14" w14:textId="77777777" w:rsidR="001A07CF" w:rsidRPr="001A07CF" w:rsidRDefault="001A07CF" w:rsidP="001A07CF">
      <w:pPr>
        <w:pStyle w:val="ListParagraph"/>
        <w:numPr>
          <w:ilvl w:val="0"/>
          <w:numId w:val="3"/>
        </w:numPr>
        <w:spacing w:line="360" w:lineRule="auto"/>
        <w:jc w:val="both"/>
        <w:rPr>
          <w:rFonts w:ascii="Arial" w:hAnsi="Arial" w:cs="Arial"/>
          <w:sz w:val="22"/>
          <w:szCs w:val="22"/>
        </w:rPr>
      </w:pPr>
      <w:r w:rsidRPr="001A07CF">
        <w:rPr>
          <w:rFonts w:ascii="Arial" w:hAnsi="Arial" w:cs="Arial"/>
          <w:b/>
          <w:bCs/>
          <w:sz w:val="22"/>
          <w:szCs w:val="22"/>
        </w:rPr>
        <w:lastRenderedPageBreak/>
        <w:t>Primary Healthcare:</w:t>
      </w:r>
      <w:r w:rsidRPr="001A07CF">
        <w:rPr>
          <w:rFonts w:ascii="Arial" w:hAnsi="Arial" w:cs="Arial"/>
          <w:sz w:val="22"/>
          <w:szCs w:val="22"/>
        </w:rPr>
        <w:t xml:space="preserve"> Primary healthcare is the first level of contact between individuals and healthcare services. It includes services provided by general practitioners (GPs), nurses, pharmacists, and other healthcare professionals who deliver preventative, diagnostic, treatment, and referral services within the community (de Visser et al, 2024). </w:t>
      </w:r>
    </w:p>
    <w:p w14:paraId="5115E49C" w14:textId="77777777" w:rsidR="001A07CF" w:rsidRPr="001A07CF" w:rsidRDefault="001A07CF" w:rsidP="001A07CF">
      <w:pPr>
        <w:pStyle w:val="ListParagraph"/>
        <w:numPr>
          <w:ilvl w:val="0"/>
          <w:numId w:val="3"/>
        </w:numPr>
        <w:spacing w:line="360" w:lineRule="auto"/>
        <w:jc w:val="both"/>
        <w:rPr>
          <w:rFonts w:ascii="Arial" w:hAnsi="Arial" w:cs="Arial"/>
          <w:sz w:val="22"/>
          <w:szCs w:val="22"/>
        </w:rPr>
      </w:pPr>
      <w:r w:rsidRPr="001A07CF">
        <w:rPr>
          <w:rFonts w:ascii="Arial" w:hAnsi="Arial" w:cs="Arial"/>
          <w:b/>
          <w:bCs/>
          <w:sz w:val="22"/>
          <w:szCs w:val="22"/>
        </w:rPr>
        <w:t>Digital Health:</w:t>
      </w:r>
      <w:r w:rsidRPr="001A07CF">
        <w:rPr>
          <w:rFonts w:ascii="Arial" w:hAnsi="Arial" w:cs="Arial"/>
          <w:sz w:val="22"/>
          <w:szCs w:val="22"/>
        </w:rPr>
        <w:t xml:space="preserve"> Digital health involves the use of digital technologies, such as EHRs and mobile apps, to improve health outcomes, healthcare delivery, and patient experiences. Telehealth is considered an important component of digital health practice (NHS England, 2026).</w:t>
      </w:r>
    </w:p>
    <w:p w14:paraId="4FF0266A" w14:textId="77777777" w:rsidR="001A07CF" w:rsidRPr="001A07CF" w:rsidRDefault="001A07CF" w:rsidP="001A07CF">
      <w:pPr>
        <w:pStyle w:val="ListParagraph"/>
        <w:numPr>
          <w:ilvl w:val="0"/>
          <w:numId w:val="3"/>
        </w:numPr>
        <w:spacing w:line="360" w:lineRule="auto"/>
        <w:jc w:val="both"/>
        <w:rPr>
          <w:rFonts w:ascii="Arial" w:hAnsi="Arial" w:cs="Arial"/>
          <w:sz w:val="22"/>
          <w:szCs w:val="22"/>
        </w:rPr>
      </w:pPr>
      <w:r w:rsidRPr="001A07CF">
        <w:rPr>
          <w:rFonts w:ascii="Arial" w:hAnsi="Arial" w:cs="Arial"/>
          <w:b/>
          <w:bCs/>
          <w:sz w:val="22"/>
          <w:szCs w:val="22"/>
        </w:rPr>
        <w:t>Scoping Review:</w:t>
      </w:r>
      <w:r w:rsidRPr="001A07CF">
        <w:rPr>
          <w:rFonts w:ascii="Arial" w:hAnsi="Arial" w:cs="Arial"/>
          <w:sz w:val="22"/>
          <w:szCs w:val="22"/>
        </w:rPr>
        <w:t xml:space="preserve"> A scoping review is secondary research used to identify, map, and synthesise existing evidence relating to a specific topic. Unlike systematic reviews, scoping reviews aim to provide an overview of the available literature rather than assess intervention effectiveness (Khalil et al, 2025). </w:t>
      </w:r>
    </w:p>
    <w:p w14:paraId="4AFE8002"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2" w:name="_Toc232931779"/>
      <w:r w:rsidRPr="001A07CF">
        <w:rPr>
          <w:rFonts w:ascii="Arial" w:hAnsi="Arial" w:cs="Arial"/>
          <w:b/>
          <w:bCs/>
          <w:i/>
          <w:iCs/>
          <w:color w:val="auto"/>
          <w:sz w:val="22"/>
          <w:szCs w:val="22"/>
        </w:rPr>
        <w:t>Study Rationale</w:t>
      </w:r>
      <w:bookmarkEnd w:id="2"/>
    </w:p>
    <w:p w14:paraId="20819BDA" w14:textId="08DE7D2F"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Telehealth has become increasingly important in healthcare delivery within the UK. Following the COVID-19 pandemic, remote consultations were rapidly adopted across NHS primary care services to reduce infection risks and maintain access to healthcare. Research suggests that telehealth can improve access to healthcare services, reduce travel time for patients, increase convenience, and support continuity of care for individuals with long-term conditions (de Visser et al, 2024). However, telehealth also presents significant challenges. Digital exclusion remains a concern, particularly among older adults, individuals with limited digital literacy, and those lacking access to appropriate technology (Kemp et al, 2025). Moreover, concerns have been raised regarding patient confidentiality, data security, communication quality, and the limitations of conducting physical assessments remotely (Tukur et al, 2023). Considering the increasing integration of telehealth into UK healthcare services, understanding both its benefits and limitations is important for informing future policy, practice, and service development.</w:t>
      </w:r>
    </w:p>
    <w:p w14:paraId="2744CCD8"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3" w:name="_Toc232931780"/>
      <w:r w:rsidRPr="001A07CF">
        <w:rPr>
          <w:rFonts w:ascii="Arial" w:hAnsi="Arial" w:cs="Arial"/>
          <w:b/>
          <w:bCs/>
          <w:i/>
          <w:iCs/>
          <w:color w:val="auto"/>
          <w:sz w:val="22"/>
          <w:szCs w:val="22"/>
        </w:rPr>
        <w:t>Review Question</w:t>
      </w:r>
      <w:bookmarkEnd w:id="3"/>
    </w:p>
    <w:p w14:paraId="15733B5C" w14:textId="1696CF1D" w:rsidR="001A07CF" w:rsidRPr="001A07CF" w:rsidRDefault="0067183B" w:rsidP="001A07CF">
      <w:pPr>
        <w:spacing w:line="360" w:lineRule="auto"/>
        <w:jc w:val="both"/>
        <w:rPr>
          <w:rFonts w:ascii="Arial" w:hAnsi="Arial" w:cs="Arial"/>
          <w:sz w:val="22"/>
          <w:szCs w:val="22"/>
        </w:rPr>
      </w:pPr>
      <w:r>
        <w:rPr>
          <w:rFonts w:ascii="Arial" w:hAnsi="Arial" w:cs="Arial"/>
          <w:sz w:val="22"/>
          <w:szCs w:val="22"/>
        </w:rPr>
        <w:t>The following research question guides this scoping review</w:t>
      </w:r>
      <w:r w:rsidR="001A07CF" w:rsidRPr="001A07CF">
        <w:rPr>
          <w:rFonts w:ascii="Arial" w:hAnsi="Arial" w:cs="Arial"/>
          <w:sz w:val="22"/>
          <w:szCs w:val="22"/>
        </w:rPr>
        <w:t>:</w:t>
      </w:r>
    </w:p>
    <w:p w14:paraId="00B8F771" w14:textId="77777777" w:rsidR="001A07CF" w:rsidRPr="001A07CF" w:rsidRDefault="001A07CF" w:rsidP="001A07CF">
      <w:pPr>
        <w:pStyle w:val="ListParagraph"/>
        <w:numPr>
          <w:ilvl w:val="0"/>
          <w:numId w:val="2"/>
        </w:numPr>
        <w:spacing w:line="360" w:lineRule="auto"/>
        <w:jc w:val="both"/>
        <w:rPr>
          <w:rFonts w:ascii="Arial" w:hAnsi="Arial" w:cs="Arial"/>
          <w:sz w:val="22"/>
          <w:szCs w:val="22"/>
        </w:rPr>
      </w:pPr>
      <w:r w:rsidRPr="001A07CF">
        <w:rPr>
          <w:rFonts w:ascii="Arial" w:hAnsi="Arial" w:cs="Arial"/>
          <w:sz w:val="22"/>
          <w:szCs w:val="22"/>
        </w:rPr>
        <w:t>What evidence exists regarding the impact, benefits, and challenges of telehealth consultations in UK primary healthcare?</w:t>
      </w:r>
    </w:p>
    <w:p w14:paraId="52F9544F"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4" w:name="_Toc232931781"/>
      <w:r w:rsidRPr="001A07CF">
        <w:rPr>
          <w:rFonts w:ascii="Arial" w:hAnsi="Arial" w:cs="Arial"/>
          <w:b/>
          <w:bCs/>
          <w:i/>
          <w:iCs/>
          <w:color w:val="auto"/>
          <w:sz w:val="22"/>
          <w:szCs w:val="22"/>
        </w:rPr>
        <w:t>Review Objectives</w:t>
      </w:r>
      <w:bookmarkEnd w:id="4"/>
    </w:p>
    <w:p w14:paraId="422445A0"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This scoping review primarily aims to systematically review the impact, benefits, and challenges of telehealth consultations in UK primary healthcare. </w:t>
      </w:r>
    </w:p>
    <w:p w14:paraId="048FD1C9" w14:textId="77777777" w:rsidR="001A07CF" w:rsidRPr="001A07CF" w:rsidRDefault="001A07CF" w:rsidP="001A07CF">
      <w:pPr>
        <w:spacing w:line="360" w:lineRule="auto"/>
        <w:jc w:val="both"/>
        <w:rPr>
          <w:rFonts w:ascii="Arial" w:hAnsi="Arial" w:cs="Arial"/>
          <w:sz w:val="22"/>
          <w:szCs w:val="22"/>
        </w:rPr>
      </w:pPr>
      <w:r w:rsidRPr="001A07CF">
        <w:rPr>
          <w:rFonts w:ascii="Arial" w:hAnsi="Arial" w:cs="Arial"/>
          <w:sz w:val="22"/>
          <w:szCs w:val="22"/>
        </w:rPr>
        <w:lastRenderedPageBreak/>
        <w:t>The review objectives are to:</w:t>
      </w:r>
    </w:p>
    <w:p w14:paraId="1C6FCA83" w14:textId="77777777" w:rsidR="001A07CF" w:rsidRPr="001A07CF" w:rsidRDefault="001A07CF" w:rsidP="001A07CF">
      <w:pPr>
        <w:pStyle w:val="ListParagraph"/>
        <w:numPr>
          <w:ilvl w:val="0"/>
          <w:numId w:val="2"/>
        </w:numPr>
        <w:spacing w:line="360" w:lineRule="auto"/>
        <w:jc w:val="both"/>
        <w:rPr>
          <w:rFonts w:ascii="Arial" w:hAnsi="Arial" w:cs="Arial"/>
          <w:sz w:val="22"/>
          <w:szCs w:val="22"/>
        </w:rPr>
      </w:pPr>
      <w:r w:rsidRPr="001A07CF">
        <w:rPr>
          <w:rFonts w:ascii="Arial" w:hAnsi="Arial" w:cs="Arial"/>
          <w:sz w:val="22"/>
          <w:szCs w:val="22"/>
        </w:rPr>
        <w:t>Identify the benefits of telehealth consultations in UK primary healthcare.</w:t>
      </w:r>
    </w:p>
    <w:p w14:paraId="07B8C9CD" w14:textId="77777777" w:rsidR="001A07CF" w:rsidRPr="001A07CF" w:rsidRDefault="001A07CF" w:rsidP="001A07CF">
      <w:pPr>
        <w:pStyle w:val="ListParagraph"/>
        <w:numPr>
          <w:ilvl w:val="0"/>
          <w:numId w:val="2"/>
        </w:numPr>
        <w:spacing w:line="360" w:lineRule="auto"/>
        <w:jc w:val="both"/>
        <w:rPr>
          <w:rFonts w:ascii="Arial" w:hAnsi="Arial" w:cs="Arial"/>
          <w:sz w:val="22"/>
          <w:szCs w:val="22"/>
        </w:rPr>
      </w:pPr>
      <w:r w:rsidRPr="001A07CF">
        <w:rPr>
          <w:rFonts w:ascii="Arial" w:hAnsi="Arial" w:cs="Arial"/>
          <w:sz w:val="22"/>
          <w:szCs w:val="22"/>
        </w:rPr>
        <w:t xml:space="preserve">Explore the challenges associated with telehealth consultations. </w:t>
      </w:r>
    </w:p>
    <w:p w14:paraId="57227884" w14:textId="77777777" w:rsidR="001A07CF" w:rsidRPr="001A07CF" w:rsidRDefault="001A07CF" w:rsidP="001A07CF">
      <w:pPr>
        <w:pStyle w:val="ListParagraph"/>
        <w:numPr>
          <w:ilvl w:val="0"/>
          <w:numId w:val="2"/>
        </w:numPr>
        <w:spacing w:line="360" w:lineRule="auto"/>
        <w:jc w:val="both"/>
        <w:rPr>
          <w:rFonts w:ascii="Arial" w:hAnsi="Arial" w:cs="Arial"/>
          <w:sz w:val="22"/>
          <w:szCs w:val="22"/>
        </w:rPr>
      </w:pPr>
      <w:r w:rsidRPr="001A07CF">
        <w:rPr>
          <w:rFonts w:ascii="Arial" w:hAnsi="Arial" w:cs="Arial"/>
          <w:sz w:val="22"/>
          <w:szCs w:val="22"/>
        </w:rPr>
        <w:t>Examine the impact of telehealth on accessibility, healthcare delivery, and patient satisfaction.</w:t>
      </w:r>
    </w:p>
    <w:p w14:paraId="60763EE3" w14:textId="77777777" w:rsidR="001A07CF" w:rsidRPr="001A07CF" w:rsidRDefault="001A07CF" w:rsidP="001A07CF">
      <w:pPr>
        <w:pStyle w:val="Heading1"/>
        <w:spacing w:line="360" w:lineRule="auto"/>
        <w:jc w:val="both"/>
        <w:rPr>
          <w:rFonts w:ascii="Arial" w:hAnsi="Arial" w:cs="Arial"/>
          <w:b/>
          <w:bCs/>
          <w:color w:val="auto"/>
          <w:sz w:val="22"/>
          <w:szCs w:val="22"/>
        </w:rPr>
      </w:pPr>
      <w:bookmarkStart w:id="5" w:name="_Toc232931782"/>
      <w:r w:rsidRPr="001A07CF">
        <w:rPr>
          <w:rFonts w:ascii="Arial" w:hAnsi="Arial" w:cs="Arial"/>
          <w:b/>
          <w:bCs/>
          <w:color w:val="auto"/>
          <w:sz w:val="22"/>
          <w:szCs w:val="22"/>
        </w:rPr>
        <w:t>Background</w:t>
      </w:r>
      <w:bookmarkEnd w:id="5"/>
    </w:p>
    <w:p w14:paraId="335769A0"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6" w:name="_Toc232931783"/>
      <w:r w:rsidRPr="001A07CF">
        <w:rPr>
          <w:rFonts w:ascii="Arial" w:hAnsi="Arial" w:cs="Arial"/>
          <w:b/>
          <w:bCs/>
          <w:i/>
          <w:iCs/>
          <w:color w:val="auto"/>
          <w:sz w:val="22"/>
          <w:szCs w:val="22"/>
        </w:rPr>
        <w:t>Current Policies and Legislation</w:t>
      </w:r>
      <w:bookmarkEnd w:id="6"/>
    </w:p>
    <w:p w14:paraId="3B7BECD4"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The expansion of telehealth within UK primary healthcare has been influenced by national digital transformation policies and strategies. The NHS Long Term Plan emphasises the importance of digital technologies in improving healthcare accessibility, efficiency, and patient-centred care. The plan outlines a commitment to increasing the availability of digital-first healthcare services, including online consultations and remote healthcare delivery (NHS England, 2026). Similarly, the NHS Digital Transformation Programme promotes the integration of technology across healthcare services to enhance patient outcomes and support sustainable healthcare delivery (NHS England, 2026).</w:t>
      </w:r>
    </w:p>
    <w:p w14:paraId="1C39425B" w14:textId="2E8F7A68"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The implementation of telehealth services is also governed by legislation relating to data protection and patient confidentiality. Regulations such as the UK General Data Protection Regulation (GDPR) establish legal requirements for the collection, storage, and processing of personal health information (Odeh et al, 2024). These regulations are particularly important in telehealth settings, where patient information is transmitted electronically. Therefore, Healthcare professionals delivering remote consultations must ensure compliance with data protection and patient confidentiality requirements. Internationally, the World Health </w:t>
      </w:r>
      <w:r w:rsidR="00CD6E84">
        <w:rPr>
          <w:rFonts w:ascii="Arial" w:hAnsi="Arial" w:cs="Arial"/>
          <w:sz w:val="22"/>
          <w:szCs w:val="22"/>
        </w:rPr>
        <w:t>Organisation</w:t>
      </w:r>
      <w:r w:rsidRPr="001A07CF">
        <w:rPr>
          <w:rFonts w:ascii="Arial" w:hAnsi="Arial" w:cs="Arial"/>
          <w:sz w:val="22"/>
          <w:szCs w:val="22"/>
        </w:rPr>
        <w:t xml:space="preserve"> (WHO) has recognised digital health technologies as an essential component of modern healthcare systems. The WHO Global Strategy on Digital Health 2020-2025 highlights the potential of digital technologies to improve healthcare accessibility, strengthen healthcare systems, and support universal health coverage (WHO, 2021). These policy developments demonstrate the increasing importance of telehealth within both national and international healthcare agendas.</w:t>
      </w:r>
    </w:p>
    <w:p w14:paraId="5BB35F85"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7" w:name="_Toc232931784"/>
      <w:r w:rsidRPr="001A07CF">
        <w:rPr>
          <w:rFonts w:ascii="Arial" w:hAnsi="Arial" w:cs="Arial"/>
          <w:b/>
          <w:bCs/>
          <w:i/>
          <w:iCs/>
          <w:color w:val="auto"/>
          <w:sz w:val="22"/>
          <w:szCs w:val="22"/>
        </w:rPr>
        <w:t>Existing Services and Practice</w:t>
      </w:r>
      <w:bookmarkEnd w:id="7"/>
    </w:p>
    <w:p w14:paraId="0B644F94"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Telehealth is now widely integrated into UK primary healthcare services. General practitioners (GPs), nurses, pharmacists, and other primary care professionals routinely use telephone and video consultations to assess, monitor, and manage patient health (NHS England, 2023). Current telehealth services support a wide range of healthcare activities, </w:t>
      </w:r>
      <w:r w:rsidRPr="001A07CF">
        <w:rPr>
          <w:rFonts w:ascii="Arial" w:hAnsi="Arial" w:cs="Arial"/>
          <w:sz w:val="22"/>
          <w:szCs w:val="22"/>
        </w:rPr>
        <w:lastRenderedPageBreak/>
        <w:t>including routine consultations, medication reviews, management of chronic conditions, mental health support, follow-up appointments, and health education. Digital consultation platforms such as patient portals have also become increasingly common within primary care practices (NHS England, 2023). These technologies enable patients to communicate with healthcare professionals, access medical information, and manage appointments remotely. Research has shown that telehealth improves service efficiency by reducing unnecessary visits and enabling healthcare professionals to manage larger patient populations more effectively (de Visser et al, 2024). Additionally, telehealth has increased accessibility for individuals living in rural areas and those with mobility difficulties (NHS England, 2023).</w:t>
      </w:r>
    </w:p>
    <w:p w14:paraId="224DA793"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8" w:name="_Toc232931785"/>
      <w:r w:rsidRPr="001A07CF">
        <w:rPr>
          <w:rFonts w:ascii="Arial" w:hAnsi="Arial" w:cs="Arial"/>
          <w:b/>
          <w:bCs/>
          <w:i/>
          <w:iCs/>
          <w:color w:val="auto"/>
          <w:sz w:val="22"/>
          <w:szCs w:val="22"/>
        </w:rPr>
        <w:t>Key Challenges and Issues</w:t>
      </w:r>
      <w:bookmarkEnd w:id="8"/>
    </w:p>
    <w:p w14:paraId="18227ED5"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Despite its widespread adoption, several challenges continue to affect the effectiveness of telehealth within UK primary healthcare. One major concern is digital exclusion. Individuals with limited digital literacy, inadequate internet access, or limited access to digital devices may experience difficulties engaging with telehealth services. Older adults are particularly vulnerable to digital exclusion, thus creating inequalities in healthcare access (Kemp et al, 2025). Healthcare professionals may also face difficulties conducting detailed patient assessments remotely, especially when physical examinations are required. Some studies have also reported concerns regarding reduced patient-professional rapport during remote consultations.</w:t>
      </w:r>
    </w:p>
    <w:p w14:paraId="7E686F57"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Therefore, although telehealth has been widely implemented across the NHS, evidence regarding its overall effectiveness remains varied. As a result, there is a need to synthesise current UK-based research to identify benefits, challenges, and outcomes associated with telehealth consultations in primary healthcare. This scoping review seeks to address this gap by systematically examining the available evidence and identifying key themes relevant to future healthcare practice and digital health policy.</w:t>
      </w:r>
    </w:p>
    <w:p w14:paraId="07846521" w14:textId="77777777" w:rsidR="001A07CF" w:rsidRPr="001A07CF" w:rsidRDefault="001A07CF" w:rsidP="001A07CF">
      <w:pPr>
        <w:pStyle w:val="Heading1"/>
        <w:spacing w:line="360" w:lineRule="auto"/>
        <w:jc w:val="both"/>
        <w:rPr>
          <w:rFonts w:ascii="Arial" w:hAnsi="Arial" w:cs="Arial"/>
          <w:b/>
          <w:bCs/>
          <w:color w:val="auto"/>
          <w:sz w:val="22"/>
          <w:szCs w:val="22"/>
        </w:rPr>
      </w:pPr>
      <w:bookmarkStart w:id="9" w:name="_Toc232931786"/>
      <w:r w:rsidRPr="001A07CF">
        <w:rPr>
          <w:rFonts w:ascii="Arial" w:hAnsi="Arial" w:cs="Arial"/>
          <w:b/>
          <w:bCs/>
          <w:color w:val="auto"/>
          <w:sz w:val="22"/>
          <w:szCs w:val="22"/>
        </w:rPr>
        <w:t>Methods</w:t>
      </w:r>
      <w:bookmarkEnd w:id="9"/>
    </w:p>
    <w:p w14:paraId="7D2854AA"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This study employed a scoping review methodology to examine the evidence relating to the impact, effectiveness, and challenges of telehealth consultations within UK primary healthcare. Scoping reviews are commonly used to map the existing literature on a particular topic, identify key concepts, and explore gaps within the evidence base (Khalil et al, 2025). The review was guided by the research question: What evidence exists regarding the effectiveness and challenges of telehealth consultations in UK primary healthcare?</w:t>
      </w:r>
    </w:p>
    <w:p w14:paraId="0F44E802"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10" w:name="_Toc232931787"/>
      <w:r w:rsidRPr="001A07CF">
        <w:rPr>
          <w:rFonts w:ascii="Arial" w:hAnsi="Arial" w:cs="Arial"/>
          <w:b/>
          <w:bCs/>
          <w:i/>
          <w:iCs/>
          <w:color w:val="auto"/>
          <w:sz w:val="22"/>
          <w:szCs w:val="22"/>
        </w:rPr>
        <w:lastRenderedPageBreak/>
        <w:t>Data Collection Approach</w:t>
      </w:r>
      <w:bookmarkEnd w:id="10"/>
    </w:p>
    <w:p w14:paraId="61855E14" w14:textId="65F7F868"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A structured literature search was conducted to identify relevant peer-reviewed studies. The primary databases used were PubMed and CINAHL, as they both provide access to a range of healthcare, nursing, and digital health studies. These databases also contain high-quality academic literature relevant to primary healthcare practice and telehealth implementation. A combination of keywords and Boolean operators was used to ensure the identification of relevant studies. The search terms included: “telehealth”, “telemedicine”, “remote consultation”, “virtual consultation”, “digital health”, “primary healthcare”, “primary care”, “NHS”, and “UK”. These terms were combined using Boolean operators such as AND OR. Examples included:</w:t>
      </w:r>
    </w:p>
    <w:p w14:paraId="54771ECC" w14:textId="77777777" w:rsidR="001A07CF" w:rsidRPr="001A07CF" w:rsidRDefault="001A07CF" w:rsidP="001A07CF">
      <w:pPr>
        <w:pStyle w:val="ListParagraph"/>
        <w:numPr>
          <w:ilvl w:val="0"/>
          <w:numId w:val="1"/>
        </w:numPr>
        <w:spacing w:line="360" w:lineRule="auto"/>
        <w:jc w:val="both"/>
        <w:rPr>
          <w:rFonts w:ascii="Arial" w:hAnsi="Arial" w:cs="Arial"/>
          <w:sz w:val="22"/>
          <w:szCs w:val="22"/>
        </w:rPr>
      </w:pPr>
      <w:r w:rsidRPr="001A07CF">
        <w:rPr>
          <w:rFonts w:ascii="Arial" w:hAnsi="Arial" w:cs="Arial"/>
          <w:sz w:val="22"/>
          <w:szCs w:val="22"/>
        </w:rPr>
        <w:t>“telehealth” AND “primary healthcare” AND “United Kingdom”</w:t>
      </w:r>
    </w:p>
    <w:p w14:paraId="78E569C6" w14:textId="0AD9F0CF" w:rsidR="001A07CF" w:rsidRPr="001A07CF" w:rsidRDefault="001A07CF" w:rsidP="001A07CF">
      <w:pPr>
        <w:pStyle w:val="ListParagraph"/>
        <w:numPr>
          <w:ilvl w:val="0"/>
          <w:numId w:val="1"/>
        </w:numPr>
        <w:spacing w:line="360" w:lineRule="auto"/>
        <w:jc w:val="both"/>
        <w:rPr>
          <w:rFonts w:ascii="Arial" w:hAnsi="Arial" w:cs="Arial"/>
          <w:sz w:val="22"/>
          <w:szCs w:val="22"/>
        </w:rPr>
      </w:pPr>
      <w:r w:rsidRPr="001A07CF">
        <w:rPr>
          <w:rFonts w:ascii="Arial" w:hAnsi="Arial" w:cs="Arial"/>
          <w:sz w:val="22"/>
          <w:szCs w:val="22"/>
        </w:rPr>
        <w:t>“</w:t>
      </w:r>
      <w:r w:rsidR="003B4319" w:rsidRPr="001A07CF">
        <w:rPr>
          <w:rFonts w:ascii="Arial" w:hAnsi="Arial" w:cs="Arial"/>
          <w:sz w:val="22"/>
          <w:szCs w:val="22"/>
        </w:rPr>
        <w:t>Remote</w:t>
      </w:r>
      <w:r w:rsidRPr="001A07CF">
        <w:rPr>
          <w:rFonts w:ascii="Arial" w:hAnsi="Arial" w:cs="Arial"/>
          <w:sz w:val="22"/>
          <w:szCs w:val="22"/>
        </w:rPr>
        <w:t xml:space="preserve"> consultation” AND “NHS”</w:t>
      </w:r>
    </w:p>
    <w:p w14:paraId="1417BFD4" w14:textId="44FB6697" w:rsidR="001A07CF" w:rsidRPr="001A07CF" w:rsidRDefault="001A07CF" w:rsidP="001A07CF">
      <w:pPr>
        <w:pStyle w:val="ListParagraph"/>
        <w:numPr>
          <w:ilvl w:val="0"/>
          <w:numId w:val="1"/>
        </w:numPr>
        <w:spacing w:line="360" w:lineRule="auto"/>
        <w:jc w:val="both"/>
        <w:rPr>
          <w:rFonts w:ascii="Arial" w:hAnsi="Arial" w:cs="Arial"/>
          <w:sz w:val="22"/>
          <w:szCs w:val="22"/>
        </w:rPr>
      </w:pPr>
      <w:r w:rsidRPr="001A07CF">
        <w:rPr>
          <w:rFonts w:ascii="Arial" w:hAnsi="Arial" w:cs="Arial"/>
          <w:sz w:val="22"/>
          <w:szCs w:val="22"/>
        </w:rPr>
        <w:t xml:space="preserve">“telemedicine” OR “virtual consultation” AND “primary care” </w:t>
      </w:r>
      <w:r w:rsidR="00CD6E84">
        <w:rPr>
          <w:rFonts w:ascii="Arial" w:hAnsi="Arial" w:cs="Arial"/>
          <w:sz w:val="22"/>
          <w:szCs w:val="22"/>
        </w:rPr>
        <w:t>AND</w:t>
      </w:r>
      <w:r w:rsidRPr="001A07CF">
        <w:rPr>
          <w:rFonts w:ascii="Arial" w:hAnsi="Arial" w:cs="Arial"/>
          <w:sz w:val="22"/>
          <w:szCs w:val="22"/>
        </w:rPr>
        <w:t xml:space="preserve"> “UK”</w:t>
      </w:r>
    </w:p>
    <w:p w14:paraId="6E26D4E5" w14:textId="50500E48" w:rsidR="001A07CF" w:rsidRPr="001A07CF" w:rsidRDefault="001A07CF" w:rsidP="001A07CF">
      <w:pPr>
        <w:pStyle w:val="Heading2"/>
        <w:spacing w:line="360" w:lineRule="auto"/>
        <w:jc w:val="both"/>
        <w:rPr>
          <w:rFonts w:ascii="Arial" w:hAnsi="Arial" w:cs="Arial"/>
          <w:b/>
          <w:bCs/>
          <w:i/>
          <w:iCs/>
          <w:color w:val="auto"/>
          <w:sz w:val="22"/>
          <w:szCs w:val="22"/>
        </w:rPr>
      </w:pPr>
      <w:r w:rsidRPr="001A07CF">
        <w:rPr>
          <w:rFonts w:ascii="Arial" w:hAnsi="Arial" w:cs="Arial"/>
          <w:b/>
          <w:bCs/>
          <w:i/>
          <w:iCs/>
          <w:color w:val="auto"/>
          <w:sz w:val="22"/>
          <w:szCs w:val="22"/>
        </w:rPr>
        <w:t xml:space="preserve">Inclusion </w:t>
      </w:r>
      <w:r w:rsidR="0067183B">
        <w:rPr>
          <w:rFonts w:ascii="Arial" w:hAnsi="Arial" w:cs="Arial"/>
          <w:b/>
          <w:bCs/>
          <w:i/>
          <w:iCs/>
          <w:color w:val="auto"/>
          <w:sz w:val="22"/>
          <w:szCs w:val="22"/>
        </w:rPr>
        <w:t>criteria</w:t>
      </w:r>
    </w:p>
    <w:p w14:paraId="62C24DD3" w14:textId="77777777" w:rsidR="001A07CF" w:rsidRPr="001A07CF" w:rsidRDefault="001A07CF" w:rsidP="001A07CF">
      <w:pPr>
        <w:spacing w:line="360" w:lineRule="auto"/>
        <w:jc w:val="both"/>
        <w:rPr>
          <w:rFonts w:ascii="Arial" w:hAnsi="Arial" w:cs="Arial"/>
          <w:sz w:val="22"/>
          <w:szCs w:val="22"/>
        </w:rPr>
      </w:pPr>
      <w:r w:rsidRPr="001A07CF">
        <w:rPr>
          <w:rFonts w:ascii="Arial" w:hAnsi="Arial" w:cs="Arial"/>
          <w:sz w:val="22"/>
          <w:szCs w:val="22"/>
        </w:rPr>
        <w:t>Studies were included if they:</w:t>
      </w:r>
    </w:p>
    <w:p w14:paraId="53308293" w14:textId="77777777" w:rsidR="001A07CF" w:rsidRPr="001A07CF" w:rsidRDefault="001A07CF" w:rsidP="001A07CF">
      <w:pPr>
        <w:pStyle w:val="ListParagraph"/>
        <w:numPr>
          <w:ilvl w:val="0"/>
          <w:numId w:val="5"/>
        </w:numPr>
        <w:spacing w:line="360" w:lineRule="auto"/>
        <w:jc w:val="both"/>
        <w:rPr>
          <w:rFonts w:ascii="Arial" w:hAnsi="Arial" w:cs="Arial"/>
          <w:sz w:val="22"/>
          <w:szCs w:val="22"/>
        </w:rPr>
      </w:pPr>
      <w:r w:rsidRPr="001A07CF">
        <w:rPr>
          <w:rFonts w:ascii="Arial" w:hAnsi="Arial" w:cs="Arial"/>
          <w:sz w:val="22"/>
          <w:szCs w:val="22"/>
        </w:rPr>
        <w:t xml:space="preserve">Were peer-reviewed journal articles published in English in the last 5 years. </w:t>
      </w:r>
    </w:p>
    <w:p w14:paraId="070E22F6" w14:textId="77777777" w:rsidR="001A07CF" w:rsidRPr="001A07CF" w:rsidRDefault="001A07CF" w:rsidP="001A07CF">
      <w:pPr>
        <w:pStyle w:val="ListParagraph"/>
        <w:numPr>
          <w:ilvl w:val="0"/>
          <w:numId w:val="5"/>
        </w:numPr>
        <w:spacing w:line="360" w:lineRule="auto"/>
        <w:jc w:val="both"/>
        <w:rPr>
          <w:rFonts w:ascii="Arial" w:hAnsi="Arial" w:cs="Arial"/>
          <w:sz w:val="22"/>
          <w:szCs w:val="22"/>
        </w:rPr>
      </w:pPr>
      <w:r w:rsidRPr="001A07CF">
        <w:rPr>
          <w:rFonts w:ascii="Arial" w:hAnsi="Arial" w:cs="Arial"/>
          <w:sz w:val="22"/>
          <w:szCs w:val="22"/>
        </w:rPr>
        <w:t>Focused on telehealth consultations within UK primary healthcare settings.</w:t>
      </w:r>
    </w:p>
    <w:p w14:paraId="445FFDE0" w14:textId="77777777" w:rsidR="001A07CF" w:rsidRPr="001A07CF" w:rsidRDefault="001A07CF" w:rsidP="001A07CF">
      <w:pPr>
        <w:pStyle w:val="ListParagraph"/>
        <w:numPr>
          <w:ilvl w:val="0"/>
          <w:numId w:val="5"/>
        </w:numPr>
        <w:spacing w:line="360" w:lineRule="auto"/>
        <w:jc w:val="both"/>
        <w:rPr>
          <w:rFonts w:ascii="Arial" w:hAnsi="Arial" w:cs="Arial"/>
          <w:sz w:val="22"/>
          <w:szCs w:val="22"/>
        </w:rPr>
      </w:pPr>
      <w:r w:rsidRPr="001A07CF">
        <w:rPr>
          <w:rFonts w:ascii="Arial" w:hAnsi="Arial" w:cs="Arial"/>
          <w:sz w:val="22"/>
          <w:szCs w:val="22"/>
        </w:rPr>
        <w:t xml:space="preserve">Addressed either the impact, benefits, or challenges associated with telehealth. </w:t>
      </w:r>
    </w:p>
    <w:p w14:paraId="319B514B" w14:textId="77777777" w:rsidR="001A07CF" w:rsidRDefault="001A07CF" w:rsidP="001A07CF">
      <w:pPr>
        <w:pStyle w:val="ListParagraph"/>
        <w:numPr>
          <w:ilvl w:val="0"/>
          <w:numId w:val="5"/>
        </w:numPr>
        <w:spacing w:line="360" w:lineRule="auto"/>
        <w:jc w:val="both"/>
        <w:rPr>
          <w:rFonts w:ascii="Arial" w:hAnsi="Arial" w:cs="Arial"/>
          <w:sz w:val="22"/>
          <w:szCs w:val="22"/>
        </w:rPr>
      </w:pPr>
      <w:r w:rsidRPr="001A07CF">
        <w:rPr>
          <w:rFonts w:ascii="Arial" w:hAnsi="Arial" w:cs="Arial"/>
          <w:sz w:val="22"/>
          <w:szCs w:val="22"/>
        </w:rPr>
        <w:t xml:space="preserve">Both primary and secondary research studies were eligible for inclusion. </w:t>
      </w:r>
    </w:p>
    <w:p w14:paraId="134E393B" w14:textId="5D64C79B" w:rsidR="0067183B" w:rsidRPr="003B4319" w:rsidRDefault="0067183B" w:rsidP="0067183B">
      <w:pPr>
        <w:pStyle w:val="ListParagraph"/>
        <w:spacing w:line="360" w:lineRule="auto"/>
        <w:jc w:val="both"/>
        <w:rPr>
          <w:rFonts w:ascii="Arial" w:hAnsi="Arial" w:cs="Arial"/>
          <w:b/>
          <w:bCs/>
          <w:i/>
          <w:iCs/>
          <w:sz w:val="22"/>
          <w:szCs w:val="22"/>
        </w:rPr>
      </w:pPr>
      <w:r w:rsidRPr="003B4319">
        <w:rPr>
          <w:rFonts w:ascii="Arial" w:hAnsi="Arial" w:cs="Arial"/>
          <w:b/>
          <w:bCs/>
          <w:i/>
          <w:iCs/>
          <w:sz w:val="22"/>
          <w:szCs w:val="22"/>
        </w:rPr>
        <w:t>Exclus</w:t>
      </w:r>
      <w:r w:rsidR="003B4319" w:rsidRPr="003B4319">
        <w:rPr>
          <w:rFonts w:ascii="Arial" w:hAnsi="Arial" w:cs="Arial"/>
          <w:b/>
          <w:bCs/>
          <w:i/>
          <w:iCs/>
          <w:sz w:val="22"/>
          <w:szCs w:val="22"/>
        </w:rPr>
        <w:t>ion criteria</w:t>
      </w:r>
    </w:p>
    <w:p w14:paraId="2E8A78B3" w14:textId="77777777" w:rsidR="001A07CF" w:rsidRPr="001A07CF" w:rsidRDefault="001A07CF" w:rsidP="001A07CF">
      <w:pPr>
        <w:spacing w:line="360" w:lineRule="auto"/>
        <w:jc w:val="both"/>
        <w:rPr>
          <w:rFonts w:ascii="Arial" w:hAnsi="Arial" w:cs="Arial"/>
          <w:sz w:val="22"/>
          <w:szCs w:val="22"/>
        </w:rPr>
      </w:pPr>
      <w:r w:rsidRPr="001A07CF">
        <w:rPr>
          <w:rFonts w:ascii="Arial" w:hAnsi="Arial" w:cs="Arial"/>
          <w:sz w:val="22"/>
          <w:szCs w:val="22"/>
        </w:rPr>
        <w:t>Studies were excluded if they were:</w:t>
      </w:r>
    </w:p>
    <w:p w14:paraId="11452553" w14:textId="77777777" w:rsidR="001A07CF" w:rsidRPr="001A07CF" w:rsidRDefault="001A07CF" w:rsidP="001A07CF">
      <w:pPr>
        <w:pStyle w:val="ListParagraph"/>
        <w:numPr>
          <w:ilvl w:val="0"/>
          <w:numId w:val="4"/>
        </w:numPr>
        <w:spacing w:line="360" w:lineRule="auto"/>
        <w:jc w:val="both"/>
        <w:rPr>
          <w:rFonts w:ascii="Arial" w:hAnsi="Arial" w:cs="Arial"/>
          <w:sz w:val="22"/>
          <w:szCs w:val="22"/>
        </w:rPr>
      </w:pPr>
      <w:r w:rsidRPr="001A07CF">
        <w:rPr>
          <w:rFonts w:ascii="Arial" w:hAnsi="Arial" w:cs="Arial"/>
          <w:sz w:val="22"/>
          <w:szCs w:val="22"/>
        </w:rPr>
        <w:t>Not peer-reviewed</w:t>
      </w:r>
    </w:p>
    <w:p w14:paraId="24B5A0C5" w14:textId="77777777" w:rsidR="001A07CF" w:rsidRPr="001A07CF" w:rsidRDefault="001A07CF" w:rsidP="001A07CF">
      <w:pPr>
        <w:pStyle w:val="ListParagraph"/>
        <w:numPr>
          <w:ilvl w:val="0"/>
          <w:numId w:val="4"/>
        </w:numPr>
        <w:spacing w:line="360" w:lineRule="auto"/>
        <w:jc w:val="both"/>
        <w:rPr>
          <w:rFonts w:ascii="Arial" w:hAnsi="Arial" w:cs="Arial"/>
          <w:sz w:val="22"/>
          <w:szCs w:val="22"/>
        </w:rPr>
      </w:pPr>
      <w:r w:rsidRPr="001A07CF">
        <w:rPr>
          <w:rFonts w:ascii="Arial" w:hAnsi="Arial" w:cs="Arial"/>
          <w:sz w:val="22"/>
          <w:szCs w:val="22"/>
        </w:rPr>
        <w:t>Older than 5 years</w:t>
      </w:r>
    </w:p>
    <w:p w14:paraId="66E56135" w14:textId="77777777" w:rsidR="001A07CF" w:rsidRPr="001A07CF" w:rsidRDefault="001A07CF" w:rsidP="001A07CF">
      <w:pPr>
        <w:pStyle w:val="ListParagraph"/>
        <w:numPr>
          <w:ilvl w:val="0"/>
          <w:numId w:val="4"/>
        </w:numPr>
        <w:spacing w:line="360" w:lineRule="auto"/>
        <w:jc w:val="both"/>
        <w:rPr>
          <w:rFonts w:ascii="Arial" w:hAnsi="Arial" w:cs="Arial"/>
          <w:sz w:val="22"/>
          <w:szCs w:val="22"/>
        </w:rPr>
      </w:pPr>
      <w:r w:rsidRPr="001A07CF">
        <w:rPr>
          <w:rFonts w:ascii="Arial" w:hAnsi="Arial" w:cs="Arial"/>
          <w:sz w:val="22"/>
          <w:szCs w:val="22"/>
        </w:rPr>
        <w:t xml:space="preserve">Conducted outside the UK or focused on secondary and tertiary care settings. </w:t>
      </w:r>
    </w:p>
    <w:p w14:paraId="08CF1E93"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11" w:name="_Toc232931788"/>
      <w:r w:rsidRPr="001A07CF">
        <w:rPr>
          <w:rFonts w:ascii="Arial" w:hAnsi="Arial" w:cs="Arial"/>
          <w:b/>
          <w:bCs/>
          <w:i/>
          <w:iCs/>
          <w:color w:val="auto"/>
          <w:sz w:val="22"/>
          <w:szCs w:val="22"/>
        </w:rPr>
        <w:t>Data Analysis Approach</w:t>
      </w:r>
      <w:bookmarkEnd w:id="11"/>
    </w:p>
    <w:p w14:paraId="0CD4AB99" w14:textId="3BAD30B1"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The selected studies were analysed using Aveyard’s simplified thematic analysis approach. This method provides a structured yet accessible framework for identifying patterns and themes across multiple research studies (Aveyard, 2023). Thematic analysis is particularly suitable for scoping reviews because it enables researchers to synthesise findings from studies with different methodologies and explore recurring concepts within the literature. The analysis began with repeated reading of the selected studies to achieve familiarity with the data. Key findings, conclusions, and observations relating to telehealth effectiveness and implementation were then extracted and coded. Similar codes were grouped to identify </w:t>
      </w:r>
      <w:r w:rsidRPr="001A07CF">
        <w:rPr>
          <w:rFonts w:ascii="Arial" w:hAnsi="Arial" w:cs="Arial"/>
          <w:sz w:val="22"/>
          <w:szCs w:val="22"/>
        </w:rPr>
        <w:lastRenderedPageBreak/>
        <w:t xml:space="preserve">broader themes. Through a process of comparison and refinement, themes were developed that reflected common findings across the literature. This approach facilitated the identification of patterns relating to the benefits of telehealth, barriers to implementation, and implications for healthcare delivery. </w:t>
      </w:r>
    </w:p>
    <w:p w14:paraId="55C7B6EA"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12" w:name="_Toc232931789"/>
      <w:r w:rsidRPr="001A07CF">
        <w:rPr>
          <w:rFonts w:ascii="Arial" w:hAnsi="Arial" w:cs="Arial"/>
          <w:b/>
          <w:bCs/>
          <w:i/>
          <w:iCs/>
          <w:color w:val="auto"/>
          <w:sz w:val="22"/>
          <w:szCs w:val="22"/>
        </w:rPr>
        <w:t>Ethical Considerations</w:t>
      </w:r>
      <w:bookmarkEnd w:id="12"/>
    </w:p>
    <w:p w14:paraId="69C120E6" w14:textId="3281517C"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Formal ethical approval was not required because this study involved secondary analysis of existing literature. No human participants were involved, and no personal or confidential data were collected. However, several ethical principles were considered throughout the research process. To minimise bias, transparent inclusion and exclusion criteria were established before the literature search was conducted. Studies were selected based on their relevance to the research question rather than their findings, thus reducing the risk of selective reporting (Soliman et al, 2026). All sources were accurately cited and referenced to avoid plagiarism and </w:t>
      </w:r>
      <w:r w:rsidR="00CD6E84">
        <w:rPr>
          <w:rFonts w:ascii="Arial" w:hAnsi="Arial" w:cs="Arial"/>
          <w:sz w:val="22"/>
          <w:szCs w:val="22"/>
        </w:rPr>
        <w:t xml:space="preserve">ensure </w:t>
      </w:r>
      <w:r w:rsidRPr="001A07CF">
        <w:rPr>
          <w:rFonts w:ascii="Arial" w:hAnsi="Arial" w:cs="Arial"/>
          <w:sz w:val="22"/>
          <w:szCs w:val="22"/>
        </w:rPr>
        <w:t>academic integrity. Additionally, the research process was documented clearly to promote transparency and allow the review methods to be understood and replicated by other researchers (Soliman et al, 2026). By adhering to these principles, the study ensured that the findings were trustworthy, objective, and ethically sound.</w:t>
      </w:r>
    </w:p>
    <w:p w14:paraId="3117F4FE" w14:textId="77777777" w:rsidR="001A07CF" w:rsidRPr="001A07CF" w:rsidRDefault="001A07CF" w:rsidP="001A07CF">
      <w:pPr>
        <w:pStyle w:val="Heading1"/>
        <w:spacing w:line="360" w:lineRule="auto"/>
        <w:jc w:val="both"/>
        <w:rPr>
          <w:rFonts w:ascii="Arial" w:hAnsi="Arial" w:cs="Arial"/>
          <w:b/>
          <w:bCs/>
          <w:color w:val="auto"/>
          <w:sz w:val="22"/>
          <w:szCs w:val="22"/>
        </w:rPr>
      </w:pPr>
      <w:bookmarkStart w:id="13" w:name="_Toc232931790"/>
      <w:r w:rsidRPr="001A07CF">
        <w:rPr>
          <w:rFonts w:ascii="Arial" w:hAnsi="Arial" w:cs="Arial"/>
          <w:b/>
          <w:bCs/>
          <w:color w:val="auto"/>
          <w:sz w:val="22"/>
          <w:szCs w:val="22"/>
        </w:rPr>
        <w:t>Results</w:t>
      </w:r>
      <w:bookmarkEnd w:id="13"/>
    </w:p>
    <w:p w14:paraId="7F1E7B27"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14" w:name="_Toc232931791"/>
      <w:r w:rsidRPr="001A07CF">
        <w:rPr>
          <w:rFonts w:ascii="Arial" w:hAnsi="Arial" w:cs="Arial"/>
          <w:b/>
          <w:bCs/>
          <w:i/>
          <w:iCs/>
          <w:color w:val="auto"/>
          <w:sz w:val="22"/>
          <w:szCs w:val="22"/>
        </w:rPr>
        <w:t>Summary of Reviewed Articles</w:t>
      </w:r>
      <w:bookmarkEnd w:id="14"/>
    </w:p>
    <w:p w14:paraId="4F6780ED" w14:textId="77777777" w:rsidR="001A07CF" w:rsidRPr="001A07CF" w:rsidRDefault="001A07CF" w:rsidP="001A07CF">
      <w:pPr>
        <w:spacing w:line="360" w:lineRule="auto"/>
        <w:jc w:val="both"/>
        <w:rPr>
          <w:rFonts w:ascii="Arial" w:hAnsi="Arial" w:cs="Arial"/>
          <w:b/>
          <w:bCs/>
          <w:i/>
          <w:iCs/>
          <w:sz w:val="22"/>
          <w:szCs w:val="22"/>
        </w:rPr>
      </w:pPr>
      <w:r w:rsidRPr="001A07CF">
        <w:rPr>
          <w:rFonts w:ascii="Arial" w:hAnsi="Arial" w:cs="Arial"/>
          <w:b/>
          <w:bCs/>
          <w:i/>
          <w:iCs/>
          <w:sz w:val="22"/>
          <w:szCs w:val="22"/>
        </w:rPr>
        <w:t>Table1: Summary of Key Details of Selected Articles</w:t>
      </w:r>
    </w:p>
    <w:tbl>
      <w:tblPr>
        <w:tblStyle w:val="TableGrid"/>
        <w:tblW w:w="0" w:type="auto"/>
        <w:tblLook w:val="04A0" w:firstRow="1" w:lastRow="0" w:firstColumn="1" w:lastColumn="0" w:noHBand="0" w:noVBand="1"/>
      </w:tblPr>
      <w:tblGrid>
        <w:gridCol w:w="1803"/>
        <w:gridCol w:w="1803"/>
        <w:gridCol w:w="1803"/>
        <w:gridCol w:w="1803"/>
        <w:gridCol w:w="1804"/>
      </w:tblGrid>
      <w:tr w:rsidR="001A07CF" w:rsidRPr="001A07CF" w14:paraId="70FB9009" w14:textId="77777777" w:rsidTr="000E667F">
        <w:tc>
          <w:tcPr>
            <w:tcW w:w="1803" w:type="dxa"/>
          </w:tcPr>
          <w:p w14:paraId="50C9E461"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Authors &amp; Year</w:t>
            </w:r>
          </w:p>
        </w:tc>
        <w:tc>
          <w:tcPr>
            <w:tcW w:w="1803" w:type="dxa"/>
          </w:tcPr>
          <w:p w14:paraId="6C4B46BC"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Research Objectives</w:t>
            </w:r>
          </w:p>
        </w:tc>
        <w:tc>
          <w:tcPr>
            <w:tcW w:w="1803" w:type="dxa"/>
          </w:tcPr>
          <w:p w14:paraId="1EE590E9"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Methods</w:t>
            </w:r>
          </w:p>
        </w:tc>
        <w:tc>
          <w:tcPr>
            <w:tcW w:w="1803" w:type="dxa"/>
          </w:tcPr>
          <w:p w14:paraId="67F502CC"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Key Findings</w:t>
            </w:r>
          </w:p>
        </w:tc>
        <w:tc>
          <w:tcPr>
            <w:tcW w:w="1804" w:type="dxa"/>
          </w:tcPr>
          <w:p w14:paraId="3D79493D"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Relevance to Review Question</w:t>
            </w:r>
          </w:p>
        </w:tc>
      </w:tr>
      <w:tr w:rsidR="001A07CF" w:rsidRPr="001A07CF" w14:paraId="3780285D" w14:textId="77777777" w:rsidTr="000E667F">
        <w:tc>
          <w:tcPr>
            <w:tcW w:w="1803" w:type="dxa"/>
          </w:tcPr>
          <w:p w14:paraId="7DD1922A"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Antonio et al. (2024)</w:t>
            </w:r>
          </w:p>
        </w:tc>
        <w:tc>
          <w:tcPr>
            <w:tcW w:w="1803" w:type="dxa"/>
          </w:tcPr>
          <w:p w14:paraId="6BE160D9"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 xml:space="preserve">To collate and examine evidence relating to remote consultations in UK primary care on the experiences of patients with mental health conditions </w:t>
            </w:r>
          </w:p>
        </w:tc>
        <w:tc>
          <w:tcPr>
            <w:tcW w:w="1803" w:type="dxa"/>
          </w:tcPr>
          <w:p w14:paraId="404D4DF5"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Systematic review of studies covering a range of mental health conditions and remote consultation methods</w:t>
            </w:r>
          </w:p>
        </w:tc>
        <w:tc>
          <w:tcPr>
            <w:tcW w:w="1803" w:type="dxa"/>
          </w:tcPr>
          <w:p w14:paraId="70B483D9" w14:textId="4479B326"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 xml:space="preserve">Patients were overall satisfied with remote consultations, especially those with certain conditions such as anxiety. Some studies showed that </w:t>
            </w:r>
            <w:r w:rsidR="00CD6E84">
              <w:rPr>
                <w:rFonts w:ascii="Arial" w:hAnsi="Arial" w:cs="Arial"/>
                <w:sz w:val="22"/>
                <w:szCs w:val="22"/>
              </w:rPr>
              <w:t xml:space="preserve">the </w:t>
            </w:r>
            <w:r w:rsidRPr="001A07CF">
              <w:rPr>
                <w:rFonts w:ascii="Arial" w:hAnsi="Arial" w:cs="Arial"/>
                <w:sz w:val="22"/>
                <w:szCs w:val="22"/>
              </w:rPr>
              <w:t xml:space="preserve">face-to-face consultation </w:t>
            </w:r>
            <w:r w:rsidRPr="001A07CF">
              <w:rPr>
                <w:rFonts w:ascii="Arial" w:hAnsi="Arial" w:cs="Arial"/>
                <w:sz w:val="22"/>
                <w:szCs w:val="22"/>
              </w:rPr>
              <w:lastRenderedPageBreak/>
              <w:t xml:space="preserve">method was preferred, with patients citing negatives to remote consultations such as </w:t>
            </w:r>
            <w:r w:rsidR="00CD6E84">
              <w:rPr>
                <w:rFonts w:ascii="Arial" w:hAnsi="Arial" w:cs="Arial"/>
                <w:sz w:val="22"/>
                <w:szCs w:val="22"/>
              </w:rPr>
              <w:t xml:space="preserve">a </w:t>
            </w:r>
            <w:r w:rsidRPr="001A07CF">
              <w:rPr>
                <w:rFonts w:ascii="Arial" w:hAnsi="Arial" w:cs="Arial"/>
                <w:sz w:val="22"/>
                <w:szCs w:val="22"/>
              </w:rPr>
              <w:t>lack of format flexibility.</w:t>
            </w:r>
          </w:p>
        </w:tc>
        <w:tc>
          <w:tcPr>
            <w:tcW w:w="1804" w:type="dxa"/>
          </w:tcPr>
          <w:p w14:paraId="5832FF7C" w14:textId="6DA0E024"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lastRenderedPageBreak/>
              <w:t xml:space="preserve">Highlights the benefits of telehealth for people with certain mental conditions. It also highlights </w:t>
            </w:r>
            <w:r w:rsidR="00CD6E84">
              <w:rPr>
                <w:rFonts w:ascii="Arial" w:hAnsi="Arial" w:cs="Arial"/>
                <w:sz w:val="22"/>
                <w:szCs w:val="22"/>
              </w:rPr>
              <w:t xml:space="preserve">the </w:t>
            </w:r>
            <w:r w:rsidRPr="001A07CF">
              <w:rPr>
                <w:rFonts w:ascii="Arial" w:hAnsi="Arial" w:cs="Arial"/>
                <w:sz w:val="22"/>
                <w:szCs w:val="22"/>
              </w:rPr>
              <w:t>challenges of telehealth implementation</w:t>
            </w:r>
            <w:r w:rsidR="00CD6E84">
              <w:rPr>
                <w:rFonts w:ascii="Arial" w:hAnsi="Arial" w:cs="Arial"/>
                <w:sz w:val="22"/>
                <w:szCs w:val="22"/>
              </w:rPr>
              <w:t>,</w:t>
            </w:r>
            <w:r w:rsidRPr="001A07CF">
              <w:rPr>
                <w:rFonts w:ascii="Arial" w:hAnsi="Arial" w:cs="Arial"/>
                <w:sz w:val="22"/>
                <w:szCs w:val="22"/>
              </w:rPr>
              <w:t xml:space="preserve"> as most patients still prefer face-</w:t>
            </w:r>
            <w:r w:rsidRPr="001A07CF">
              <w:rPr>
                <w:rFonts w:ascii="Arial" w:hAnsi="Arial" w:cs="Arial"/>
                <w:sz w:val="22"/>
                <w:szCs w:val="22"/>
              </w:rPr>
              <w:lastRenderedPageBreak/>
              <w:t>to-face consultation.</w:t>
            </w:r>
          </w:p>
        </w:tc>
      </w:tr>
      <w:tr w:rsidR="001A07CF" w:rsidRPr="001A07CF" w14:paraId="111D65C1" w14:textId="77777777" w:rsidTr="000E667F">
        <w:tc>
          <w:tcPr>
            <w:tcW w:w="1803" w:type="dxa"/>
          </w:tcPr>
          <w:p w14:paraId="4A995C57" w14:textId="77777777" w:rsidR="001A07CF" w:rsidRPr="001A07CF" w:rsidRDefault="001A07CF" w:rsidP="000E667F">
            <w:pPr>
              <w:spacing w:line="360" w:lineRule="auto"/>
              <w:jc w:val="both"/>
              <w:rPr>
                <w:rFonts w:ascii="Arial" w:hAnsi="Arial" w:cs="Arial"/>
                <w:sz w:val="22"/>
                <w:szCs w:val="22"/>
              </w:rPr>
            </w:pPr>
            <w:proofErr w:type="spellStart"/>
            <w:r w:rsidRPr="001A07CF">
              <w:rPr>
                <w:rFonts w:ascii="Arial" w:hAnsi="Arial" w:cs="Arial"/>
                <w:sz w:val="22"/>
                <w:szCs w:val="22"/>
              </w:rPr>
              <w:lastRenderedPageBreak/>
              <w:t>Gobburi</w:t>
            </w:r>
            <w:proofErr w:type="spellEnd"/>
            <w:r w:rsidRPr="001A07CF">
              <w:rPr>
                <w:rFonts w:ascii="Arial" w:hAnsi="Arial" w:cs="Arial"/>
                <w:sz w:val="22"/>
                <w:szCs w:val="22"/>
              </w:rPr>
              <w:t xml:space="preserve"> et al. (2025)</w:t>
            </w:r>
          </w:p>
        </w:tc>
        <w:tc>
          <w:tcPr>
            <w:tcW w:w="1803" w:type="dxa"/>
          </w:tcPr>
          <w:p w14:paraId="7878464D" w14:textId="058D3278"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 xml:space="preserve">To examine </w:t>
            </w:r>
            <w:proofErr w:type="gramStart"/>
            <w:r w:rsidRPr="001A07CF">
              <w:rPr>
                <w:rFonts w:ascii="Arial" w:hAnsi="Arial" w:cs="Arial"/>
                <w:sz w:val="22"/>
                <w:szCs w:val="22"/>
              </w:rPr>
              <w:t>telemedicine</w:t>
            </w:r>
            <w:proofErr w:type="gramEnd"/>
            <w:r w:rsidRPr="001A07CF">
              <w:rPr>
                <w:rFonts w:ascii="Arial" w:hAnsi="Arial" w:cs="Arial"/>
                <w:sz w:val="22"/>
                <w:szCs w:val="22"/>
              </w:rPr>
              <w:t xml:space="preserve"> use in rural areas of the UK and its impact </w:t>
            </w:r>
            <w:r w:rsidR="00CD6E84">
              <w:rPr>
                <w:rFonts w:ascii="Arial" w:hAnsi="Arial" w:cs="Arial"/>
                <w:sz w:val="22"/>
                <w:szCs w:val="22"/>
              </w:rPr>
              <w:t>on</w:t>
            </w:r>
            <w:r w:rsidRPr="001A07CF">
              <w:rPr>
                <w:rFonts w:ascii="Arial" w:hAnsi="Arial" w:cs="Arial"/>
                <w:sz w:val="22"/>
                <w:szCs w:val="22"/>
              </w:rPr>
              <w:t xml:space="preserve"> improving access to healthcare facilities</w:t>
            </w:r>
          </w:p>
        </w:tc>
        <w:tc>
          <w:tcPr>
            <w:tcW w:w="1803" w:type="dxa"/>
          </w:tcPr>
          <w:p w14:paraId="392DE9DD"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Systematic literature review with thematic analysis</w:t>
            </w:r>
          </w:p>
        </w:tc>
        <w:tc>
          <w:tcPr>
            <w:tcW w:w="1803" w:type="dxa"/>
          </w:tcPr>
          <w:p w14:paraId="3171A0B9" w14:textId="0A2821E3"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 xml:space="preserve">Telemedicine significantly improved access to healthcare in rural areas by reducing travel barriers, improving mental health services, and increasing patient engagement. However, challenges such as </w:t>
            </w:r>
            <w:r w:rsidR="00CD6E84">
              <w:rPr>
                <w:rFonts w:ascii="Arial" w:hAnsi="Arial" w:cs="Arial"/>
                <w:sz w:val="22"/>
                <w:szCs w:val="22"/>
              </w:rPr>
              <w:t xml:space="preserve">a </w:t>
            </w:r>
            <w:r w:rsidRPr="001A07CF">
              <w:rPr>
                <w:rFonts w:ascii="Arial" w:hAnsi="Arial" w:cs="Arial"/>
                <w:sz w:val="22"/>
                <w:szCs w:val="22"/>
              </w:rPr>
              <w:t>lack of technological literacy and communication obstacles were also identified.</w:t>
            </w:r>
          </w:p>
        </w:tc>
        <w:tc>
          <w:tcPr>
            <w:tcW w:w="1804" w:type="dxa"/>
          </w:tcPr>
          <w:p w14:paraId="6F2FA016"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Demonstrates the impact of telehealth on healthcare accessibility as well as the challenges that limit its effectiveness.</w:t>
            </w:r>
          </w:p>
        </w:tc>
      </w:tr>
      <w:tr w:rsidR="001A07CF" w:rsidRPr="001A07CF" w14:paraId="3D02FD21" w14:textId="77777777" w:rsidTr="000E667F">
        <w:tc>
          <w:tcPr>
            <w:tcW w:w="1803" w:type="dxa"/>
          </w:tcPr>
          <w:p w14:paraId="2FD55709"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Greenhalgh et al. (2022)</w:t>
            </w:r>
          </w:p>
        </w:tc>
        <w:tc>
          <w:tcPr>
            <w:tcW w:w="1803" w:type="dxa"/>
          </w:tcPr>
          <w:p w14:paraId="2678B768" w14:textId="6C60D11C"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To explore why GPs rarely use video consultations in UK general practice</w:t>
            </w:r>
            <w:r w:rsidR="00CD6E84">
              <w:rPr>
                <w:rFonts w:ascii="Arial" w:hAnsi="Arial" w:cs="Arial"/>
                <w:sz w:val="22"/>
                <w:szCs w:val="22"/>
              </w:rPr>
              <w:t>,</w:t>
            </w:r>
            <w:r w:rsidRPr="001A07CF">
              <w:rPr>
                <w:rFonts w:ascii="Arial" w:hAnsi="Arial" w:cs="Arial"/>
                <w:sz w:val="22"/>
                <w:szCs w:val="22"/>
              </w:rPr>
              <w:t xml:space="preserve"> since </w:t>
            </w:r>
            <w:r w:rsidRPr="001A07CF">
              <w:rPr>
                <w:rFonts w:ascii="Arial" w:hAnsi="Arial" w:cs="Arial"/>
                <w:sz w:val="22"/>
                <w:szCs w:val="22"/>
              </w:rPr>
              <w:lastRenderedPageBreak/>
              <w:t>less than 1% of consultations occur by video</w:t>
            </w:r>
          </w:p>
        </w:tc>
        <w:tc>
          <w:tcPr>
            <w:tcW w:w="1803" w:type="dxa"/>
          </w:tcPr>
          <w:p w14:paraId="0020E109" w14:textId="3D3D6BBE"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lastRenderedPageBreak/>
              <w:t xml:space="preserve">Qualitative analysis of data from 3 mixed-method case studies of remote </w:t>
            </w:r>
            <w:r w:rsidRPr="001A07CF">
              <w:rPr>
                <w:rFonts w:ascii="Arial" w:hAnsi="Arial" w:cs="Arial"/>
                <w:sz w:val="22"/>
                <w:szCs w:val="22"/>
              </w:rPr>
              <w:lastRenderedPageBreak/>
              <w:t xml:space="preserve">consultations conducted between </w:t>
            </w:r>
            <w:r w:rsidR="00CD6E84">
              <w:rPr>
                <w:rFonts w:ascii="Arial" w:hAnsi="Arial" w:cs="Arial"/>
                <w:sz w:val="22"/>
                <w:szCs w:val="22"/>
              </w:rPr>
              <w:t>2019 and 2021</w:t>
            </w:r>
            <w:r w:rsidRPr="001A07CF">
              <w:rPr>
                <w:rFonts w:ascii="Arial" w:hAnsi="Arial" w:cs="Arial"/>
                <w:sz w:val="22"/>
                <w:szCs w:val="22"/>
              </w:rPr>
              <w:t xml:space="preserve"> through interviews and focus groups</w:t>
            </w:r>
          </w:p>
        </w:tc>
        <w:tc>
          <w:tcPr>
            <w:tcW w:w="1803" w:type="dxa"/>
          </w:tcPr>
          <w:p w14:paraId="0865B7FE" w14:textId="560CDE5E"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lastRenderedPageBreak/>
              <w:t xml:space="preserve">GPs preferred telephone consultations as they felt they were adequate and safe for </w:t>
            </w:r>
            <w:r w:rsidRPr="001A07CF">
              <w:rPr>
                <w:rFonts w:ascii="Arial" w:hAnsi="Arial" w:cs="Arial"/>
                <w:sz w:val="22"/>
                <w:szCs w:val="22"/>
              </w:rPr>
              <w:lastRenderedPageBreak/>
              <w:t xml:space="preserve">many simple presenting problems. In-person assessment was considered necessary for the more complex ones. There was also </w:t>
            </w:r>
            <w:r w:rsidR="00CD6E84">
              <w:rPr>
                <w:rFonts w:ascii="Arial" w:hAnsi="Arial" w:cs="Arial"/>
                <w:sz w:val="22"/>
                <w:szCs w:val="22"/>
              </w:rPr>
              <w:t xml:space="preserve">a </w:t>
            </w:r>
            <w:r w:rsidRPr="001A07CF">
              <w:rPr>
                <w:rFonts w:ascii="Arial" w:hAnsi="Arial" w:cs="Arial"/>
                <w:sz w:val="22"/>
                <w:szCs w:val="22"/>
              </w:rPr>
              <w:t xml:space="preserve">strong preference for in-person assessment by patients due to therapeutic presence. </w:t>
            </w:r>
          </w:p>
        </w:tc>
        <w:tc>
          <w:tcPr>
            <w:tcW w:w="1804" w:type="dxa"/>
          </w:tcPr>
          <w:p w14:paraId="415034B6" w14:textId="5D8D8792"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lastRenderedPageBreak/>
              <w:t>Identifies barriers to telehealth adoption</w:t>
            </w:r>
            <w:r w:rsidR="00CD6E84">
              <w:rPr>
                <w:rFonts w:ascii="Arial" w:hAnsi="Arial" w:cs="Arial"/>
                <w:sz w:val="22"/>
                <w:szCs w:val="22"/>
              </w:rPr>
              <w:t>,</w:t>
            </w:r>
            <w:r w:rsidRPr="001A07CF">
              <w:rPr>
                <w:rFonts w:ascii="Arial" w:hAnsi="Arial" w:cs="Arial"/>
                <w:sz w:val="22"/>
                <w:szCs w:val="22"/>
              </w:rPr>
              <w:t xml:space="preserve"> such as professional </w:t>
            </w:r>
            <w:r w:rsidRPr="001A07CF">
              <w:rPr>
                <w:rFonts w:ascii="Arial" w:hAnsi="Arial" w:cs="Arial"/>
                <w:sz w:val="22"/>
                <w:szCs w:val="22"/>
              </w:rPr>
              <w:lastRenderedPageBreak/>
              <w:t>and patient preference.</w:t>
            </w:r>
          </w:p>
        </w:tc>
      </w:tr>
      <w:tr w:rsidR="001A07CF" w:rsidRPr="001A07CF" w14:paraId="41FE85C5" w14:textId="77777777" w:rsidTr="000E667F">
        <w:tc>
          <w:tcPr>
            <w:tcW w:w="1803" w:type="dxa"/>
          </w:tcPr>
          <w:p w14:paraId="36B5AF6F"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lastRenderedPageBreak/>
              <w:t>Islam et al. (2024)</w:t>
            </w:r>
          </w:p>
        </w:tc>
        <w:tc>
          <w:tcPr>
            <w:tcW w:w="1803" w:type="dxa"/>
          </w:tcPr>
          <w:p w14:paraId="731803FF" w14:textId="2C83F8E3"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 xml:space="preserve">To explore the impact of </w:t>
            </w:r>
            <w:r w:rsidR="00CD6E84">
              <w:rPr>
                <w:rFonts w:ascii="Arial" w:hAnsi="Arial" w:cs="Arial"/>
                <w:sz w:val="22"/>
                <w:szCs w:val="22"/>
              </w:rPr>
              <w:t>digitisation</w:t>
            </w:r>
            <w:r w:rsidRPr="001A07CF">
              <w:rPr>
                <w:rFonts w:ascii="Arial" w:hAnsi="Arial" w:cs="Arial"/>
                <w:sz w:val="22"/>
                <w:szCs w:val="22"/>
              </w:rPr>
              <w:t xml:space="preserve"> on access to and </w:t>
            </w:r>
            <w:r w:rsidR="00CD6E84">
              <w:rPr>
                <w:rFonts w:ascii="Arial" w:hAnsi="Arial" w:cs="Arial"/>
                <w:sz w:val="22"/>
                <w:szCs w:val="22"/>
              </w:rPr>
              <w:t>utilisation</w:t>
            </w:r>
            <w:r w:rsidRPr="001A07CF">
              <w:rPr>
                <w:rFonts w:ascii="Arial" w:hAnsi="Arial" w:cs="Arial"/>
                <w:sz w:val="22"/>
                <w:szCs w:val="22"/>
              </w:rPr>
              <w:t xml:space="preserve"> of primary care services among minoritised ethnic communities in the UK</w:t>
            </w:r>
          </w:p>
        </w:tc>
        <w:tc>
          <w:tcPr>
            <w:tcW w:w="1803" w:type="dxa"/>
          </w:tcPr>
          <w:p w14:paraId="7B5E4332" w14:textId="400AE32D"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Qualitative study</w:t>
            </w:r>
            <w:r w:rsidR="00CD6E84">
              <w:rPr>
                <w:rFonts w:ascii="Arial" w:hAnsi="Arial" w:cs="Arial"/>
                <w:sz w:val="22"/>
                <w:szCs w:val="22"/>
              </w:rPr>
              <w:t>:</w:t>
            </w:r>
            <w:r w:rsidRPr="001A07CF">
              <w:rPr>
                <w:rFonts w:ascii="Arial" w:hAnsi="Arial" w:cs="Arial"/>
                <w:sz w:val="22"/>
                <w:szCs w:val="22"/>
              </w:rPr>
              <w:t xml:space="preserve"> interviews were used in data collection</w:t>
            </w:r>
          </w:p>
        </w:tc>
        <w:tc>
          <w:tcPr>
            <w:tcW w:w="1803" w:type="dxa"/>
          </w:tcPr>
          <w:p w14:paraId="6A44D537" w14:textId="056CD984"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 xml:space="preserve">Access to digital care among minoritised ethnic communities was </w:t>
            </w:r>
            <w:r w:rsidR="00CD6E84">
              <w:rPr>
                <w:rFonts w:ascii="Arial" w:hAnsi="Arial" w:cs="Arial"/>
                <w:sz w:val="22"/>
                <w:szCs w:val="22"/>
              </w:rPr>
              <w:t>challenged</w:t>
            </w:r>
            <w:r w:rsidRPr="001A07CF">
              <w:rPr>
                <w:rFonts w:ascii="Arial" w:hAnsi="Arial" w:cs="Arial"/>
                <w:sz w:val="22"/>
                <w:szCs w:val="22"/>
              </w:rPr>
              <w:t xml:space="preserve"> by factors such as inadequate devices, low digital literacy, and internet connectivity problems. Problems such as </w:t>
            </w:r>
            <w:r w:rsidR="00CD6E84">
              <w:rPr>
                <w:rFonts w:ascii="Arial" w:hAnsi="Arial" w:cs="Arial"/>
                <w:sz w:val="22"/>
                <w:szCs w:val="22"/>
              </w:rPr>
              <w:t xml:space="preserve">a </w:t>
            </w:r>
            <w:r w:rsidRPr="001A07CF">
              <w:rPr>
                <w:rFonts w:ascii="Arial" w:hAnsi="Arial" w:cs="Arial"/>
                <w:sz w:val="22"/>
                <w:szCs w:val="22"/>
              </w:rPr>
              <w:t>lack of language support were also identified</w:t>
            </w:r>
          </w:p>
        </w:tc>
        <w:tc>
          <w:tcPr>
            <w:tcW w:w="1804" w:type="dxa"/>
          </w:tcPr>
          <w:p w14:paraId="6DB48927" w14:textId="48760FAB"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Highlights inequalities and digital exclusion issues associated with the adoption of digital health</w:t>
            </w:r>
            <w:r w:rsidR="00CD6E84">
              <w:rPr>
                <w:rFonts w:ascii="Arial" w:hAnsi="Arial" w:cs="Arial"/>
                <w:sz w:val="22"/>
                <w:szCs w:val="22"/>
              </w:rPr>
              <w:t>,</w:t>
            </w:r>
            <w:r w:rsidRPr="001A07CF">
              <w:rPr>
                <w:rFonts w:ascii="Arial" w:hAnsi="Arial" w:cs="Arial"/>
                <w:sz w:val="22"/>
                <w:szCs w:val="22"/>
              </w:rPr>
              <w:t xml:space="preserve"> such as telemedicine</w:t>
            </w:r>
          </w:p>
        </w:tc>
      </w:tr>
      <w:tr w:rsidR="001A07CF" w:rsidRPr="001A07CF" w14:paraId="4A42E9A2" w14:textId="77777777" w:rsidTr="000E667F">
        <w:tc>
          <w:tcPr>
            <w:tcW w:w="1803" w:type="dxa"/>
          </w:tcPr>
          <w:p w14:paraId="6099A092"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lastRenderedPageBreak/>
              <w:t>Turner et al. (2021)</w:t>
            </w:r>
          </w:p>
        </w:tc>
        <w:tc>
          <w:tcPr>
            <w:tcW w:w="1803" w:type="dxa"/>
          </w:tcPr>
          <w:p w14:paraId="00B1E29A"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To investigate and understand the unintended consequences of online consultations in UK primary care</w:t>
            </w:r>
          </w:p>
        </w:tc>
        <w:tc>
          <w:tcPr>
            <w:tcW w:w="1803" w:type="dxa"/>
          </w:tcPr>
          <w:p w14:paraId="434ED98E" w14:textId="77777777"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Qualitative study; Data collected through interviews with patients and general practice staff</w:t>
            </w:r>
          </w:p>
        </w:tc>
        <w:tc>
          <w:tcPr>
            <w:tcW w:w="1803" w:type="dxa"/>
          </w:tcPr>
          <w:p w14:paraId="42FCEB7D" w14:textId="20694F66"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 xml:space="preserve">Online consultations restricted patient access to care by making it difficult for some patients to effectively communicate with a GP. It also disadvantaged </w:t>
            </w:r>
            <w:proofErr w:type="gramStart"/>
            <w:r w:rsidRPr="001A07CF">
              <w:rPr>
                <w:rFonts w:ascii="Arial" w:hAnsi="Arial" w:cs="Arial"/>
                <w:sz w:val="22"/>
                <w:szCs w:val="22"/>
              </w:rPr>
              <w:t>digitally-excluded</w:t>
            </w:r>
            <w:proofErr w:type="gramEnd"/>
            <w:r w:rsidRPr="001A07CF">
              <w:rPr>
                <w:rFonts w:ascii="Arial" w:hAnsi="Arial" w:cs="Arial"/>
                <w:sz w:val="22"/>
                <w:szCs w:val="22"/>
              </w:rPr>
              <w:t xml:space="preserve"> patients, while some staff noted additional work and dissatisfaction</w:t>
            </w:r>
            <w:r w:rsidR="00CD6E84">
              <w:rPr>
                <w:rFonts w:ascii="Arial" w:hAnsi="Arial" w:cs="Arial"/>
                <w:sz w:val="22"/>
                <w:szCs w:val="22"/>
              </w:rPr>
              <w:t>.</w:t>
            </w:r>
            <w:r w:rsidRPr="001A07CF">
              <w:rPr>
                <w:rFonts w:ascii="Arial" w:hAnsi="Arial" w:cs="Arial"/>
                <w:sz w:val="22"/>
                <w:szCs w:val="22"/>
              </w:rPr>
              <w:t xml:space="preserve"> </w:t>
            </w:r>
          </w:p>
        </w:tc>
        <w:tc>
          <w:tcPr>
            <w:tcW w:w="1804" w:type="dxa"/>
          </w:tcPr>
          <w:p w14:paraId="7BE2E39D" w14:textId="0E5D74F5" w:rsidR="001A07CF" w:rsidRPr="001A07CF" w:rsidRDefault="001A07CF" w:rsidP="000E667F">
            <w:pPr>
              <w:spacing w:line="360" w:lineRule="auto"/>
              <w:jc w:val="both"/>
              <w:rPr>
                <w:rFonts w:ascii="Arial" w:hAnsi="Arial" w:cs="Arial"/>
                <w:sz w:val="22"/>
                <w:szCs w:val="22"/>
              </w:rPr>
            </w:pPr>
            <w:r w:rsidRPr="001A07CF">
              <w:rPr>
                <w:rFonts w:ascii="Arial" w:hAnsi="Arial" w:cs="Arial"/>
                <w:sz w:val="22"/>
                <w:szCs w:val="22"/>
              </w:rPr>
              <w:t xml:space="preserve">Highlights the challenges of online consultations that limit </w:t>
            </w:r>
            <w:r w:rsidR="00CD6E84">
              <w:rPr>
                <w:rFonts w:ascii="Arial" w:hAnsi="Arial" w:cs="Arial"/>
                <w:sz w:val="22"/>
                <w:szCs w:val="22"/>
              </w:rPr>
              <w:t>their</w:t>
            </w:r>
            <w:r w:rsidRPr="001A07CF">
              <w:rPr>
                <w:rFonts w:ascii="Arial" w:hAnsi="Arial" w:cs="Arial"/>
                <w:sz w:val="22"/>
                <w:szCs w:val="22"/>
              </w:rPr>
              <w:t xml:space="preserve"> adoption by both patients and GPs</w:t>
            </w:r>
          </w:p>
        </w:tc>
      </w:tr>
    </w:tbl>
    <w:p w14:paraId="0409BF67" w14:textId="77777777" w:rsidR="001A07CF" w:rsidRPr="001A07CF" w:rsidRDefault="001A07CF" w:rsidP="001A07CF">
      <w:pPr>
        <w:spacing w:line="360" w:lineRule="auto"/>
        <w:jc w:val="both"/>
        <w:rPr>
          <w:rFonts w:ascii="Arial" w:hAnsi="Arial" w:cs="Arial"/>
          <w:sz w:val="22"/>
          <w:szCs w:val="22"/>
        </w:rPr>
      </w:pPr>
    </w:p>
    <w:p w14:paraId="050073D7"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15" w:name="_Toc232931792"/>
      <w:r w:rsidRPr="001A07CF">
        <w:rPr>
          <w:rFonts w:ascii="Arial" w:hAnsi="Arial" w:cs="Arial"/>
          <w:b/>
          <w:bCs/>
          <w:i/>
          <w:iCs/>
          <w:color w:val="auto"/>
          <w:sz w:val="22"/>
          <w:szCs w:val="22"/>
        </w:rPr>
        <w:t>Thematic Analysis</w:t>
      </w:r>
      <w:bookmarkEnd w:id="15"/>
    </w:p>
    <w:p w14:paraId="7D68B307" w14:textId="77777777" w:rsidR="001A07CF" w:rsidRPr="001A07CF" w:rsidRDefault="001A07CF" w:rsidP="001A07CF">
      <w:pPr>
        <w:pStyle w:val="Heading3"/>
        <w:spacing w:line="360" w:lineRule="auto"/>
        <w:jc w:val="both"/>
        <w:rPr>
          <w:rFonts w:ascii="Arial" w:hAnsi="Arial" w:cs="Arial"/>
          <w:b/>
          <w:bCs/>
          <w:color w:val="auto"/>
          <w:sz w:val="22"/>
          <w:szCs w:val="22"/>
        </w:rPr>
      </w:pPr>
      <w:bookmarkStart w:id="16" w:name="_Toc232931793"/>
      <w:r w:rsidRPr="001A07CF">
        <w:rPr>
          <w:rFonts w:ascii="Arial" w:hAnsi="Arial" w:cs="Arial"/>
          <w:b/>
          <w:bCs/>
          <w:color w:val="auto"/>
          <w:sz w:val="22"/>
          <w:szCs w:val="22"/>
        </w:rPr>
        <w:t>Theme 1: Improved Healthcare Accessibility</w:t>
      </w:r>
      <w:bookmarkEnd w:id="16"/>
    </w:p>
    <w:p w14:paraId="34A90F07" w14:textId="207CB965"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A prominent theme across the reviewed studies was the potential of telehealth to improve access to healthcare services. As shown in Table 1, </w:t>
      </w:r>
      <w:proofErr w:type="spellStart"/>
      <w:r w:rsidRPr="001A07CF">
        <w:rPr>
          <w:rFonts w:ascii="Arial" w:hAnsi="Arial" w:cs="Arial"/>
          <w:sz w:val="22"/>
          <w:szCs w:val="22"/>
        </w:rPr>
        <w:t>Gobburi</w:t>
      </w:r>
      <w:proofErr w:type="spellEnd"/>
      <w:r w:rsidRPr="001A07CF">
        <w:rPr>
          <w:rFonts w:ascii="Arial" w:hAnsi="Arial" w:cs="Arial"/>
          <w:sz w:val="22"/>
          <w:szCs w:val="22"/>
        </w:rPr>
        <w:t xml:space="preserve"> et al. (2025) found that telemedicine significantly improved healthcare access in rural areas by reducing travel barriers and increasing patient engagement. This suggests that telehealth can help overcome geographical obstacles that often limit access to primary healthcare services</w:t>
      </w:r>
      <w:r w:rsidR="00285963">
        <w:rPr>
          <w:rFonts w:ascii="Arial" w:hAnsi="Arial" w:cs="Arial"/>
          <w:sz w:val="22"/>
          <w:szCs w:val="22"/>
        </w:rPr>
        <w:t>.</w:t>
      </w:r>
      <w:r w:rsidRPr="001A07CF">
        <w:rPr>
          <w:rFonts w:ascii="Arial" w:hAnsi="Arial" w:cs="Arial"/>
          <w:sz w:val="22"/>
          <w:szCs w:val="22"/>
        </w:rPr>
        <w:t xml:space="preserve"> Participants in their study considered telephone consultations sufficient for many patient cases, indicating that telehealth can effectively support routine healthcare provision. Antonio et al. (2024) also found that patients with certain mental health conditions, particularly anxiety disorders, were generally satisfied with remote consultations. While the literature indicates that telehealth enhances healthcare accessibility, the extent of these benefits appears to vary across patient populations and healthcare contexts.</w:t>
      </w:r>
    </w:p>
    <w:p w14:paraId="54B24035" w14:textId="77777777" w:rsidR="001A07CF" w:rsidRPr="001A07CF" w:rsidRDefault="001A07CF" w:rsidP="001A07CF">
      <w:pPr>
        <w:pStyle w:val="Heading3"/>
        <w:spacing w:line="360" w:lineRule="auto"/>
        <w:jc w:val="both"/>
        <w:rPr>
          <w:rFonts w:ascii="Arial" w:hAnsi="Arial" w:cs="Arial"/>
          <w:b/>
          <w:bCs/>
          <w:color w:val="auto"/>
          <w:sz w:val="22"/>
          <w:szCs w:val="22"/>
        </w:rPr>
      </w:pPr>
      <w:bookmarkStart w:id="17" w:name="_Toc232931794"/>
      <w:r w:rsidRPr="001A07CF">
        <w:rPr>
          <w:rFonts w:ascii="Arial" w:hAnsi="Arial" w:cs="Arial"/>
          <w:b/>
          <w:bCs/>
          <w:color w:val="auto"/>
          <w:sz w:val="22"/>
          <w:szCs w:val="22"/>
        </w:rPr>
        <w:lastRenderedPageBreak/>
        <w:t>Theme 2: Digital Exclusion and Health Inequities</w:t>
      </w:r>
      <w:bookmarkEnd w:id="17"/>
    </w:p>
    <w:p w14:paraId="555601BA"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Despite improvements in accessibility, several studies highlighted concerns regarding digital exclusion and healthcare inequalities. As presented in Table 1, Islam et al. (2024) found that individuals from minoritised ethnic communities experienced barriers to accessing digital healthcare due to inadequate devices, low digital literacy, internet connectivity issues, and limited language support. Similarly, </w:t>
      </w:r>
      <w:proofErr w:type="spellStart"/>
      <w:r w:rsidRPr="001A07CF">
        <w:rPr>
          <w:rFonts w:ascii="Arial" w:hAnsi="Arial" w:cs="Arial"/>
          <w:sz w:val="22"/>
          <w:szCs w:val="22"/>
        </w:rPr>
        <w:t>Gobburi</w:t>
      </w:r>
      <w:proofErr w:type="spellEnd"/>
      <w:r w:rsidRPr="001A07CF">
        <w:rPr>
          <w:rFonts w:ascii="Arial" w:hAnsi="Arial" w:cs="Arial"/>
          <w:sz w:val="22"/>
          <w:szCs w:val="22"/>
        </w:rPr>
        <w:t xml:space="preserve"> et al. (2025) identified technological literacy challenges as a significant obstacle to telemedicine use in rural communities. Turner et al. (2021) further reported that online consultations disadvantaged digitally excluded patients, creating additional barriers to healthcare access. These findings reveal an important contradiction within the literature. While telehealth can improve accessibility for some patients, it may simultaneously create new forms of exclusion for others. </w:t>
      </w:r>
    </w:p>
    <w:p w14:paraId="5F8D198E" w14:textId="77777777" w:rsidR="001A07CF" w:rsidRPr="001A07CF" w:rsidRDefault="001A07CF" w:rsidP="001A07CF">
      <w:pPr>
        <w:pStyle w:val="Heading3"/>
        <w:spacing w:line="360" w:lineRule="auto"/>
        <w:jc w:val="both"/>
        <w:rPr>
          <w:rFonts w:ascii="Arial" w:hAnsi="Arial" w:cs="Arial"/>
          <w:b/>
          <w:bCs/>
          <w:color w:val="auto"/>
          <w:sz w:val="22"/>
          <w:szCs w:val="22"/>
        </w:rPr>
      </w:pPr>
      <w:bookmarkStart w:id="18" w:name="_Toc232931795"/>
      <w:r w:rsidRPr="001A07CF">
        <w:rPr>
          <w:rFonts w:ascii="Arial" w:hAnsi="Arial" w:cs="Arial"/>
          <w:b/>
          <w:bCs/>
          <w:color w:val="auto"/>
          <w:sz w:val="22"/>
          <w:szCs w:val="22"/>
        </w:rPr>
        <w:t>Theme 3: Patient and Professional Preferences for Consultation Methods</w:t>
      </w:r>
      <w:bookmarkEnd w:id="18"/>
    </w:p>
    <w:p w14:paraId="431A4663"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Another recurring theme concerned preferences for different consultation methods. Several studies found that both patients and healthcare professionals continued to value face-to-face interactions despite recognising the benefits of telehealth. Antonio et al. (2024) reported that although many patients were satisfied with remote consultations, some still preferred in-person appointments due to concerns regarding flexibility and communication quality. Greenhalgh et al. (2022) also found that general practitioners preferred telephone consultations over video consultations because they considered them adequate and safe for managing many routine health concerns. However, both patients and clinicians viewed face-to-face consultations as more appropriate for complex healthcare needs due to the therapeutic presence they provide. These findings suggest that telehealth cannot entirely replace face-to-face healthcare delivery.</w:t>
      </w:r>
    </w:p>
    <w:p w14:paraId="620B09B9" w14:textId="77777777" w:rsidR="001A07CF" w:rsidRPr="001A07CF" w:rsidRDefault="001A07CF" w:rsidP="001A07CF">
      <w:pPr>
        <w:pStyle w:val="Heading3"/>
        <w:spacing w:line="360" w:lineRule="auto"/>
        <w:jc w:val="both"/>
        <w:rPr>
          <w:rFonts w:ascii="Arial" w:hAnsi="Arial" w:cs="Arial"/>
          <w:b/>
          <w:bCs/>
          <w:color w:val="auto"/>
          <w:sz w:val="22"/>
          <w:szCs w:val="22"/>
        </w:rPr>
      </w:pPr>
      <w:bookmarkStart w:id="19" w:name="_Toc232931796"/>
      <w:r w:rsidRPr="001A07CF">
        <w:rPr>
          <w:rFonts w:ascii="Arial" w:hAnsi="Arial" w:cs="Arial"/>
          <w:b/>
          <w:bCs/>
          <w:color w:val="auto"/>
          <w:sz w:val="22"/>
          <w:szCs w:val="22"/>
        </w:rPr>
        <w:t>Theme 4: Implementation Challenges in Primary Care</w:t>
      </w:r>
      <w:bookmarkEnd w:id="19"/>
    </w:p>
    <w:p w14:paraId="5C80DC2A" w14:textId="7C3FBA94"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The studies identified practical challenges associated with telehealth implementation. As shown in Table 1, Turner et al. (2021) found that online consultation systems increased staff workload and created dissatisfaction among some healthcare professionals. Communication difficulties were also reported, especially with patients struggling to effectively explain their health concerns through digital platforms. Similarly, Antonio et al. (2024) identified limitations related to consultation format flexibility, while </w:t>
      </w:r>
      <w:proofErr w:type="spellStart"/>
      <w:r w:rsidRPr="001A07CF">
        <w:rPr>
          <w:rFonts w:ascii="Arial" w:hAnsi="Arial" w:cs="Arial"/>
          <w:sz w:val="22"/>
          <w:szCs w:val="22"/>
        </w:rPr>
        <w:t>Gobburi</w:t>
      </w:r>
      <w:proofErr w:type="spellEnd"/>
      <w:r w:rsidRPr="001A07CF">
        <w:rPr>
          <w:rFonts w:ascii="Arial" w:hAnsi="Arial" w:cs="Arial"/>
          <w:sz w:val="22"/>
          <w:szCs w:val="22"/>
        </w:rPr>
        <w:t xml:space="preserve"> et al. (2025) highlighted communication obstacles that affected service delivery. These findings suggest that successful telehealth implementation requires more than technological availability alone. Factors such as staff training, digital infrastructure, patient support, and effective communication processes are also important. The literature shows that although telehealth </w:t>
      </w:r>
      <w:r w:rsidRPr="001A07CF">
        <w:rPr>
          <w:rFonts w:ascii="Arial" w:hAnsi="Arial" w:cs="Arial"/>
          <w:sz w:val="22"/>
          <w:szCs w:val="22"/>
        </w:rPr>
        <w:lastRenderedPageBreak/>
        <w:t xml:space="preserve">offers significant benefits for healthcare delivery, several operational and organisational challenges continue to influence its effectiveness within UK primary care settings. </w:t>
      </w:r>
    </w:p>
    <w:p w14:paraId="568B2EEB" w14:textId="77777777" w:rsidR="001A07CF" w:rsidRPr="001A07CF" w:rsidRDefault="001A07CF" w:rsidP="001A07CF">
      <w:pPr>
        <w:pStyle w:val="Heading1"/>
        <w:spacing w:line="360" w:lineRule="auto"/>
        <w:jc w:val="both"/>
        <w:rPr>
          <w:rFonts w:ascii="Arial" w:hAnsi="Arial" w:cs="Arial"/>
          <w:b/>
          <w:bCs/>
          <w:color w:val="auto"/>
          <w:sz w:val="22"/>
          <w:szCs w:val="22"/>
        </w:rPr>
      </w:pPr>
      <w:bookmarkStart w:id="20" w:name="_Toc232931797"/>
      <w:r w:rsidRPr="001A07CF">
        <w:rPr>
          <w:rFonts w:ascii="Arial" w:hAnsi="Arial" w:cs="Arial"/>
          <w:b/>
          <w:bCs/>
          <w:color w:val="auto"/>
          <w:sz w:val="22"/>
          <w:szCs w:val="22"/>
        </w:rPr>
        <w:t>Discussion</w:t>
      </w:r>
      <w:bookmarkEnd w:id="20"/>
    </w:p>
    <w:p w14:paraId="3493CA48"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21" w:name="_Toc232931798"/>
      <w:r w:rsidRPr="001A07CF">
        <w:rPr>
          <w:rFonts w:ascii="Arial" w:hAnsi="Arial" w:cs="Arial"/>
          <w:b/>
          <w:bCs/>
          <w:i/>
          <w:iCs/>
          <w:color w:val="auto"/>
          <w:sz w:val="22"/>
          <w:szCs w:val="22"/>
        </w:rPr>
        <w:t>Interpretation of Patterns and Contradictions</w:t>
      </w:r>
      <w:bookmarkEnd w:id="21"/>
    </w:p>
    <w:p w14:paraId="24C40EFD" w14:textId="3EEC303F"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The findings showed that telehealth was associated with improved healthcare accessibility, greater convenience for patients, and continuity of care</w:t>
      </w:r>
      <w:r w:rsidR="00ED3E89">
        <w:rPr>
          <w:rFonts w:ascii="Arial" w:hAnsi="Arial" w:cs="Arial"/>
          <w:sz w:val="22"/>
          <w:szCs w:val="22"/>
        </w:rPr>
        <w:t xml:space="preserve"> </w:t>
      </w:r>
      <w:proofErr w:type="spellStart"/>
      <w:r w:rsidR="007F00FE">
        <w:rPr>
          <w:rFonts w:ascii="Arial" w:hAnsi="Arial" w:cs="Arial"/>
          <w:sz w:val="22"/>
          <w:szCs w:val="22"/>
        </w:rPr>
        <w:t>Goburi</w:t>
      </w:r>
      <w:proofErr w:type="spellEnd"/>
      <w:r w:rsidR="007F00FE">
        <w:rPr>
          <w:rFonts w:ascii="Arial" w:hAnsi="Arial" w:cs="Arial"/>
          <w:sz w:val="22"/>
          <w:szCs w:val="22"/>
        </w:rPr>
        <w:t xml:space="preserve"> </w:t>
      </w:r>
      <w:proofErr w:type="gramStart"/>
      <w:r w:rsidR="007F00FE">
        <w:rPr>
          <w:rFonts w:ascii="Arial" w:hAnsi="Arial" w:cs="Arial"/>
          <w:sz w:val="22"/>
          <w:szCs w:val="22"/>
        </w:rPr>
        <w:t>et al.(</w:t>
      </w:r>
      <w:proofErr w:type="gramEnd"/>
      <w:r w:rsidR="007F00FE">
        <w:rPr>
          <w:rFonts w:ascii="Arial" w:hAnsi="Arial" w:cs="Arial"/>
          <w:sz w:val="22"/>
          <w:szCs w:val="22"/>
        </w:rPr>
        <w:t>2025)</w:t>
      </w:r>
      <w:r w:rsidR="00ED3E89">
        <w:rPr>
          <w:rFonts w:ascii="Arial" w:hAnsi="Arial" w:cs="Arial"/>
          <w:sz w:val="22"/>
          <w:szCs w:val="22"/>
        </w:rPr>
        <w:t>.</w:t>
      </w:r>
      <w:r w:rsidRPr="001A07CF">
        <w:rPr>
          <w:rFonts w:ascii="Arial" w:hAnsi="Arial" w:cs="Arial"/>
          <w:sz w:val="22"/>
          <w:szCs w:val="22"/>
        </w:rPr>
        <w:t xml:space="preserve"> These findings support the first objective of the review, which aimed to identify the benefits of telehealth consultations. However, the evidence also indicated that while remote consultations improved access for many individuals, particularly those living in rural areas, challenges relating to digital exclusion, communication barriers, and patient preferences continued to limit </w:t>
      </w:r>
      <w:r w:rsidR="00CD6E84">
        <w:rPr>
          <w:rFonts w:ascii="Arial" w:hAnsi="Arial" w:cs="Arial"/>
          <w:sz w:val="22"/>
          <w:szCs w:val="22"/>
        </w:rPr>
        <w:t>their</w:t>
      </w:r>
      <w:r w:rsidRPr="001A07CF">
        <w:rPr>
          <w:rFonts w:ascii="Arial" w:hAnsi="Arial" w:cs="Arial"/>
          <w:sz w:val="22"/>
          <w:szCs w:val="22"/>
        </w:rPr>
        <w:t xml:space="preserve"> effectiveness.</w:t>
      </w:r>
      <w:r w:rsidR="00ED3E89">
        <w:rPr>
          <w:rFonts w:ascii="Arial" w:hAnsi="Arial" w:cs="Arial"/>
          <w:sz w:val="22"/>
          <w:szCs w:val="22"/>
        </w:rPr>
        <w:t xml:space="preserve"> </w:t>
      </w:r>
      <w:r w:rsidR="00AB5345">
        <w:rPr>
          <w:rFonts w:ascii="Arial" w:hAnsi="Arial" w:cs="Arial"/>
          <w:sz w:val="22"/>
          <w:szCs w:val="22"/>
        </w:rPr>
        <w:t>Turner et al. (2024).</w:t>
      </w:r>
      <w:r w:rsidRPr="001A07CF">
        <w:rPr>
          <w:rFonts w:ascii="Arial" w:hAnsi="Arial" w:cs="Arial"/>
          <w:sz w:val="22"/>
          <w:szCs w:val="22"/>
        </w:rPr>
        <w:t xml:space="preserve"> This supports the second review objective and suggests that telehealth should be viewed as a complementary approach to healthcare delivery rather than a complete replacement for face-to-face consultations.</w:t>
      </w:r>
    </w:p>
    <w:p w14:paraId="107FC9CB" w14:textId="7A1A08D8"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Several areas of agreement emerged across the studies. For </w:t>
      </w:r>
      <w:r w:rsidR="00832C99" w:rsidRPr="001A07CF">
        <w:rPr>
          <w:rFonts w:ascii="Arial" w:hAnsi="Arial" w:cs="Arial"/>
          <w:sz w:val="22"/>
          <w:szCs w:val="22"/>
        </w:rPr>
        <w:t>example,</w:t>
      </w:r>
      <w:r w:rsidR="00832C99">
        <w:rPr>
          <w:rFonts w:ascii="Arial" w:hAnsi="Arial" w:cs="Arial"/>
          <w:sz w:val="22"/>
          <w:szCs w:val="22"/>
        </w:rPr>
        <w:t xml:space="preserve"> </w:t>
      </w:r>
      <w:proofErr w:type="spellStart"/>
      <w:r w:rsidR="00832C99" w:rsidRPr="001A07CF">
        <w:rPr>
          <w:rFonts w:ascii="Arial" w:hAnsi="Arial" w:cs="Arial"/>
          <w:sz w:val="22"/>
          <w:szCs w:val="22"/>
        </w:rPr>
        <w:t>Gobburi</w:t>
      </w:r>
      <w:proofErr w:type="spellEnd"/>
      <w:r w:rsidRPr="001A07CF">
        <w:rPr>
          <w:rFonts w:ascii="Arial" w:hAnsi="Arial" w:cs="Arial"/>
          <w:sz w:val="22"/>
          <w:szCs w:val="22"/>
        </w:rPr>
        <w:t xml:space="preserve"> et al. (2025) found that telehealth improved access to healthcare services by reducing geographical and logistical barriers. Similarly, Antonio et al. (2024) reported high levels of satisfaction among some patients receiving remote consultations, particularly those with anxiety-related conditions. These findings collectively support the argument that telehealth can increase healthcare accessibility and convenience. There was also agreement among Islam et al. (2024), </w:t>
      </w:r>
      <w:proofErr w:type="spellStart"/>
      <w:r w:rsidRPr="001A07CF">
        <w:rPr>
          <w:rFonts w:ascii="Arial" w:hAnsi="Arial" w:cs="Arial"/>
          <w:sz w:val="22"/>
          <w:szCs w:val="22"/>
        </w:rPr>
        <w:t>Gobburi</w:t>
      </w:r>
      <w:proofErr w:type="spellEnd"/>
      <w:r w:rsidRPr="001A07CF">
        <w:rPr>
          <w:rFonts w:ascii="Arial" w:hAnsi="Arial" w:cs="Arial"/>
          <w:sz w:val="22"/>
          <w:szCs w:val="22"/>
        </w:rPr>
        <w:t xml:space="preserve"> et al. (2025), and Turner et al. (2021) regarding the negative consequences of digital exclusion. These studies demonstrated that limited digital literacy, poor internet connectivity, language barriers, and lack of suitable devices can prevent some populations from benefiting from digital healthcare services.</w:t>
      </w:r>
    </w:p>
    <w:p w14:paraId="116D27F9"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Despite these similarities, important differences were also noted. Antonio et al. (2024) found that some patients were satisfied with remote consultations. On the other hand, Greenhalgh et al. (2022) reported a strong preference among both patients and general practitioners for face-to-face consultations, particularly in complex cases. This contrast suggests that perceptions of telehealth may depend on the nature of the health condition, the complexity of the consultation, and individual patient preferences. </w:t>
      </w:r>
    </w:p>
    <w:p w14:paraId="23A329EA"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22" w:name="_Toc232931799"/>
      <w:r w:rsidRPr="001A07CF">
        <w:rPr>
          <w:rFonts w:ascii="Arial" w:hAnsi="Arial" w:cs="Arial"/>
          <w:b/>
          <w:bCs/>
          <w:i/>
          <w:iCs/>
          <w:color w:val="auto"/>
          <w:sz w:val="22"/>
          <w:szCs w:val="22"/>
        </w:rPr>
        <w:t>Gaps and Limitations</w:t>
      </w:r>
      <w:bookmarkEnd w:id="22"/>
    </w:p>
    <w:p w14:paraId="458BC129"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Although the reviewed studies provide valuable insights, several gaps remain within the existing literature. First, most of the studies relied heavily on qualitative research methods. While qualitative studies provide rich insights into patient and professional experiences, they often involve smaller samples and may limit the generalisability of findings. More large-scale </w:t>
      </w:r>
      <w:r w:rsidRPr="001A07CF">
        <w:rPr>
          <w:rFonts w:ascii="Arial" w:hAnsi="Arial" w:cs="Arial"/>
          <w:sz w:val="22"/>
          <w:szCs w:val="22"/>
        </w:rPr>
        <w:lastRenderedPageBreak/>
        <w:t>quantitative studies examining patient outcomes, healthcare efficiency, and long-term effectiveness would strengthen the evidence. Second, some studies focused on specific patient populations, such as individuals with mental health conditions or minoritised ethnic communities. While these perspectives are important, the studies do not provide evidence regarding the experiences of other patient groups, including older adults with multiple long-term conditions. Moreover, other studies examined short-term experiences following the rapid adoption of telehealth during the pandemic. Therefore, there is a need for longitudinal research examining the sustainability and long-term impact of telehealth within UK primary care.</w:t>
      </w:r>
    </w:p>
    <w:p w14:paraId="1D7E22DB"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23" w:name="_Toc232931800"/>
      <w:r w:rsidRPr="001A07CF">
        <w:rPr>
          <w:rFonts w:ascii="Arial" w:hAnsi="Arial" w:cs="Arial"/>
          <w:b/>
          <w:bCs/>
          <w:i/>
          <w:iCs/>
          <w:color w:val="auto"/>
          <w:sz w:val="22"/>
          <w:szCs w:val="22"/>
        </w:rPr>
        <w:t>Theoretical and Practical Implications</w:t>
      </w:r>
      <w:bookmarkEnd w:id="23"/>
    </w:p>
    <w:p w14:paraId="0B0BE0B0"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The findings have important implications for both healthcare practice and future research. From a practical perspective, the evidence suggests that telehealth can support more flexible and accessible healthcare delivery when implemented appropriately. However, healthcare organisations must address barriers relating to digital literacy, language support, and technological access to ensure equitable service provision. Training for healthcare professionals may also be necessary to improve confidence and effectiveness when conducting remote consultations. From a research perspective, future studies should focus on identifying strategies that reduce digital exclusion and improve patient engagement with telehealth services. It is also important to evaluate the long-term clinical outcomes of telehealth compared with traditional face-to-face consultations. </w:t>
      </w:r>
    </w:p>
    <w:p w14:paraId="61B76B18" w14:textId="77777777" w:rsidR="001A07CF" w:rsidRPr="001A07CF" w:rsidRDefault="001A07CF" w:rsidP="001A07CF">
      <w:pPr>
        <w:pStyle w:val="Heading1"/>
        <w:spacing w:line="360" w:lineRule="auto"/>
        <w:jc w:val="both"/>
        <w:rPr>
          <w:rFonts w:ascii="Arial" w:hAnsi="Arial" w:cs="Arial"/>
          <w:b/>
          <w:bCs/>
          <w:color w:val="auto"/>
          <w:sz w:val="22"/>
          <w:szCs w:val="22"/>
        </w:rPr>
      </w:pPr>
      <w:bookmarkStart w:id="24" w:name="_Toc232931801"/>
      <w:r w:rsidRPr="001A07CF">
        <w:rPr>
          <w:rFonts w:ascii="Arial" w:hAnsi="Arial" w:cs="Arial"/>
          <w:b/>
          <w:bCs/>
          <w:color w:val="auto"/>
          <w:sz w:val="22"/>
          <w:szCs w:val="22"/>
        </w:rPr>
        <w:t>Conclusion and Recommendations</w:t>
      </w:r>
      <w:bookmarkEnd w:id="24"/>
    </w:p>
    <w:p w14:paraId="54946989"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25" w:name="_Toc232931802"/>
      <w:r w:rsidRPr="001A07CF">
        <w:rPr>
          <w:rFonts w:ascii="Arial" w:hAnsi="Arial" w:cs="Arial"/>
          <w:b/>
          <w:bCs/>
          <w:i/>
          <w:iCs/>
          <w:color w:val="auto"/>
          <w:sz w:val="22"/>
          <w:szCs w:val="22"/>
        </w:rPr>
        <w:t>Key Takeaways</w:t>
      </w:r>
      <w:bookmarkEnd w:id="25"/>
    </w:p>
    <w:p w14:paraId="5CA1833C" w14:textId="720F63C4"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This scoping review examined the effectiveness and challenges of telehealth consultations in UK primary healthcare. The findings indicate that telehealth has become an important component of healthcare delivery, especially after the COVID-19 pandemic. The reviewed studies demonstrated that telehealth </w:t>
      </w:r>
      <w:r w:rsidR="00C939A3" w:rsidRPr="001A07CF">
        <w:rPr>
          <w:rFonts w:ascii="Arial" w:hAnsi="Arial" w:cs="Arial"/>
          <w:sz w:val="22"/>
          <w:szCs w:val="22"/>
        </w:rPr>
        <w:t>could</w:t>
      </w:r>
      <w:r w:rsidRPr="001A07CF">
        <w:rPr>
          <w:rFonts w:ascii="Arial" w:hAnsi="Arial" w:cs="Arial"/>
          <w:sz w:val="22"/>
          <w:szCs w:val="22"/>
        </w:rPr>
        <w:t xml:space="preserve"> improve access to healthcare services, increase convenience for patients, and support continuity of care, especially for individuals living in rural areas and those with certain mental health conditions. These findings suggest that telehealth has significant potential to enhance healthcare accessibility and efficiency within primary care settings.</w:t>
      </w:r>
    </w:p>
    <w:p w14:paraId="3B34862A" w14:textId="3466EE79"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 xml:space="preserve">However, the review also identified several challenges that may limit the effectiveness of telehealth. </w:t>
      </w:r>
      <w:r w:rsidR="00C939A3" w:rsidRPr="001A07CF">
        <w:rPr>
          <w:rFonts w:ascii="Arial" w:hAnsi="Arial" w:cs="Arial"/>
          <w:sz w:val="22"/>
          <w:szCs w:val="22"/>
        </w:rPr>
        <w:t>Digital exclusion</w:t>
      </w:r>
      <w:r w:rsidRPr="001A07CF">
        <w:rPr>
          <w:rFonts w:ascii="Arial" w:hAnsi="Arial" w:cs="Arial"/>
          <w:sz w:val="22"/>
          <w:szCs w:val="22"/>
        </w:rPr>
        <w:t xml:space="preserve"> limited digital literacy, language barriers, communication difficulties, and preferences for face-to-face consultations were consistently reported across the studies. Additionally, concerns regarding increased staff workload and the suitability of remote consultations for complex healthcare needs highlight the importance of adopting a </w:t>
      </w:r>
      <w:r w:rsidRPr="001A07CF">
        <w:rPr>
          <w:rFonts w:ascii="Arial" w:hAnsi="Arial" w:cs="Arial"/>
          <w:sz w:val="22"/>
          <w:szCs w:val="22"/>
        </w:rPr>
        <w:lastRenderedPageBreak/>
        <w:t>balanced approach to telehealth implementation. Overall, the evidence suggests that telehealth is most effective when used as a complement to traditional healthcare services.</w:t>
      </w:r>
    </w:p>
    <w:p w14:paraId="690BCC47"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26" w:name="_Toc232931803"/>
      <w:r w:rsidRPr="001A07CF">
        <w:rPr>
          <w:rFonts w:ascii="Arial" w:hAnsi="Arial" w:cs="Arial"/>
          <w:b/>
          <w:bCs/>
          <w:i/>
          <w:iCs/>
          <w:color w:val="auto"/>
          <w:sz w:val="22"/>
          <w:szCs w:val="22"/>
        </w:rPr>
        <w:t>Recommendations for Future Research</w:t>
      </w:r>
      <w:bookmarkEnd w:id="26"/>
    </w:p>
    <w:p w14:paraId="04A8A387"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Several gaps in the literature were identified during this review. Future research should include more large-scale quantitative studies to evaluate the long-term effectiveness of telehealth consultations on patient outcomes, healthcare quality, and service efficiency. Longitudinal studies would be particularly valuable in examining whether the benefits observed following the rapid expansion of telehealth during the COVID-19 pandemic are sustainable. Further research should also explore the experiences of underrepresented populations, including older adults, individuals with multiple long-term conditions, and socially disadvantaged groups. In addition, future studies should investigate interventions designed to reduce digital exclusion and improve engagement with telehealth services. This would strengthen the evidence base and support the development of more inclusive digital healthcare systems.</w:t>
      </w:r>
    </w:p>
    <w:p w14:paraId="54961C74" w14:textId="77777777" w:rsidR="001A07CF" w:rsidRPr="001A07CF" w:rsidRDefault="001A07CF" w:rsidP="001A07CF">
      <w:pPr>
        <w:pStyle w:val="Heading2"/>
        <w:spacing w:line="360" w:lineRule="auto"/>
        <w:jc w:val="both"/>
        <w:rPr>
          <w:rFonts w:ascii="Arial" w:hAnsi="Arial" w:cs="Arial"/>
          <w:b/>
          <w:bCs/>
          <w:i/>
          <w:iCs/>
          <w:color w:val="auto"/>
          <w:sz w:val="22"/>
          <w:szCs w:val="22"/>
        </w:rPr>
      </w:pPr>
      <w:bookmarkStart w:id="27" w:name="_Toc232931804"/>
      <w:r w:rsidRPr="001A07CF">
        <w:rPr>
          <w:rFonts w:ascii="Arial" w:hAnsi="Arial" w:cs="Arial"/>
          <w:b/>
          <w:bCs/>
          <w:i/>
          <w:iCs/>
          <w:color w:val="auto"/>
          <w:sz w:val="22"/>
          <w:szCs w:val="22"/>
        </w:rPr>
        <w:t>Recommendations for Policy and Practice</w:t>
      </w:r>
      <w:bookmarkEnd w:id="27"/>
    </w:p>
    <w:p w14:paraId="1DCE60A4" w14:textId="77777777" w:rsidR="001A07CF" w:rsidRPr="001A07CF" w:rsidRDefault="001A07CF" w:rsidP="001A07CF">
      <w:pPr>
        <w:spacing w:line="360" w:lineRule="auto"/>
        <w:ind w:firstLine="720"/>
        <w:jc w:val="both"/>
        <w:rPr>
          <w:rFonts w:ascii="Arial" w:hAnsi="Arial" w:cs="Arial"/>
          <w:sz w:val="22"/>
          <w:szCs w:val="22"/>
        </w:rPr>
      </w:pPr>
      <w:r w:rsidRPr="001A07CF">
        <w:rPr>
          <w:rFonts w:ascii="Arial" w:hAnsi="Arial" w:cs="Arial"/>
          <w:sz w:val="22"/>
          <w:szCs w:val="22"/>
        </w:rPr>
        <w:t>To maximise the benefits of telehealth, healthcare organisations and policymakers should prioritise strategies that address digital inequalities. This may include improving access to digital devices, expanding internet connectivity in underserved communities, and providing digital literacy training for patients who may struggle to use telehealth technologies effectively. Healthcare providers should continue to offer a combination of remote and face-to-face consultations, allowing care to be tailored to individual patient needs and preferences. Additional training and support should also be provided to healthcare professionals to enhance confidence and competence in delivering remote consultations. Finally, future NHS digital health policies should focus on ensuring that telehealth services remain accessible, equitable, and patient-centred.</w:t>
      </w:r>
    </w:p>
    <w:p w14:paraId="115E2688" w14:textId="77777777" w:rsidR="001A07CF" w:rsidRPr="001A07CF" w:rsidRDefault="001A07CF" w:rsidP="001A07CF">
      <w:pPr>
        <w:spacing w:line="360" w:lineRule="auto"/>
        <w:jc w:val="both"/>
        <w:rPr>
          <w:rFonts w:ascii="Arial" w:hAnsi="Arial" w:cs="Arial"/>
          <w:sz w:val="22"/>
          <w:szCs w:val="22"/>
        </w:rPr>
      </w:pPr>
      <w:r w:rsidRPr="001A07CF">
        <w:rPr>
          <w:rFonts w:ascii="Arial" w:hAnsi="Arial" w:cs="Arial"/>
          <w:sz w:val="22"/>
          <w:szCs w:val="22"/>
        </w:rPr>
        <w:br w:type="page"/>
      </w:r>
    </w:p>
    <w:p w14:paraId="63F8F6A9" w14:textId="77777777" w:rsidR="001A07CF" w:rsidRPr="001A07CF" w:rsidRDefault="001A07CF" w:rsidP="001A07CF">
      <w:pPr>
        <w:pStyle w:val="Heading1"/>
        <w:spacing w:line="360" w:lineRule="auto"/>
        <w:jc w:val="both"/>
        <w:rPr>
          <w:rFonts w:ascii="Arial" w:hAnsi="Arial" w:cs="Arial"/>
          <w:color w:val="auto"/>
          <w:sz w:val="22"/>
          <w:szCs w:val="22"/>
        </w:rPr>
      </w:pPr>
      <w:bookmarkStart w:id="28" w:name="_Toc232931805"/>
      <w:r w:rsidRPr="001A07CF">
        <w:rPr>
          <w:rFonts w:ascii="Arial" w:hAnsi="Arial" w:cs="Arial"/>
          <w:color w:val="auto"/>
          <w:sz w:val="22"/>
          <w:szCs w:val="22"/>
        </w:rPr>
        <w:lastRenderedPageBreak/>
        <w:t>List of References</w:t>
      </w:r>
      <w:bookmarkEnd w:id="28"/>
    </w:p>
    <w:p w14:paraId="611BA7A1" w14:textId="7323D711" w:rsidR="001A07CF" w:rsidRPr="001A07CF" w:rsidRDefault="001A07CF" w:rsidP="001A07CF">
      <w:pPr>
        <w:spacing w:line="360" w:lineRule="auto"/>
        <w:ind w:left="720" w:hanging="720"/>
        <w:jc w:val="both"/>
        <w:rPr>
          <w:rFonts w:ascii="Arial" w:eastAsia="Aptos" w:hAnsi="Arial" w:cs="Arial"/>
          <w:color w:val="222222"/>
          <w:sz w:val="22"/>
          <w:szCs w:val="22"/>
          <w:shd w:val="clear" w:color="auto" w:fill="FFFFFF"/>
          <w:lang w:val="en-US"/>
        </w:rPr>
      </w:pPr>
      <w:proofErr w:type="spellStart"/>
      <w:r w:rsidRPr="001A07CF">
        <w:rPr>
          <w:rFonts w:ascii="Arial" w:eastAsia="Aptos" w:hAnsi="Arial" w:cs="Arial"/>
          <w:color w:val="222222"/>
          <w:sz w:val="22"/>
          <w:szCs w:val="22"/>
          <w:shd w:val="clear" w:color="auto" w:fill="FFFFFF"/>
          <w:lang w:val="en-US"/>
        </w:rPr>
        <w:t>Alashek</w:t>
      </w:r>
      <w:proofErr w:type="spellEnd"/>
      <w:r w:rsidRPr="001A07CF">
        <w:rPr>
          <w:rFonts w:ascii="Arial" w:eastAsia="Aptos" w:hAnsi="Arial" w:cs="Arial"/>
          <w:color w:val="222222"/>
          <w:sz w:val="22"/>
          <w:szCs w:val="22"/>
          <w:shd w:val="clear" w:color="auto" w:fill="FFFFFF"/>
          <w:lang w:val="en-US"/>
        </w:rPr>
        <w:t xml:space="preserve">, W.A. and Ali, S.A. (2024). ‘Satisfaction with telemedicine use during </w:t>
      </w:r>
      <w:r w:rsidR="00C939A3">
        <w:rPr>
          <w:rFonts w:ascii="Arial" w:eastAsia="Aptos" w:hAnsi="Arial" w:cs="Arial"/>
          <w:color w:val="222222"/>
          <w:sz w:val="22"/>
          <w:szCs w:val="22"/>
          <w:shd w:val="clear" w:color="auto" w:fill="FFFFFF"/>
          <w:lang w:val="en-US"/>
        </w:rPr>
        <w:t xml:space="preserve">the </w:t>
      </w:r>
      <w:r w:rsidRPr="001A07CF">
        <w:rPr>
          <w:rFonts w:ascii="Arial" w:eastAsia="Aptos" w:hAnsi="Arial" w:cs="Arial"/>
          <w:color w:val="222222"/>
          <w:sz w:val="22"/>
          <w:szCs w:val="22"/>
          <w:shd w:val="clear" w:color="auto" w:fill="FFFFFF"/>
          <w:lang w:val="en-US"/>
        </w:rPr>
        <w:t>COVID-19 pandemic in the UK: a systematic review.’ </w:t>
      </w:r>
      <w:r w:rsidRPr="001A07CF">
        <w:rPr>
          <w:rFonts w:ascii="Arial" w:eastAsia="Aptos" w:hAnsi="Arial" w:cs="Arial"/>
          <w:i/>
          <w:iCs/>
          <w:color w:val="222222"/>
          <w:sz w:val="22"/>
          <w:szCs w:val="22"/>
          <w:shd w:val="clear" w:color="auto" w:fill="FFFFFF"/>
          <w:lang w:val="en-US"/>
        </w:rPr>
        <w:t>Libyan Journal of Medicine</w:t>
      </w:r>
      <w:r w:rsidRPr="001A07CF">
        <w:rPr>
          <w:rFonts w:ascii="Arial" w:eastAsia="Aptos" w:hAnsi="Arial" w:cs="Arial"/>
          <w:color w:val="222222"/>
          <w:sz w:val="22"/>
          <w:szCs w:val="22"/>
          <w:shd w:val="clear" w:color="auto" w:fill="FFFFFF"/>
          <w:lang w:val="en-US"/>
        </w:rPr>
        <w:t>, </w:t>
      </w:r>
      <w:r w:rsidRPr="001A07CF">
        <w:rPr>
          <w:rFonts w:ascii="Arial" w:eastAsia="Aptos" w:hAnsi="Arial" w:cs="Arial"/>
          <w:i/>
          <w:iCs/>
          <w:color w:val="222222"/>
          <w:sz w:val="22"/>
          <w:szCs w:val="22"/>
          <w:shd w:val="clear" w:color="auto" w:fill="FFFFFF"/>
          <w:lang w:val="en-US"/>
        </w:rPr>
        <w:t>19</w:t>
      </w:r>
      <w:r w:rsidRPr="001A07CF">
        <w:rPr>
          <w:rFonts w:ascii="Arial" w:eastAsia="Aptos" w:hAnsi="Arial" w:cs="Arial"/>
          <w:color w:val="222222"/>
          <w:sz w:val="22"/>
          <w:szCs w:val="22"/>
          <w:shd w:val="clear" w:color="auto" w:fill="FFFFFF"/>
          <w:lang w:val="en-US"/>
        </w:rPr>
        <w:t xml:space="preserve">(1), p.2301829. </w:t>
      </w:r>
      <w:hyperlink r:id="rId7" w:history="1">
        <w:r w:rsidRPr="001A07CF">
          <w:rPr>
            <w:rFonts w:ascii="Arial" w:eastAsia="Aptos" w:hAnsi="Arial" w:cs="Arial"/>
            <w:color w:val="0000FF"/>
            <w:sz w:val="22"/>
            <w:szCs w:val="22"/>
            <w:u w:val="single"/>
            <w:shd w:val="clear" w:color="auto" w:fill="FFFFFF"/>
            <w:lang w:val="en-US"/>
          </w:rPr>
          <w:t>https://doi.org/10.1080/19932820.2024.2301829</w:t>
        </w:r>
      </w:hyperlink>
      <w:r w:rsidRPr="001A07CF">
        <w:rPr>
          <w:rFonts w:ascii="Arial" w:eastAsia="Aptos" w:hAnsi="Arial" w:cs="Arial"/>
          <w:color w:val="222222"/>
          <w:sz w:val="22"/>
          <w:szCs w:val="22"/>
          <w:shd w:val="clear" w:color="auto" w:fill="FFFFFF"/>
          <w:lang w:val="en-US"/>
        </w:rPr>
        <w:t xml:space="preserve"> </w:t>
      </w:r>
    </w:p>
    <w:p w14:paraId="7CFABD73" w14:textId="77777777"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r w:rsidRPr="001A07CF">
        <w:rPr>
          <w:rFonts w:ascii="Arial" w:hAnsi="Arial" w:cs="Arial"/>
          <w:color w:val="222222"/>
          <w:sz w:val="22"/>
          <w:szCs w:val="22"/>
          <w:shd w:val="clear" w:color="auto" w:fill="FFFFFF"/>
        </w:rPr>
        <w:t>Antonio, S., Joseph, D., Parsons, J. and Atherton, H., 2024. ‘Experiences of remote consultation in UK primary care for patients with mental health conditions: a systematic review.’ </w:t>
      </w:r>
      <w:r w:rsidRPr="001A07CF">
        <w:rPr>
          <w:rFonts w:ascii="Arial" w:hAnsi="Arial" w:cs="Arial"/>
          <w:i/>
          <w:iCs/>
          <w:color w:val="222222"/>
          <w:sz w:val="22"/>
          <w:szCs w:val="22"/>
          <w:shd w:val="clear" w:color="auto" w:fill="FFFFFF"/>
        </w:rPr>
        <w:t>Digital health</w:t>
      </w:r>
      <w:r w:rsidRPr="001A07CF">
        <w:rPr>
          <w:rFonts w:ascii="Arial" w:hAnsi="Arial" w:cs="Arial"/>
          <w:color w:val="222222"/>
          <w:sz w:val="22"/>
          <w:szCs w:val="22"/>
          <w:shd w:val="clear" w:color="auto" w:fill="FFFFFF"/>
        </w:rPr>
        <w:t>, </w:t>
      </w:r>
      <w:r w:rsidRPr="001A07CF">
        <w:rPr>
          <w:rFonts w:ascii="Arial" w:hAnsi="Arial" w:cs="Arial"/>
          <w:i/>
          <w:iCs/>
          <w:color w:val="222222"/>
          <w:sz w:val="22"/>
          <w:szCs w:val="22"/>
          <w:shd w:val="clear" w:color="auto" w:fill="FFFFFF"/>
        </w:rPr>
        <w:t>10</w:t>
      </w:r>
      <w:r w:rsidRPr="001A07CF">
        <w:rPr>
          <w:rFonts w:ascii="Arial" w:hAnsi="Arial" w:cs="Arial"/>
          <w:color w:val="222222"/>
          <w:sz w:val="22"/>
          <w:szCs w:val="22"/>
          <w:shd w:val="clear" w:color="auto" w:fill="FFFFFF"/>
        </w:rPr>
        <w:t xml:space="preserve">, p.20552076241233969. </w:t>
      </w:r>
      <w:hyperlink r:id="rId8" w:history="1">
        <w:r w:rsidRPr="001A07CF">
          <w:rPr>
            <w:rStyle w:val="Hyperlink"/>
            <w:rFonts w:ascii="Arial" w:hAnsi="Arial" w:cs="Arial"/>
            <w:sz w:val="22"/>
            <w:szCs w:val="22"/>
            <w:shd w:val="clear" w:color="auto" w:fill="FFFFFF"/>
          </w:rPr>
          <w:t>https://doi.org/10.1177/20552076241233969</w:t>
        </w:r>
      </w:hyperlink>
      <w:r w:rsidRPr="001A07CF">
        <w:rPr>
          <w:rFonts w:ascii="Arial" w:hAnsi="Arial" w:cs="Arial"/>
          <w:color w:val="222222"/>
          <w:sz w:val="22"/>
          <w:szCs w:val="22"/>
          <w:shd w:val="clear" w:color="auto" w:fill="FFFFFF"/>
        </w:rPr>
        <w:t xml:space="preserve"> </w:t>
      </w:r>
    </w:p>
    <w:p w14:paraId="3A42EF8C" w14:textId="77777777" w:rsidR="001A07CF" w:rsidRPr="001A07CF" w:rsidRDefault="001A07CF" w:rsidP="001A07CF">
      <w:pPr>
        <w:spacing w:line="360" w:lineRule="auto"/>
        <w:ind w:left="720" w:hanging="720"/>
        <w:jc w:val="both"/>
        <w:rPr>
          <w:rFonts w:ascii="Arial" w:eastAsia="Times New Roman" w:hAnsi="Arial" w:cs="Arial"/>
          <w:kern w:val="0"/>
          <w:sz w:val="22"/>
          <w:szCs w:val="22"/>
          <w:lang w:eastAsia="en-GB"/>
          <w14:ligatures w14:val="none"/>
        </w:rPr>
      </w:pPr>
      <w:r w:rsidRPr="001A07CF">
        <w:rPr>
          <w:rFonts w:ascii="Arial" w:eastAsia="Times New Roman" w:hAnsi="Arial" w:cs="Arial"/>
          <w:kern w:val="0"/>
          <w:sz w:val="22"/>
          <w:szCs w:val="22"/>
          <w:lang w:eastAsia="en-GB"/>
          <w14:ligatures w14:val="none"/>
        </w:rPr>
        <w:t xml:space="preserve">Aveyard, H. (2023). </w:t>
      </w:r>
      <w:proofErr w:type="spellStart"/>
      <w:r w:rsidRPr="001A07CF">
        <w:rPr>
          <w:rFonts w:ascii="Arial" w:eastAsia="Times New Roman" w:hAnsi="Arial" w:cs="Arial"/>
          <w:kern w:val="0"/>
          <w:sz w:val="22"/>
          <w:szCs w:val="22"/>
          <w:lang w:eastAsia="en-GB"/>
          <w14:ligatures w14:val="none"/>
        </w:rPr>
        <w:t>Ebook</w:t>
      </w:r>
      <w:proofErr w:type="spellEnd"/>
      <w:r w:rsidRPr="001A07CF">
        <w:rPr>
          <w:rFonts w:ascii="Arial" w:eastAsia="Times New Roman" w:hAnsi="Arial" w:cs="Arial"/>
          <w:kern w:val="0"/>
          <w:sz w:val="22"/>
          <w:szCs w:val="22"/>
          <w:lang w:eastAsia="en-GB"/>
          <w14:ligatures w14:val="none"/>
        </w:rPr>
        <w:t>: Doing a Literature Review in Health and Social Care: A Practical Guide 5e. Open University Press.</w:t>
      </w:r>
    </w:p>
    <w:p w14:paraId="34EC909F" w14:textId="77777777" w:rsidR="001A07CF" w:rsidRPr="001A07CF" w:rsidRDefault="001A07CF" w:rsidP="001A07CF">
      <w:pPr>
        <w:spacing w:line="360" w:lineRule="auto"/>
        <w:ind w:left="720" w:hanging="720"/>
        <w:jc w:val="both"/>
        <w:rPr>
          <w:rFonts w:ascii="Arial" w:eastAsia="Aptos" w:hAnsi="Arial" w:cs="Arial"/>
          <w:color w:val="222222"/>
          <w:sz w:val="22"/>
          <w:szCs w:val="22"/>
          <w:shd w:val="clear" w:color="auto" w:fill="FFFFFF"/>
          <w:lang w:val="en-US"/>
        </w:rPr>
      </w:pPr>
      <w:r w:rsidRPr="001A07CF">
        <w:rPr>
          <w:rFonts w:ascii="Arial" w:eastAsia="Aptos" w:hAnsi="Arial" w:cs="Arial"/>
          <w:color w:val="222222"/>
          <w:sz w:val="22"/>
          <w:szCs w:val="22"/>
          <w:shd w:val="clear" w:color="auto" w:fill="FFFFFF"/>
          <w:lang w:val="en-US"/>
        </w:rPr>
        <w:t xml:space="preserve">de Visser, R.O., </w:t>
      </w:r>
      <w:proofErr w:type="spellStart"/>
      <w:r w:rsidRPr="001A07CF">
        <w:rPr>
          <w:rFonts w:ascii="Arial" w:eastAsia="Aptos" w:hAnsi="Arial" w:cs="Arial"/>
          <w:color w:val="222222"/>
          <w:sz w:val="22"/>
          <w:szCs w:val="22"/>
          <w:shd w:val="clear" w:color="auto" w:fill="FFFFFF"/>
          <w:lang w:val="en-US"/>
        </w:rPr>
        <w:t>Nwamba</w:t>
      </w:r>
      <w:proofErr w:type="spellEnd"/>
      <w:r w:rsidRPr="001A07CF">
        <w:rPr>
          <w:rFonts w:ascii="Arial" w:eastAsia="Aptos" w:hAnsi="Arial" w:cs="Arial"/>
          <w:color w:val="222222"/>
          <w:sz w:val="22"/>
          <w:szCs w:val="22"/>
          <w:shd w:val="clear" w:color="auto" w:fill="FFFFFF"/>
          <w:lang w:val="en-US"/>
        </w:rPr>
        <w:t>, C., Brearley, E., Shafiei, V. and Hart, L. (2024). ‘Remote consultations in primary care: patient experiences and suggestions for improvement.’ </w:t>
      </w:r>
      <w:r w:rsidRPr="001A07CF">
        <w:rPr>
          <w:rFonts w:ascii="Arial" w:eastAsia="Aptos" w:hAnsi="Arial" w:cs="Arial"/>
          <w:i/>
          <w:iCs/>
          <w:color w:val="222222"/>
          <w:sz w:val="22"/>
          <w:szCs w:val="22"/>
          <w:shd w:val="clear" w:color="auto" w:fill="FFFFFF"/>
          <w:lang w:val="en-US"/>
        </w:rPr>
        <w:t>Journal of Health Psychology</w:t>
      </w:r>
      <w:r w:rsidRPr="001A07CF">
        <w:rPr>
          <w:rFonts w:ascii="Arial" w:eastAsia="Aptos" w:hAnsi="Arial" w:cs="Arial"/>
          <w:color w:val="222222"/>
          <w:sz w:val="22"/>
          <w:szCs w:val="22"/>
          <w:shd w:val="clear" w:color="auto" w:fill="FFFFFF"/>
          <w:lang w:val="en-US"/>
        </w:rPr>
        <w:t>, </w:t>
      </w:r>
      <w:r w:rsidRPr="001A07CF">
        <w:rPr>
          <w:rFonts w:ascii="Arial" w:eastAsia="Aptos" w:hAnsi="Arial" w:cs="Arial"/>
          <w:i/>
          <w:iCs/>
          <w:color w:val="222222"/>
          <w:sz w:val="22"/>
          <w:szCs w:val="22"/>
          <w:shd w:val="clear" w:color="auto" w:fill="FFFFFF"/>
          <w:lang w:val="en-US"/>
        </w:rPr>
        <w:t>29</w:t>
      </w:r>
      <w:r w:rsidRPr="001A07CF">
        <w:rPr>
          <w:rFonts w:ascii="Arial" w:eastAsia="Aptos" w:hAnsi="Arial" w:cs="Arial"/>
          <w:color w:val="222222"/>
          <w:sz w:val="22"/>
          <w:szCs w:val="22"/>
          <w:shd w:val="clear" w:color="auto" w:fill="FFFFFF"/>
          <w:lang w:val="en-US"/>
        </w:rPr>
        <w:t xml:space="preserve">(12), pp.1321-1335. </w:t>
      </w:r>
      <w:hyperlink r:id="rId9" w:history="1">
        <w:r w:rsidRPr="001A07CF">
          <w:rPr>
            <w:rFonts w:ascii="Arial" w:eastAsia="Aptos" w:hAnsi="Arial" w:cs="Arial"/>
            <w:color w:val="0000FF"/>
            <w:sz w:val="22"/>
            <w:szCs w:val="22"/>
            <w:u w:val="single"/>
            <w:shd w:val="clear" w:color="auto" w:fill="FFFFFF"/>
            <w:lang w:val="en-US"/>
          </w:rPr>
          <w:t>https://doi.org/10.1177/13591053241240383</w:t>
        </w:r>
      </w:hyperlink>
      <w:r w:rsidRPr="001A07CF">
        <w:rPr>
          <w:rFonts w:ascii="Arial" w:eastAsia="Aptos" w:hAnsi="Arial" w:cs="Arial"/>
          <w:color w:val="222222"/>
          <w:sz w:val="22"/>
          <w:szCs w:val="22"/>
          <w:shd w:val="clear" w:color="auto" w:fill="FFFFFF"/>
          <w:lang w:val="en-US"/>
        </w:rPr>
        <w:t xml:space="preserve"> </w:t>
      </w:r>
    </w:p>
    <w:p w14:paraId="7274F787" w14:textId="77777777"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proofErr w:type="spellStart"/>
      <w:r w:rsidRPr="001A07CF">
        <w:rPr>
          <w:rFonts w:ascii="Arial" w:hAnsi="Arial" w:cs="Arial"/>
          <w:color w:val="222222"/>
          <w:sz w:val="22"/>
          <w:szCs w:val="22"/>
          <w:shd w:val="clear" w:color="auto" w:fill="FFFFFF"/>
        </w:rPr>
        <w:t>Gobburi</w:t>
      </w:r>
      <w:proofErr w:type="spellEnd"/>
      <w:r w:rsidRPr="001A07CF">
        <w:rPr>
          <w:rFonts w:ascii="Arial" w:hAnsi="Arial" w:cs="Arial"/>
          <w:color w:val="222222"/>
          <w:sz w:val="22"/>
          <w:szCs w:val="22"/>
          <w:shd w:val="clear" w:color="auto" w:fill="FFFFFF"/>
        </w:rPr>
        <w:t xml:space="preserve">, R.K., </w:t>
      </w:r>
      <w:proofErr w:type="spellStart"/>
      <w:r w:rsidRPr="001A07CF">
        <w:rPr>
          <w:rFonts w:ascii="Arial" w:hAnsi="Arial" w:cs="Arial"/>
          <w:color w:val="222222"/>
          <w:sz w:val="22"/>
          <w:szCs w:val="22"/>
          <w:shd w:val="clear" w:color="auto" w:fill="FFFFFF"/>
        </w:rPr>
        <w:t>Olawade</w:t>
      </w:r>
      <w:proofErr w:type="spellEnd"/>
      <w:r w:rsidRPr="001A07CF">
        <w:rPr>
          <w:rFonts w:ascii="Arial" w:hAnsi="Arial" w:cs="Arial"/>
          <w:color w:val="222222"/>
          <w:sz w:val="22"/>
          <w:szCs w:val="22"/>
          <w:shd w:val="clear" w:color="auto" w:fill="FFFFFF"/>
        </w:rPr>
        <w:t xml:space="preserve">, D.B., Olatunji, G.D., Kokori, E., </w:t>
      </w:r>
      <w:proofErr w:type="spellStart"/>
      <w:r w:rsidRPr="001A07CF">
        <w:rPr>
          <w:rFonts w:ascii="Arial" w:hAnsi="Arial" w:cs="Arial"/>
          <w:color w:val="222222"/>
          <w:sz w:val="22"/>
          <w:szCs w:val="22"/>
          <w:shd w:val="clear" w:color="auto" w:fill="FFFFFF"/>
        </w:rPr>
        <w:t>Aderinto</w:t>
      </w:r>
      <w:proofErr w:type="spellEnd"/>
      <w:r w:rsidRPr="001A07CF">
        <w:rPr>
          <w:rFonts w:ascii="Arial" w:hAnsi="Arial" w:cs="Arial"/>
          <w:color w:val="222222"/>
          <w:sz w:val="22"/>
          <w:szCs w:val="22"/>
          <w:shd w:val="clear" w:color="auto" w:fill="FFFFFF"/>
        </w:rPr>
        <w:t>, N. and David-Olawade, A.C., 2025. ‘Telemedicine use in rural areas of the United Kingdom to improve access to healthcare facilities: A review of current evidence.’ </w:t>
      </w:r>
      <w:r w:rsidRPr="001A07CF">
        <w:rPr>
          <w:rFonts w:ascii="Arial" w:hAnsi="Arial" w:cs="Arial"/>
          <w:i/>
          <w:iCs/>
          <w:color w:val="222222"/>
          <w:sz w:val="22"/>
          <w:szCs w:val="22"/>
          <w:shd w:val="clear" w:color="auto" w:fill="FFFFFF"/>
        </w:rPr>
        <w:t>Informatics and Health</w:t>
      </w:r>
      <w:r w:rsidRPr="001A07CF">
        <w:rPr>
          <w:rFonts w:ascii="Arial" w:hAnsi="Arial" w:cs="Arial"/>
          <w:color w:val="222222"/>
          <w:sz w:val="22"/>
          <w:szCs w:val="22"/>
          <w:shd w:val="clear" w:color="auto" w:fill="FFFFFF"/>
        </w:rPr>
        <w:t>, </w:t>
      </w:r>
      <w:r w:rsidRPr="001A07CF">
        <w:rPr>
          <w:rFonts w:ascii="Arial" w:hAnsi="Arial" w:cs="Arial"/>
          <w:i/>
          <w:iCs/>
          <w:color w:val="222222"/>
          <w:sz w:val="22"/>
          <w:szCs w:val="22"/>
          <w:shd w:val="clear" w:color="auto" w:fill="FFFFFF"/>
        </w:rPr>
        <w:t>2</w:t>
      </w:r>
      <w:r w:rsidRPr="001A07CF">
        <w:rPr>
          <w:rFonts w:ascii="Arial" w:hAnsi="Arial" w:cs="Arial"/>
          <w:color w:val="222222"/>
          <w:sz w:val="22"/>
          <w:szCs w:val="22"/>
          <w:shd w:val="clear" w:color="auto" w:fill="FFFFFF"/>
        </w:rPr>
        <w:t xml:space="preserve">(1), pp.41-48. </w:t>
      </w:r>
      <w:hyperlink r:id="rId10" w:history="1">
        <w:r w:rsidRPr="001A07CF">
          <w:rPr>
            <w:rStyle w:val="Hyperlink"/>
            <w:rFonts w:ascii="Arial" w:hAnsi="Arial" w:cs="Arial"/>
            <w:sz w:val="22"/>
            <w:szCs w:val="22"/>
            <w:shd w:val="clear" w:color="auto" w:fill="FFFFFF"/>
          </w:rPr>
          <w:t>https://doi.org/10.1016/j.infoh.2025.01.003</w:t>
        </w:r>
      </w:hyperlink>
      <w:r w:rsidRPr="001A07CF">
        <w:rPr>
          <w:rFonts w:ascii="Arial" w:hAnsi="Arial" w:cs="Arial"/>
          <w:color w:val="222222"/>
          <w:sz w:val="22"/>
          <w:szCs w:val="22"/>
          <w:shd w:val="clear" w:color="auto" w:fill="FFFFFF"/>
        </w:rPr>
        <w:t xml:space="preserve"> </w:t>
      </w:r>
    </w:p>
    <w:p w14:paraId="0C48F919" w14:textId="7A88E30B"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r w:rsidRPr="001A07CF">
        <w:rPr>
          <w:rFonts w:ascii="Arial" w:hAnsi="Arial" w:cs="Arial"/>
          <w:color w:val="222222"/>
          <w:sz w:val="22"/>
          <w:szCs w:val="22"/>
          <w:shd w:val="clear" w:color="auto" w:fill="FFFFFF"/>
        </w:rPr>
        <w:t xml:space="preserve">Greenhalgh, T., Ladds, E., Hughes, G., Moore, L., </w:t>
      </w:r>
      <w:proofErr w:type="spellStart"/>
      <w:r w:rsidRPr="001A07CF">
        <w:rPr>
          <w:rFonts w:ascii="Arial" w:hAnsi="Arial" w:cs="Arial"/>
          <w:color w:val="222222"/>
          <w:sz w:val="22"/>
          <w:szCs w:val="22"/>
          <w:shd w:val="clear" w:color="auto" w:fill="FFFFFF"/>
        </w:rPr>
        <w:t>Wherton</w:t>
      </w:r>
      <w:proofErr w:type="spellEnd"/>
      <w:r w:rsidRPr="001A07CF">
        <w:rPr>
          <w:rFonts w:ascii="Arial" w:hAnsi="Arial" w:cs="Arial"/>
          <w:color w:val="222222"/>
          <w:sz w:val="22"/>
          <w:szCs w:val="22"/>
          <w:shd w:val="clear" w:color="auto" w:fill="FFFFFF"/>
        </w:rPr>
        <w:t xml:space="preserve">, J., Shaw, S.E., Papoutsi, C., Wieringa, S., Rosen, R., Rushforth, A. and </w:t>
      </w:r>
      <w:proofErr w:type="spellStart"/>
      <w:r w:rsidRPr="001A07CF">
        <w:rPr>
          <w:rFonts w:ascii="Arial" w:hAnsi="Arial" w:cs="Arial"/>
          <w:color w:val="222222"/>
          <w:sz w:val="22"/>
          <w:szCs w:val="22"/>
          <w:shd w:val="clear" w:color="auto" w:fill="FFFFFF"/>
        </w:rPr>
        <w:t>Rybczynska</w:t>
      </w:r>
      <w:proofErr w:type="spellEnd"/>
      <w:r w:rsidRPr="001A07CF">
        <w:rPr>
          <w:rFonts w:ascii="Arial" w:hAnsi="Arial" w:cs="Arial"/>
          <w:color w:val="222222"/>
          <w:sz w:val="22"/>
          <w:szCs w:val="22"/>
          <w:shd w:val="clear" w:color="auto" w:fill="FFFFFF"/>
        </w:rPr>
        <w:t xml:space="preserve">-Bunt, S., 2022. ‘Why do GPs rarely do video consultations? Qualitative study in UK general practice. British Journal of General Practice. </w:t>
      </w:r>
      <w:hyperlink r:id="rId11" w:history="1">
        <w:r w:rsidRPr="001A07CF">
          <w:rPr>
            <w:rStyle w:val="Hyperlink"/>
            <w:rFonts w:ascii="Arial" w:hAnsi="Arial" w:cs="Arial"/>
            <w:sz w:val="22"/>
            <w:szCs w:val="22"/>
            <w:shd w:val="clear" w:color="auto" w:fill="FFFFFF"/>
          </w:rPr>
          <w:t>https://doi.org/10.3399/BJGP.2021.0658</w:t>
        </w:r>
      </w:hyperlink>
    </w:p>
    <w:p w14:paraId="6688DBB8" w14:textId="77777777"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r w:rsidRPr="001A07CF">
        <w:rPr>
          <w:rFonts w:ascii="Arial" w:hAnsi="Arial" w:cs="Arial"/>
          <w:color w:val="222222"/>
          <w:sz w:val="22"/>
          <w:szCs w:val="22"/>
          <w:shd w:val="clear" w:color="auto" w:fill="FFFFFF"/>
        </w:rPr>
        <w:t>Islam, F., Bailey, S. and Netto, G., 2024. ‘Digitalised primary care in the UK: a qualitative study of the experiences of minoritised ethnic communities.’ </w:t>
      </w:r>
      <w:r w:rsidRPr="001A07CF">
        <w:rPr>
          <w:rFonts w:ascii="Arial" w:hAnsi="Arial" w:cs="Arial"/>
          <w:i/>
          <w:iCs/>
          <w:color w:val="222222"/>
          <w:sz w:val="22"/>
          <w:szCs w:val="22"/>
          <w:shd w:val="clear" w:color="auto" w:fill="FFFFFF"/>
        </w:rPr>
        <w:t>British Journal of General Practice</w:t>
      </w:r>
      <w:r w:rsidRPr="001A07CF">
        <w:rPr>
          <w:rFonts w:ascii="Arial" w:hAnsi="Arial" w:cs="Arial"/>
          <w:color w:val="222222"/>
          <w:sz w:val="22"/>
          <w:szCs w:val="22"/>
          <w:shd w:val="clear" w:color="auto" w:fill="FFFFFF"/>
        </w:rPr>
        <w:t xml:space="preserve">. </w:t>
      </w:r>
      <w:hyperlink r:id="rId12" w:history="1">
        <w:r w:rsidRPr="001A07CF">
          <w:rPr>
            <w:rStyle w:val="Hyperlink"/>
            <w:rFonts w:ascii="Arial" w:hAnsi="Arial" w:cs="Arial"/>
            <w:sz w:val="22"/>
            <w:szCs w:val="22"/>
            <w:shd w:val="clear" w:color="auto" w:fill="FFFFFF"/>
          </w:rPr>
          <w:t>https://doi.org/10.3399/BJGP.2024.0308</w:t>
        </w:r>
      </w:hyperlink>
      <w:r w:rsidRPr="001A07CF">
        <w:rPr>
          <w:rFonts w:ascii="Arial" w:hAnsi="Arial" w:cs="Arial"/>
          <w:color w:val="222222"/>
          <w:sz w:val="22"/>
          <w:szCs w:val="22"/>
          <w:shd w:val="clear" w:color="auto" w:fill="FFFFFF"/>
        </w:rPr>
        <w:t xml:space="preserve"> </w:t>
      </w:r>
    </w:p>
    <w:p w14:paraId="2B61FF0E" w14:textId="77777777" w:rsidR="001A07CF" w:rsidRPr="001A07CF" w:rsidRDefault="001A07CF" w:rsidP="001A07CF">
      <w:pPr>
        <w:spacing w:line="360" w:lineRule="auto"/>
        <w:ind w:left="720" w:hanging="720"/>
        <w:jc w:val="both"/>
        <w:rPr>
          <w:rFonts w:ascii="Arial" w:eastAsia="Aptos" w:hAnsi="Arial" w:cs="Arial"/>
          <w:color w:val="222222"/>
          <w:sz w:val="22"/>
          <w:szCs w:val="22"/>
          <w:shd w:val="clear" w:color="auto" w:fill="FFFFFF"/>
          <w:lang w:val="en-US"/>
        </w:rPr>
      </w:pPr>
      <w:r w:rsidRPr="001A07CF">
        <w:rPr>
          <w:rFonts w:ascii="Arial" w:eastAsia="Aptos" w:hAnsi="Arial" w:cs="Arial"/>
          <w:color w:val="222222"/>
          <w:sz w:val="22"/>
          <w:szCs w:val="22"/>
          <w:shd w:val="clear" w:color="auto" w:fill="FFFFFF"/>
          <w:lang w:val="en-US"/>
        </w:rPr>
        <w:t>Kemp, M., Rising, K.L., Laynor, G., Miao, J., Worster, B., Chang, A.M., Monick, A.J., Guth, A., Esteves Camacho, T., McIntosh, K. and Amadio, G. (2025). ‘Barriers to telehealth uptake and use: a scoping review.’ </w:t>
      </w:r>
      <w:r w:rsidRPr="001A07CF">
        <w:rPr>
          <w:rFonts w:ascii="Arial" w:eastAsia="Aptos" w:hAnsi="Arial" w:cs="Arial"/>
          <w:i/>
          <w:iCs/>
          <w:color w:val="222222"/>
          <w:sz w:val="22"/>
          <w:szCs w:val="22"/>
          <w:shd w:val="clear" w:color="auto" w:fill="FFFFFF"/>
          <w:lang w:val="en-US"/>
        </w:rPr>
        <w:t>JAMIA open</w:t>
      </w:r>
      <w:r w:rsidRPr="001A07CF">
        <w:rPr>
          <w:rFonts w:ascii="Arial" w:eastAsia="Aptos" w:hAnsi="Arial" w:cs="Arial"/>
          <w:color w:val="222222"/>
          <w:sz w:val="22"/>
          <w:szCs w:val="22"/>
          <w:shd w:val="clear" w:color="auto" w:fill="FFFFFF"/>
          <w:lang w:val="en-US"/>
        </w:rPr>
        <w:t>, </w:t>
      </w:r>
      <w:r w:rsidRPr="001A07CF">
        <w:rPr>
          <w:rFonts w:ascii="Arial" w:eastAsia="Aptos" w:hAnsi="Arial" w:cs="Arial"/>
          <w:i/>
          <w:iCs/>
          <w:color w:val="222222"/>
          <w:sz w:val="22"/>
          <w:szCs w:val="22"/>
          <w:shd w:val="clear" w:color="auto" w:fill="FFFFFF"/>
          <w:lang w:val="en-US"/>
        </w:rPr>
        <w:t>8</w:t>
      </w:r>
      <w:r w:rsidRPr="001A07CF">
        <w:rPr>
          <w:rFonts w:ascii="Arial" w:eastAsia="Aptos" w:hAnsi="Arial" w:cs="Arial"/>
          <w:color w:val="222222"/>
          <w:sz w:val="22"/>
          <w:szCs w:val="22"/>
          <w:shd w:val="clear" w:color="auto" w:fill="FFFFFF"/>
          <w:lang w:val="en-US"/>
        </w:rPr>
        <w:t xml:space="preserve">(2), </w:t>
      </w:r>
      <w:proofErr w:type="gramStart"/>
      <w:r w:rsidRPr="001A07CF">
        <w:rPr>
          <w:rFonts w:ascii="Arial" w:eastAsia="Aptos" w:hAnsi="Arial" w:cs="Arial"/>
          <w:color w:val="222222"/>
          <w:sz w:val="22"/>
          <w:szCs w:val="22"/>
          <w:shd w:val="clear" w:color="auto" w:fill="FFFFFF"/>
          <w:lang w:val="en-US"/>
        </w:rPr>
        <w:t>p.ooaf</w:t>
      </w:r>
      <w:proofErr w:type="gramEnd"/>
      <w:r w:rsidRPr="001A07CF">
        <w:rPr>
          <w:rFonts w:ascii="Arial" w:eastAsia="Aptos" w:hAnsi="Arial" w:cs="Arial"/>
          <w:color w:val="222222"/>
          <w:sz w:val="22"/>
          <w:szCs w:val="22"/>
          <w:shd w:val="clear" w:color="auto" w:fill="FFFFFF"/>
          <w:lang w:val="en-US"/>
        </w:rPr>
        <w:t xml:space="preserve">019. </w:t>
      </w:r>
      <w:hyperlink r:id="rId13" w:history="1">
        <w:r w:rsidRPr="001A07CF">
          <w:rPr>
            <w:rFonts w:ascii="Arial" w:eastAsia="Aptos" w:hAnsi="Arial" w:cs="Arial"/>
            <w:color w:val="0000FF"/>
            <w:sz w:val="22"/>
            <w:szCs w:val="22"/>
            <w:u w:val="single"/>
            <w:shd w:val="clear" w:color="auto" w:fill="FFFFFF"/>
            <w:lang w:val="en-US"/>
          </w:rPr>
          <w:t>https://doi.org/10.1093/jamiaopen/ooaf019</w:t>
        </w:r>
      </w:hyperlink>
      <w:r w:rsidRPr="001A07CF">
        <w:rPr>
          <w:rFonts w:ascii="Arial" w:eastAsia="Aptos" w:hAnsi="Arial" w:cs="Arial"/>
          <w:color w:val="222222"/>
          <w:sz w:val="22"/>
          <w:szCs w:val="22"/>
          <w:shd w:val="clear" w:color="auto" w:fill="FFFFFF"/>
          <w:lang w:val="en-US"/>
        </w:rPr>
        <w:t xml:space="preserve"> </w:t>
      </w:r>
    </w:p>
    <w:p w14:paraId="6982946D" w14:textId="40A5556C" w:rsidR="001A07CF" w:rsidRPr="001A07CF" w:rsidRDefault="001A07CF" w:rsidP="001A07CF">
      <w:pPr>
        <w:spacing w:line="360" w:lineRule="auto"/>
        <w:ind w:left="720" w:hanging="720"/>
        <w:jc w:val="both"/>
        <w:rPr>
          <w:rFonts w:ascii="Arial" w:eastAsia="Aptos" w:hAnsi="Arial" w:cs="Arial"/>
          <w:color w:val="222222"/>
          <w:sz w:val="22"/>
          <w:szCs w:val="22"/>
          <w:shd w:val="clear" w:color="auto" w:fill="FFFFFF"/>
          <w:lang w:val="en-US"/>
        </w:rPr>
      </w:pPr>
      <w:r w:rsidRPr="001A07CF">
        <w:rPr>
          <w:rFonts w:ascii="Arial" w:eastAsia="Aptos" w:hAnsi="Arial" w:cs="Arial"/>
          <w:color w:val="222222"/>
          <w:sz w:val="22"/>
          <w:szCs w:val="22"/>
          <w:shd w:val="clear" w:color="auto" w:fill="FFFFFF"/>
          <w:lang w:val="en-US"/>
        </w:rPr>
        <w:t xml:space="preserve">Khalil, H., Jia, R., Moraes, E.B., Munn, Z., Alexander, L., Peters, M.D.J., </w:t>
      </w:r>
      <w:proofErr w:type="spellStart"/>
      <w:r w:rsidRPr="001A07CF">
        <w:rPr>
          <w:rFonts w:ascii="Arial" w:eastAsia="Aptos" w:hAnsi="Arial" w:cs="Arial"/>
          <w:color w:val="222222"/>
          <w:sz w:val="22"/>
          <w:szCs w:val="22"/>
          <w:shd w:val="clear" w:color="auto" w:fill="FFFFFF"/>
          <w:lang w:val="en-US"/>
        </w:rPr>
        <w:t>Asran</w:t>
      </w:r>
      <w:proofErr w:type="spellEnd"/>
      <w:r w:rsidRPr="001A07CF">
        <w:rPr>
          <w:rFonts w:ascii="Arial" w:eastAsia="Aptos" w:hAnsi="Arial" w:cs="Arial"/>
          <w:color w:val="222222"/>
          <w:sz w:val="22"/>
          <w:szCs w:val="22"/>
          <w:shd w:val="clear" w:color="auto" w:fill="FFFFFF"/>
          <w:lang w:val="en-US"/>
        </w:rPr>
        <w:t xml:space="preserve">, A., Godfrey, C.M., </w:t>
      </w:r>
      <w:proofErr w:type="spellStart"/>
      <w:r w:rsidRPr="001A07CF">
        <w:rPr>
          <w:rFonts w:ascii="Arial" w:eastAsia="Aptos" w:hAnsi="Arial" w:cs="Arial"/>
          <w:color w:val="222222"/>
          <w:sz w:val="22"/>
          <w:szCs w:val="22"/>
          <w:shd w:val="clear" w:color="auto" w:fill="FFFFFF"/>
          <w:lang w:val="en-US"/>
        </w:rPr>
        <w:t>Tricco</w:t>
      </w:r>
      <w:proofErr w:type="spellEnd"/>
      <w:r w:rsidRPr="001A07CF">
        <w:rPr>
          <w:rFonts w:ascii="Arial" w:eastAsia="Aptos" w:hAnsi="Arial" w:cs="Arial"/>
          <w:color w:val="222222"/>
          <w:sz w:val="22"/>
          <w:szCs w:val="22"/>
          <w:shd w:val="clear" w:color="auto" w:fill="FFFFFF"/>
          <w:lang w:val="en-US"/>
        </w:rPr>
        <w:t>, A.C., Pollock, D. and Evans, C. (2025). ‘Scoping reviews and their role in identifying research priorities.’ </w:t>
      </w:r>
      <w:r w:rsidRPr="001A07CF">
        <w:rPr>
          <w:rFonts w:ascii="Arial" w:eastAsia="Aptos" w:hAnsi="Arial" w:cs="Arial"/>
          <w:i/>
          <w:iCs/>
          <w:color w:val="222222"/>
          <w:sz w:val="22"/>
          <w:szCs w:val="22"/>
          <w:shd w:val="clear" w:color="auto" w:fill="FFFFFF"/>
          <w:lang w:val="en-US"/>
        </w:rPr>
        <w:t xml:space="preserve">Journal of </w:t>
      </w:r>
      <w:r w:rsidR="00C939A3">
        <w:rPr>
          <w:rFonts w:ascii="Arial" w:eastAsia="Aptos" w:hAnsi="Arial" w:cs="Arial"/>
          <w:i/>
          <w:iCs/>
          <w:color w:val="222222"/>
          <w:sz w:val="22"/>
          <w:szCs w:val="22"/>
          <w:shd w:val="clear" w:color="auto" w:fill="FFFFFF"/>
          <w:lang w:val="en-US"/>
        </w:rPr>
        <w:t>Clinical Epidemiology</w:t>
      </w:r>
      <w:r w:rsidRPr="001A07CF">
        <w:rPr>
          <w:rFonts w:ascii="Arial" w:eastAsia="Aptos" w:hAnsi="Arial" w:cs="Arial"/>
          <w:color w:val="222222"/>
          <w:sz w:val="22"/>
          <w:szCs w:val="22"/>
          <w:shd w:val="clear" w:color="auto" w:fill="FFFFFF"/>
          <w:lang w:val="en-US"/>
        </w:rPr>
        <w:t>, </w:t>
      </w:r>
      <w:r w:rsidRPr="001A07CF">
        <w:rPr>
          <w:rFonts w:ascii="Arial" w:eastAsia="Aptos" w:hAnsi="Arial" w:cs="Arial"/>
          <w:i/>
          <w:iCs/>
          <w:color w:val="222222"/>
          <w:sz w:val="22"/>
          <w:szCs w:val="22"/>
          <w:shd w:val="clear" w:color="auto" w:fill="FFFFFF"/>
          <w:lang w:val="en-US"/>
        </w:rPr>
        <w:t>181</w:t>
      </w:r>
      <w:r w:rsidRPr="001A07CF">
        <w:rPr>
          <w:rFonts w:ascii="Arial" w:eastAsia="Aptos" w:hAnsi="Arial" w:cs="Arial"/>
          <w:color w:val="222222"/>
          <w:sz w:val="22"/>
          <w:szCs w:val="22"/>
          <w:shd w:val="clear" w:color="auto" w:fill="FFFFFF"/>
          <w:lang w:val="en-US"/>
        </w:rPr>
        <w:t xml:space="preserve">, p.111712. </w:t>
      </w:r>
      <w:hyperlink r:id="rId14" w:history="1">
        <w:r w:rsidRPr="001A07CF">
          <w:rPr>
            <w:rFonts w:ascii="Arial" w:eastAsia="Aptos" w:hAnsi="Arial" w:cs="Arial"/>
            <w:color w:val="0000FF"/>
            <w:sz w:val="22"/>
            <w:szCs w:val="22"/>
            <w:u w:val="single"/>
            <w:shd w:val="clear" w:color="auto" w:fill="FFFFFF"/>
            <w:lang w:val="en-US"/>
          </w:rPr>
          <w:t>https://doi.org/10.1016/j.jclinepi.2025.111712</w:t>
        </w:r>
      </w:hyperlink>
      <w:r w:rsidRPr="001A07CF">
        <w:rPr>
          <w:rFonts w:ascii="Arial" w:eastAsia="Aptos" w:hAnsi="Arial" w:cs="Arial"/>
          <w:color w:val="222222"/>
          <w:sz w:val="22"/>
          <w:szCs w:val="22"/>
          <w:shd w:val="clear" w:color="auto" w:fill="FFFFFF"/>
          <w:lang w:val="en-US"/>
        </w:rPr>
        <w:t xml:space="preserve"> </w:t>
      </w:r>
    </w:p>
    <w:p w14:paraId="5184F95B" w14:textId="77777777"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r w:rsidRPr="001A07CF">
        <w:rPr>
          <w:rFonts w:ascii="Arial" w:hAnsi="Arial" w:cs="Arial"/>
          <w:color w:val="222222"/>
          <w:sz w:val="22"/>
          <w:szCs w:val="22"/>
          <w:shd w:val="clear" w:color="auto" w:fill="FFFFFF"/>
        </w:rPr>
        <w:lastRenderedPageBreak/>
        <w:t xml:space="preserve">Murphy, M., Scott, L.J., Salisbury, C., Turner, A., Scott, A., Denholm, R., Lewis, R., Iyer, G., Macleod, J. and Horwood, J., 2021. ‘Implementation of remote consulting in UK primary care following the COVID-19 pandemic: a mixed-methods longitudinal study.’ </w:t>
      </w:r>
      <w:r w:rsidRPr="001A07CF">
        <w:rPr>
          <w:rFonts w:ascii="Arial" w:hAnsi="Arial" w:cs="Arial"/>
          <w:i/>
          <w:iCs/>
          <w:color w:val="222222"/>
          <w:sz w:val="22"/>
          <w:szCs w:val="22"/>
          <w:shd w:val="clear" w:color="auto" w:fill="FFFFFF"/>
        </w:rPr>
        <w:t>British Journal of General Practice</w:t>
      </w:r>
      <w:r w:rsidRPr="001A07CF">
        <w:rPr>
          <w:rFonts w:ascii="Arial" w:hAnsi="Arial" w:cs="Arial"/>
          <w:color w:val="222222"/>
          <w:sz w:val="22"/>
          <w:szCs w:val="22"/>
          <w:shd w:val="clear" w:color="auto" w:fill="FFFFFF"/>
        </w:rPr>
        <w:t xml:space="preserve">. </w:t>
      </w:r>
      <w:hyperlink r:id="rId15" w:history="1">
        <w:r w:rsidRPr="001A07CF">
          <w:rPr>
            <w:rStyle w:val="Hyperlink"/>
            <w:rFonts w:ascii="Arial" w:hAnsi="Arial" w:cs="Arial"/>
            <w:sz w:val="22"/>
            <w:szCs w:val="22"/>
            <w:shd w:val="clear" w:color="auto" w:fill="FFFFFF"/>
          </w:rPr>
          <w:t>https://doi.org/10.3399/BJGP.2020.0948</w:t>
        </w:r>
      </w:hyperlink>
      <w:r w:rsidRPr="001A07CF">
        <w:rPr>
          <w:rFonts w:ascii="Arial" w:hAnsi="Arial" w:cs="Arial"/>
          <w:color w:val="222222"/>
          <w:sz w:val="22"/>
          <w:szCs w:val="22"/>
          <w:shd w:val="clear" w:color="auto" w:fill="FFFFFF"/>
        </w:rPr>
        <w:t xml:space="preserve"> </w:t>
      </w:r>
    </w:p>
    <w:p w14:paraId="755EF724" w14:textId="77777777"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r w:rsidRPr="001A07CF">
        <w:rPr>
          <w:rFonts w:ascii="Arial" w:hAnsi="Arial" w:cs="Arial"/>
          <w:color w:val="222222"/>
          <w:sz w:val="22"/>
          <w:szCs w:val="22"/>
          <w:shd w:val="clear" w:color="auto" w:fill="FFFFFF"/>
        </w:rPr>
        <w:t xml:space="preserve">NHS England (2026). Digital and technology. Available at: </w:t>
      </w:r>
      <w:hyperlink r:id="rId16" w:history="1">
        <w:r w:rsidRPr="001A07CF">
          <w:rPr>
            <w:rStyle w:val="Hyperlink"/>
            <w:rFonts w:ascii="Arial" w:hAnsi="Arial" w:cs="Arial"/>
            <w:sz w:val="22"/>
            <w:szCs w:val="22"/>
            <w:shd w:val="clear" w:color="auto" w:fill="FFFFFF"/>
          </w:rPr>
          <w:t>https://www.england.nhs.uk/mat-transformation/matrons-handbook/digital-and-technology/</w:t>
        </w:r>
      </w:hyperlink>
      <w:r w:rsidRPr="001A07CF">
        <w:rPr>
          <w:rFonts w:ascii="Arial" w:hAnsi="Arial" w:cs="Arial"/>
          <w:color w:val="222222"/>
          <w:sz w:val="22"/>
          <w:szCs w:val="22"/>
          <w:shd w:val="clear" w:color="auto" w:fill="FFFFFF"/>
        </w:rPr>
        <w:t xml:space="preserve"> (Accessed 20 June 2026)</w:t>
      </w:r>
    </w:p>
    <w:p w14:paraId="573C0D2C" w14:textId="77777777"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r w:rsidRPr="001A07CF">
        <w:rPr>
          <w:rFonts w:ascii="Arial" w:hAnsi="Arial" w:cs="Arial"/>
          <w:color w:val="222222"/>
          <w:sz w:val="22"/>
          <w:szCs w:val="22"/>
          <w:shd w:val="clear" w:color="auto" w:fill="FFFFFF"/>
        </w:rPr>
        <w:t xml:space="preserve">NHS England (2023). Telemedicine: A key solution to rural healthcare challenges. Available at: </w:t>
      </w:r>
      <w:hyperlink r:id="rId17" w:history="1">
        <w:r w:rsidRPr="001A07CF">
          <w:rPr>
            <w:rStyle w:val="Hyperlink"/>
            <w:rFonts w:ascii="Arial" w:hAnsi="Arial" w:cs="Arial"/>
            <w:sz w:val="22"/>
            <w:szCs w:val="22"/>
            <w:shd w:val="clear" w:color="auto" w:fill="FFFFFF"/>
          </w:rPr>
          <w:t>https://digital-transformation.hee.nhs.uk/blogs/telemedicine-a-key-solution-to-rural-healthcare-challenges</w:t>
        </w:r>
      </w:hyperlink>
      <w:r w:rsidRPr="001A07CF">
        <w:rPr>
          <w:rFonts w:ascii="Arial" w:hAnsi="Arial" w:cs="Arial"/>
          <w:color w:val="222222"/>
          <w:sz w:val="22"/>
          <w:szCs w:val="22"/>
          <w:shd w:val="clear" w:color="auto" w:fill="FFFFFF"/>
        </w:rPr>
        <w:t xml:space="preserve"> (Accessed 20 June 2026)</w:t>
      </w:r>
    </w:p>
    <w:p w14:paraId="35D23CCF" w14:textId="77777777"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r w:rsidRPr="001A07CF">
        <w:rPr>
          <w:rFonts w:ascii="Arial" w:hAnsi="Arial" w:cs="Arial"/>
          <w:color w:val="222222"/>
          <w:sz w:val="22"/>
          <w:szCs w:val="22"/>
          <w:shd w:val="clear" w:color="auto" w:fill="FFFFFF"/>
        </w:rPr>
        <w:t>Odeh, A., Abdelfattah, E. and Salameh, W., 2024. ‘Privacy-preserving data sharing in telehealth services.’ </w:t>
      </w:r>
      <w:r w:rsidRPr="001A07CF">
        <w:rPr>
          <w:rFonts w:ascii="Arial" w:hAnsi="Arial" w:cs="Arial"/>
          <w:i/>
          <w:iCs/>
          <w:color w:val="222222"/>
          <w:sz w:val="22"/>
          <w:szCs w:val="22"/>
          <w:shd w:val="clear" w:color="auto" w:fill="FFFFFF"/>
        </w:rPr>
        <w:t>Applied Sciences</w:t>
      </w:r>
      <w:r w:rsidRPr="001A07CF">
        <w:rPr>
          <w:rFonts w:ascii="Arial" w:hAnsi="Arial" w:cs="Arial"/>
          <w:color w:val="222222"/>
          <w:sz w:val="22"/>
          <w:szCs w:val="22"/>
          <w:shd w:val="clear" w:color="auto" w:fill="FFFFFF"/>
        </w:rPr>
        <w:t>, </w:t>
      </w:r>
      <w:r w:rsidRPr="001A07CF">
        <w:rPr>
          <w:rFonts w:ascii="Arial" w:hAnsi="Arial" w:cs="Arial"/>
          <w:i/>
          <w:iCs/>
          <w:color w:val="222222"/>
          <w:sz w:val="22"/>
          <w:szCs w:val="22"/>
          <w:shd w:val="clear" w:color="auto" w:fill="FFFFFF"/>
        </w:rPr>
        <w:t>14</w:t>
      </w:r>
      <w:r w:rsidRPr="001A07CF">
        <w:rPr>
          <w:rFonts w:ascii="Arial" w:hAnsi="Arial" w:cs="Arial"/>
          <w:color w:val="222222"/>
          <w:sz w:val="22"/>
          <w:szCs w:val="22"/>
          <w:shd w:val="clear" w:color="auto" w:fill="FFFFFF"/>
        </w:rPr>
        <w:t xml:space="preserve">(23), p.10808. </w:t>
      </w:r>
      <w:hyperlink r:id="rId18" w:history="1">
        <w:r w:rsidRPr="001A07CF">
          <w:rPr>
            <w:rStyle w:val="Hyperlink"/>
            <w:rFonts w:ascii="Arial" w:hAnsi="Arial" w:cs="Arial"/>
            <w:sz w:val="22"/>
            <w:szCs w:val="22"/>
            <w:shd w:val="clear" w:color="auto" w:fill="FFFFFF"/>
          </w:rPr>
          <w:t>https://doi.org/10.3390/app142310808</w:t>
        </w:r>
      </w:hyperlink>
      <w:r w:rsidRPr="001A07CF">
        <w:rPr>
          <w:rFonts w:ascii="Arial" w:hAnsi="Arial" w:cs="Arial"/>
          <w:color w:val="222222"/>
          <w:sz w:val="22"/>
          <w:szCs w:val="22"/>
          <w:shd w:val="clear" w:color="auto" w:fill="FFFFFF"/>
        </w:rPr>
        <w:t xml:space="preserve"> </w:t>
      </w:r>
    </w:p>
    <w:p w14:paraId="5D739349" w14:textId="231EFA08" w:rsidR="001A07CF" w:rsidRPr="001A07CF" w:rsidRDefault="001A07CF" w:rsidP="001A07CF">
      <w:pPr>
        <w:spacing w:line="360" w:lineRule="auto"/>
        <w:ind w:left="720" w:hanging="720"/>
        <w:jc w:val="both"/>
        <w:rPr>
          <w:rFonts w:ascii="Arial" w:eastAsia="Aptos" w:hAnsi="Arial" w:cs="Arial"/>
          <w:sz w:val="22"/>
          <w:szCs w:val="22"/>
        </w:rPr>
      </w:pPr>
      <w:r w:rsidRPr="001A07CF">
        <w:rPr>
          <w:rFonts w:ascii="Arial" w:eastAsia="Aptos" w:hAnsi="Arial" w:cs="Arial"/>
          <w:color w:val="222222"/>
          <w:sz w:val="22"/>
          <w:szCs w:val="22"/>
          <w:shd w:val="clear" w:color="auto" w:fill="FFFFFF"/>
          <w:lang w:val="en-US"/>
        </w:rPr>
        <w:t xml:space="preserve">Sharma, A., Pruthi, M. and Sageena, G. (2022). ‘Adoption of telehealth technologies: an approach to improving </w:t>
      </w:r>
      <w:r w:rsidR="00C939A3">
        <w:rPr>
          <w:rFonts w:ascii="Arial" w:eastAsia="Aptos" w:hAnsi="Arial" w:cs="Arial"/>
          <w:color w:val="222222"/>
          <w:sz w:val="22"/>
          <w:szCs w:val="22"/>
          <w:shd w:val="clear" w:color="auto" w:fill="FFFFFF"/>
          <w:lang w:val="en-US"/>
        </w:rPr>
        <w:t xml:space="preserve">the </w:t>
      </w:r>
      <w:r w:rsidRPr="001A07CF">
        <w:rPr>
          <w:rFonts w:ascii="Arial" w:eastAsia="Aptos" w:hAnsi="Arial" w:cs="Arial"/>
          <w:color w:val="222222"/>
          <w:sz w:val="22"/>
          <w:szCs w:val="22"/>
          <w:shd w:val="clear" w:color="auto" w:fill="FFFFFF"/>
          <w:lang w:val="en-US"/>
        </w:rPr>
        <w:t>healthcare system.’ </w:t>
      </w:r>
      <w:r w:rsidRPr="001A07CF">
        <w:rPr>
          <w:rFonts w:ascii="Arial" w:eastAsia="Aptos" w:hAnsi="Arial" w:cs="Arial"/>
          <w:i/>
          <w:iCs/>
          <w:color w:val="222222"/>
          <w:sz w:val="22"/>
          <w:szCs w:val="22"/>
          <w:shd w:val="clear" w:color="auto" w:fill="FFFFFF"/>
          <w:lang w:val="en-US"/>
        </w:rPr>
        <w:t>Translational medicine communications</w:t>
      </w:r>
      <w:r w:rsidRPr="001A07CF">
        <w:rPr>
          <w:rFonts w:ascii="Arial" w:eastAsia="Aptos" w:hAnsi="Arial" w:cs="Arial"/>
          <w:color w:val="222222"/>
          <w:sz w:val="22"/>
          <w:szCs w:val="22"/>
          <w:shd w:val="clear" w:color="auto" w:fill="FFFFFF"/>
          <w:lang w:val="en-US"/>
        </w:rPr>
        <w:t>, </w:t>
      </w:r>
      <w:r w:rsidRPr="001A07CF">
        <w:rPr>
          <w:rFonts w:ascii="Arial" w:eastAsia="Aptos" w:hAnsi="Arial" w:cs="Arial"/>
          <w:i/>
          <w:iCs/>
          <w:color w:val="222222"/>
          <w:sz w:val="22"/>
          <w:szCs w:val="22"/>
          <w:shd w:val="clear" w:color="auto" w:fill="FFFFFF"/>
          <w:lang w:val="en-US"/>
        </w:rPr>
        <w:t>7</w:t>
      </w:r>
      <w:r w:rsidRPr="001A07CF">
        <w:rPr>
          <w:rFonts w:ascii="Arial" w:eastAsia="Aptos" w:hAnsi="Arial" w:cs="Arial"/>
          <w:color w:val="222222"/>
          <w:sz w:val="22"/>
          <w:szCs w:val="22"/>
          <w:shd w:val="clear" w:color="auto" w:fill="FFFFFF"/>
          <w:lang w:val="en-US"/>
        </w:rPr>
        <w:t xml:space="preserve">(1), p.20. </w:t>
      </w:r>
      <w:hyperlink r:id="rId19" w:history="1">
        <w:r w:rsidRPr="001A07CF">
          <w:rPr>
            <w:rFonts w:ascii="Arial" w:eastAsia="Aptos" w:hAnsi="Arial" w:cs="Arial"/>
            <w:color w:val="0000FF"/>
            <w:sz w:val="22"/>
            <w:szCs w:val="22"/>
            <w:u w:val="single"/>
            <w:shd w:val="clear" w:color="auto" w:fill="FFFFFF"/>
            <w:lang w:val="en-US"/>
          </w:rPr>
          <w:t>https://doi.org/10.1186/s41231-022-00125-5</w:t>
        </w:r>
      </w:hyperlink>
    </w:p>
    <w:p w14:paraId="35E6394D" w14:textId="77777777" w:rsidR="001A07CF" w:rsidRPr="001A07CF" w:rsidRDefault="001A07CF" w:rsidP="001A07CF">
      <w:pPr>
        <w:spacing w:line="360" w:lineRule="auto"/>
        <w:ind w:left="720" w:hanging="720"/>
        <w:jc w:val="both"/>
        <w:rPr>
          <w:rFonts w:ascii="Arial" w:eastAsia="Aptos" w:hAnsi="Arial" w:cs="Arial"/>
          <w:sz w:val="22"/>
          <w:szCs w:val="22"/>
          <w:lang w:val="en-US"/>
        </w:rPr>
      </w:pPr>
      <w:r w:rsidRPr="001A07CF">
        <w:rPr>
          <w:rFonts w:ascii="Arial" w:hAnsi="Arial" w:cs="Arial"/>
          <w:color w:val="222222"/>
          <w:sz w:val="22"/>
          <w:szCs w:val="22"/>
          <w:shd w:val="clear" w:color="auto" w:fill="FFFFFF"/>
        </w:rPr>
        <w:t>Soliman, M., Abdelziz, O., Radwan, A., Shehata, M.S., Ronquillo, C. and Shearer, K., 2026. ‘Secondary use of health data: applications, models, algorithms, and ethical considerations.’ </w:t>
      </w:r>
      <w:r w:rsidRPr="001A07CF">
        <w:rPr>
          <w:rFonts w:ascii="Arial" w:hAnsi="Arial" w:cs="Arial"/>
          <w:i/>
          <w:iCs/>
          <w:color w:val="222222"/>
          <w:sz w:val="22"/>
          <w:szCs w:val="22"/>
          <w:shd w:val="clear" w:color="auto" w:fill="FFFFFF"/>
        </w:rPr>
        <w:t>AI and Ethics</w:t>
      </w:r>
      <w:r w:rsidRPr="001A07CF">
        <w:rPr>
          <w:rFonts w:ascii="Arial" w:hAnsi="Arial" w:cs="Arial"/>
          <w:color w:val="222222"/>
          <w:sz w:val="22"/>
          <w:szCs w:val="22"/>
          <w:shd w:val="clear" w:color="auto" w:fill="FFFFFF"/>
        </w:rPr>
        <w:t>, </w:t>
      </w:r>
      <w:r w:rsidRPr="001A07CF">
        <w:rPr>
          <w:rFonts w:ascii="Arial" w:hAnsi="Arial" w:cs="Arial"/>
          <w:i/>
          <w:iCs/>
          <w:color w:val="222222"/>
          <w:sz w:val="22"/>
          <w:szCs w:val="22"/>
          <w:shd w:val="clear" w:color="auto" w:fill="FFFFFF"/>
        </w:rPr>
        <w:t>6</w:t>
      </w:r>
      <w:r w:rsidRPr="001A07CF">
        <w:rPr>
          <w:rFonts w:ascii="Arial" w:hAnsi="Arial" w:cs="Arial"/>
          <w:color w:val="222222"/>
          <w:sz w:val="22"/>
          <w:szCs w:val="22"/>
          <w:shd w:val="clear" w:color="auto" w:fill="FFFFFF"/>
        </w:rPr>
        <w:t xml:space="preserve">(2), p.165. </w:t>
      </w:r>
      <w:hyperlink r:id="rId20" w:history="1">
        <w:r w:rsidRPr="001A07CF">
          <w:rPr>
            <w:rStyle w:val="Hyperlink"/>
            <w:rFonts w:ascii="Arial" w:hAnsi="Arial" w:cs="Arial"/>
            <w:sz w:val="22"/>
            <w:szCs w:val="22"/>
            <w:shd w:val="clear" w:color="auto" w:fill="FFFFFF"/>
          </w:rPr>
          <w:t>https://doi.org/10.1007/s43681-026-01017-2</w:t>
        </w:r>
      </w:hyperlink>
      <w:r w:rsidRPr="001A07CF">
        <w:rPr>
          <w:rFonts w:ascii="Arial" w:hAnsi="Arial" w:cs="Arial"/>
          <w:color w:val="222222"/>
          <w:sz w:val="22"/>
          <w:szCs w:val="22"/>
          <w:shd w:val="clear" w:color="auto" w:fill="FFFFFF"/>
        </w:rPr>
        <w:t xml:space="preserve"> </w:t>
      </w:r>
    </w:p>
    <w:p w14:paraId="5C311A62" w14:textId="77777777" w:rsidR="001A07CF" w:rsidRPr="001A07CF" w:rsidRDefault="001A07CF" w:rsidP="001A07CF">
      <w:pPr>
        <w:spacing w:line="360" w:lineRule="auto"/>
        <w:ind w:left="720" w:hanging="720"/>
        <w:jc w:val="both"/>
        <w:rPr>
          <w:rFonts w:ascii="Arial" w:eastAsia="Aptos" w:hAnsi="Arial" w:cs="Arial"/>
          <w:color w:val="222222"/>
          <w:sz w:val="22"/>
          <w:szCs w:val="22"/>
          <w:shd w:val="clear" w:color="auto" w:fill="FFFFFF"/>
          <w:lang w:val="en-US"/>
        </w:rPr>
      </w:pPr>
      <w:r w:rsidRPr="001A07CF">
        <w:rPr>
          <w:rFonts w:ascii="Arial" w:eastAsia="Aptos" w:hAnsi="Arial" w:cs="Arial"/>
          <w:color w:val="222222"/>
          <w:sz w:val="22"/>
          <w:szCs w:val="22"/>
          <w:shd w:val="clear" w:color="auto" w:fill="FFFFFF"/>
          <w:lang w:val="en-US"/>
        </w:rPr>
        <w:t xml:space="preserve">Tukur, M., Saad, G., </w:t>
      </w:r>
      <w:proofErr w:type="spellStart"/>
      <w:r w:rsidRPr="001A07CF">
        <w:rPr>
          <w:rFonts w:ascii="Arial" w:eastAsia="Aptos" w:hAnsi="Arial" w:cs="Arial"/>
          <w:color w:val="222222"/>
          <w:sz w:val="22"/>
          <w:szCs w:val="22"/>
          <w:shd w:val="clear" w:color="auto" w:fill="FFFFFF"/>
          <w:lang w:val="en-US"/>
        </w:rPr>
        <w:t>AlShagathrh</w:t>
      </w:r>
      <w:proofErr w:type="spellEnd"/>
      <w:r w:rsidRPr="001A07CF">
        <w:rPr>
          <w:rFonts w:ascii="Arial" w:eastAsia="Aptos" w:hAnsi="Arial" w:cs="Arial"/>
          <w:color w:val="222222"/>
          <w:sz w:val="22"/>
          <w:szCs w:val="22"/>
          <w:shd w:val="clear" w:color="auto" w:fill="FFFFFF"/>
          <w:lang w:val="en-US"/>
        </w:rPr>
        <w:t xml:space="preserve">, F.M., </w:t>
      </w:r>
      <w:proofErr w:type="spellStart"/>
      <w:r w:rsidRPr="001A07CF">
        <w:rPr>
          <w:rFonts w:ascii="Arial" w:eastAsia="Aptos" w:hAnsi="Arial" w:cs="Arial"/>
          <w:color w:val="222222"/>
          <w:sz w:val="22"/>
          <w:szCs w:val="22"/>
          <w:shd w:val="clear" w:color="auto" w:fill="FFFFFF"/>
          <w:lang w:val="en-US"/>
        </w:rPr>
        <w:t>Househ</w:t>
      </w:r>
      <w:proofErr w:type="spellEnd"/>
      <w:r w:rsidRPr="001A07CF">
        <w:rPr>
          <w:rFonts w:ascii="Arial" w:eastAsia="Aptos" w:hAnsi="Arial" w:cs="Arial"/>
          <w:color w:val="222222"/>
          <w:sz w:val="22"/>
          <w:szCs w:val="22"/>
          <w:shd w:val="clear" w:color="auto" w:fill="FFFFFF"/>
          <w:lang w:val="en-US"/>
        </w:rPr>
        <w:t>, M. and Agus, M., 2023. ‘Telehealth interventions during COVID-19 pandemic: a scoping review of applications, challenges, privacy and security issues.’ </w:t>
      </w:r>
      <w:r w:rsidRPr="001A07CF">
        <w:rPr>
          <w:rFonts w:ascii="Arial" w:eastAsia="Aptos" w:hAnsi="Arial" w:cs="Arial"/>
          <w:i/>
          <w:iCs/>
          <w:color w:val="222222"/>
          <w:sz w:val="22"/>
          <w:szCs w:val="22"/>
          <w:shd w:val="clear" w:color="auto" w:fill="FFFFFF"/>
          <w:lang w:val="en-US"/>
        </w:rPr>
        <w:t>BMJ Health &amp; Care Informatics</w:t>
      </w:r>
      <w:r w:rsidRPr="001A07CF">
        <w:rPr>
          <w:rFonts w:ascii="Arial" w:eastAsia="Aptos" w:hAnsi="Arial" w:cs="Arial"/>
          <w:color w:val="222222"/>
          <w:sz w:val="22"/>
          <w:szCs w:val="22"/>
          <w:shd w:val="clear" w:color="auto" w:fill="FFFFFF"/>
          <w:lang w:val="en-US"/>
        </w:rPr>
        <w:t>, </w:t>
      </w:r>
      <w:r w:rsidRPr="001A07CF">
        <w:rPr>
          <w:rFonts w:ascii="Arial" w:eastAsia="Aptos" w:hAnsi="Arial" w:cs="Arial"/>
          <w:i/>
          <w:iCs/>
          <w:color w:val="222222"/>
          <w:sz w:val="22"/>
          <w:szCs w:val="22"/>
          <w:shd w:val="clear" w:color="auto" w:fill="FFFFFF"/>
          <w:lang w:val="en-US"/>
        </w:rPr>
        <w:t>30</w:t>
      </w:r>
      <w:r w:rsidRPr="001A07CF">
        <w:rPr>
          <w:rFonts w:ascii="Arial" w:eastAsia="Aptos" w:hAnsi="Arial" w:cs="Arial"/>
          <w:color w:val="222222"/>
          <w:sz w:val="22"/>
          <w:szCs w:val="22"/>
          <w:shd w:val="clear" w:color="auto" w:fill="FFFFFF"/>
          <w:lang w:val="en-US"/>
        </w:rPr>
        <w:t xml:space="preserve">(1), p.e100676. </w:t>
      </w:r>
      <w:hyperlink r:id="rId21" w:history="1">
        <w:r w:rsidRPr="001A07CF">
          <w:rPr>
            <w:rFonts w:ascii="Arial" w:eastAsia="Aptos" w:hAnsi="Arial" w:cs="Arial"/>
            <w:color w:val="0000FF"/>
            <w:sz w:val="22"/>
            <w:szCs w:val="22"/>
            <w:u w:val="single"/>
            <w:shd w:val="clear" w:color="auto" w:fill="FFFFFF"/>
            <w:lang w:val="en-US"/>
          </w:rPr>
          <w:t>https://doi.org/10.1136/bmjhci-2022-100676</w:t>
        </w:r>
      </w:hyperlink>
      <w:r w:rsidRPr="001A07CF">
        <w:rPr>
          <w:rFonts w:ascii="Arial" w:eastAsia="Aptos" w:hAnsi="Arial" w:cs="Arial"/>
          <w:color w:val="222222"/>
          <w:sz w:val="22"/>
          <w:szCs w:val="22"/>
          <w:shd w:val="clear" w:color="auto" w:fill="FFFFFF"/>
          <w:lang w:val="en-US"/>
        </w:rPr>
        <w:t xml:space="preserve"> </w:t>
      </w:r>
    </w:p>
    <w:p w14:paraId="62CE1284" w14:textId="77777777" w:rsidR="001A07CF" w:rsidRPr="001A07CF" w:rsidRDefault="001A07CF" w:rsidP="001A07CF">
      <w:pPr>
        <w:spacing w:line="360" w:lineRule="auto"/>
        <w:ind w:left="720" w:hanging="720"/>
        <w:jc w:val="both"/>
        <w:rPr>
          <w:rFonts w:ascii="Arial" w:hAnsi="Arial" w:cs="Arial"/>
          <w:color w:val="222222"/>
          <w:sz w:val="22"/>
          <w:szCs w:val="22"/>
          <w:shd w:val="clear" w:color="auto" w:fill="FFFFFF"/>
        </w:rPr>
      </w:pPr>
      <w:r w:rsidRPr="001A07CF">
        <w:rPr>
          <w:rFonts w:ascii="Arial" w:hAnsi="Arial" w:cs="Arial"/>
          <w:color w:val="222222"/>
          <w:sz w:val="22"/>
          <w:szCs w:val="22"/>
          <w:shd w:val="clear" w:color="auto" w:fill="FFFFFF"/>
        </w:rPr>
        <w:t>Turner, A., Morris, R., Rakhra, D., Stevenson, F., McDonagh, L., Hamilton, F., Atherton, H., Farr, M., Blake, S., Banks, J. and Lasseter, G., 2021. ‘Unintended consequences of online consultations: a qualitative study in UK primary care.’ </w:t>
      </w:r>
      <w:r w:rsidRPr="001A07CF">
        <w:rPr>
          <w:rFonts w:ascii="Arial" w:hAnsi="Arial" w:cs="Arial"/>
          <w:i/>
          <w:iCs/>
          <w:color w:val="222222"/>
          <w:sz w:val="22"/>
          <w:szCs w:val="22"/>
          <w:shd w:val="clear" w:color="auto" w:fill="FFFFFF"/>
        </w:rPr>
        <w:t>British Journal of General Practice</w:t>
      </w:r>
      <w:r w:rsidRPr="001A07CF">
        <w:rPr>
          <w:rFonts w:ascii="Arial" w:hAnsi="Arial" w:cs="Arial"/>
          <w:color w:val="222222"/>
          <w:sz w:val="22"/>
          <w:szCs w:val="22"/>
          <w:shd w:val="clear" w:color="auto" w:fill="FFFFFF"/>
        </w:rPr>
        <w:t xml:space="preserve">. </w:t>
      </w:r>
      <w:hyperlink r:id="rId22" w:history="1">
        <w:r w:rsidRPr="001A07CF">
          <w:rPr>
            <w:rStyle w:val="Hyperlink"/>
            <w:rFonts w:ascii="Arial" w:hAnsi="Arial" w:cs="Arial"/>
            <w:sz w:val="22"/>
            <w:szCs w:val="22"/>
            <w:shd w:val="clear" w:color="auto" w:fill="FFFFFF"/>
          </w:rPr>
          <w:t>https://doi.org/10.3399/BJGP.2021.0426</w:t>
        </w:r>
      </w:hyperlink>
      <w:r w:rsidRPr="001A07CF">
        <w:rPr>
          <w:rFonts w:ascii="Arial" w:hAnsi="Arial" w:cs="Arial"/>
          <w:color w:val="222222"/>
          <w:sz w:val="22"/>
          <w:szCs w:val="22"/>
          <w:shd w:val="clear" w:color="auto" w:fill="FFFFFF"/>
        </w:rPr>
        <w:t xml:space="preserve"> </w:t>
      </w:r>
    </w:p>
    <w:p w14:paraId="16A947E5" w14:textId="77777777" w:rsidR="001A07CF" w:rsidRPr="001A07CF" w:rsidRDefault="001A07CF" w:rsidP="001A07CF">
      <w:pPr>
        <w:spacing w:line="360" w:lineRule="auto"/>
        <w:ind w:left="720" w:hanging="720"/>
        <w:jc w:val="both"/>
        <w:rPr>
          <w:rFonts w:ascii="Arial" w:hAnsi="Arial" w:cs="Arial"/>
          <w:sz w:val="22"/>
          <w:szCs w:val="22"/>
          <w:lang w:val="en-US"/>
        </w:rPr>
      </w:pPr>
      <w:r w:rsidRPr="001A07CF">
        <w:rPr>
          <w:rFonts w:ascii="Arial" w:hAnsi="Arial" w:cs="Arial"/>
          <w:sz w:val="22"/>
          <w:szCs w:val="22"/>
          <w:lang w:val="en-US"/>
        </w:rPr>
        <w:t xml:space="preserve">World Health </w:t>
      </w:r>
      <w:proofErr w:type="spellStart"/>
      <w:r w:rsidRPr="001A07CF">
        <w:rPr>
          <w:rFonts w:ascii="Arial" w:hAnsi="Arial" w:cs="Arial"/>
          <w:sz w:val="22"/>
          <w:szCs w:val="22"/>
          <w:lang w:val="en-US"/>
        </w:rPr>
        <w:t>Organisation</w:t>
      </w:r>
      <w:proofErr w:type="spellEnd"/>
      <w:r w:rsidRPr="001A07CF">
        <w:rPr>
          <w:rFonts w:ascii="Arial" w:hAnsi="Arial" w:cs="Arial"/>
          <w:sz w:val="22"/>
          <w:szCs w:val="22"/>
          <w:lang w:val="en-US"/>
        </w:rPr>
        <w:t xml:space="preserve"> (2021). Global strategy on digital health 2020-2025. Available at: </w:t>
      </w:r>
      <w:hyperlink r:id="rId23" w:history="1">
        <w:r w:rsidRPr="001A07CF">
          <w:rPr>
            <w:rStyle w:val="Hyperlink"/>
            <w:rFonts w:ascii="Arial" w:hAnsi="Arial" w:cs="Arial"/>
            <w:sz w:val="22"/>
            <w:szCs w:val="22"/>
            <w:lang w:val="en-US"/>
          </w:rPr>
          <w:t>https://www.who.int/publications/i/item/9789240020924</w:t>
        </w:r>
      </w:hyperlink>
      <w:r w:rsidRPr="001A07CF">
        <w:rPr>
          <w:rFonts w:ascii="Arial" w:hAnsi="Arial" w:cs="Arial"/>
          <w:sz w:val="22"/>
          <w:szCs w:val="22"/>
          <w:lang w:val="en-US"/>
        </w:rPr>
        <w:t xml:space="preserve"> (Accessed 20 June 2026)</w:t>
      </w:r>
    </w:p>
    <w:p w14:paraId="7737CBEB" w14:textId="77777777" w:rsidR="001A07CF" w:rsidRPr="001A07CF" w:rsidRDefault="001A07CF" w:rsidP="001A07CF">
      <w:pPr>
        <w:spacing w:line="360" w:lineRule="auto"/>
        <w:ind w:left="720" w:hanging="720"/>
        <w:jc w:val="both"/>
        <w:rPr>
          <w:rFonts w:ascii="Arial" w:hAnsi="Arial" w:cs="Arial"/>
          <w:sz w:val="22"/>
          <w:szCs w:val="22"/>
        </w:rPr>
      </w:pPr>
    </w:p>
    <w:p w14:paraId="508CB84B" w14:textId="77777777" w:rsidR="00CE54AB" w:rsidRPr="001A07CF" w:rsidRDefault="00CE54AB">
      <w:pPr>
        <w:rPr>
          <w:rFonts w:ascii="Arial" w:hAnsi="Arial" w:cs="Arial"/>
          <w:sz w:val="22"/>
          <w:szCs w:val="22"/>
        </w:rPr>
      </w:pPr>
    </w:p>
    <w:sectPr w:rsidR="00CE54AB" w:rsidRPr="001A07CF" w:rsidSect="001A07CF">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4A257" w14:textId="77777777" w:rsidR="006C2DC4" w:rsidRDefault="006C2DC4">
      <w:pPr>
        <w:spacing w:after="0" w:line="240" w:lineRule="auto"/>
      </w:pPr>
      <w:r>
        <w:separator/>
      </w:r>
    </w:p>
  </w:endnote>
  <w:endnote w:type="continuationSeparator" w:id="0">
    <w:p w14:paraId="7FC7BAAC" w14:textId="77777777" w:rsidR="006C2DC4" w:rsidRDefault="006C2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DE459" w14:textId="77777777" w:rsidR="006C2DC4" w:rsidRDefault="006C2DC4">
      <w:pPr>
        <w:spacing w:after="0" w:line="240" w:lineRule="auto"/>
      </w:pPr>
      <w:r>
        <w:separator/>
      </w:r>
    </w:p>
  </w:footnote>
  <w:footnote w:type="continuationSeparator" w:id="0">
    <w:p w14:paraId="242BB796" w14:textId="77777777" w:rsidR="006C2DC4" w:rsidRDefault="006C2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4214490"/>
      <w:docPartObj>
        <w:docPartGallery w:val="Page Numbers (Top of Page)"/>
        <w:docPartUnique/>
      </w:docPartObj>
    </w:sdtPr>
    <w:sdtEndPr>
      <w:rPr>
        <w:noProof/>
      </w:rPr>
    </w:sdtEndPr>
    <w:sdtContent>
      <w:p w14:paraId="3296EB43" w14:textId="77777777" w:rsidR="001A07CF" w:rsidRDefault="001A07CF">
        <w:pPr>
          <w:pStyle w:val="Header"/>
          <w:jc w:val="right"/>
        </w:pPr>
        <w:r>
          <w:t xml:space="preserve">Telehealth in Primary Care     </w:t>
        </w:r>
        <w:r>
          <w:fldChar w:fldCharType="begin"/>
        </w:r>
        <w:r>
          <w:instrText xml:space="preserve"> PAGE   \* MERGEFORMAT </w:instrText>
        </w:r>
        <w:r>
          <w:fldChar w:fldCharType="separate"/>
        </w:r>
        <w:r>
          <w:rPr>
            <w:noProof/>
          </w:rPr>
          <w:t>2</w:t>
        </w:r>
        <w:r>
          <w:rPr>
            <w:noProof/>
          </w:rPr>
          <w:fldChar w:fldCharType="end"/>
        </w:r>
      </w:p>
    </w:sdtContent>
  </w:sdt>
  <w:p w14:paraId="62CC2A9A" w14:textId="77777777" w:rsidR="001A07CF" w:rsidRDefault="001A07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41B37"/>
    <w:multiLevelType w:val="hybridMultilevel"/>
    <w:tmpl w:val="CD0261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19F1454"/>
    <w:multiLevelType w:val="hybridMultilevel"/>
    <w:tmpl w:val="1CCC3EC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31BC3A9A"/>
    <w:multiLevelType w:val="hybridMultilevel"/>
    <w:tmpl w:val="C4A0AC7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5FA052E"/>
    <w:multiLevelType w:val="hybridMultilevel"/>
    <w:tmpl w:val="B2BC63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71981AA7"/>
    <w:multiLevelType w:val="hybridMultilevel"/>
    <w:tmpl w:val="6E94A55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567153637">
    <w:abstractNumId w:val="4"/>
  </w:num>
  <w:num w:numId="2" w16cid:durableId="1612274343">
    <w:abstractNumId w:val="0"/>
  </w:num>
  <w:num w:numId="3" w16cid:durableId="1723089411">
    <w:abstractNumId w:val="2"/>
  </w:num>
  <w:num w:numId="4" w16cid:durableId="1756897542">
    <w:abstractNumId w:val="1"/>
  </w:num>
  <w:num w:numId="5" w16cid:durableId="17771665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7CF"/>
    <w:rsid w:val="0014295F"/>
    <w:rsid w:val="001459F9"/>
    <w:rsid w:val="001A07CF"/>
    <w:rsid w:val="00215AC5"/>
    <w:rsid w:val="00285963"/>
    <w:rsid w:val="003B4319"/>
    <w:rsid w:val="00423834"/>
    <w:rsid w:val="005B63B0"/>
    <w:rsid w:val="005E5C9F"/>
    <w:rsid w:val="00651B69"/>
    <w:rsid w:val="0067183B"/>
    <w:rsid w:val="00693263"/>
    <w:rsid w:val="006C2DC4"/>
    <w:rsid w:val="006E3F8A"/>
    <w:rsid w:val="006E72C4"/>
    <w:rsid w:val="00723414"/>
    <w:rsid w:val="007F00FE"/>
    <w:rsid w:val="00832C99"/>
    <w:rsid w:val="00944414"/>
    <w:rsid w:val="00AB5345"/>
    <w:rsid w:val="00B50ED9"/>
    <w:rsid w:val="00BF3B76"/>
    <w:rsid w:val="00C939A3"/>
    <w:rsid w:val="00CD6E84"/>
    <w:rsid w:val="00CE54AB"/>
    <w:rsid w:val="00D16ECD"/>
    <w:rsid w:val="00DE5EEE"/>
    <w:rsid w:val="00ED3E89"/>
    <w:rsid w:val="00F77BB9"/>
    <w:rsid w:val="00FA7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3DCC7"/>
  <w15:chartTrackingRefBased/>
  <w15:docId w15:val="{2185C48E-372E-4841-82F6-E8B24811E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7CF"/>
    <w:pPr>
      <w:spacing w:line="480" w:lineRule="auto"/>
    </w:pPr>
    <w:rPr>
      <w:rFonts w:ascii="Times New Roman" w:hAnsi="Times New Roman"/>
    </w:rPr>
  </w:style>
  <w:style w:type="paragraph" w:styleId="Heading1">
    <w:name w:val="heading 1"/>
    <w:basedOn w:val="Normal"/>
    <w:next w:val="Normal"/>
    <w:link w:val="Heading1Char"/>
    <w:uiPriority w:val="9"/>
    <w:qFormat/>
    <w:rsid w:val="001A07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0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0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7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0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0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7CF"/>
    <w:rPr>
      <w:rFonts w:eastAsiaTheme="majorEastAsia" w:cstheme="majorBidi"/>
      <w:color w:val="272727" w:themeColor="text1" w:themeTint="D8"/>
    </w:rPr>
  </w:style>
  <w:style w:type="paragraph" w:styleId="Title">
    <w:name w:val="Title"/>
    <w:basedOn w:val="Normal"/>
    <w:next w:val="Normal"/>
    <w:link w:val="TitleChar"/>
    <w:uiPriority w:val="10"/>
    <w:qFormat/>
    <w:rsid w:val="001A0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7CF"/>
    <w:pPr>
      <w:spacing w:before="160"/>
      <w:jc w:val="center"/>
    </w:pPr>
    <w:rPr>
      <w:i/>
      <w:iCs/>
      <w:color w:val="404040" w:themeColor="text1" w:themeTint="BF"/>
    </w:rPr>
  </w:style>
  <w:style w:type="character" w:customStyle="1" w:styleId="QuoteChar">
    <w:name w:val="Quote Char"/>
    <w:basedOn w:val="DefaultParagraphFont"/>
    <w:link w:val="Quote"/>
    <w:uiPriority w:val="29"/>
    <w:rsid w:val="001A07CF"/>
    <w:rPr>
      <w:i/>
      <w:iCs/>
      <w:color w:val="404040" w:themeColor="text1" w:themeTint="BF"/>
    </w:rPr>
  </w:style>
  <w:style w:type="paragraph" w:styleId="ListParagraph">
    <w:name w:val="List Paragraph"/>
    <w:basedOn w:val="Normal"/>
    <w:uiPriority w:val="34"/>
    <w:qFormat/>
    <w:rsid w:val="001A07CF"/>
    <w:pPr>
      <w:ind w:left="720"/>
      <w:contextualSpacing/>
    </w:pPr>
  </w:style>
  <w:style w:type="character" w:styleId="IntenseEmphasis">
    <w:name w:val="Intense Emphasis"/>
    <w:basedOn w:val="DefaultParagraphFont"/>
    <w:uiPriority w:val="21"/>
    <w:qFormat/>
    <w:rsid w:val="001A07CF"/>
    <w:rPr>
      <w:i/>
      <w:iCs/>
      <w:color w:val="0F4761" w:themeColor="accent1" w:themeShade="BF"/>
    </w:rPr>
  </w:style>
  <w:style w:type="paragraph" w:styleId="IntenseQuote">
    <w:name w:val="Intense Quote"/>
    <w:basedOn w:val="Normal"/>
    <w:next w:val="Normal"/>
    <w:link w:val="IntenseQuoteChar"/>
    <w:uiPriority w:val="30"/>
    <w:qFormat/>
    <w:rsid w:val="001A0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7CF"/>
    <w:rPr>
      <w:i/>
      <w:iCs/>
      <w:color w:val="0F4761" w:themeColor="accent1" w:themeShade="BF"/>
    </w:rPr>
  </w:style>
  <w:style w:type="character" w:styleId="IntenseReference">
    <w:name w:val="Intense Reference"/>
    <w:basedOn w:val="DefaultParagraphFont"/>
    <w:uiPriority w:val="32"/>
    <w:qFormat/>
    <w:rsid w:val="001A07CF"/>
    <w:rPr>
      <w:b/>
      <w:bCs/>
      <w:smallCaps/>
      <w:color w:val="0F4761" w:themeColor="accent1" w:themeShade="BF"/>
      <w:spacing w:val="5"/>
    </w:rPr>
  </w:style>
  <w:style w:type="table" w:styleId="TableGrid">
    <w:name w:val="Table Grid"/>
    <w:basedOn w:val="TableNormal"/>
    <w:uiPriority w:val="39"/>
    <w:rsid w:val="001A07CF"/>
    <w:pPr>
      <w:spacing w:after="0" w:line="240" w:lineRule="auto"/>
    </w:pPr>
    <w:rPr>
      <w:rFonts w:ascii="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A07CF"/>
    <w:rPr>
      <w:color w:val="467886" w:themeColor="hyperlink"/>
      <w:u w:val="single"/>
    </w:rPr>
  </w:style>
  <w:style w:type="paragraph" w:styleId="Header">
    <w:name w:val="header"/>
    <w:basedOn w:val="Normal"/>
    <w:link w:val="HeaderChar"/>
    <w:uiPriority w:val="99"/>
    <w:unhideWhenUsed/>
    <w:rsid w:val="001A0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7CF"/>
    <w:rPr>
      <w:rFonts w:ascii="Times New Roman" w:hAnsi="Times New Roman"/>
    </w:rPr>
  </w:style>
  <w:style w:type="paragraph" w:styleId="TOCHeading">
    <w:name w:val="TOC Heading"/>
    <w:basedOn w:val="Heading1"/>
    <w:next w:val="Normal"/>
    <w:uiPriority w:val="39"/>
    <w:unhideWhenUsed/>
    <w:qFormat/>
    <w:rsid w:val="001A07C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A07CF"/>
    <w:pPr>
      <w:spacing w:after="100"/>
      <w:ind w:left="240"/>
    </w:pPr>
  </w:style>
  <w:style w:type="paragraph" w:styleId="TOC1">
    <w:name w:val="toc 1"/>
    <w:basedOn w:val="Normal"/>
    <w:next w:val="Normal"/>
    <w:autoRedefine/>
    <w:uiPriority w:val="39"/>
    <w:unhideWhenUsed/>
    <w:rsid w:val="001A07CF"/>
    <w:pPr>
      <w:spacing w:after="100"/>
    </w:pPr>
  </w:style>
  <w:style w:type="paragraph" w:styleId="TOC3">
    <w:name w:val="toc 3"/>
    <w:basedOn w:val="Normal"/>
    <w:next w:val="Normal"/>
    <w:autoRedefine/>
    <w:uiPriority w:val="39"/>
    <w:unhideWhenUsed/>
    <w:rsid w:val="001A07C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0552076241233969" TargetMode="External"/><Relationship Id="rId13" Type="http://schemas.openxmlformats.org/officeDocument/2006/relationships/hyperlink" Target="https://doi.org/10.1093/jamiaopen/ooaf019" TargetMode="External"/><Relationship Id="rId18" Type="http://schemas.openxmlformats.org/officeDocument/2006/relationships/hyperlink" Target="https://doi.org/10.3390/app14231080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36/bmjhci-2022-100676" TargetMode="External"/><Relationship Id="rId7" Type="http://schemas.openxmlformats.org/officeDocument/2006/relationships/hyperlink" Target="https://doi.org/10.1080/19932820.2024.2301829" TargetMode="External"/><Relationship Id="rId12" Type="http://schemas.openxmlformats.org/officeDocument/2006/relationships/hyperlink" Target="https://doi.org/10.3399/BJGP.2024.0308" TargetMode="External"/><Relationship Id="rId17" Type="http://schemas.openxmlformats.org/officeDocument/2006/relationships/hyperlink" Target="https://digital-transformation.hee.nhs.uk/blogs/telemedicine-a-key-solution-to-rural-healthcare-challeng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gland.nhs.uk/mat-transformation/matrons-handbook/digital-and-technology/" TargetMode="External"/><Relationship Id="rId20" Type="http://schemas.openxmlformats.org/officeDocument/2006/relationships/hyperlink" Target="https://doi.org/10.1007/s43681-026-0101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9/BJGP.2021.0658"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3399/BJGP.2020.0948" TargetMode="External"/><Relationship Id="rId23" Type="http://schemas.openxmlformats.org/officeDocument/2006/relationships/hyperlink" Target="https://www.who.int/publications/i/item/9789240020924" TargetMode="External"/><Relationship Id="rId10" Type="http://schemas.openxmlformats.org/officeDocument/2006/relationships/hyperlink" Target="https://doi.org/10.1016/j.infoh.2025.01.003" TargetMode="External"/><Relationship Id="rId19" Type="http://schemas.openxmlformats.org/officeDocument/2006/relationships/hyperlink" Target="https://doi.org/10.1186/s41231-022-00125-5" TargetMode="External"/><Relationship Id="rId4" Type="http://schemas.openxmlformats.org/officeDocument/2006/relationships/webSettings" Target="webSettings.xml"/><Relationship Id="rId9" Type="http://schemas.openxmlformats.org/officeDocument/2006/relationships/hyperlink" Target="https://doi.org/10.1177/13591053241240383" TargetMode="External"/><Relationship Id="rId14" Type="http://schemas.openxmlformats.org/officeDocument/2006/relationships/hyperlink" Target="https://doi.org/10.1016/j.jclinepi.2025.111712" TargetMode="External"/><Relationship Id="rId22" Type="http://schemas.openxmlformats.org/officeDocument/2006/relationships/hyperlink" Target="https://doi.org/10.3399/BJGP.2021.04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15</Pages>
  <Words>4920</Words>
  <Characters>28048</Characters>
  <Application>Microsoft Office Word</Application>
  <DocSecurity>0</DocSecurity>
  <Lines>233</Lines>
  <Paragraphs>65</Paragraphs>
  <ScaleCrop>false</ScaleCrop>
  <Company/>
  <LinksUpToDate>false</LinksUpToDate>
  <CharactersWithSpaces>32903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Haroon (2411422)</dc:creator>
  <cp:keywords/>
  <dc:description/>
  <cp:lastModifiedBy>Gazala Haroon (2411422)</cp:lastModifiedBy>
  <cp:revision>25</cp:revision>
  <dcterms:created xsi:type="dcterms:W3CDTF">2026-07-16T11:22:00Z</dcterms:created>
  <dcterms:modified xsi:type="dcterms:W3CDTF">2026-07-16T12:25:00Z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5d78ecda-3e4e-4749-8ef6-c7bebf54272b</vt:lpwstr>
  </property>
</Properties>
</file>