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word/glossary/websettings.xml" ContentType="application/vnd.openxmlformats-officedocument.wordprocessingml.webSettings+xml"/>
  <Override PartName="/word/glossary/fonttable.xml" ContentType="application/vnd.openxmlformats-officedocument.wordprocessingml.fontTable+xml"/>
  <Override PartName="/word/numbering.xml" ContentType="application/vnd.openxmlformats-officedocument.wordprocessingml.numbering+xml"/>
  <Override PartName="/word/glossary/document.xml" ContentType="application/vnd.openxmlformats-officedocument.wordprocessingml.document.glossary+xml"/>
  <Override PartName="/word/glossary/settings.xml" ContentType="application/vnd.openxmlformats-officedocument.wordprocessingml.settings+xml"/>
  <Override PartName="/word/fonttable.xml" ContentType="application/vnd.openxmlformats-officedocument.wordprocessingml.fontTable+xml"/>
  <Override PartName="/word/endnotes.xml" ContentType="application/vnd.openxmlformats-officedocument.wordprocessingml.endnotes+xml"/>
  <Override PartName="/word/footnotes.xml" ContentType="application/vnd.openxmlformats-officedocument.wordprocessingml.footnotes+xml"/>
  <Override PartName="/word/theme/theme1.xml" ContentType="application/vnd.openxmlformats-officedocument.theme+xml"/>
  <Override PartName="/word/websettings.xml" ContentType="application/vnd.openxmlformats-officedocument.wordprocessingml.webSettings+xml"/>
  <Override PartName="/word/settings.xml" ContentType="application/vnd.openxmlformats-officedocument.wordprocessingml.settings+xml"/>
  <Override PartName="/word/footer1.xml" ContentType="application/vnd.openxmlformats-officedocument.wordprocessingml.footer+xml"/>
  <Override PartName="/word/styles.xml" ContentType="application/vnd.openxmlformats-officedocument.wordprocessingml.styles+xml"/>
  <Override PartName="/customxml/itemprops1.xml" ContentType="application/vnd.openxmlformats-officedocument.customXmlProperties+xml"/>
  <Override PartName="/docprops/app.xml" ContentType="application/vnd.openxmlformats-officedocument.extended-properties+xml"/>
  <Override PartName="/word/glossary/styles.xml" ContentType="application/vnd.openxmlformats-officedocument.wordprocessingml.styles+xml"/>
  <Override PartName="/word/document.xml" ContentType="application/vnd.openxmlformats-officedocument.wordprocessingml.document.main+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w:body>
    <w:p>
      <w:pPr>
        <w:pStyle w:val="NoSpacing"/>
        <w:spacing w:before="1540" w:after="240"/>
        <w:jc w:val="center"/>
        <w:rPr>
          <w:color w:val="4472c4" w:themeColor="accent1"/>
        </w:rPr>
      </w:pPr>
    </w:p>
    <w:p>
      <w:pPr>
        <w:pStyle w:val="NoSpacing"/>
        <w:pBdr>
          <w:top w:val="single" w:color="4472c4" w:themeColor="accent1" w:sz="6" w:space="6"/>
          <w:bottom w:val="single" w:color="4472c4" w:themeColor="accent1" w:sz="6" w:space="6"/>
        </w:pBdr>
        <w:spacing w:after="240"/>
        <w:jc w:val="center"/>
        <w:rPr>
          <w:rFonts w:ascii="Times New Roman" w:cs="Times New Roman" w:eastAsiaTheme="majorEastAsia" w:hAnsi="Times New Roman"/>
          <w:caps/>
          <w:sz w:val="56"/>
          <w:szCs w:val="56"/>
        </w:rPr>
      </w:pPr>
      <w:r>
        <w:rPr>
          <w:rFonts w:ascii="Times New Roman" w:cs="Times New Roman" w:eastAsiaTheme="majorEastAsia" w:hAnsi="Times New Roman"/>
          <w:caps/>
          <w:sz w:val="56"/>
          <w:szCs w:val="56"/>
        </w:rPr>
        <w:t>Marketing fundamentals(lbc4004)</w:t>
      </w:r>
    </w:p>
    <w:p>
      <w:pPr>
        <w:pStyle w:val="NoSpacing"/>
        <w:pBdr>
          <w:top w:val="single" w:color="4472c4" w:themeColor="accent1" w:sz="6" w:space="6"/>
          <w:bottom w:val="single" w:color="4472c4" w:themeColor="accent1" w:sz="6" w:space="6"/>
        </w:pBdr>
        <w:spacing w:after="240"/>
        <w:jc w:val="center"/>
        <w:rPr>
          <w:rFonts w:ascii="Times New Roman" w:cs="Times New Roman" w:eastAsiaTheme="majorEastAsia" w:hAnsi="Times New Roman"/>
          <w:caps/>
          <w:sz w:val="56"/>
          <w:szCs w:val="56"/>
        </w:rPr>
      </w:pPr>
      <w:r>
        <w:rPr>
          <w:rFonts w:ascii="Times New Roman" w:cs="Times New Roman" w:eastAsiaTheme="majorEastAsia" w:hAnsi="Times New Roman"/>
          <w:caps/>
          <w:sz w:val="56"/>
          <w:szCs w:val="56"/>
        </w:rPr>
        <w:t>Assessment 2: Analysis and Evaluation</w:t>
      </w:r>
    </w:p>
    <w:p>
      <w:pPr>
        <w:pStyle w:val="NoSpacing"/>
        <w:pBdr>
          <w:top w:val="single" w:color="4472c4" w:themeColor="accent1" w:sz="6" w:space="6"/>
          <w:bottom w:val="single" w:color="4472c4" w:themeColor="accent1" w:sz="6" w:space="6"/>
        </w:pBdr>
        <w:spacing w:after="240"/>
        <w:jc w:val="center"/>
        <w:rPr>
          <w:rFonts w:ascii="Times New Roman" w:cs="Times New Roman" w:hAnsi="Times New Roman"/>
          <w:sz w:val="28"/>
          <w:szCs w:val="28"/>
        </w:rPr>
      </w:pPr>
      <w:r>
        <w:rPr>
          <w:rFonts w:ascii="Times New Roman" w:cs="Times New Roman" w:hAnsi="Times New Roman"/>
          <w:sz w:val="28"/>
          <w:szCs w:val="28"/>
        </w:rPr>
        <w:t>STUDENT ID:</w:t>
      </w:r>
      <w:r>
        <w:rPr>
          <w:rFonts w:ascii="Times New Roman" w:cs="Times New Roman" w:hAnsi="Times New Roman"/>
          <w:sz w:val="28"/>
          <w:szCs w:val="28"/>
        </w:rPr>
        <w:t xml:space="preserve"> 2114679</w:t>
      </w:r>
    </w:p>
    <w:p>
      <w:pPr>
        <w:pStyle w:val="NoSpacing"/>
        <w:pBdr>
          <w:top w:val="single" w:color="4472c4" w:themeColor="accent1" w:sz="6" w:space="6"/>
          <w:bottom w:val="single" w:color="4472c4" w:themeColor="accent1" w:sz="6" w:space="6"/>
        </w:pBdr>
        <w:spacing w:after="240"/>
        <w:jc w:val="center"/>
        <w:rPr>
          <w:rFonts w:ascii="Times New Roman" w:cs="Times New Roman" w:hAnsi="Times New Roman"/>
          <w:sz w:val="28"/>
          <w:szCs w:val="28"/>
        </w:rPr>
      </w:pPr>
      <w:r>
        <w:rPr>
          <w:rFonts w:ascii="Times New Roman" w:cs="Times New Roman" w:hAnsi="Times New Roman"/>
          <w:sz w:val="28"/>
          <w:szCs w:val="28"/>
        </w:rPr>
        <w:t>Student name:Petronela Hurmuzache</w:t>
      </w:r>
    </w:p>
    <w:p>
      <w:pPr>
        <w:pStyle w:val="NoSpacing"/>
        <w:pBdr>
          <w:top w:val="single" w:color="4472c4" w:themeColor="accent1" w:sz="6" w:space="6"/>
          <w:bottom w:val="single" w:color="4472c4" w:themeColor="accent1" w:sz="6" w:space="6"/>
        </w:pBdr>
        <w:spacing w:after="240"/>
        <w:jc w:val="center"/>
        <w:rPr>
          <w:rFonts w:ascii="Times New Roman" w:cs="Times New Roman" w:hAnsi="Times New Roman"/>
          <w:sz w:val="28"/>
          <w:szCs w:val="28"/>
        </w:rPr>
      </w:pPr>
      <w:r>
        <w:rPr>
          <w:rFonts w:ascii="Times New Roman" w:cs="Times New Roman" w:hAnsi="Times New Roman"/>
          <w:sz w:val="28"/>
          <w:szCs w:val="28"/>
        </w:rPr>
        <w:t>TUTOR NAME: TUSHURA BALENDRAN</w:t>
      </w:r>
    </w:p>
    <w:p/>
    <w:p/>
    <w:p/>
    <w:p/>
    <w:p/>
    <w:p/>
    <w:p/>
    <w:p/>
    <w:p/>
    <w:p>
      <w:r>
        <w:t>Table of Contents</w:t>
      </w:r>
    </w:p>
    <w:p>
      <w:pPr>
        <w:pStyle w:val="Toc1"/>
        <w:tabs>
          <w:tab w:val="right" w:leader="dot" w:pos="9350"/>
        </w:tabs>
        <w:rPr>
          <w:rFonts w:asciiTheme="minorHAnsi" w:cstheme="minorBidi" w:eastAsiaTheme="minorEastAsia" w:hAnsiTheme="minorHAnsi"/>
          <w:lang w:eastAsia="en-GB"/>
        </w:rPr>
      </w:pPr>
      <w:r>
        <w:fldChar w:fldCharType="begin"/>
      </w:r>
      <w:r>
        <w:instrText xml:space="preserve"> TOC \o "1-3" \h \z \u </w:instrText>
      </w:r>
      <w:r>
        <w:fldChar w:fldCharType="separate"/>
      </w:r>
      <w:r>
        <w:fldChar w:fldCharType="begin"/>
      </w:r>
      <w:r>
        <w:instrText xml:space="preserve">HYPERLINK \l "_Toc112610089" </w:instrText>
      </w:r>
      <w:r>
        <w:fldChar w:fldCharType="separate"/>
      </w:r>
      <w:r>
        <w:rPr>
          <w:rStyle w:val="Hyperlink"/>
        </w:rPr>
        <w:t>Introduction</w:t>
      </w:r>
      <w:r>
        <w:tab/>
      </w:r>
      <w:r>
        <w:fldChar w:fldCharType="begin"/>
      </w:r>
      <w:r>
        <w:instrText xml:space="preserve"> PAGEREF _Toc112610089 \h </w:instrText>
      </w:r>
      <w:r>
        <w:fldChar w:fldCharType="separate"/>
      </w:r>
      <w:r>
        <w:t>2</w:t>
      </w:r>
      <w:r>
        <w:fldChar w:fldCharType="end"/>
      </w:r>
      <w:r>
        <w:fldChar w:fldCharType="end"/>
      </w:r>
    </w:p>
    <w:p>
      <w:pPr>
        <w:pStyle w:val="Toc1"/>
        <w:tabs>
          <w:tab w:val="right" w:leader="dot" w:pos="9350"/>
        </w:tabs>
        <w:rPr>
          <w:rFonts w:asciiTheme="minorHAnsi" w:cstheme="minorBidi" w:eastAsiaTheme="minorEastAsia" w:hAnsiTheme="minorHAnsi"/>
          <w:lang w:eastAsia="en-GB"/>
        </w:rPr>
      </w:pPr>
      <w:r>
        <w:fldChar w:fldCharType="begin"/>
      </w:r>
      <w:r>
        <w:instrText xml:space="preserve">HYPERLINK \l "_Toc112610090" </w:instrText>
      </w:r>
      <w:r>
        <w:fldChar w:fldCharType="separate"/>
      </w:r>
      <w:r>
        <w:rPr>
          <w:rStyle w:val="Hyperlink"/>
        </w:rPr>
        <w:t>Tesco Company Background</w:t>
      </w:r>
      <w:r>
        <w:tab/>
      </w:r>
      <w:r>
        <w:fldChar w:fldCharType="begin"/>
      </w:r>
      <w:r>
        <w:instrText xml:space="preserve"> PAGEREF _Toc112610090 \h </w:instrText>
      </w:r>
      <w:r>
        <w:fldChar w:fldCharType="separate"/>
      </w:r>
      <w:r>
        <w:t>2</w:t>
      </w:r>
      <w:r>
        <w:fldChar w:fldCharType="end"/>
      </w:r>
      <w:r>
        <w:fldChar w:fldCharType="end"/>
      </w:r>
    </w:p>
    <w:p>
      <w:pPr>
        <w:pStyle w:val="Toc1"/>
        <w:tabs>
          <w:tab w:val="right" w:leader="dot" w:pos="9350"/>
        </w:tabs>
        <w:rPr>
          <w:rFonts w:asciiTheme="minorHAnsi" w:cstheme="minorBidi" w:eastAsiaTheme="minorEastAsia" w:hAnsiTheme="minorHAnsi"/>
          <w:lang w:eastAsia="en-GB"/>
        </w:rPr>
      </w:pPr>
      <w:r>
        <w:fldChar w:fldCharType="begin"/>
      </w:r>
      <w:r>
        <w:instrText xml:space="preserve">HYPERLINK \l "_Toc112610092" </w:instrText>
      </w:r>
      <w:r>
        <w:fldChar w:fldCharType="separate"/>
      </w:r>
      <w:r>
        <w:rPr>
          <w:rStyle w:val="Hyperlink"/>
        </w:rPr>
        <w:t>Marketing Mix of Tesco</w:t>
      </w:r>
      <w:r>
        <w:tab/>
      </w:r>
      <w:r>
        <w:fldChar w:fldCharType="end"/>
      </w:r>
      <w:r>
        <w:rPr>
          <w:rFonts w:asciiTheme="minorHAnsi" w:cstheme="minorBidi" w:eastAsiaTheme="minorEastAsia" w:hAnsiTheme="minorHAnsi"/>
          <w:lang w:eastAsia="en-GB"/>
        </w:rPr>
        <w:t>4</w:t>
      </w:r>
    </w:p>
    <w:p>
      <w:pPr>
        <w:pStyle w:val="Toc2"/>
        <w:tabs>
          <w:tab w:val="right" w:leader="dot" w:pos="9350"/>
        </w:tabs>
        <w:rPr>
          <w:rFonts w:asciiTheme="minorHAnsi" w:cstheme="minorBidi" w:eastAsiaTheme="minorEastAsia" w:hAnsiTheme="minorHAnsi"/>
          <w:lang w:eastAsia="en-GB"/>
        </w:rPr>
      </w:pPr>
      <w:r>
        <w:fldChar w:fldCharType="begin"/>
      </w:r>
      <w:r>
        <w:instrText xml:space="preserve">HYPERLINK \l "_Toc112610093" </w:instrText>
      </w:r>
      <w:r>
        <w:fldChar w:fldCharType="separate"/>
      </w:r>
      <w:r>
        <w:rPr>
          <w:rStyle w:val="Hyperlink"/>
        </w:rPr>
        <w:t>Product Strategy of Tesco</w:t>
      </w:r>
      <w:r>
        <w:tab/>
      </w:r>
      <w:r>
        <w:fldChar w:fldCharType="end"/>
      </w:r>
      <w:r>
        <w:rPr>
          <w:rFonts w:asciiTheme="minorHAnsi" w:cstheme="minorBidi" w:eastAsiaTheme="minorEastAsia" w:hAnsiTheme="minorHAnsi"/>
          <w:lang w:eastAsia="en-GB"/>
        </w:rPr>
        <w:t>4</w:t>
      </w:r>
    </w:p>
    <w:p>
      <w:pPr>
        <w:pStyle w:val="Toc2"/>
        <w:tabs>
          <w:tab w:val="right" w:leader="dot" w:pos="9350"/>
        </w:tabs>
        <w:rPr>
          <w:rFonts w:asciiTheme="minorHAnsi" w:cstheme="minorBidi" w:eastAsiaTheme="minorEastAsia" w:hAnsiTheme="minorHAnsi"/>
          <w:lang w:eastAsia="en-GB"/>
        </w:rPr>
      </w:pPr>
      <w:r>
        <w:fldChar w:fldCharType="begin"/>
      </w:r>
      <w:r>
        <w:instrText xml:space="preserve">HYPERLINK \l "_Toc112610094" </w:instrText>
      </w:r>
      <w:r>
        <w:fldChar w:fldCharType="separate"/>
      </w:r>
      <w:r>
        <w:rPr>
          <w:rStyle w:val="Hyperlink"/>
        </w:rPr>
        <w:t>Pricing Strategy of Tesco</w:t>
      </w:r>
      <w:r>
        <w:tab/>
      </w:r>
      <w:r>
        <w:fldChar w:fldCharType="end"/>
      </w:r>
      <w:r>
        <w:rPr>
          <w:rFonts w:asciiTheme="minorHAnsi" w:cstheme="minorBidi" w:eastAsiaTheme="minorEastAsia" w:hAnsiTheme="minorHAnsi"/>
          <w:lang w:eastAsia="en-GB"/>
        </w:rPr>
        <w:t>5</w:t>
      </w:r>
    </w:p>
    <w:p>
      <w:pPr>
        <w:pStyle w:val="Toc2"/>
        <w:tabs>
          <w:tab w:val="right" w:leader="dot" w:pos="9350"/>
        </w:tabs>
        <w:rPr>
          <w:rFonts w:asciiTheme="minorHAnsi" w:cstheme="minorBidi" w:eastAsiaTheme="minorEastAsia" w:hAnsiTheme="minorHAnsi"/>
          <w:lang w:eastAsia="en-GB"/>
        </w:rPr>
      </w:pPr>
      <w:r>
        <w:fldChar w:fldCharType="begin"/>
      </w:r>
      <w:r>
        <w:instrText xml:space="preserve">HYPERLINK \l "_Toc112610096" </w:instrText>
      </w:r>
      <w:r>
        <w:fldChar w:fldCharType="separate"/>
      </w:r>
      <w:r>
        <w:rPr>
          <w:rStyle w:val="Hyperlink"/>
        </w:rPr>
        <w:t>Promotion strategy of Tesco</w:t>
      </w:r>
      <w:r>
        <w:tab/>
      </w:r>
      <w:r>
        <w:fldChar w:fldCharType="end"/>
      </w:r>
      <w:r>
        <w:rPr>
          <w:rFonts w:asciiTheme="minorHAnsi" w:cstheme="minorBidi" w:eastAsiaTheme="minorEastAsia" w:hAnsiTheme="minorHAnsi"/>
          <w:lang w:eastAsia="en-GB"/>
        </w:rPr>
        <w:t>6</w:t>
      </w:r>
    </w:p>
    <w:p>
      <w:pPr>
        <w:pStyle w:val="Toc1"/>
        <w:tabs>
          <w:tab w:val="right" w:leader="dot" w:pos="9350"/>
        </w:tabs>
        <w:rPr>
          <w:rFonts w:asciiTheme="minorHAnsi" w:cstheme="minorBidi" w:eastAsiaTheme="minorEastAsia" w:hAnsiTheme="minorHAnsi"/>
          <w:lang w:eastAsia="en-GB"/>
        </w:rPr>
      </w:pPr>
      <w:r>
        <w:fldChar w:fldCharType="begin"/>
      </w:r>
      <w:r>
        <w:instrText xml:space="preserve">HYPERLINK \l "_Toc112610097" </w:instrText>
      </w:r>
      <w:r>
        <w:fldChar w:fldCharType="separate"/>
      </w:r>
      <w:r>
        <w:rPr>
          <w:rStyle w:val="Hyperlink"/>
        </w:rPr>
        <w:t>Porter Five Forces for Tesco</w:t>
      </w:r>
      <w:r>
        <w:tab/>
      </w:r>
      <w:r>
        <w:fldChar w:fldCharType="end"/>
      </w:r>
      <w:r>
        <w:rPr>
          <w:rFonts w:asciiTheme="minorHAnsi" w:cstheme="minorBidi" w:eastAsiaTheme="minorEastAsia" w:hAnsiTheme="minorHAnsi"/>
          <w:lang w:eastAsia="en-GB"/>
        </w:rPr>
        <w:t>7</w:t>
      </w:r>
    </w:p>
    <w:p>
      <w:pPr>
        <w:pStyle w:val="Toc1"/>
        <w:tabs>
          <w:tab w:val="right" w:leader="dot" w:pos="9350"/>
        </w:tabs>
        <w:rPr>
          <w:rFonts w:asciiTheme="minorHAnsi" w:cstheme="minorBidi" w:eastAsiaTheme="minorEastAsia" w:hAnsiTheme="minorHAnsi"/>
          <w:lang w:eastAsia="en-GB"/>
        </w:rPr>
      </w:pPr>
      <w:r>
        <w:fldChar w:fldCharType="begin"/>
      </w:r>
      <w:r>
        <w:instrText xml:space="preserve">HYPERLINK \l "_Toc112610098" </w:instrText>
      </w:r>
      <w:r>
        <w:fldChar w:fldCharType="separate"/>
      </w:r>
      <w:r>
        <w:rPr>
          <w:rStyle w:val="Hyperlink"/>
        </w:rPr>
        <w:t>Pestle Analysis for Tesco</w:t>
      </w:r>
      <w:r>
        <w:tab/>
      </w:r>
      <w:r>
        <w:fldChar w:fldCharType="end"/>
      </w:r>
      <w:r>
        <w:rPr>
          <w:rFonts w:asciiTheme="minorHAnsi" w:cstheme="minorBidi" w:eastAsiaTheme="minorEastAsia" w:hAnsiTheme="minorHAnsi"/>
          <w:lang w:eastAsia="en-GB"/>
        </w:rPr>
        <w:t>9</w:t>
      </w:r>
    </w:p>
    <w:p>
      <w:pPr>
        <w:pStyle w:val="Toc2"/>
        <w:tabs>
          <w:tab w:val="right" w:leader="dot" w:pos="9350"/>
        </w:tabs>
        <w:rPr>
          <w:rFonts w:asciiTheme="minorHAnsi" w:cstheme="minorBidi" w:eastAsiaTheme="minorEastAsia" w:hAnsiTheme="minorHAnsi"/>
          <w:lang w:eastAsia="en-GB"/>
        </w:rPr>
      </w:pPr>
      <w:r>
        <w:fldChar w:fldCharType="begin"/>
      </w:r>
      <w:r>
        <w:instrText xml:space="preserve">HYPERLINK \l "_Toc112610099" </w:instrText>
      </w:r>
      <w:r>
        <w:fldChar w:fldCharType="separate"/>
      </w:r>
      <w:r>
        <w:rPr>
          <w:rStyle w:val="Hyperlink"/>
        </w:rPr>
        <w:t>Politic</w:t>
      </w:r>
      <w:r>
        <w:tab/>
      </w:r>
      <w:r>
        <w:fldChar w:fldCharType="end"/>
      </w:r>
      <w:r>
        <w:rPr>
          <w:rFonts w:asciiTheme="minorHAnsi" w:cstheme="minorBidi" w:eastAsiaTheme="minorEastAsia" w:hAnsiTheme="minorHAnsi"/>
          <w:lang w:eastAsia="en-GB"/>
        </w:rPr>
        <w:t>9</w:t>
      </w:r>
    </w:p>
    <w:p>
      <w:pPr>
        <w:pStyle w:val="Toc2"/>
        <w:tabs>
          <w:tab w:val="right" w:leader="dot" w:pos="9350"/>
        </w:tabs>
        <w:rPr>
          <w:rFonts w:asciiTheme="minorHAnsi" w:cstheme="minorBidi" w:eastAsiaTheme="minorEastAsia" w:hAnsiTheme="minorHAnsi"/>
          <w:lang w:eastAsia="en-GB"/>
        </w:rPr>
      </w:pPr>
      <w:r>
        <w:fldChar w:fldCharType="begin"/>
      </w:r>
      <w:r>
        <w:instrText xml:space="preserve">HYPERLINK \l "_Toc112610100" </w:instrText>
      </w:r>
      <w:r>
        <w:fldChar w:fldCharType="separate"/>
      </w:r>
      <w:r>
        <w:rPr>
          <w:rStyle w:val="Hyperlink"/>
        </w:rPr>
        <w:t>Economic</w:t>
      </w:r>
      <w:r>
        <w:tab/>
      </w:r>
      <w:r>
        <w:fldChar w:fldCharType="end"/>
      </w:r>
      <w:r>
        <w:rPr>
          <w:rFonts w:asciiTheme="minorHAnsi" w:cstheme="minorBidi" w:eastAsiaTheme="minorEastAsia" w:hAnsiTheme="minorHAnsi"/>
          <w:lang w:eastAsia="en-GB"/>
        </w:rPr>
        <w:t>9</w:t>
      </w:r>
    </w:p>
    <w:p>
      <w:pPr>
        <w:pStyle w:val="Toc2"/>
        <w:tabs>
          <w:tab w:val="right" w:leader="dot" w:pos="9350"/>
        </w:tabs>
        <w:rPr>
          <w:rFonts w:asciiTheme="minorHAnsi" w:cstheme="minorBidi" w:eastAsiaTheme="minorEastAsia" w:hAnsiTheme="minorHAnsi"/>
          <w:lang w:eastAsia="en-GB"/>
        </w:rPr>
      </w:pPr>
      <w:r>
        <w:fldChar w:fldCharType="begin"/>
      </w:r>
      <w:r>
        <w:instrText xml:space="preserve">HYPERLINK \l "_Toc112610101" </w:instrText>
      </w:r>
      <w:r>
        <w:fldChar w:fldCharType="separate"/>
      </w:r>
      <w:r>
        <w:rPr>
          <w:rStyle w:val="Hyperlink"/>
        </w:rPr>
        <w:t>Social</w:t>
      </w:r>
      <w:r>
        <w:tab/>
      </w:r>
      <w:r>
        <w:fldChar w:fldCharType="end"/>
      </w:r>
      <w:r>
        <w:rPr>
          <w:rFonts w:asciiTheme="minorHAnsi" w:cstheme="minorBidi" w:eastAsiaTheme="minorEastAsia" w:hAnsiTheme="minorHAnsi"/>
          <w:lang w:eastAsia="en-GB"/>
        </w:rPr>
        <w:t>10</w:t>
      </w:r>
    </w:p>
    <w:p>
      <w:pPr>
        <w:pStyle w:val="Toc2"/>
        <w:tabs>
          <w:tab w:val="right" w:leader="dot" w:pos="9350"/>
        </w:tabs>
        <w:rPr>
          <w:rFonts w:asciiTheme="minorHAnsi" w:cstheme="minorBidi" w:eastAsiaTheme="minorEastAsia" w:hAnsiTheme="minorHAnsi"/>
          <w:lang w:eastAsia="en-GB"/>
        </w:rPr>
      </w:pPr>
      <w:r>
        <w:fldChar w:fldCharType="begin"/>
      </w:r>
      <w:r>
        <w:instrText xml:space="preserve">HYPERLINK \l "_Toc112610102" </w:instrText>
      </w:r>
      <w:r>
        <w:fldChar w:fldCharType="separate"/>
      </w:r>
      <w:r>
        <w:rPr>
          <w:rStyle w:val="Hyperlink"/>
        </w:rPr>
        <w:t>Technology</w:t>
      </w:r>
      <w:r>
        <w:tab/>
      </w:r>
      <w:r>
        <w:fldChar w:fldCharType="end"/>
      </w:r>
      <w:r>
        <w:rPr>
          <w:rFonts w:asciiTheme="minorHAnsi" w:cstheme="minorBidi" w:eastAsiaTheme="minorEastAsia" w:hAnsiTheme="minorHAnsi"/>
          <w:lang w:eastAsia="en-GB"/>
        </w:rPr>
        <w:t>10</w:t>
      </w:r>
    </w:p>
    <w:p>
      <w:pPr>
        <w:pStyle w:val="Toc2"/>
        <w:tabs>
          <w:tab w:val="right" w:leader="dot" w:pos="9350"/>
        </w:tabs>
        <w:rPr>
          <w:rFonts w:asciiTheme="minorHAnsi" w:cstheme="minorBidi" w:eastAsiaTheme="minorEastAsia" w:hAnsiTheme="minorHAnsi"/>
          <w:lang w:eastAsia="en-GB"/>
        </w:rPr>
      </w:pPr>
      <w:r>
        <w:fldChar w:fldCharType="begin"/>
      </w:r>
      <w:r>
        <w:instrText xml:space="preserve">HYPERLINK \l "_Toc112610103" </w:instrText>
      </w:r>
      <w:r>
        <w:fldChar w:fldCharType="separate"/>
      </w:r>
      <w:r>
        <w:rPr>
          <w:rStyle w:val="Hyperlink"/>
        </w:rPr>
        <w:t>Legal</w:t>
      </w:r>
      <w:r>
        <w:tab/>
      </w:r>
      <w:r>
        <w:fldChar w:fldCharType="end"/>
      </w:r>
      <w:r>
        <w:rPr>
          <w:rFonts w:asciiTheme="minorHAnsi" w:cstheme="minorBidi" w:eastAsiaTheme="minorEastAsia" w:hAnsiTheme="minorHAnsi"/>
          <w:lang w:eastAsia="en-GB"/>
        </w:rPr>
        <w:t>11</w:t>
      </w:r>
    </w:p>
    <w:p>
      <w:pPr>
        <w:pStyle w:val="Toc2"/>
        <w:tabs>
          <w:tab w:val="right" w:leader="dot" w:pos="9350"/>
        </w:tabs>
        <w:rPr>
          <w:rFonts w:asciiTheme="minorHAnsi" w:cstheme="minorBidi" w:eastAsiaTheme="minorEastAsia" w:hAnsiTheme="minorHAnsi"/>
          <w:lang w:eastAsia="en-GB"/>
        </w:rPr>
      </w:pPr>
      <w:r>
        <w:fldChar w:fldCharType="begin"/>
      </w:r>
      <w:r>
        <w:instrText xml:space="preserve">HYPERLINK \l "_Toc112610104" </w:instrText>
      </w:r>
      <w:r>
        <w:fldChar w:fldCharType="separate"/>
      </w:r>
      <w:r>
        <w:rPr>
          <w:rStyle w:val="Hyperlink"/>
        </w:rPr>
        <w:t>Environmental</w:t>
      </w:r>
      <w:r>
        <w:tab/>
      </w:r>
      <w:r>
        <w:fldChar w:fldCharType="end"/>
      </w:r>
      <w:r>
        <w:rPr>
          <w:rFonts w:asciiTheme="minorHAnsi" w:cstheme="minorBidi" w:eastAsiaTheme="minorEastAsia" w:hAnsiTheme="minorHAnsi"/>
          <w:lang w:eastAsia="en-GB"/>
        </w:rPr>
        <w:t>11</w:t>
      </w:r>
    </w:p>
    <w:p>
      <w:pPr>
        <w:pStyle w:val="Toc1"/>
        <w:tabs>
          <w:tab w:val="right" w:leader="dot" w:pos="9350"/>
        </w:tabs>
        <w:rPr>
          <w:rFonts w:asciiTheme="minorHAnsi" w:cstheme="minorBidi" w:eastAsiaTheme="minorEastAsia" w:hAnsiTheme="minorHAnsi"/>
          <w:lang w:eastAsia="en-GB"/>
        </w:rPr>
      </w:pPr>
      <w:r>
        <w:fldChar w:fldCharType="begin"/>
      </w:r>
      <w:r>
        <w:instrText xml:space="preserve">HYPERLINK \l "_Toc112610105" </w:instrText>
      </w:r>
      <w:r>
        <w:fldChar w:fldCharType="separate"/>
      </w:r>
      <w:r>
        <w:rPr>
          <w:rStyle w:val="Hyperlink"/>
        </w:rPr>
        <w:t>SWOT Analysis</w:t>
      </w:r>
      <w:r>
        <w:tab/>
      </w:r>
      <w:r>
        <w:fldChar w:fldCharType="end"/>
      </w:r>
      <w:r>
        <w:rPr>
          <w:rFonts w:asciiTheme="minorHAnsi" w:cstheme="minorBidi" w:eastAsiaTheme="minorEastAsia" w:hAnsiTheme="minorHAnsi"/>
          <w:lang w:eastAsia="en-GB"/>
        </w:rPr>
        <w:t>12</w:t>
      </w:r>
    </w:p>
    <w:p>
      <w:pPr>
        <w:pStyle w:val="Toc2"/>
        <w:tabs>
          <w:tab w:val="right" w:leader="dot" w:pos="9350"/>
        </w:tabs>
        <w:rPr>
          <w:rFonts w:asciiTheme="minorHAnsi" w:cstheme="minorBidi" w:eastAsiaTheme="minorEastAsia" w:hAnsiTheme="minorHAnsi"/>
          <w:lang w:eastAsia="en-GB"/>
        </w:rPr>
      </w:pPr>
      <w:r>
        <w:fldChar w:fldCharType="begin"/>
      </w:r>
      <w:r>
        <w:instrText xml:space="preserve">HYPERLINK \l "_Toc112610106" </w:instrText>
      </w:r>
      <w:r>
        <w:fldChar w:fldCharType="separate"/>
      </w:r>
      <w:r>
        <w:rPr>
          <w:rStyle w:val="Hyperlink"/>
        </w:rPr>
        <w:t>Strengths</w:t>
      </w:r>
      <w:r>
        <w:tab/>
      </w:r>
      <w:r>
        <w:fldChar w:fldCharType="end"/>
      </w:r>
      <w:r>
        <w:rPr>
          <w:rFonts w:asciiTheme="minorHAnsi" w:cstheme="minorBidi" w:eastAsiaTheme="minorEastAsia" w:hAnsiTheme="minorHAnsi"/>
          <w:lang w:eastAsia="en-GB"/>
        </w:rPr>
        <w:t>12</w:t>
      </w:r>
    </w:p>
    <w:p>
      <w:pPr>
        <w:pStyle w:val="Toc2"/>
        <w:tabs>
          <w:tab w:val="right" w:leader="dot" w:pos="9350"/>
        </w:tabs>
        <w:rPr>
          <w:rFonts w:asciiTheme="minorHAnsi" w:cstheme="minorBidi" w:eastAsiaTheme="minorEastAsia" w:hAnsiTheme="minorHAnsi"/>
          <w:lang w:eastAsia="en-GB"/>
        </w:rPr>
      </w:pPr>
      <w:r>
        <w:fldChar w:fldCharType="begin"/>
      </w:r>
      <w:r>
        <w:instrText xml:space="preserve">HYPERLINK \l "_Toc112610107" </w:instrText>
      </w:r>
      <w:r>
        <w:fldChar w:fldCharType="separate"/>
      </w:r>
      <w:r>
        <w:rPr>
          <w:rStyle w:val="Hyperlink"/>
        </w:rPr>
        <w:t>Weaknesses</w:t>
      </w:r>
      <w:r>
        <w:tab/>
      </w:r>
      <w:r>
        <w:fldChar w:fldCharType="end"/>
      </w:r>
      <w:r>
        <w:rPr>
          <w:rFonts w:asciiTheme="minorHAnsi" w:cstheme="minorBidi" w:eastAsiaTheme="minorEastAsia" w:hAnsiTheme="minorHAnsi"/>
          <w:lang w:eastAsia="en-GB"/>
        </w:rPr>
        <w:t>12</w:t>
      </w:r>
    </w:p>
    <w:p>
      <w:pPr>
        <w:pStyle w:val="Toc2"/>
        <w:tabs>
          <w:tab w:val="right" w:leader="dot" w:pos="9350"/>
        </w:tabs>
        <w:rPr>
          <w:rFonts w:asciiTheme="minorHAnsi" w:cstheme="minorBidi" w:eastAsiaTheme="minorEastAsia" w:hAnsiTheme="minorHAnsi"/>
          <w:lang w:eastAsia="en-GB"/>
        </w:rPr>
      </w:pPr>
      <w:r>
        <w:fldChar w:fldCharType="begin"/>
      </w:r>
      <w:r>
        <w:instrText xml:space="preserve">HYPERLINK \l "_Toc112610108" </w:instrText>
      </w:r>
      <w:r>
        <w:fldChar w:fldCharType="separate"/>
      </w:r>
      <w:r>
        <w:rPr>
          <w:rStyle w:val="Hyperlink"/>
        </w:rPr>
        <w:t>Opportunities</w:t>
      </w:r>
      <w:r>
        <w:tab/>
      </w:r>
      <w:r>
        <w:fldChar w:fldCharType="end"/>
      </w:r>
      <w:r>
        <w:rPr>
          <w:rFonts w:asciiTheme="minorHAnsi" w:cstheme="minorBidi" w:eastAsiaTheme="minorEastAsia" w:hAnsiTheme="minorHAnsi"/>
          <w:lang w:eastAsia="en-GB"/>
        </w:rPr>
        <w:t>12</w:t>
      </w:r>
    </w:p>
    <w:p>
      <w:pPr>
        <w:pStyle w:val="Toc2"/>
        <w:tabs>
          <w:tab w:val="right" w:leader="dot" w:pos="9350"/>
        </w:tabs>
        <w:rPr>
          <w:rFonts w:asciiTheme="minorHAnsi" w:cstheme="minorBidi" w:eastAsiaTheme="minorEastAsia" w:hAnsiTheme="minorHAnsi"/>
          <w:lang w:eastAsia="en-GB"/>
        </w:rPr>
      </w:pPr>
      <w:r>
        <w:fldChar w:fldCharType="begin"/>
      </w:r>
      <w:r>
        <w:instrText xml:space="preserve">HYPERLINK \l "_Toc112610109" </w:instrText>
      </w:r>
      <w:r>
        <w:fldChar w:fldCharType="separate"/>
      </w:r>
      <w:r>
        <w:rPr>
          <w:rStyle w:val="Hyperlink"/>
        </w:rPr>
        <w:t>Threats</w:t>
      </w:r>
      <w:r>
        <w:tab/>
      </w:r>
      <w:r>
        <w:fldChar w:fldCharType="end"/>
      </w:r>
      <w:r>
        <w:rPr>
          <w:rFonts w:asciiTheme="minorHAnsi" w:cstheme="minorBidi" w:eastAsiaTheme="minorEastAsia" w:hAnsiTheme="minorHAnsi"/>
          <w:lang w:eastAsia="en-GB"/>
        </w:rPr>
        <w:t>13</w:t>
      </w:r>
    </w:p>
    <w:p>
      <w:pPr>
        <w:pStyle w:val="Toc1"/>
        <w:tabs>
          <w:tab w:val="right" w:leader="dot" w:pos="9350"/>
        </w:tabs>
        <w:rPr>
          <w:rFonts w:asciiTheme="minorHAnsi" w:cstheme="minorBidi" w:eastAsiaTheme="minorEastAsia" w:hAnsiTheme="minorHAnsi"/>
          <w:lang w:eastAsia="en-GB"/>
        </w:rPr>
      </w:pPr>
      <w:r>
        <w:fldChar w:fldCharType="begin"/>
      </w:r>
      <w:r>
        <w:instrText xml:space="preserve">HYPERLINK \l "_Toc112610110" </w:instrText>
      </w:r>
      <w:r>
        <w:fldChar w:fldCharType="separate"/>
      </w:r>
      <w:r>
        <w:rPr>
          <w:rStyle w:val="Hyperlink"/>
        </w:rPr>
        <w:t>Advantages and Disadvantages</w:t>
      </w:r>
      <w:r>
        <w:tab/>
      </w:r>
      <w:r>
        <w:fldChar w:fldCharType="end"/>
      </w:r>
      <w:r>
        <w:rPr>
          <w:rFonts w:asciiTheme="minorHAnsi" w:cstheme="minorBidi" w:eastAsiaTheme="minorEastAsia" w:hAnsiTheme="minorHAnsi"/>
          <w:lang w:eastAsia="en-GB"/>
        </w:rPr>
        <w:t>14</w:t>
      </w:r>
    </w:p>
    <w:p>
      <w:pPr>
        <w:pStyle w:val="Toc1"/>
        <w:tabs>
          <w:tab w:val="right" w:leader="dot" w:pos="9350"/>
        </w:tabs>
        <w:rPr>
          <w:rFonts w:asciiTheme="minorHAnsi" w:cstheme="minorBidi" w:eastAsiaTheme="minorEastAsia" w:hAnsiTheme="minorHAnsi"/>
          <w:lang w:eastAsia="en-GB"/>
        </w:rPr>
      </w:pPr>
      <w:r>
        <w:fldChar w:fldCharType="begin"/>
      </w:r>
      <w:r>
        <w:instrText xml:space="preserve">HYPERLINK \l "_Toc112610111" </w:instrText>
      </w:r>
      <w:r>
        <w:fldChar w:fldCharType="separate"/>
      </w:r>
      <w:r>
        <w:rPr>
          <w:rStyle w:val="Hyperlink"/>
        </w:rPr>
        <w:t>Conclusion</w:t>
      </w:r>
      <w:r>
        <w:tab/>
      </w:r>
      <w:r>
        <w:fldChar w:fldCharType="begin"/>
      </w:r>
      <w:r>
        <w:instrText xml:space="preserve"> PAGEREF _Toc112610111 \h </w:instrText>
      </w:r>
      <w:r>
        <w:fldChar w:fldCharType="separate"/>
      </w:r>
      <w:r>
        <w:t>1</w:t>
      </w:r>
      <w:r>
        <w:fldChar w:fldCharType="end"/>
      </w:r>
      <w:r>
        <w:fldChar w:fldCharType="end"/>
      </w:r>
      <w:r>
        <w:rPr>
          <w:rFonts w:asciiTheme="minorHAnsi" w:cstheme="minorBidi" w:eastAsiaTheme="minorEastAsia" w:hAnsiTheme="minorHAnsi"/>
          <w:lang w:eastAsia="en-GB"/>
        </w:rPr>
        <w:t>5</w:t>
      </w:r>
    </w:p>
    <w:p>
      <w:pPr>
        <w:pStyle w:val="Toc1"/>
        <w:tabs>
          <w:tab w:val="right" w:leader="dot" w:pos="9350"/>
        </w:tabs>
        <w:rPr>
          <w:rFonts w:asciiTheme="minorHAnsi" w:cstheme="minorBidi" w:eastAsiaTheme="minorEastAsia" w:hAnsiTheme="minorHAnsi"/>
          <w:lang w:eastAsia="en-GB"/>
        </w:rPr>
      </w:pPr>
      <w:r>
        <w:fldChar w:fldCharType="begin"/>
      </w:r>
      <w:r>
        <w:instrText xml:space="preserve">HYPERLINK \l "_Toc112610112" </w:instrText>
      </w:r>
      <w:r>
        <w:fldChar w:fldCharType="separate"/>
      </w:r>
      <w:r>
        <w:rPr>
          <w:rStyle w:val="Hyperlink"/>
        </w:rPr>
        <w:t>References</w:t>
      </w:r>
      <w:r>
        <w:tab/>
      </w:r>
      <w:r>
        <w:fldChar w:fldCharType="begin"/>
      </w:r>
      <w:r>
        <w:instrText xml:space="preserve"> PAGEREF _Toc112610112 \h </w:instrText>
      </w:r>
      <w:r>
        <w:fldChar w:fldCharType="separate"/>
      </w:r>
      <w:r>
        <w:t>1</w:t>
      </w:r>
      <w:r>
        <w:fldChar w:fldCharType="end"/>
      </w:r>
      <w:r>
        <w:fldChar w:fldCharType="end"/>
      </w:r>
      <w:r>
        <w:rPr>
          <w:rFonts w:asciiTheme="minorHAnsi" w:cstheme="minorBidi" w:eastAsiaTheme="minorEastAsia" w:hAnsiTheme="minorHAnsi"/>
          <w:lang w:eastAsia="en-GB"/>
        </w:rPr>
        <w:t>6</w:t>
      </w:r>
    </w:p>
    <w:p>
      <w:pPr>
        <w:pStyle w:val="Heading1"/>
        <w:rPr/>
      </w:pPr>
      <w:r>
        <w:fldChar w:fldCharType="end"/>
      </w:r>
      <w:bookmarkStart w:id="0" w:name="_Toc112610089"/>
      <w:r>
        <w:t>Introduction</w:t>
      </w:r>
      <w:bookmarkEnd w:id="0"/>
    </w:p>
    <w:p>
      <w:r>
        <w:t xml:space="preserve">Evaluation of the marketing principles of Tesco will be incorporates within this report. </w:t>
      </w:r>
      <w:r>
        <w:t xml:space="preserve">It is essential to </w:t>
      </w:r>
      <w:r>
        <w:t xml:space="preserve">demonstrate basic research in order to understand consumer value, the process of marketing products and enterprises, and the </w:t>
      </w:r>
      <w:r>
        <w:t>method of constructing robust connections between a company and its clients. Th</w:t>
      </w:r>
      <w:r>
        <w:t xml:space="preserve">e external and internal analysis of Tesco will be represented within this assignment in order to highlight their position during the pandemic. </w:t>
      </w:r>
    </w:p>
    <w:p>
      <w:pPr>
        <w:pStyle w:val="Heading1"/>
        <w:rPr/>
      </w:pPr>
      <w:bookmarkStart w:id="1" w:name="_Toc112610090"/>
      <w:r>
        <w:t>Tesco Company Background</w:t>
      </w:r>
      <w:bookmarkEnd w:id="1"/>
    </w:p>
    <w:p>
      <w:r>
        <w:t xml:space="preserve">Tesco is a retail firm that has its headquarters in London, in the United Kingdom. Jack Cohen began the enterprise in </w:t>
      </w:r>
      <w:r>
        <w:t xml:space="preserve">the year 1919 in the district of Hackney in London. In 1931, Barnet witnessed the inauguration of its first retail store. Tesco is an international retail organisation that today has outlets situated in over one hundred countries over the globe. The United Kingdom is home to the company's principal administrative offices. The most current numbers suggest that the body that is responsible for the generation of new job possibilities already has roughly 450,000 people. </w:t>
      </w:r>
      <w:r>
        <w:t>In</w:t>
      </w:r>
      <w:r>
        <w:t xml:space="preserve"> addition to selling a great range of products in its supermarkets located all over the globe, it also provides a broad array of services, such as financial services and telephone services, in its locations all over the world. Tesco raises the bar for operational excellence, which ultimately results in a rise in the amount of productivity a company achieves as a whole (Successstory.com, 2021). Tesco deals with over 80 million customer inquiries and complaints every single week. This equates to 66 customers being served every second and a revenue of over 141,000 pounds being generated per minute thanks to sales (Parker, 2019).</w:t>
      </w:r>
    </w:p>
    <w:p>
      <w:pPr>
        <w:pStyle w:val="Heading1"/>
        <w:rPr/>
      </w:pPr>
      <w:bookmarkStart w:id="2" w:name="_Toc112610091"/>
      <w:r>
        <w:t>Marketing concepts</w:t>
      </w:r>
      <w:bookmarkEnd w:id="2"/>
    </w:p>
    <w:p>
      <w:r>
        <w:t xml:space="preserve">The collection of duties that are concerned with organising the flow of goods and business from the producer to the end user is referred to as </w:t>
      </w:r>
      <w:r>
        <w:t>M</w:t>
      </w:r>
      <w:r>
        <w:t>arketing</w:t>
      </w:r>
      <w:r>
        <w:t xml:space="preserve"> concepts. </w:t>
      </w:r>
      <w:r>
        <w:t>Tesco, being the biggest retailer in the UK, presents a huge challenge. It has a preponderant share of the retail market in Europe and is thus the industry leader</w:t>
      </w:r>
      <w:r>
        <w:t xml:space="preserve">. </w:t>
      </w:r>
      <w:r>
        <w:t>Tesco will have a considerable edge over its competitors as a result of the efficacy of its business operations and the manner in which it applies important marketing concepts. Specifically, this advantage will come as a result of Tesco's ability to implement these ideas.</w:t>
      </w:r>
      <w:r>
        <w:t xml:space="preserve"> </w:t>
      </w:r>
      <w:r>
        <w:t xml:space="preserve"> </w:t>
      </w:r>
      <w:r>
        <w:t>The basic objective of marketing is to facilitate and stimulate participation in economic exchange. People and organisations are able to get the things that they need by making purchases of commodities and services via marketing, a process that also makes collective management easier.</w:t>
      </w:r>
      <w:r>
        <w:t xml:space="preserve"> </w:t>
      </w:r>
      <w:r>
        <w:t xml:space="preserve">Marketing is characterised as the process of developing strong and loyal connections with customers as well as offering value for end users, who are referred to as consumers. </w:t>
      </w:r>
      <w:r>
        <w:t>M</w:t>
      </w:r>
      <w:r>
        <w:t xml:space="preserve">arketing process encompasses a range of ideas, such as requirements, desires, requests, value, and satisfaction. </w:t>
      </w:r>
      <w:r>
        <w:t>Marketing</w:t>
      </w:r>
      <w:r>
        <w:t xml:space="preserve"> </w:t>
      </w:r>
      <w:r>
        <w:t>is</w:t>
      </w:r>
      <w:r>
        <w:t xml:space="preserve"> about responding to the needs and desires of consumers.</w:t>
      </w:r>
      <w:r>
        <w:t xml:space="preserve"> Without a comprehensive understanding of its internal and external surrounds, as well as its strengths, weaknesses, opportunities, and dangers, it is difficult for a firm to analyse its current status and the demands of its consumers. Thus, Tesco is able to introduce its new goods and services and implement the marketing strategy and tactics it has devised via scenario planning and analysis.</w:t>
      </w:r>
      <w:r>
        <w:t xml:space="preserve"> Marketing also oversees the segmentation, targeting and positioning of products depending of what the main customer group is. </w:t>
      </w:r>
      <w:r>
        <w:t xml:space="preserve">In an attempt to influence more customers in the direction of its own supermarket brand, Tesco applies price positioning to a wide range of its own brand goods. </w:t>
      </w:r>
    </w:p>
    <w:p>
      <w:pPr>
        <w:pStyle w:val="Heading1"/>
        <w:rPr/>
      </w:pPr>
      <w:bookmarkStart w:id="3" w:name="_Toc112610092"/>
      <w:r>
        <w:t>Marketing Mix of Tesco</w:t>
      </w:r>
      <w:bookmarkEnd w:id="3"/>
    </w:p>
    <w:p>
      <w:pPr>
        <w:pStyle w:val="Heading2"/>
        <w:rPr/>
      </w:pPr>
      <w:bookmarkStart w:id="4" w:name="_Toc112610093"/>
      <w:r>
        <w:t xml:space="preserve">Product Strategy </w:t>
      </w:r>
      <w:r>
        <w:t>of Tesco</w:t>
      </w:r>
      <w:bookmarkEnd w:id="4"/>
    </w:p>
    <w:p>
      <w:r>
        <w:t>Tesco offers a diverse range of products and services at the time, all of which may be obtained via several product lines. In addition to other items, it includes things like monetary services, electronic products, clothing, gastronomy, and cosmetics. At the moment, the business has 1600 product lines that can be found in the Tesco Finest and Tesco Value categories of groceries and other goods. Tesco has also centred their business strategy on the healthier lifestyle trends, and as a result, they have produced a selection of healthier foods, supplements, and ready-to-eat alternatives that may help consumers achieve a balanced diet (McKenzie, 2020). Tesco also has its own clothing line, known as Tesco Clothing, which features a wide variety of outfits that can be purchased and changes depending on the kind of store that customers most often visit.</w:t>
      </w:r>
    </w:p>
    <w:p>
      <w:pPr>
        <w:pStyle w:val="Heading2"/>
        <w:rPr/>
      </w:pPr>
      <w:bookmarkStart w:id="5" w:name="_Toc112610094"/>
      <w:r>
        <w:t>Pricing Strategy</w:t>
      </w:r>
      <w:r>
        <w:t xml:space="preserve"> of Tesco</w:t>
      </w:r>
      <w:bookmarkEnd w:id="5"/>
    </w:p>
    <w:p>
      <w:r>
        <w:t>Tesco is using a cost leadership pricing strategy in order to provide customers with an extensive product range at costs that are comparable to those offered by other retailers. With the help of this tactic, the company is able to keep the cost of its wares at a low level while yet preserving a high degree of product quality. In addition, the organisation is able to accomplish this goal without compromising the overall quality of the products it sells. The most significant drawback of this strategy and technology is that it may put pressure on the position of the firm as a result of the fact that competitors may provide new products or have production techniques that are less expensive. This may be the case as a result of the fact that competitors may provide new products or have production techniques that are more efficient. This may be the case because rivals may supply new items or have manufacturing procedures that are less costly. Additionally, this may be the case because competitors may provide new products. A new price strategy has been developed as a reaction to the more competitive pricing competition as well as the rising cost of living. This is being done in response to something. Through the implementation of this method, individual households will get aid in making new product purchases, which will, in turn, result in a reduction in their overall spending. Tesco engages in aggressive competition with other retail establishments so that it may provide items of the same quality but at much lower rates.</w:t>
      </w:r>
    </w:p>
    <w:p>
      <w:pPr>
        <w:pStyle w:val="Heading2"/>
        <w:rPr/>
      </w:pPr>
      <w:bookmarkStart w:id="6" w:name="_Toc112610095"/>
      <w:r>
        <w:t xml:space="preserve">Place strategy </w:t>
      </w:r>
      <w:r>
        <w:t>of Tesco</w:t>
      </w:r>
      <w:bookmarkEnd w:id="6"/>
    </w:p>
    <w:p>
      <w:r>
        <w:t>The majority of the time, the large chain supermarkets in the United Kingdom, such as Tesco, Asda, Sainsbury's, and Waitrose, stock the same assortment of items. Both of these businesses are aware that customers are likely to be dissatisfied to a great degree if they are unable to get their preferred flavour in the store where they normally shop for their products. As a direct result of this, they put out all possible effort to ensure that all of their wares are physically stocked at retail locations to the greatest degree that is practically possible. Tesco has to make it simpler to sell their items via online channels by introducing streamlined door-to-door delivery options. In addition, their brick-and-mortar shops have to be easily accessible near bustling workplaces or institutions, preferably in locations that are somewhat far from the heart of the city.</w:t>
      </w:r>
    </w:p>
    <w:p>
      <w:pPr>
        <w:pStyle w:val="Heading2"/>
        <w:rPr/>
      </w:pPr>
      <w:bookmarkStart w:id="7" w:name="_Toc112610096"/>
      <w:r>
        <w:t>Promotion strategy</w:t>
      </w:r>
      <w:r>
        <w:t xml:space="preserve"> of Tesco</w:t>
      </w:r>
      <w:bookmarkEnd w:id="7"/>
    </w:p>
    <w:p>
      <w:r>
        <w:t>Tesco runs their business with the image of their brand front and centre in all they do. They begin promoting and selling their goods under their own brand name, with the primary focus being placed on supplying items of greater quality at prices that are more affordable. The corporation has, up until this point, been attempting to increase sales of its products via the use of more traditional marketing strategies. The business is aware of the rising relevance of digital marketing, and as a consequence, they have started to increase the amount of work they put into marketing on social media platforms. This course of action was a brilliant business choice on the part of Tesco since it has benefited the company in being recognised not only with its own brand of things but also with its more affordable price. Tesco is now engaged in commerce with a broad variety of product categories. Some of these product categories are shown below; however, they also cover items like fashion, home appliances, and financial services (M Rahman, 2017). Additionally, the company is working to increase the number of followers, likes, and reaches for its pots on various social media platforms like as Instagram, Facebook, and Twitter.</w:t>
      </w:r>
    </w:p>
    <w:p>
      <w:pPr>
        <w:pStyle w:val="Heading1"/>
        <w:rPr/>
      </w:pPr>
      <w:bookmarkStart w:id="8" w:name="_Toc112610097"/>
      <w:r>
        <w:t>Porter Five Forces for</w:t>
      </w:r>
      <w:r>
        <w:t xml:space="preserve"> Tesco</w:t>
      </w:r>
      <w:bookmarkEnd w:id="8"/>
    </w:p>
    <w:p/>
    <w:p>
      <w:r>
        <w:t>The concept of Porter's Five Forces, which examines the advantages and disadvantages of a particular firm</w:t>
      </w:r>
      <w:r>
        <w:t xml:space="preserve"> in terms of their external business environment.</w:t>
      </w:r>
    </w:p>
    <w:p>
      <w:r>
        <w:t>Threat of new entrants</w:t>
      </w:r>
    </w:p>
    <w:p>
      <w:r>
        <w:t>Businesses are obligated to conduct an exhaustive analysis of the risk posed by new entrants. If the new company firm is able to enter a new market sooner than the existing business firm, the latter will be placed in a vulnerable position. Because it is very simple for a new company to join an existing market, the existing company may see a decline in both its operational profitability and its market share. Tesco needs to conduct a comprehensive investigation into these concerns. It is possible for the company to get a competitive advantage by offering its customers better products.</w:t>
      </w:r>
    </w:p>
    <w:p>
      <w:r>
        <w:t>Threat of new alternatives</w:t>
      </w:r>
    </w:p>
    <w:p>
      <w:r>
        <w:t xml:space="preserve">The levels of other types of competition are being brought down to an even lower degree as time goes on. Tesco, on the other hand, is renowned for offering only product lines that are of the highest quality, which provides it with an advantage in the market despite the fact that it is so competitive. </w:t>
      </w:r>
      <w:r>
        <w:t>Therefore, the</w:t>
      </w:r>
      <w:r>
        <w:t xml:space="preserve"> degree of competition that Tesco faces from a variety of different suppliers will not dramatically </w:t>
      </w:r>
      <w:r>
        <w:t>affect</w:t>
      </w:r>
      <w:r>
        <w:t xml:space="preserve"> the day-to-day commercial operations of the business. This is because Tesco is a very large and successful company (Team, 2022).</w:t>
      </w:r>
    </w:p>
    <w:p>
      <w:r>
        <w:t>Supplier negotiating power</w:t>
      </w:r>
    </w:p>
    <w:p>
      <w:r>
        <w:t xml:space="preserve">When managing a company, it is essential to maintain a careful eye on the many providers the organisation utilises. </w:t>
      </w:r>
      <w:r>
        <w:t>The corporation is required to give careful attention to a variety of aspects before settling on a provider. These aspects include, but are not limited to, the consistency of the flow of raw material supply, the commitment of suppliers, and the expense of providers, amongst others.</w:t>
      </w:r>
      <w:r>
        <w:t xml:space="preserve"> </w:t>
      </w:r>
      <w:r>
        <w:t>When there are fewer firms than suppliers, suppliers have greater influence in negotiations, and the opposite is true when there are more suppliers than companies. Tesco has to pay close attention to the bargaining power of its suppliers if it wants to bring its operational expenditures down.</w:t>
      </w:r>
    </w:p>
    <w:p>
      <w:r>
        <w:t>Threat of competitors</w:t>
      </w:r>
    </w:p>
    <w:p>
      <w:r>
        <w:t xml:space="preserve">During the time period of Covid 19, the strong competitive pressures from market competitions for </w:t>
      </w:r>
      <w:r>
        <w:t>Tesco</w:t>
      </w:r>
      <w:r>
        <w:t xml:space="preserve"> products.</w:t>
      </w:r>
      <w:r>
        <w:t xml:space="preserve"> </w:t>
      </w:r>
      <w:r>
        <w:t xml:space="preserve">Companies that sell the same items as their rivals and pursue customers in consumer markets with comparable demographics are referred to as competitors (Bordean, Borza, Nistor, and Mitra, 2017). </w:t>
      </w:r>
      <w:r>
        <w:t>The company is obligated to do a study of the goods and services provided by its rivals, as well as an examination of their marketing strategies, product varieties, quality benchmarks, and growth rates. Tesco will be in rivalry with local businesses, and it is vital for the corporation to analyse the brand loyalty of its current customers in order to prepare for this battle (Nielsen, 2017). Innovative marketing strategies are one way that companies are attempting to differentiate themselves from their rivals and secure a place of prominence within their respective industries. In addition, the many competitors are engaged in intense pricing competition with one another, which often leads to economies of scale for the respective businesses.</w:t>
      </w:r>
    </w:p>
    <w:p>
      <w:r>
        <w:t>Customers bargaining power</w:t>
      </w:r>
    </w:p>
    <w:p>
      <w:r>
        <w:t>Because of the high degree of competition, the firm will need to overcome challenges and make due with a lower profit margin in order to survive (Ansoff et al., 2018). Tesco may decide to include more features and traits in its offerings in order to differentiate its products from those of its rivals and make it less necessary for consumers to negotiate lower pricing. In addition, this will allow Tesco to better meet the needs of its customers. The fact that there are a substantial number of competing merchants in the market is an essential feature that has a big impact on the amount of negotiating power that consumers have. Because the vast majority of the items they sell satisfy the requirements of their clients, they are in a position to choose the retailers that provide the most attractive price reductions.</w:t>
      </w:r>
    </w:p>
    <w:p>
      <w:pPr>
        <w:pStyle w:val="Heading1"/>
        <w:rPr/>
      </w:pPr>
      <w:bookmarkStart w:id="9" w:name="_Toc112610098"/>
      <w:r>
        <w:t>Pestle Analysis for Tesco</w:t>
      </w:r>
      <w:bookmarkEnd w:id="9"/>
    </w:p>
    <w:p>
      <w:pPr>
        <w:pStyle w:val="Heading2"/>
        <w:rPr/>
      </w:pPr>
      <w:bookmarkStart w:id="10" w:name="_Toc112610099"/>
      <w:r>
        <w:t>Politic</w:t>
      </w:r>
      <w:bookmarkEnd w:id="10"/>
    </w:p>
    <w:p>
      <w:r>
        <w:t>When the first instances of covid-19 were reported, the number of infections has been steadily increasing in the United Kingdom (WEF, 2021). The government ordered a lockout of all non-essential establishments, although supermarkets and other grocery stores have continued to function normally throughout the crisis.</w:t>
      </w:r>
      <w:r>
        <w:t xml:space="preserve"> </w:t>
      </w:r>
      <w:r>
        <w:t>Tesco will feel the effects of the choices that are taken politically surrounding Brexit</w:t>
      </w:r>
      <w:r>
        <w:t xml:space="preserve"> and the new COVID-19 regulations</w:t>
      </w:r>
      <w:r>
        <w:t>. As a consequence of this, the firm will confront greater degrees of uncertainty in a range of areas, such as their capacity to serve the demands and aspirations of their consumers, their supply, and the rules that regulate taxes.</w:t>
      </w:r>
    </w:p>
    <w:p>
      <w:pPr>
        <w:pStyle w:val="Heading2"/>
        <w:rPr/>
      </w:pPr>
      <w:bookmarkStart w:id="11" w:name="_Toc112610100"/>
      <w:r>
        <w:t>Economic</w:t>
      </w:r>
      <w:bookmarkEnd w:id="11"/>
    </w:p>
    <w:p>
      <w:r>
        <w:t>Tesco is most worried about these items because of the significant influence they are anticipated to have on the company's expenditures, demand, profitability, and pricing. As a result of this, the organisation has a responsibility to remain current on any regulatory changes, such as alterations in tax rate or other variables that can influence the availability of capital. The firm was had to lay off people all over the globe as a consequence of the global recession, the changing value of the dollar and the pound, and the overall reduction in the buying power of money in general. Due to the fact that Tesco has almost thirty percent of the market in the United Kingdom, the nation continues to be of critical significance to the development of the corporation.</w:t>
      </w:r>
    </w:p>
    <w:p>
      <w:pPr>
        <w:pStyle w:val="Heading2"/>
        <w:rPr/>
      </w:pPr>
      <w:bookmarkStart w:id="12" w:name="_Toc112610101"/>
      <w:r>
        <w:t>Social</w:t>
      </w:r>
      <w:bookmarkEnd w:id="12"/>
      <w:r>
        <w:t xml:space="preserve"> </w:t>
      </w:r>
    </w:p>
    <w:p>
      <w:r>
        <w:t>According to current trends, customers in the UK have been gravitating toward bulk purchase and shopping at one place. These changes, which may be related to a variety of cultural transformations, have been seen in recent years. People's normal daily routines were disrupted all throughout the</w:t>
      </w:r>
      <w:r>
        <w:t xml:space="preserve"> pandemic as well as Brexit, in the United Kingdom. </w:t>
      </w:r>
      <w:r>
        <w:t>As a result of customers purchasing more items in bulk at Tesco during the years that the pandemic was active in an effort to cut down on the number of times they visited the shop, the business was forced to increase the number of retail employees it employed. In addition, there has been a movement in the direction of a trend in consumer preference for organic foods and healthier lives. Tesco is modifying its business practises in order to accommodate the rising demand for organic items</w:t>
      </w:r>
      <w:r>
        <w:t xml:space="preserve"> because of societal trends</w:t>
      </w:r>
      <w:r>
        <w:t>. This is in response to the fact that customers increasingly want to buy organic food. Because of the pandemic, consumers' heightened awareness to health issues needs a continual realignment of their priorities around what they eat. This realignment centres on the food they consume. As a result of this, people's purchasing behaviours are becoming more diverse</w:t>
      </w:r>
      <w:r>
        <w:t xml:space="preserve"> </w:t>
      </w:r>
      <w:r>
        <w:t>(PESTLE analysis, 2014).</w:t>
      </w:r>
    </w:p>
    <w:p/>
    <w:p>
      <w:pPr>
        <w:pStyle w:val="Heading2"/>
        <w:rPr/>
      </w:pPr>
      <w:bookmarkStart w:id="13" w:name="_Toc112610102"/>
      <w:r>
        <w:t>Technology</w:t>
      </w:r>
      <w:bookmarkEnd w:id="13"/>
    </w:p>
    <w:p>
      <w:r>
        <w:t>During the epidemic, Tesco's ability to ship food to customers' homes through online delivery was a significant competitive advantage for the company.</w:t>
      </w:r>
      <w:r>
        <w:t xml:space="preserve"> </w:t>
      </w:r>
      <w:r>
        <w:t xml:space="preserve">Customers have benefited from the convenience and simplicity of self-service checkout stations, which has led to a reduction in the expenses associated with manpower. </w:t>
      </w:r>
      <w:r>
        <w:t>In addition, Tesco has invested a substantial sum of money into the creation of projects that enhance energy efficiency in order to achieve its long-term aim of reducing the carbon footprint that it leaves behind. This goal requires that Tesco reduce the quantity of energy that it consumes.</w:t>
      </w:r>
    </w:p>
    <w:p>
      <w:pPr>
        <w:pStyle w:val="Heading2"/>
        <w:rPr/>
      </w:pPr>
      <w:bookmarkStart w:id="14" w:name="_Toc112610103"/>
      <w:r>
        <w:t>Legal</w:t>
      </w:r>
      <w:bookmarkEnd w:id="14"/>
    </w:p>
    <w:p>
      <w:r>
        <w:t>The policies of the government regarding taxes, the high unemployment rate, the decreasing currency rates, the falling average salaries, the blows from inflation, and a generally worse standard of life among the firm's customers were all factors that contributed to the devastation of the company. The company's performance has been considerably impacted by the unfavourable growth in sales, in part because of national trade rules and the availability of many product components on international markets.</w:t>
      </w:r>
      <w:r>
        <w:t xml:space="preserve"> </w:t>
      </w:r>
      <w:r>
        <w:t>Food Retailing Commission (FRC) proposed in 2004 that a Code of Practice be enacted</w:t>
      </w:r>
      <w:r>
        <w:t xml:space="preserve"> which Tesco has to abide by in order to function within UK</w:t>
      </w:r>
      <w:r>
        <w:rPr>
          <w:rFonts w:ascii="Roboto" w:hAnsi="Roboto"/>
          <w:color w:val="2c3e50"/>
          <w:sz w:val="23"/>
          <w:szCs w:val="23"/>
          <w:shd w:val="clear" w:color="auto" w:fill="ffffff"/>
        </w:rPr>
        <w:t xml:space="preserve"> </w:t>
      </w:r>
      <w:r>
        <w:t>(</w:t>
      </w:r>
      <w:r>
        <w:t>PESTLE analysis</w:t>
      </w:r>
      <w:r>
        <w:t>, 2014)</w:t>
      </w:r>
      <w:r>
        <w:t>.</w:t>
      </w:r>
    </w:p>
    <w:p>
      <w:pPr>
        <w:pStyle w:val="Heading2"/>
        <w:rPr/>
      </w:pPr>
      <w:bookmarkStart w:id="15" w:name="_Toc112610104"/>
      <w:r>
        <w:t>Environmental</w:t>
      </w:r>
      <w:bookmarkEnd w:id="15"/>
    </w:p>
    <w:p>
      <w:r>
        <w:t>The firm was also able to improve its environmentally friendly framework because it agreed with the regulations and legislations issued at the time by the government of the United Kingdom to safeguard the environment. These rules and legislations were intended to protect the environment. Tesco intends to decrease its carbon footprint by half by the year 2020 in response to environmental concerns and implement socially responsible practises.</w:t>
      </w:r>
      <w:r>
        <w:t xml:space="preserve"> Corporate social responsibility can be seen in their decision therefore they are moral and take a good environmental stance.</w:t>
      </w:r>
    </w:p>
    <w:p>
      <w:pPr>
        <w:pStyle w:val="Heading1"/>
        <w:rPr/>
      </w:pPr>
      <w:bookmarkStart w:id="16" w:name="_Toc112610105"/>
      <w:r>
        <w:t>SWOT Analysis</w:t>
      </w:r>
      <w:bookmarkEnd w:id="16"/>
    </w:p>
    <w:p>
      <w:pPr>
        <w:pStyle w:val="Heading2"/>
        <w:rPr/>
      </w:pPr>
      <w:bookmarkStart w:id="17" w:name="_Toc112610106"/>
      <w:r>
        <w:t>Strengths</w:t>
      </w:r>
      <w:bookmarkEnd w:id="17"/>
    </w:p>
    <w:p>
      <w:r>
        <w:t>Tesco is a strong adversary due to the fact that it is the biggest retailer in the United Kingdom. It is the market leader in the retail sector throughout all of Europe and has a significant portion of the available market share. When compared to those of other supermarket chains in the United Kingdom, Tesco's revenue and sales are much higher than those of the other supermarket chains. The annual report for Tesco's fiscal year 2021 states that the company's total revenues for the year amounted to £ 57.8 billion (Parker, 2019). The market might be segmented using a wide range of different ways in total. The use of innovative technological practises has a significant impact on the functioning of the business. It is impossible for it to increase its market share and raise its profitability in any other way than by expanding the product and service offerings it now has. Brand loyalty and market share may both be enhanced when a company is recognised by many national and internal sources.</w:t>
      </w:r>
    </w:p>
    <w:p>
      <w:pPr>
        <w:pStyle w:val="Heading2"/>
        <w:rPr/>
      </w:pPr>
      <w:bookmarkStart w:id="18" w:name="_Toc112610107"/>
      <w:r>
        <w:t>Weaknesses</w:t>
      </w:r>
      <w:bookmarkEnd w:id="18"/>
    </w:p>
    <w:p>
      <w:r>
        <w:t>Tesco may see decreased profit margins as a consequence of its low-cost approach, despite the fact that the business leads the pack in terms of pricing in the United Kingdom. Tesco was given a total of £7.5 million in fines between the years of 2015 and 2017 for selling 67 food goods that had expired, some of which included pizza, flavoured milk, and soup. Tesco's success in the business world was abysmal in both the United States and Japan. Their corporation was unable to effectively manage its operations in the United States and Japan, and as a result, it was compelled to terminate its business in both countries. The ineffectiveness of the company's operations led to a drop of more than 9 percent non yearly earnings for the business in 2018. Because the operational profitability has been going down, it is vital to choose a strategy that is both cost-effective and efficient</w:t>
      </w:r>
      <w:r>
        <w:t xml:space="preserve"> (Parker, 2019)</w:t>
      </w:r>
      <w:r>
        <w:t xml:space="preserve">. </w:t>
      </w:r>
    </w:p>
    <w:p>
      <w:pPr>
        <w:pStyle w:val="Heading2"/>
        <w:rPr/>
      </w:pPr>
      <w:bookmarkStart w:id="19" w:name="_Toc112610108"/>
      <w:r>
        <w:t>Opportunities</w:t>
      </w:r>
      <w:bookmarkEnd w:id="19"/>
    </w:p>
    <w:p>
      <w:r>
        <w:t>Tesco may be able to improve its chances of becoming successful if it forges strategic alliances with other businesses that are already well-established. Tesco could expand to other counties and gain even more brand recognition through their loyalty programmes. Tesco will be able to increase the variety of products it sells and appeal to a bigger number of customers as a result of this. Tesco has announced that it would participate in a brand new venture with a considerable number of other businesses as a partner. Tesco recently announced that it will begin matching Aldi's prices on a considerable number of goods; they will continue doing this going forward on the physical and online stores. As a direct consequence of taking this strategy, Tesco now has the potential to gain more market share compared to their competitors.</w:t>
      </w:r>
    </w:p>
    <w:p>
      <w:pPr>
        <w:pStyle w:val="Heading2"/>
        <w:rPr/>
      </w:pPr>
      <w:bookmarkStart w:id="20" w:name="_Toc112610109"/>
      <w:r>
        <w:t>Threats</w:t>
      </w:r>
      <w:bookmarkEnd w:id="20"/>
    </w:p>
    <w:p>
      <w:r>
        <w:t>External factors, such as government-enacted limits, difficulties with the law and taxes, a scarcity of credit, and economic upheavals, may have an influence on the operational efficacy and performance of Tesco stores in significant areas. Following the discovery of a bag of popcorn that had only been partly eaten at a Tesco location, concerns were raised over the appropriate handling of food and cleanliness practises. Both the company's operations and its capacity to turn a profit are now in peril as a direct result of the issues that the business is experiencing with its supply chain.</w:t>
      </w:r>
    </w:p>
    <w:p>
      <w:pPr>
        <w:pStyle w:val="Heading1"/>
        <w:rPr/>
      </w:pPr>
      <w:bookmarkStart w:id="21" w:name="_Toc112610110"/>
      <w:r>
        <w:t>Advantages and Disadvantages</w:t>
      </w:r>
      <w:bookmarkEnd w:id="21"/>
    </w:p>
    <w:p>
      <w:r>
        <w:t>Tesco was able to build their strategy for online purchase throughout the pandemic, which is one of a number of benefits for the corporation. As it became increasingly obvious how widespread the outbreak caused by the coronavirus in the UK was, the firm decided to adopt four objectives to assist guide the development of its approach. These goals are as follows: safety for all, food for all, support for our workers, and support for communities. E-commerce sales in the United Kingdom increased from accounting for 9 percent of total sales to 16 percent of those sales throughout the course of the first quarter of the fiscal year.</w:t>
      </w:r>
      <w:r>
        <w:t xml:space="preserve"> People have also increased their loyalty with Tesco as they were a main supplier during the pandemic. </w:t>
      </w:r>
      <w:r>
        <w:t>The grocery store promptly quadrupled its capacity for online deliveries throughout the course of the year, which resulted in a 77 percent increase in online sales, which amounted to £6.3 billion. Due to buyers staying inside out of fear of contracting the virus over the last three months of the year, 18 percent of all grocery transactions were completed online (Partridge and Butler, 2021).</w:t>
      </w:r>
    </w:p>
    <w:p>
      <w:r>
        <w:t>Tesco had a number of challenges during Covid 19, one of which was a downturn in economic activity in several of its customers' home developing nations</w:t>
      </w:r>
      <w:r>
        <w:t xml:space="preserve">, which slowed down the economic development of the company. </w:t>
      </w:r>
      <w:r>
        <w:t>The expense of providing its 3,628 stores with personal protective equipment (PPE) and other goods linked to safety was £65 million on its own. A total of roughly 50,000 people took temporary jobs at the grocery store during the epidemic, with around 20,000 of those people staying on permanently. Tesco did not consider the prospect of a replacement while making any decisions on management during the COVID-19 pandemic outbreak. This includes decisions on marketing, promotion, and positioning, as well as the allocation of duties for product development and creation. There was a noticeable fall in sales as a result of the consequences (Fleming, 2020).</w:t>
      </w:r>
    </w:p>
    <w:p>
      <w:pPr>
        <w:pStyle w:val="Heading1"/>
        <w:rPr/>
      </w:pPr>
      <w:bookmarkStart w:id="22" w:name="_Toc112610111"/>
      <w:r>
        <w:t>Conclusion</w:t>
      </w:r>
      <w:bookmarkEnd w:id="22"/>
    </w:p>
    <w:p>
      <w:r>
        <w:t xml:space="preserve">In conclusion, </w:t>
      </w:r>
      <w:r>
        <w:t xml:space="preserve">the marketing mix plays a significant part in the process of selling new products or services to target consumers of </w:t>
      </w:r>
      <w:r>
        <w:t>Tesco, as well as their internal and external business environment  analysis.</w:t>
      </w:r>
      <w:r>
        <w:t xml:space="preserve"> In the course of the research </w:t>
      </w:r>
      <w:r>
        <w:t xml:space="preserve">into the interior environment, the macro environmental aspects have been meticulously examined, while in the course of the investigation into the outside environment, the micro environmental factors have been taken into consideration. In this research, a PESTEL analysis, a Porter's five forces analysis, and a SWOT analysis </w:t>
      </w:r>
      <w:r>
        <w:t>were performed on the scenario of the covid-19 pandemic outbreak for the company Tesco. These analyses focused on the company's strengths, weaknesses, opportunities, and threats.</w:t>
      </w:r>
    </w:p>
    <w:p/>
    <w:p/>
    <w:p/>
    <w:p/>
    <w:p/>
    <w:p/>
    <w:p/>
    <w:p/>
    <w:p/>
    <w:p/>
    <w:p/>
    <w:p>
      <w:pPr>
        <w:pStyle w:val="Heading1"/>
        <w:rPr/>
      </w:pPr>
      <w:bookmarkStart w:id="23" w:name="_Toc112610112"/>
      <w:r>
        <w:t>References</w:t>
      </w:r>
      <w:bookmarkEnd w:id="23"/>
    </w:p>
    <w:p>
      <w:pPr>
        <w:pStyle w:val="ListParagraph"/>
        <w:numPr>
          <w:ilvl w:val="0"/>
          <w:numId w:val="1"/>
        </w:numPr>
        <w:rPr/>
      </w:pPr>
      <w:r>
        <w:t>Ansoff, H., Kipley, D., Lewis, A., Helm-Stevens, E. and Ansoff,, R., 2018. . Implanting strategic management. 2nd ed. Chicago: Springer.</w:t>
      </w:r>
    </w:p>
    <w:p>
      <w:pPr>
        <w:pStyle w:val="ListParagraph"/>
        <w:numPr>
          <w:ilvl w:val="0"/>
          <w:numId w:val="1"/>
        </w:numPr>
        <w:rPr/>
      </w:pPr>
      <w:r>
        <w:t>Bordean, O., Borza, A., Nistor, R. and Mitra, C., 2017. The Use of Michael Porter’s Generic Strategies in the Romanian Hotel Industry. International Journal of Trade, Economics and Finance, 1(2), pp.173-178.</w:t>
      </w:r>
    </w:p>
    <w:p>
      <w:pPr>
        <w:pStyle w:val="ListParagraph"/>
        <w:numPr>
          <w:ilvl w:val="0"/>
          <w:numId w:val="1"/>
        </w:numPr>
        <w:rPr/>
      </w:pPr>
      <w:r>
        <w:t>Fleming, M. (2020). </w:t>
      </w:r>
      <w:r>
        <w:rPr>
          <w:i/>
          <w:iCs/>
        </w:rPr>
        <w:t>Tesco on how Covid-19 helped it to ‘really be at its best’</w:t>
      </w:r>
      <w:r>
        <w:t>. [online] Marketing Week. Available at: https://www.marketingweek.com/tesco-covid-19-brand-be-at-best/.</w:t>
      </w:r>
    </w:p>
    <w:p>
      <w:pPr>
        <w:pStyle w:val="ListParagraph"/>
        <w:numPr>
          <w:ilvl w:val="0"/>
          <w:numId w:val="1"/>
        </w:numPr>
        <w:rPr/>
      </w:pPr>
      <w:r>
        <w:t>Haanaes, K. (2016). </w:t>
      </w:r>
      <w:r>
        <w:rPr>
          <w:i/>
          <w:iCs/>
        </w:rPr>
        <w:t>Why all businesses should embrace sustainability</w:t>
      </w:r>
      <w:r>
        <w:t xml:space="preserve">. [online] IMD business school. Available at: </w:t>
      </w:r>
      <w:r>
        <w:fldChar w:fldCharType="begin"/>
      </w:r>
      <w:r>
        <w:instrText xml:space="preserve">HYPERLINK "https://www.imd.org/research-knowledge/articles/why-all-businesses-should-embrace-sustainability/" \l ":~:text=Simply%20put%2C%20sustainability%20is%20a" </w:instrText>
      </w:r>
      <w:r>
        <w:fldChar w:fldCharType="separate"/>
      </w:r>
      <w:r>
        <w:rPr>
          <w:rStyle w:val="Hyperlink"/>
        </w:rPr>
        <w:t>https://www.imd.org/research-knowledge/articles/why-all-businesses-should-embrace-sustainability/#:~:text=Simply%20put%2C%20sustainability%20is%20a</w:t>
      </w:r>
      <w:r>
        <w:fldChar w:fldCharType="end"/>
      </w:r>
      <w:r>
        <w:t>.</w:t>
      </w:r>
    </w:p>
    <w:p>
      <w:pPr>
        <w:pStyle w:val="ListParagraph"/>
        <w:numPr>
          <w:ilvl w:val="0"/>
          <w:numId w:val="1"/>
        </w:numPr>
        <w:rPr/>
      </w:pPr>
      <w:r>
        <w:t>M Rahman (2017). </w:t>
      </w:r>
      <w:r>
        <w:rPr>
          <w:i/>
          <w:iCs/>
        </w:rPr>
        <w:t>Marketing mix of Tesco – Tesco marketing mix | howandwhat</w:t>
      </w:r>
      <w:r>
        <w:t xml:space="preserve">. [online] howandwhat. Available at: </w:t>
      </w:r>
      <w:r>
        <w:fldChar w:fldCharType="begin"/>
      </w:r>
      <w:r>
        <w:instrText xml:space="preserve">HYPERLINK "https://howandwhat.net/marketing-mix-tesco-tesco-marketing-mix/" </w:instrText>
      </w:r>
      <w:r>
        <w:fldChar w:fldCharType="separate"/>
      </w:r>
      <w:r>
        <w:rPr>
          <w:rStyle w:val="Hyperlink"/>
        </w:rPr>
        <w:t>https://howandwhat.net/marketing-mix-tesco-tesco-marketing-mix/</w:t>
      </w:r>
      <w:r>
        <w:fldChar w:fldCharType="end"/>
      </w:r>
      <w:r>
        <w:t>.</w:t>
      </w:r>
    </w:p>
    <w:p>
      <w:pPr>
        <w:pStyle w:val="ListParagraph"/>
        <w:numPr>
          <w:ilvl w:val="0"/>
          <w:numId w:val="1"/>
        </w:numPr>
        <w:rPr/>
      </w:pPr>
      <w:r>
        <w:t>McKenzie, J.S. and Watts, D., 2020. Food ideals, food rules and the subjective construction of a healthy diet. Food and Foodways, pp.1-21.</w:t>
      </w:r>
    </w:p>
    <w:p>
      <w:pPr>
        <w:pStyle w:val="ListParagraph"/>
        <w:numPr>
          <w:ilvl w:val="0"/>
          <w:numId w:val="1"/>
        </w:numPr>
        <w:rPr/>
      </w:pPr>
      <w:r>
        <w:t>Nielsen, R., 2017. Global Mindset in Context: Middle Manager Microfoundations of Strategic</w:t>
      </w:r>
      <w:r>
        <w:t xml:space="preserve"> </w:t>
      </w:r>
      <w:r>
        <w:t>Global Mindset. Academy of Management Proceedings, 2017(1), p.11939.</w:t>
      </w:r>
    </w:p>
    <w:p>
      <w:pPr>
        <w:pStyle w:val="ListParagraph"/>
        <w:numPr>
          <w:ilvl w:val="0"/>
          <w:numId w:val="1"/>
        </w:numPr>
        <w:rPr/>
      </w:pPr>
      <w:r>
        <w:t xml:space="preserve">Parker, B. (2019). TESCO SWOT Analysis 2019 | SWOT analysis of TESCO | Business Strategy Hub. [online] Business Strategy Hub. Available at: </w:t>
      </w:r>
      <w:r>
        <w:fldChar w:fldCharType="begin"/>
      </w:r>
      <w:r>
        <w:instrText xml:space="preserve">HYPERLINK "https://bstrategyhub.com/tesco-swot-analysis-2019swot-analysis-of-tesco/" </w:instrText>
      </w:r>
      <w:r>
        <w:fldChar w:fldCharType="separate"/>
      </w:r>
      <w:r>
        <w:rPr>
          <w:rStyle w:val="Hyperlink"/>
        </w:rPr>
        <w:t>https://bstrategyhub.com/tesco-swot-analysis-2019swot-analysis-of-tesco/</w:t>
      </w:r>
      <w:r>
        <w:fldChar w:fldCharType="end"/>
      </w:r>
      <w:r>
        <w:t>.</w:t>
      </w:r>
    </w:p>
    <w:p>
      <w:pPr>
        <w:pStyle w:val="ListParagraph"/>
        <w:numPr>
          <w:ilvl w:val="0"/>
          <w:numId w:val="1"/>
        </w:numPr>
        <w:rPr/>
      </w:pPr>
      <w:r>
        <w:t xml:space="preserve">Parker, B. (2019). TESCO SWOT Analysis 2019 | SWOT analysis of TESCO | Business Strategy Hub. [online] Business Strategy Hub. Available at: </w:t>
      </w:r>
      <w:r>
        <w:fldChar w:fldCharType="begin"/>
      </w:r>
      <w:r>
        <w:instrText xml:space="preserve">HYPERLINK "https://bstrategyhub.com/tesco-swot-analysis-2019swot-analysis-of-tesco/" </w:instrText>
      </w:r>
      <w:r>
        <w:fldChar w:fldCharType="separate"/>
      </w:r>
      <w:r>
        <w:rPr>
          <w:rStyle w:val="Hyperlink"/>
        </w:rPr>
        <w:t>https://bstrategyhub.com/tesco-swot-analysis-2019swot-analysis-of-tesco/</w:t>
      </w:r>
      <w:r>
        <w:fldChar w:fldCharType="end"/>
      </w:r>
      <w:r>
        <w:t>.</w:t>
      </w:r>
    </w:p>
    <w:p>
      <w:pPr>
        <w:pStyle w:val="ListParagraph"/>
        <w:numPr>
          <w:ilvl w:val="0"/>
          <w:numId w:val="1"/>
        </w:numPr>
        <w:rPr/>
      </w:pPr>
      <w:r>
        <w:t>Partridge, J. and Butler, S. (2021). </w:t>
      </w:r>
      <w:r>
        <w:rPr>
          <w:i/>
          <w:iCs/>
        </w:rPr>
        <w:t>Tesco profits fall as Covid costs offset sales surge</w:t>
      </w:r>
      <w:r>
        <w:t xml:space="preserve">. [online] the Guardian. Available at: </w:t>
      </w:r>
      <w:r>
        <w:fldChar w:fldCharType="begin"/>
      </w:r>
      <w:r>
        <w:instrText xml:space="preserve">HYPERLINK "https://www.theguardian.com/business/2021/apr/14/tesco-profits-fall-as-covid-costs-offset-sales-surge" </w:instrText>
      </w:r>
      <w:r>
        <w:fldChar w:fldCharType="separate"/>
      </w:r>
      <w:r>
        <w:rPr>
          <w:rStyle w:val="Hyperlink"/>
        </w:rPr>
        <w:t>https://www.theguardian.com/business/2021/apr/14/tesco-profits-fall-as-covid-costs-offset-sales-surge</w:t>
      </w:r>
      <w:r>
        <w:fldChar w:fldCharType="end"/>
      </w:r>
      <w:r>
        <w:t>.</w:t>
      </w:r>
    </w:p>
    <w:p>
      <w:pPr>
        <w:pStyle w:val="ListParagraph"/>
        <w:numPr>
          <w:ilvl w:val="0"/>
          <w:numId w:val="1"/>
        </w:numPr>
        <w:rPr/>
      </w:pPr>
      <w:r>
        <w:t>PESTLE analysis (2014). </w:t>
      </w:r>
      <w:r>
        <w:rPr>
          <w:i/>
          <w:iCs/>
        </w:rPr>
        <w:t>PESTLE Analysis for Tesco discusses its Business Environment</w:t>
      </w:r>
      <w:r>
        <w:t>. [online] PESTLE Analysis. Available at: https://pestleanalysis.com/pestle-analysis-tesco/.</w:t>
      </w:r>
    </w:p>
    <w:p>
      <w:pPr>
        <w:pStyle w:val="ListParagraph"/>
        <w:numPr>
          <w:ilvl w:val="0"/>
          <w:numId w:val="1"/>
        </w:numPr>
        <w:rPr/>
      </w:pPr>
      <w:r>
        <w:rPr>
          <w:lang w:val="en-US"/>
        </w:rPr>
        <w:t xml:space="preserve">Successstory.com. 2021. Tesco Story - Profile, History, Founder, Founded, CEO | Retail Stores | SuccessStory. [online] Available at: </w:t>
      </w:r>
      <w:r>
        <w:fldChar w:fldCharType="begin"/>
      </w:r>
      <w:r>
        <w:instrText xml:space="preserve">HYPERLINK "https://successstory.com/companies/tesco-plc" </w:instrText>
      </w:r>
      <w:r>
        <w:fldChar w:fldCharType="separate"/>
      </w:r>
      <w:r>
        <w:rPr>
          <w:rStyle w:val="Hyperlink"/>
          <w:lang w:val="en-US"/>
        </w:rPr>
        <w:t>https://successstory.com/companies/tesco-plc</w:t>
      </w:r>
      <w:r>
        <w:fldChar w:fldCharType="end"/>
      </w:r>
    </w:p>
    <w:p>
      <w:pPr>
        <w:pStyle w:val="ListParagraph"/>
        <w:numPr>
          <w:ilvl w:val="0"/>
          <w:numId w:val="1"/>
        </w:numPr>
        <w:rPr/>
      </w:pPr>
      <w:r>
        <w:t>Team, M.S. (2022). Tesco Porter Five Forces Analysis. [online] MBA Skool. Available at: https://www.mbaskool.com/five-forces-analysis/companies/18311-tesco.html.</w:t>
      </w:r>
    </w:p>
    <w:p>
      <w:pPr>
        <w:pStyle w:val="ListParagraph"/>
        <w:numPr>
          <w:ilvl w:val="0"/>
          <w:numId w:val="1"/>
        </w:numPr>
        <w:rPr/>
      </w:pPr>
      <w:r>
        <w:t>WEF, 2021. This is the impact of the Coronavirus on business. [online] World Economic Forum. Available at: &lt;https://www.weforum.org/agenda/2020/02/why-is-coronavirusa-global-business-risk/&gt;</w:t>
      </w:r>
    </w:p>
    <w:p>
      <w:pPr>
        <w:pStyle w:val="ListParagraph"/>
        <w:numPr>
          <w:ilvl w:val="0"/>
          <w:numId w:val="1"/>
        </w:numPr>
        <w:rPr/>
      </w:pPr>
      <w:r>
        <w:t>www.macrotrends.net. (n.d.). </w:t>
      </w:r>
      <w:r>
        <w:rPr>
          <w:i/>
          <w:iCs/>
        </w:rPr>
        <w:t>Tesco: Number of Employees 2010-2021 | TSCDY</w:t>
      </w:r>
      <w:r>
        <w:t xml:space="preserve">. [online] Available at: </w:t>
      </w:r>
      <w:r>
        <w:fldChar w:fldCharType="begin"/>
      </w:r>
      <w:r>
        <w:instrText xml:space="preserve">HYPERLINK "https://www.macrotrends.net/stocks/charts/TSCDY/tesco/number-of-employees" \l ":~:text=Tesco%20total%20number%20of%20employees" </w:instrText>
      </w:r>
      <w:r>
        <w:fldChar w:fldCharType="separate"/>
      </w:r>
      <w:r>
        <w:rPr>
          <w:rStyle w:val="Hyperlink"/>
        </w:rPr>
        <w:t>https://www.macrotrends.net/stocks/charts/TSCDY/tesco/number-of-employees#:~:text=Tesco%20total%20number%20of%20employees</w:t>
      </w:r>
      <w:r>
        <w:fldChar w:fldCharType="end"/>
      </w:r>
      <w:r>
        <w:t>.</w:t>
      </w:r>
    </w:p>
    <w:sectPr>
      <w:footerReference w:type="default" r:id="rId20"/>
      <w:pgSz w:w="12240" w:h="15840"/>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w:endnote w:type="separator" w:id="0">
    <w:p>
      <w:r>
        <w:rPr/>
        <w:separator/>
      </w:r>
    </w:p>
  </w:endnote>
  <w:endnote w:type="continuationSeparator" w:id="1">
    <w:p>
      <w:r>
        <w:rP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decorative"/>
    <w:pitch w:val="variable"/>
    <w:sig w:usb0="00000000" w:usb1="10000000" w:usb2="00000000" w:usb3="00000000" w:csb0="00000000" w:csb1="00000000"/>
  </w:font>
  <w:font w:name="Times New Roman">
    <w:panose1 w:val="02020603050405020304"/>
    <w:charset w:val="00"/>
    <w:family w:val="roman"/>
    <w:pitch w:val="variable"/>
    <w:sig w:usb0="00000000" w:usb1="00000000" w:usb2="00000009" w:usb3="00000000" w:csb0="000001ff" w:csb1="00000000"/>
  </w:font>
  <w:font w:name="Courier New">
    <w:panose1 w:val="02070309020205020404"/>
    <w:charset w:val="00"/>
    <w:family w:val="modern"/>
    <w:pitch w:val="fixed"/>
    <w:sig w:usb0="00000000" w:usb1="00000000" w:usb2="00000009" w:usb3="00000000" w:csb0="000001ff" w:csb1="00000000"/>
  </w:font>
  <w:font w:name="Wingdings">
    <w:panose1 w:val="05000000000000000000"/>
    <w:charset w:val="02"/>
    <w:family w:val="decorative"/>
    <w:pitch w:val="variable"/>
    <w:sig w:usb0="00000000" w:usb1="10000000" w:usb2="00000000" w:usb3="00000000" w:csb0="00000000" w:csb1="00000000"/>
  </w:font>
  <w:font w:name="Calibri">
    <w:panose1 w:val="020f0502020204030204"/>
    <w:charset w:val="00"/>
    <w:family w:val="swiss"/>
    <w:pitch w:val="variable"/>
    <w:sig w:usb0="00000000" w:usb1="4000acff" w:usb2="00000001" w:usb3="00000000" w:csb0="0000019f" w:csb1="00000000"/>
  </w:font>
  <w:font w:name="Arial">
    <w:panose1 w:val="020b0604020202020204"/>
    <w:charset w:val="00"/>
    <w:family w:val="swiss"/>
    <w:pitch w:val="variable"/>
    <w:sig w:usb0="00000000" w:usb1="00000000" w:usb2="00000009" w:usb3="00000000" w:csb0="000001ff" w:csb1="00000000"/>
  </w:font>
  <w:font w:name="Roboto">
    <w:panose1 w:val="02000000000000000000"/>
    <w:charset w:val="00"/>
    <w:family w:val="auto"/>
    <w:pitch w:val="variable"/>
    <w:sig w:usb0="00000000" w:usb1="5000217f" w:usb2="00000021" w:usb3="00000000" w:csb0="0000019f" w:csb1="00000000"/>
  </w:font>
  <w:font w:name="Calibri Light">
    <w:panose1 w:val="020f0302020204030204"/>
    <w:charset w:val="00"/>
    <w:family w:val="swiss"/>
    <w:pitch w:val="variable"/>
    <w:sig w:usb0="00000000" w:usb1="4000207b" w:usb2="00000000" w:usb3="00000000" w:csb0="0000019f" w:csb1="00000000"/>
  </w:font>
  <w:font w:name="Cambria">
    <w:panose1 w:val="02040503050406030204"/>
    <w:charset w:val="00"/>
    <w:family w:val="roman"/>
    <w:pitch w:val="variable"/>
    <w:sig w:usb0="a00002ef" w:usb1="4000004b" w:usb2="00000000" w:usb3="00000000" w:csb0="0000009f" w:csb1="00000000"/>
  </w:font>
  <w:font w:name="Tahoma">
    <w:panose1 w:val="020b0604030504040204"/>
    <w:charset w:val="00"/>
    <w:family w:val="roman"/>
    <w:pitch w:val="variable"/>
    <w:sig w:usb0="61002a87" w:usb1="80000000" w:usb2="00000008" w:usb3="00000000" w:csb0="000001ff" w:csb1="00000000"/>
  </w:font>
  <w:font w:name="Verdana">
    <w:panose1 w:val="020b0604030504040204"/>
    <w:charset w:val="00"/>
    <w:family w:val="roman"/>
    <w:pitch w:val="variable"/>
    <w:sig w:usb0="a10006ff" w:usb1="4000205b" w:usb2="00000010" w:usb3="00000000" w:csb0="0000019f" w:csb1="00000000"/>
  </w:font>
  <w:font w:name="Helvetica Neue">
    <w:charset w:val="00"/>
    <w:family w:val="swiss"/>
    <w:pitch w:val="variabl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w:p>
    <w:pPr>
      <w:pStyle w:val="Footer"/>
      <w:rPr/>
    </w:pPr>
    <w:r>
      <w:fldChar w:fldCharType="begin"/>
    </w:r>
    <w:r>
      <w:instrText xml:space="preserve"> PAGE   \* MERGEFORMAT </w:instrText>
    </w:r>
    <w:r>
      <w:fldChar w:fldCharType="separate"/>
    </w:r>
    <w:r>
      <w:t>2</w:t>
    </w:r>
    <w:r>
      <w:fldChar w:fldCharType="end"/>
    </w:r>
  </w:p>
  <w:p>
    <w:pPr>
      <w:pStyle w:val="Footer"/>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w:footnote w:type="separator" w:id="0">
    <w:p>
      <w:r>
        <w:rPr/>
        <w:separator/>
      </w:r>
    </w:p>
  </w:footnote>
  <w:footnote w:type="continuationSeparator" w:id="1">
    <w:p>
      <w:r>
        <w:rPr/>
        <w:continuationSeparator/>
      </w:r>
    </w:p>
  </w:footnote>
</w:footnote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ne="http://schemas.microsoft.com/office/word/2006/wordml" xmlns:w14="http://schemas.microsoft.com/office/word/2010/wordml" xmlns:w="http://schemas.openxmlformats.org/wordprocessingml/2006/main">
  <w:abstractNum w:abstractNumId="0">
    <w:multiLevelType w:val="hybridMultilevel"/>
    <w:lvl w:ilvl="0" w:tentative="0">
      <w:start w:val="1"/>
      <w:numFmt w:val="bullet"/>
      <w:lvlText w:val=""/>
      <w:lvlJc w:val="left"/>
      <w:pPr>
        <w:ind w:left="720" w:hanging="360"/>
      </w:pPr>
      <w:rPr>
        <w:rFonts w:ascii="Symbol" w:hAnsi="Symbol" w:hint="default"/>
      </w:rPr>
    </w:lvl>
    <w:lvl w:ilvl="1" w:tentative="1">
      <w:start w:val="1"/>
      <w:numFmt w:val="bullet"/>
      <w:lvlText w:val="o"/>
      <w:lvlJc w:val="left"/>
      <w:pPr>
        <w:ind w:left="1440" w:hanging="360"/>
      </w:pPr>
      <w:rPr>
        <w:rFonts w:ascii="Courier New" w:cs="Courier New" w:hAnsi="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cs="Courier New" w:hAnsi="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cs="Courier New" w:hAnsi="Courier New" w:hint="default"/>
      </w:rPr>
    </w:lvl>
    <w:lvl w:ilvl="8" w:tentative="1">
      <w:start w:val="1"/>
      <w:numFmt w:val="bullet"/>
      <w:lvlText w:val=""/>
      <w:lvlJc w:val="left"/>
      <w:pPr>
        <w:ind w:left="6480" w:hanging="360"/>
      </w:pPr>
      <w:rPr>
        <w:rFonts w:ascii="Wingdings" w:hAnsi="Wingdings" w:hint="default"/>
      </w:rPr>
    </w:lvl>
  </w:abstractNum>
  <w:abstractNum w:abstractNumId="1">
    <w:multiLevelType w:val="hybridMultilevel"/>
    <w:lvl w:ilvl="0" w:tentative="0">
      <w:start w:val="1"/>
      <w:numFmt w:val="bullet"/>
      <w:lvlText w:val=""/>
      <w:lvlJc w:val="left"/>
      <w:pPr>
        <w:ind w:left="720" w:hanging="360"/>
      </w:pPr>
      <w:rPr>
        <w:rFonts w:ascii="Symbol" w:hAnsi="Symbol" w:hint="default"/>
      </w:rPr>
    </w:lvl>
    <w:lvl w:ilvl="1" w:tentative="1">
      <w:start w:val="1"/>
      <w:numFmt w:val="bullet"/>
      <w:lvlText w:val="o"/>
      <w:lvlJc w:val="left"/>
      <w:pPr>
        <w:ind w:left="1440" w:hanging="360"/>
      </w:pPr>
      <w:rPr>
        <w:rFonts w:ascii="Courier New" w:cs="Courier New" w:hAnsi="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cs="Courier New" w:hAnsi="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cs="Courier New" w:hAnsi="Courier New" w:hint="default"/>
      </w:rPr>
    </w:lvl>
    <w:lvl w:ilvl="8"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50"/>
  <w:proofState w:spelling="clean"/>
  <w:revisionView w:inkAnnotations="0"/>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2CB4"/>
    <w:rsid w:val="002A18CA"/>
    <w:rsid w:val="002C1697"/>
    <w:rsid w:val="002E1F1D"/>
    <w:rsid w:val="0032758E"/>
    <w:rsid w:val="00350582"/>
    <w:rsid w:val="00371AFB"/>
    <w:rsid w:val="00372CB4"/>
    <w:rsid w:val="003855F0"/>
    <w:rsid w:val="003E4B5E"/>
    <w:rsid w:val="00411C30"/>
    <w:rsid w:val="00494888"/>
    <w:rsid w:val="00527E69"/>
    <w:rsid w:val="00556F08"/>
    <w:rsid w:val="005C134E"/>
    <w:rsid w:val="0062378B"/>
    <w:rsid w:val="006606D0"/>
    <w:rsid w:val="006C2637"/>
    <w:rsid w:val="006E6C18"/>
    <w:rsid w:val="00757FB9"/>
    <w:rsid w:val="007A425B"/>
    <w:rsid w:val="007B566F"/>
    <w:rsid w:val="008D09C8"/>
    <w:rsid w:val="00964970"/>
    <w:rsid w:val="00985EA0"/>
    <w:rsid w:val="00B41113"/>
    <w:rsid w:val="00B84685"/>
    <w:rsid w:val="00BE6FDE"/>
    <w:rsid w:val="00C21C2C"/>
    <w:rsid w:val="00C367C9"/>
    <w:rsid w:val="00C57EBF"/>
    <w:rsid w:val="00C7636A"/>
    <w:rsid w:val="00C90400"/>
    <w:rsid w:val="00D95029"/>
    <w:rsid w:val="00DD2DD3"/>
    <w:rsid w:val="00E23966"/>
    <w:rsid w:val="00EF6B8B"/>
    <w:rsid w:val="00F0250A"/>
    <w:rsid w:val="00FC2D77"/>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07D2E9"/>
  <w15:chartTrackingRefBased/>
  <w15:docId w15:val="{449ABE57-DECC-4E86-80AE-7D76E0DA0781}"/>
  <w:footnotePr>
    <w:footnote w:id="0"/>
    <w:footnote w:id="1"/>
  </w:footnotePr>
  <w:endnotePr>
    <w:endnote w:id="0"/>
    <w:endnote w:id="1"/>
  </w:endnotePr>
</w:settings>
</file>

<file path=word/styles.xml><?xml version="1.0" encoding="utf-8"?>
<w:styles xmlns:r="http://schemas.openxmlformats.org/officeDocument/2006/relationships" xmlns:w14="http://schemas.microsoft.com/office/word/2010/wordml" xmlns:w="http://schemas.openxmlformats.org/wordprocessingml/2006/main">
  <w:docDefaults>
    <w:rPrDefault>
      <w:rPr>
        <w:rFonts w:asciiTheme="minorHAnsi" w:cstheme="minorBidi" w:eastAsiaTheme="minorHAnsi" w:hAnsiTheme="minorHAnsi"/>
        <w:sz w:val="22"/>
        <w:szCs w:val="22"/>
        <w:lang w:val="en-GB" w:bidi="ar-SA" w:eastAsia="en-US"/>
      </w:rPr>
    </w:rPrDefault>
    <w:pPrDefault>
      <w:pPr>
        <w:spacing w:after="160" w:line="259" w:lineRule="auto"/>
      </w:pPr>
    </w:pPrDefault>
  </w:docDefaults>
  <w:style w:type="paragraph" w:styleId="Heading3">
    <w:name w:val="Heading 3"/>
    <w:basedOn w:val="Normal"/>
    <w:next w:val="Normal"/>
    <w:link w:val="Heading3Char"/>
    <w:uiPriority w:val="9"/>
    <w:semiHidden w:val="on"/>
    <w:unhideWhenUsed w:val="on"/>
    <w:qFormat w:val="on"/>
    <w:pPr>
      <w:keepNext w:val="on"/>
      <w:keepLines w:val="on"/>
      <w:spacing w:before="200" w:after="0"/>
    </w:pPr>
    <w:rPr>
      <w:rFonts w:asciiTheme="majorHAnsi" w:cstheme="majorBidi" w:eastAsiaTheme="majorEastAsia" w:hAnsiTheme="majorHAnsi"/>
      <w:b/>
      <w:bCs/>
      <w:color w:val="4472c4" w:themeColor="accent1"/>
    </w:rPr>
  </w:style>
  <w:style w:type="paragraph" w:styleId="Heading4">
    <w:name w:val="Heading 4"/>
    <w:basedOn w:val="Normal"/>
    <w:next w:val="Normal"/>
    <w:link w:val="Heading4Char"/>
    <w:uiPriority w:val="9"/>
    <w:semiHidden w:val="on"/>
    <w:unhideWhenUsed w:val="on"/>
    <w:qFormat w:val="on"/>
    <w:pPr>
      <w:keepNext w:val="on"/>
      <w:keepLines w:val="on"/>
      <w:spacing w:before="200" w:after="0"/>
    </w:pPr>
    <w:rPr>
      <w:rFonts w:asciiTheme="majorHAnsi" w:cstheme="majorBidi" w:eastAsiaTheme="majorEastAsia" w:hAnsiTheme="majorHAnsi"/>
      <w:b/>
      <w:bCs/>
      <w:i/>
      <w:iCs/>
      <w:color w:val="4472c4" w:themeColor="accent1"/>
    </w:rPr>
  </w:style>
  <w:style w:type="paragraph" w:styleId="Heading5">
    <w:name w:val="Heading 5"/>
    <w:basedOn w:val="Normal"/>
    <w:next w:val="Normal"/>
    <w:link w:val="Heading5Char"/>
    <w:uiPriority w:val="9"/>
    <w:semiHidden w:val="on"/>
    <w:unhideWhenUsed w:val="on"/>
    <w:qFormat w:val="on"/>
    <w:pPr>
      <w:keepNext w:val="on"/>
      <w:keepLines w:val="on"/>
      <w:spacing w:before="200" w:after="0"/>
    </w:pPr>
    <w:rPr>
      <w:rFonts w:asciiTheme="majorHAnsi" w:cstheme="majorBidi" w:eastAsiaTheme="majorEastAsia" w:hAnsiTheme="majorHAnsi"/>
      <w:color w:val="1f3763" w:themeColor="accent1" w:themeShade="7f"/>
    </w:rPr>
  </w:style>
  <w:style w:type="paragraph" w:styleId="Heading6">
    <w:name w:val="Heading 6"/>
    <w:basedOn w:val="Normal"/>
    <w:next w:val="Normal"/>
    <w:link w:val="Heading6Char"/>
    <w:uiPriority w:val="9"/>
    <w:semiHidden w:val="on"/>
    <w:unhideWhenUsed w:val="on"/>
    <w:qFormat w:val="on"/>
    <w:pPr>
      <w:keepNext w:val="on"/>
      <w:keepLines w:val="on"/>
      <w:spacing w:before="200" w:after="0"/>
    </w:pPr>
    <w:rPr>
      <w:rFonts w:asciiTheme="majorHAnsi" w:cstheme="majorBidi" w:eastAsiaTheme="majorEastAsia" w:hAnsiTheme="majorHAnsi"/>
      <w:i/>
      <w:iCs/>
      <w:color w:val="1f3763" w:themeColor="accent1" w:themeShade="7f"/>
    </w:rPr>
  </w:style>
  <w:style w:type="paragraph" w:styleId="Heading7">
    <w:name w:val="Heading 7"/>
    <w:basedOn w:val="Normal"/>
    <w:next w:val="Normal"/>
    <w:link w:val="Heading7Char"/>
    <w:uiPriority w:val="9"/>
    <w:semiHidden w:val="on"/>
    <w:unhideWhenUsed w:val="on"/>
    <w:qFormat w:val="on"/>
    <w:pPr>
      <w:keepNext w:val="on"/>
      <w:keepLines w:val="on"/>
      <w:spacing w:before="200" w:after="0"/>
    </w:pPr>
    <w:rPr>
      <w:rFonts w:asciiTheme="majorHAnsi" w:cstheme="majorBidi" w:eastAsiaTheme="majorEastAsia" w:hAnsiTheme="majorHAnsi"/>
      <w:i/>
      <w:iCs/>
      <w:color w:val="404040" w:themeColor="text1" w:themeTint="bf"/>
    </w:rPr>
  </w:style>
  <w:style w:type="paragraph" w:styleId="Heading8">
    <w:name w:val="Heading 8"/>
    <w:basedOn w:val="Normal"/>
    <w:next w:val="Normal"/>
    <w:link w:val="Heading8Char"/>
    <w:uiPriority w:val="9"/>
    <w:semiHidden w:val="on"/>
    <w:unhideWhenUsed w:val="on"/>
    <w:qFormat w:val="on"/>
    <w:pPr>
      <w:keepNext w:val="on"/>
      <w:keepLines w:val="on"/>
      <w:spacing w:before="200" w:after="0"/>
    </w:pPr>
    <w:rPr>
      <w:rFonts w:asciiTheme="majorHAnsi" w:cstheme="majorBidi" w:eastAsiaTheme="majorEastAsia" w:hAnsiTheme="majorHAnsi"/>
      <w:color w:val="404040" w:themeColor="text1" w:themeTint="bf"/>
      <w:sz w:val="20"/>
      <w:szCs w:val="20"/>
    </w:rPr>
  </w:style>
  <w:style w:type="paragraph" w:styleId="Heading9">
    <w:name w:val="Heading 9"/>
    <w:basedOn w:val="Normal"/>
    <w:next w:val="Normal"/>
    <w:link w:val="Heading9Char"/>
    <w:uiPriority w:val="9"/>
    <w:semiHidden w:val="on"/>
    <w:unhideWhenUsed w:val="on"/>
    <w:qFormat w:val="on"/>
    <w:pPr>
      <w:keepNext w:val="on"/>
      <w:keepLines w:val="on"/>
      <w:spacing w:before="200" w:after="0"/>
    </w:pPr>
    <w:rPr>
      <w:rFonts w:asciiTheme="majorHAnsi" w:cstheme="majorBidi" w:eastAsiaTheme="majorEastAsia" w:hAnsiTheme="majorHAnsi"/>
      <w:i/>
      <w:iCs/>
      <w:color w:val="404040" w:themeColor="text1" w:themeTint="bf"/>
      <w:sz w:val="20"/>
      <w:szCs w:val="20"/>
    </w:rPr>
  </w:style>
  <w:style w:type="character" w:customStyle="1" w:styleId="Heading1Char">
    <w:name w:val="Heading 1 Char"/>
    <w:uiPriority w:val="9"/>
    <w:rPr>
      <w:rFonts w:asciiTheme="majorHAnsi" w:cstheme="majorBidi" w:eastAsiaTheme="majorEastAsia" w:hAnsiTheme="majorHAnsi"/>
      <w:b/>
      <w:bCs/>
      <w:color w:val="2f5395" w:themeColor="accent1" w:themeShade="bf"/>
      <w:sz w:val="28"/>
      <w:szCs w:val="28"/>
    </w:rPr>
  </w:style>
  <w:style w:type="character" w:customStyle="1" w:styleId="Heading2Char">
    <w:name w:val="Heading 2 Char"/>
    <w:uiPriority w:val="9"/>
    <w:rPr>
      <w:rFonts w:asciiTheme="majorHAnsi" w:cstheme="majorBidi" w:eastAsiaTheme="majorEastAsia" w:hAnsiTheme="majorHAnsi"/>
      <w:b/>
      <w:bCs/>
      <w:color w:val="4472c4" w:themeColor="accent1"/>
      <w:sz w:val="26"/>
      <w:szCs w:val="26"/>
    </w:rPr>
  </w:style>
  <w:style w:type="character" w:customStyle="1" w:styleId="Heading3Char">
    <w:name w:val="Heading 3 Char"/>
    <w:link w:val="Heading3"/>
    <w:uiPriority w:val="9"/>
    <w:rPr>
      <w:rFonts w:asciiTheme="majorHAnsi" w:cstheme="majorBidi" w:eastAsiaTheme="majorEastAsia" w:hAnsiTheme="majorHAnsi"/>
      <w:b/>
      <w:bCs/>
      <w:color w:val="4472c4" w:themeColor="accent1"/>
    </w:rPr>
  </w:style>
  <w:style w:type="character" w:customStyle="1" w:styleId="Heading4Char">
    <w:name w:val="Heading 4 Char"/>
    <w:link w:val="Heading4"/>
    <w:uiPriority w:val="9"/>
    <w:rPr>
      <w:rFonts w:asciiTheme="majorHAnsi" w:cstheme="majorBidi" w:eastAsiaTheme="majorEastAsia" w:hAnsiTheme="majorHAnsi"/>
      <w:b/>
      <w:bCs/>
      <w:i/>
      <w:iCs/>
      <w:color w:val="4472c4" w:themeColor="accent1"/>
    </w:rPr>
  </w:style>
  <w:style w:type="character" w:customStyle="1" w:styleId="Heading5Char">
    <w:name w:val="Heading 5 Char"/>
    <w:link w:val="Heading5"/>
    <w:uiPriority w:val="9"/>
    <w:rPr>
      <w:rFonts w:asciiTheme="majorHAnsi" w:cstheme="majorBidi" w:eastAsiaTheme="majorEastAsia" w:hAnsiTheme="majorHAnsi"/>
      <w:color w:val="1f3763" w:themeColor="accent1" w:themeShade="7f"/>
    </w:rPr>
  </w:style>
  <w:style w:type="character" w:customStyle="1" w:styleId="Heading6Char">
    <w:name w:val="Heading 6 Char"/>
    <w:link w:val="Heading6"/>
    <w:uiPriority w:val="9"/>
    <w:rPr>
      <w:rFonts w:asciiTheme="majorHAnsi" w:cstheme="majorBidi" w:eastAsiaTheme="majorEastAsia" w:hAnsiTheme="majorHAnsi"/>
      <w:i/>
      <w:iCs/>
      <w:color w:val="1f3763" w:themeColor="accent1" w:themeShade="7f"/>
    </w:rPr>
  </w:style>
  <w:style w:type="character" w:customStyle="1" w:styleId="Heading7Char">
    <w:name w:val="Heading 7 Char"/>
    <w:link w:val="Heading7"/>
    <w:uiPriority w:val="9"/>
    <w:rPr>
      <w:rFonts w:asciiTheme="majorHAnsi" w:cstheme="majorBidi" w:eastAsiaTheme="majorEastAsia" w:hAnsiTheme="majorHAnsi"/>
      <w:i/>
      <w:iCs/>
      <w:color w:val="404040" w:themeColor="text1" w:themeTint="bf"/>
    </w:rPr>
  </w:style>
  <w:style w:type="character" w:customStyle="1" w:styleId="Heading8Char">
    <w:name w:val="Heading 8 Char"/>
    <w:link w:val="Heading8"/>
    <w:uiPriority w:val="9"/>
    <w:rPr>
      <w:rFonts w:asciiTheme="majorHAnsi" w:cstheme="majorBidi" w:eastAsiaTheme="majorEastAsia" w:hAnsiTheme="majorHAnsi"/>
      <w:color w:val="404040" w:themeColor="text1" w:themeTint="bf"/>
      <w:sz w:val="20"/>
      <w:szCs w:val="20"/>
    </w:rPr>
  </w:style>
  <w:style w:type="character" w:customStyle="1" w:styleId="Heading9Char">
    <w:name w:val="Heading 9 Char"/>
    <w:link w:val="Heading9"/>
    <w:uiPriority w:val="9"/>
    <w:rPr>
      <w:rFonts w:asciiTheme="majorHAnsi" w:cstheme="majorBidi" w:eastAsiaTheme="majorEastAsia" w:hAnsiTheme="majorHAnsi"/>
      <w:i/>
      <w:iCs/>
      <w:color w:val="404040" w:themeColor="text1" w:themeTint="bf"/>
      <w:sz w:val="20"/>
      <w:szCs w:val="20"/>
    </w:rPr>
  </w:style>
  <w:style w:type="paragraph" w:styleId="Title">
    <w:name w:val="Title"/>
    <w:basedOn w:val="Normal"/>
    <w:next w:val="Normal"/>
    <w:link w:val="TitleChar"/>
    <w:uiPriority w:val="10"/>
    <w:qFormat w:val="on"/>
    <w:pPr>
      <w:pBdr>
        <w:bottom w:val="single" w:color="4472c4" w:themeColor="accent1" w:sz="8" w:space="4"/>
      </w:pBdr>
      <w:spacing w:after="300" w:line="240" w:lineRule="auto"/>
      <w:contextualSpacing w:val="on"/>
    </w:pPr>
    <w:rPr>
      <w:rFonts w:asciiTheme="majorHAnsi" w:cstheme="majorBidi" w:eastAsiaTheme="majorEastAsia" w:hAnsiTheme="majorHAnsi"/>
      <w:color w:val="333f4f" w:themeColor="text2" w:themeShade="bf"/>
      <w:spacing w:val="5"/>
      <w:sz w:val="52"/>
      <w:szCs w:val="52"/>
    </w:rPr>
  </w:style>
  <w:style w:type="character" w:customStyle="1" w:styleId="TitleChar">
    <w:name w:val="Title Char"/>
    <w:link w:val="Title"/>
    <w:uiPriority w:val="10"/>
    <w:rPr>
      <w:rFonts w:asciiTheme="majorHAnsi" w:cstheme="majorBidi" w:eastAsiaTheme="majorEastAsia" w:hAnsiTheme="majorHAnsi"/>
      <w:color w:val="333f4f" w:themeColor="text2" w:themeShade="bf"/>
      <w:spacing w:val="5"/>
      <w:sz w:val="52"/>
      <w:szCs w:val="52"/>
    </w:rPr>
  </w:style>
  <w:style w:type="paragraph" w:styleId="Subtitle">
    <w:name w:val="Subtitle"/>
    <w:basedOn w:val="Normal"/>
    <w:next w:val="Normal"/>
    <w:link w:val="SubtitleChar"/>
    <w:uiPriority w:val="11"/>
    <w:qFormat w:val="on"/>
    <w:pPr/>
    <w:rPr>
      <w:rFonts w:asciiTheme="majorHAnsi" w:cstheme="majorBidi" w:eastAsiaTheme="majorEastAsia" w:hAnsiTheme="majorHAnsi"/>
      <w:i/>
      <w:iCs/>
      <w:color w:val="4472c4" w:themeColor="accent1"/>
      <w:spacing w:val="15"/>
      <w:sz w:val="24"/>
      <w:szCs w:val="24"/>
    </w:rPr>
  </w:style>
  <w:style w:type="character" w:customStyle="1" w:styleId="SubtitleChar">
    <w:name w:val="Subtitle Char"/>
    <w:link w:val="Subtitle"/>
    <w:uiPriority w:val="11"/>
    <w:rPr>
      <w:rFonts w:asciiTheme="majorHAnsi" w:cstheme="majorBidi" w:eastAsiaTheme="majorEastAsia" w:hAnsiTheme="majorHAnsi"/>
      <w:i/>
      <w:iCs/>
      <w:color w:val="4472c4" w:themeColor="accent1"/>
      <w:spacing w:val="15"/>
      <w:sz w:val="24"/>
      <w:szCs w:val="24"/>
    </w:rPr>
  </w:style>
  <w:style w:type="character" w:styleId="SubtleEmphasis">
    <w:name w:val="Subtle Emphasis"/>
    <w:uiPriority w:val="19"/>
    <w:qFormat w:val="on"/>
    <w:rPr>
      <w:i/>
      <w:iCs/>
      <w:color w:val="808080" w:themeColor="text1" w:themeTint="7f"/>
    </w:rPr>
  </w:style>
  <w:style w:type="character" w:styleId="Emphasis">
    <w:name w:val="Emphasis"/>
    <w:uiPriority w:val="20"/>
    <w:qFormat w:val="on"/>
    <w:rPr>
      <w:i/>
      <w:iCs/>
    </w:rPr>
  </w:style>
  <w:style w:type="character" w:styleId="IntenseEmphasis">
    <w:name w:val="Intense Emphasis"/>
    <w:uiPriority w:val="21"/>
    <w:qFormat w:val="on"/>
    <w:rPr>
      <w:b/>
      <w:bCs/>
      <w:i/>
      <w:iCs/>
      <w:color w:val="4472c4" w:themeColor="accent1"/>
    </w:rPr>
  </w:style>
  <w:style w:type="character" w:styleId="Strong">
    <w:name w:val="Strong"/>
    <w:uiPriority w:val="22"/>
    <w:qFormat w:val="on"/>
    <w:rPr>
      <w:b/>
      <w:bCs/>
    </w:rPr>
  </w:style>
  <w:style w:type="paragraph" w:styleId="Quote">
    <w:name w:val="Quote"/>
    <w:basedOn w:val="Normal"/>
    <w:next w:val="Normal"/>
    <w:link w:val="QuoteChar"/>
    <w:uiPriority w:val="29"/>
    <w:qFormat w:val="on"/>
    <w:rPr>
      <w:i/>
      <w:iCs/>
      <w:color w:val="000000" w:themeColor="text1"/>
    </w:rPr>
  </w:style>
  <w:style w:type="character" w:customStyle="1" w:styleId="QuoteChar">
    <w:name w:val="Quote Char"/>
    <w:link w:val="Quote"/>
    <w:uiPriority w:val="29"/>
    <w:rPr>
      <w:i/>
      <w:iCs/>
      <w:color w:val="000000" w:themeColor="text1"/>
    </w:rPr>
  </w:style>
  <w:style w:type="paragraph" w:styleId="IntenseQuote">
    <w:name w:val="Intense Quote"/>
    <w:basedOn w:val="Normal"/>
    <w:next w:val="Normal"/>
    <w:link w:val="IntenseQuoteChar"/>
    <w:uiPriority w:val="30"/>
    <w:qFormat w:val="on"/>
    <w:pPr>
      <w:pBdr>
        <w:bottom w:val="single" w:color="4472c4" w:themeColor="accent1" w:sz="4" w:space="4"/>
      </w:pBdr>
      <w:spacing w:before="200" w:after="280"/>
      <w:ind w:left="936" w:right="936"/>
    </w:pPr>
    <w:rPr>
      <w:b/>
      <w:bCs/>
      <w:i/>
      <w:iCs/>
      <w:color w:val="4472c4" w:themeColor="accent1"/>
    </w:rPr>
  </w:style>
  <w:style w:type="character" w:customStyle="1" w:styleId="IntenseQuoteChar">
    <w:name w:val="Intense Quote Char"/>
    <w:link w:val="IntenseQuote"/>
    <w:uiPriority w:val="30"/>
    <w:rPr>
      <w:b/>
      <w:bCs/>
      <w:i/>
      <w:iCs/>
      <w:color w:val="4472c4" w:themeColor="accent1"/>
    </w:rPr>
  </w:style>
  <w:style w:type="character" w:styleId="SubtleReference">
    <w:name w:val="Subtle Reference"/>
    <w:uiPriority w:val="31"/>
    <w:qFormat w:val="on"/>
    <w:rPr>
      <w:smallCaps/>
      <w:color w:val="ed7d31" w:themeColor="accent2"/>
      <w:u w:val="single"/>
    </w:rPr>
  </w:style>
  <w:style w:type="character" w:styleId="IntenseReference">
    <w:name w:val="Intense Reference"/>
    <w:uiPriority w:val="32"/>
    <w:qFormat w:val="on"/>
    <w:rPr>
      <w:b/>
      <w:bCs/>
      <w:smallCaps/>
      <w:color w:val="ed7d31" w:themeColor="accent2"/>
      <w:spacing w:val="5"/>
      <w:u w:val="single"/>
    </w:rPr>
  </w:style>
  <w:style w:type="character" w:styleId="BookTitle">
    <w:name w:val="Book Title"/>
    <w:uiPriority w:val="33"/>
    <w:qFormat w:val="on"/>
    <w:rPr>
      <w:b/>
      <w:bCs/>
      <w:smallCaps/>
      <w:spacing w:val="5"/>
    </w:rPr>
  </w:style>
  <w:style w:type="paragraph" w:styleId="Footnotetext">
    <w:name w:val="Footnote text"/>
    <w:basedOn w:val="Normal"/>
    <w:link w:val="FootnoteTextChar"/>
    <w:uiPriority w:val="99"/>
    <w:semiHidden w:val="on"/>
    <w:unhideWhenUsed w:val="on"/>
    <w:pPr>
      <w:spacing w:after="0" w:line="240" w:lineRule="auto"/>
    </w:pPr>
    <w:rPr>
      <w:sz w:val="20"/>
      <w:szCs w:val="20"/>
    </w:rPr>
  </w:style>
  <w:style w:type="character" w:customStyle="1" w:styleId="FootnoteTextChar">
    <w:name w:val="Footnote Text Char"/>
    <w:link w:val="Footnotetext"/>
    <w:uiPriority w:val="99"/>
    <w:semiHidden w:val="on"/>
    <w:rPr>
      <w:sz w:val="20"/>
      <w:szCs w:val="20"/>
    </w:rPr>
  </w:style>
  <w:style w:type="character" w:styleId="Footnotereference">
    <w:name w:val="Footnote reference"/>
    <w:uiPriority w:val="99"/>
    <w:semiHidden w:val="on"/>
    <w:unhideWhenUsed w:val="on"/>
    <w:rPr>
      <w:vertAlign w:val="superscript"/>
    </w:rPr>
  </w:style>
  <w:style w:type="paragraph" w:styleId="Endnotetext">
    <w:name w:val="Endnote text"/>
    <w:basedOn w:val="Normal"/>
    <w:link w:val="EndnoteTextChar"/>
    <w:uiPriority w:val="99"/>
    <w:semiHidden w:val="on"/>
    <w:unhideWhenUsed w:val="on"/>
    <w:pPr>
      <w:spacing w:after="0" w:line="240" w:lineRule="auto"/>
    </w:pPr>
    <w:rPr>
      <w:sz w:val="20"/>
      <w:szCs w:val="20"/>
    </w:rPr>
  </w:style>
  <w:style w:type="character" w:customStyle="1" w:styleId="EndnoteTextChar">
    <w:name w:val="Endnote Text Char"/>
    <w:link w:val="Endnotetext"/>
    <w:uiPriority w:val="99"/>
    <w:semiHidden w:val="on"/>
    <w:rPr>
      <w:sz w:val="20"/>
      <w:szCs w:val="20"/>
    </w:rPr>
  </w:style>
  <w:style w:type="character" w:styleId="Endnotereference">
    <w:name w:val="Endnote reference"/>
    <w:uiPriority w:val="99"/>
    <w:semiHidden w:val="on"/>
    <w:unhideWhenUsed w:val="on"/>
    <w:rPr>
      <w:vertAlign w:val="superscript"/>
    </w:rPr>
  </w:style>
  <w:style w:type="paragraph" w:styleId="PlainText">
    <w:name w:val="Plain Text"/>
    <w:basedOn w:val="Normal"/>
    <w:link w:val="PlainTextChar"/>
    <w:uiPriority w:val="99"/>
    <w:semiHidden w:val="on"/>
    <w:unhideWhenUsed w:val="on"/>
    <w:pPr>
      <w:spacing w:after="0" w:line="240" w:lineRule="auto"/>
    </w:pPr>
    <w:rPr>
      <w:rFonts w:ascii="Courier New" w:cs="Courier New" w:hAnsi="Courier New"/>
      <w:sz w:val="21"/>
      <w:szCs w:val="21"/>
    </w:rPr>
  </w:style>
  <w:style w:type="character" w:customStyle="1" w:styleId="PlainTextChar">
    <w:name w:val="Plain Text Char"/>
    <w:link w:val="PlainText"/>
    <w:uiPriority w:val="99"/>
    <w:rPr>
      <w:rFonts w:ascii="Courier New" w:cs="Courier New" w:hAnsi="Courier New"/>
      <w:sz w:val="21"/>
      <w:szCs w:val="21"/>
    </w:rPr>
  </w:style>
  <w:style w:type="character" w:customStyle="1" w:styleId="HeaderChar">
    <w:name w:val="Header Char"/>
    <w:uiPriority w:val="99"/>
  </w:style>
  <w:style w:type="character" w:customStyle="1" w:styleId="FooterChar">
    <w:name w:val="Footer Char"/>
    <w:uiPriority w:val="99"/>
  </w:style>
  <w:style w:type="paragraph" w:default="1" w:styleId="Normal">
    <w:name w:val="Normal"/>
    <w:uiPriority w:val="99"/>
    <w:qFormat w:val="on"/>
    <w:pPr>
      <w:spacing w:line="360" w:lineRule="auto"/>
      <w:jc w:val="both"/>
    </w:pPr>
    <w:rPr>
      <w:rFonts w:ascii="Times New Roman" w:cs="Times New Roman" w:hAnsi="Times New Roman"/>
    </w:rPr>
  </w:style>
  <w:style w:type="paragraph" w:styleId="Heading1">
    <w:name w:val="Heading 1"/>
    <w:basedOn w:val="Normal"/>
    <w:next w:val="Normal"/>
    <w:link w:val="Titlu1Caracter"/>
    <w:uiPriority w:val="9"/>
    <w:qFormat w:val="on"/>
    <w:pPr>
      <w:keepNext w:val="on"/>
      <w:keepLines w:val="on"/>
      <w:spacing w:before="240" w:after="0"/>
    </w:pPr>
    <w:rPr>
      <w:rFonts w:eastAsiaTheme="majorEastAsia"/>
      <w:b/>
      <w:bCs/>
      <w:sz w:val="26"/>
      <w:szCs w:val="26"/>
    </w:rPr>
  </w:style>
  <w:style w:type="paragraph" w:styleId="Heading2">
    <w:name w:val="Heading 2"/>
    <w:basedOn w:val="Normal"/>
    <w:next w:val="Normal"/>
    <w:link w:val="Titlu2Caracter"/>
    <w:uiPriority w:val="9"/>
    <w:unhideWhenUsed w:val="on"/>
    <w:qFormat w:val="on"/>
    <w:pPr>
      <w:keepNext w:val="on"/>
      <w:keepLines w:val="on"/>
      <w:spacing w:before="40" w:after="0"/>
    </w:pPr>
    <w:rPr>
      <w:rFonts w:eastAsiaTheme="majorEastAsia"/>
      <w:b/>
      <w:bCs/>
    </w:rPr>
  </w:style>
  <w:style w:type="character" w:default="1" w:styleId="DefaultParagraphFont">
    <w:name w:val="Default Paragraph Font"/>
    <w:uiPriority w:val="1"/>
    <w:semiHidden w:val="on"/>
    <w:unhideWhenUsed w:val="on"/>
  </w:style>
  <w:style w:type="table" w:default="1" w:styleId="NormalTable">
    <w:name w:val="Normal Table"/>
    <w:uiPriority w:val="99"/>
    <w:semiHidden w:val="on"/>
    <w:unhideWhenUsed w:val="on"/>
    <w:tblPr>
      <w:tblInd w:w="0" w:type="dxa"/>
      <w:tblCellMar>
        <w:top w:w="0" w:type="dxa"/>
        <w:left w:w="108" w:type="dxa"/>
        <w:bottom w:w="0" w:type="dxa"/>
        <w:right w:w="108" w:type="dxa"/>
      </w:tblCellMar>
    </w:tblPr>
  </w:style>
  <w:style w:type="numbering" w:default="1" w:styleId="NoList">
    <w:name w:val="No List"/>
    <w:uiPriority w:val="99"/>
    <w:semiHidden w:val="on"/>
    <w:unhideWhenUsed w:val="on"/>
  </w:style>
  <w:style w:type="paragraph" w:styleId="NoSpacing">
    <w:name w:val="No Spacing"/>
    <w:link w:val="FărăspațiereCaracter"/>
    <w:uiPriority w:val="1"/>
    <w:qFormat w:val="on"/>
    <w:pPr>
      <w:spacing w:after="0" w:line="240" w:lineRule="auto"/>
    </w:pPr>
    <w:rPr>
      <w:rFonts w:eastAsiaTheme="minorEastAsia"/>
      <w:lang w:val="en-US"/>
    </w:rPr>
  </w:style>
  <w:style w:type="character" w:customStyle="1" w:styleId="FărăspațiereCaracter">
    <w:name w:val="Fără spațiere Caracter"/>
    <w:basedOn w:val="DefaultParagraphFont"/>
    <w:link w:val="NoSpacing"/>
    <w:uiPriority w:val="1"/>
    <w:rPr>
      <w:rFonts w:eastAsiaTheme="minorEastAsia"/>
      <w:lang w:val="en-US"/>
    </w:rPr>
  </w:style>
  <w:style w:type="character" w:customStyle="1" w:styleId="Titlu1Caracter">
    <w:name w:val="Titlu 1 Caracter"/>
    <w:basedOn w:val="DefaultParagraphFont"/>
    <w:link w:val="Heading1"/>
    <w:uiPriority w:val="9"/>
    <w:rPr>
      <w:rFonts w:ascii="Times New Roman" w:cs="Times New Roman" w:eastAsiaTheme="majorEastAsia" w:hAnsi="Times New Roman"/>
      <w:b/>
      <w:bCs/>
      <w:sz w:val="26"/>
      <w:szCs w:val="26"/>
    </w:rPr>
  </w:style>
  <w:style w:type="paragraph" w:styleId="ListParagraph">
    <w:name w:val="List Paragraph"/>
    <w:basedOn w:val="Normal"/>
    <w:uiPriority w:val="34"/>
    <w:qFormat w:val="on"/>
    <w:pPr>
      <w:ind w:left="720"/>
      <w:contextualSpacing w:val="on"/>
    </w:pPr>
  </w:style>
  <w:style w:type="paragraph" w:styleId="TOCHeading">
    <w:name w:val="TOC Heading"/>
    <w:basedOn w:val="Heading1"/>
    <w:next w:val="Normal"/>
    <w:uiPriority w:val="39"/>
    <w:unhideWhenUsed w:val="on"/>
    <w:qFormat w:val="on"/>
    <w:pPr/>
    <w:rPr>
      <w:lang w:val="en-US"/>
    </w:rPr>
  </w:style>
  <w:style w:type="paragraph" w:styleId="Toc1">
    <w:name w:val="Toc 1"/>
    <w:basedOn w:val="Normal"/>
    <w:next w:val="Normal"/>
    <w:uiPriority w:val="39"/>
    <w:unhideWhenUsed w:val="on"/>
    <w:pPr>
      <w:spacing w:after="100"/>
    </w:pPr>
  </w:style>
  <w:style w:type="character" w:styleId="Hyperlink">
    <w:name w:val="Hyperlink"/>
    <w:basedOn w:val="DefaultParagraphFont"/>
    <w:uiPriority w:val="99"/>
    <w:unhideWhenUsed w:val="on"/>
    <w:rPr>
      <w:color w:val="0563c1" w:themeColor="hyperlink"/>
      <w:u w:val="single"/>
    </w:rPr>
  </w:style>
  <w:style w:type="paragraph" w:styleId="Header">
    <w:name w:val="Header"/>
    <w:basedOn w:val="Normal"/>
    <w:link w:val="AntetCaracter"/>
    <w:uiPriority w:val="99"/>
    <w:unhideWhenUsed w:val="on"/>
    <w:pPr>
      <w:tabs>
        <w:tab w:val="center" w:pos="4513"/>
        <w:tab w:val="right" w:pos="9026"/>
      </w:tabs>
      <w:spacing w:after="0" w:line="240" w:lineRule="auto"/>
    </w:pPr>
  </w:style>
  <w:style w:type="character" w:customStyle="1" w:styleId="AntetCaracter">
    <w:name w:val="Antet Caracter"/>
    <w:basedOn w:val="DefaultParagraphFont"/>
    <w:link w:val="Header"/>
    <w:uiPriority w:val="99"/>
  </w:style>
  <w:style w:type="paragraph" w:styleId="Footer">
    <w:name w:val="Footer"/>
    <w:basedOn w:val="Normal"/>
    <w:link w:val="SubsolCaracter"/>
    <w:uiPriority w:val="99"/>
    <w:unhideWhenUsed w:val="on"/>
    <w:pPr>
      <w:tabs>
        <w:tab w:val="center" w:pos="4513"/>
        <w:tab w:val="right" w:pos="9026"/>
      </w:tabs>
      <w:spacing w:after="0" w:line="240" w:lineRule="auto"/>
    </w:pPr>
  </w:style>
  <w:style w:type="character" w:customStyle="1" w:styleId="SubsolCaracter">
    <w:name w:val="Subsol Caracter"/>
    <w:basedOn w:val="DefaultParagraphFont"/>
    <w:link w:val="Footer"/>
    <w:uiPriority w:val="99"/>
  </w:style>
  <w:style w:type="character" w:customStyle="1" w:styleId="Titlu2Caracter">
    <w:name w:val="Titlu 2 Caracter"/>
    <w:basedOn w:val="DefaultParagraphFont"/>
    <w:link w:val="Heading2"/>
    <w:uiPriority w:val="9"/>
    <w:rPr>
      <w:rFonts w:ascii="Times New Roman" w:cs="Times New Roman" w:eastAsiaTheme="majorEastAsia" w:hAnsi="Times New Roman"/>
      <w:b/>
      <w:bCs/>
      <w:sz w:val="24"/>
      <w:szCs w:val="24"/>
    </w:rPr>
  </w:style>
  <w:style w:type="character" w:styleId="UnresolvedMention">
    <w:name w:val="Unresolved Mention"/>
    <w:basedOn w:val="DefaultParagraphFont"/>
    <w:uiPriority w:val="99"/>
    <w:semiHidden w:val="on"/>
    <w:unhideWhenUsed w:val="on"/>
    <w:rPr>
      <w:color w:val="605e5c"/>
      <w:shd w:val="clear" w:color="auto" w:fill="e1dfdd"/>
    </w:rPr>
  </w:style>
  <w:style w:type="paragraph" w:styleId="Toc2">
    <w:name w:val="Toc 2"/>
    <w:basedOn w:val="Normal"/>
    <w:next w:val="Normal"/>
    <w:uiPriority w:val="39"/>
    <w:unhideWhenUsed w:val="on"/>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5" Type="http://schemas.openxmlformats.org/officeDocument/2006/relationships/footer" Target="footer1.xml"/><Relationship Id="rId16" Type="http://schemas.openxmlformats.org/officeDocument/2006/relationships/fontTable" Target="fontTable.xml"/><Relationship Id="rId18" Type="http://schemas.openxmlformats.org/officeDocument/2006/relationships/theme" Target="theme/theme1.xml"/><Relationship Id="rId19" Type="http://schemas.openxmlformats.org/officeDocument/2006/relationships/footer" Target="footer1.xml"/><Relationship Id="rId2" Type="http://schemas.openxmlformats.org/officeDocument/2006/relationships/numbering" Target="numbering.xml"/><Relationship Id="rId20" Type="http://schemas.openxmlformats.org/officeDocument/2006/relationships/footer" Target="footer1.xml"/><Relationship Id="rId3" Type="http://schemas.openxmlformats.org/officeDocument/2006/relationships/styles" Target="styles.xml"/><Relationship Id="rId4" Type="http://schemas.openxmlformats.org/officeDocument/2006/relationships/settings" Target="settings.xml"/><Relationship Id="rId6" Type="http://schemas.openxmlformats.org/officeDocument/2006/relationships/footnotes" Target="footnotes.xml"/><Relationship Id="rId7" Type="http://schemas.openxmlformats.org/officeDocument/2006/relationships/endnotes" Target="endnotes.xml"/><Relationship Id="rId1" Type="http://schemas.openxmlformats.org/officeDocument/2006/relationships/customXml" Target="../customXml/item1.xml"/><Relationship Id="rId5" Type="http://schemas.openxmlformats.org/officeDocument/2006/relationships/webSettings" Target="webSettings.xml"/><Relationship Id="rId8" Type="http://schemas.openxmlformats.org/officeDocument/2006/relationships/hyperlink" Target="https://www.imd.org/research-knowledge/articles/why-all-businesses-should-embrace-sustainability/" TargetMode="External"/><Relationship Id="rId9" Type="http://schemas.openxmlformats.org/officeDocument/2006/relationships/hyperlink" Target="https://howandwhat.net/marketing-mix-tesco-tesco-marketing-mix/" TargetMode="External"/><Relationship Id="rId10" Type="http://schemas.openxmlformats.org/officeDocument/2006/relationships/hyperlink" Target="https://bstrategyhub.com/tesco-swot-analysis-2019swot-analysis-of-tesco/" TargetMode="External"/><Relationship Id="rId11" Type="http://schemas.openxmlformats.org/officeDocument/2006/relationships/hyperlink" Target="https://bstrategyhub.com/tesco-swot-analysis-2019swot-analysis-of-tesco/" TargetMode="External"/><Relationship Id="rId12" Type="http://schemas.openxmlformats.org/officeDocument/2006/relationships/hyperlink" Target="https://www.theguardian.com/business/2021/apr/14/tesco-profits-fall-as-covid-costs-offset-sales-surge" TargetMode="External"/><Relationship Id="rId13" Type="http://schemas.openxmlformats.org/officeDocument/2006/relationships/hyperlink" Target="https://successstory.com/companies/tesco-plc" TargetMode="External"/><Relationship Id="rId14" Type="http://schemas.openxmlformats.org/officeDocument/2006/relationships/hyperlink" Target="https://www.macrotrends.net/stocks/charts/TSCDY/tesco/number-of-employees" TargetMode="External"/><Relationship Id="rId17" Type="http://schemas.openxmlformats.org/officeDocument/2006/relationships/glossaryDocument" Target="glossary/document.xml"/></Relationships>
</file>

<file path=word/_rels/endnotes.xml.rels><?xml version="1.0" encoding="UTF-8" standalone="yes"?>
<Relationships xmlns="http://schemas.openxmlformats.org/package/2006/relationships"></Relationships>
</file>

<file path=word/_rels/footer1.xml.rels><?xml version="1.0" encoding="UTF-8" standalone="yes"?>
<Relationships xmlns="http://schemas.openxmlformats.org/package/2006/relationships"></Relationships>
</file>

<file path=word/_rels/footnotes.xml.rels><?xml version="1.0" encoding="UTF-8" standalone="yes"?>
<Relationships xmlns="http://schemas.openxmlformats.org/package/2006/relationships"></Relationships>
</file>

<file path=word/_rels/numbering.xml.rels><?xml version="1.0" encoding="UTF-8" standalone="yes"?>
<Relationships xmlns="http://schemas.openxmlformats.org/package/2006/relationships"></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 /><Relationship Id="rId2" Type="http://schemas.openxmlformats.org/officeDocument/2006/relationships/settings" Target="settings.xml" /><Relationship Id="rId1" Type="http://schemas.openxmlformats.org/officeDocument/2006/relationships/styles" Target="styles.xml" /><Relationship Id="rId4" Type="http://schemas.openxmlformats.org/officeDocument/2006/relationships/fontTable" Target="fontTable.xml" /></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23FFB9F40B5E4FF6A136188D527CBE07"/>
        <w:category>
          <w:name w:val="General"/>
          <w:gallery w:val="placeholder"/>
        </w:category>
        <w:types>
          <w:type w:val="bbPlcHdr"/>
        </w:types>
        <w:behaviors>
          <w:behavior w:val="content"/>
        </w:behaviors>
        <w:guid w:val="{85DBBA50-943F-4A19-AA3B-0025B0F06A53}"/>
      </w:docPartPr>
      <w:docPartBody>
        <w:p w:rsidR="00C32028" w:rsidRDefault="00EF40CC" w:rsidP="00EF40CC">
          <w:pPr>
            <w:pStyle w:val="23FFB9F40B5E4FF6A136188D527CBE07"/>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Roboto">
    <w:panose1 w:val="02000000000000000000"/>
    <w:charset w:val="00"/>
    <w:family w:val="auto"/>
    <w:pitch w:val="variable"/>
    <w:sig w:usb0="E00002FF" w:usb1="5000217F" w:usb2="0000002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40CC"/>
    <w:rsid w:val="001979C7"/>
    <w:rsid w:val="002E7B11"/>
    <w:rsid w:val="00B343B5"/>
    <w:rsid w:val="00C32028"/>
    <w:rsid w:val="00EA1774"/>
    <w:rsid w:val="00EF40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customStyle="1" w:styleId="23FFB9F40B5E4FF6A136188D527CBE07">
    <w:name w:val="23FFB9F40B5E4FF6A136188D527CBE07"/>
    <w:rsid w:val="00EF40C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Arab" typeface="Times New Roman"/>
        <a:font script="Armn" typeface="Arial"/>
        <a:font script="Beng" typeface="Vrinda"/>
        <a:font script="Bopo" typeface="Microsoft JhengHei"/>
        <a:font script="Cher" typeface="Plantagenet Cherokee"/>
        <a:font script="Deva" typeface="Mangal"/>
        <a:font script="Ethi" typeface="Nyala"/>
        <a:font script="Geor" typeface="Sylfaen"/>
        <a:font script="Gujr" typeface="Shruti"/>
        <a:font script="Guru" typeface="Raavi"/>
        <a:font script="Hang" typeface="맑은 고딕"/>
        <a:font script="Hebr" typeface="Times New Roman"/>
        <a:font script="Knda" typeface="Tunga"/>
        <a:font script="Khmr" typeface="MoolBoran"/>
        <a:font script="Laoo" typeface="DokChampa"/>
        <a:font script="Mlym" typeface="Kartika"/>
        <a:font script="Mong" typeface="Mongolian Baiti"/>
        <a:font script="Mymr" typeface="Myanmar Text"/>
        <a:font script="Orya" typeface="Kalinga"/>
        <a:font script="Sinh" typeface="Iskoola Pota"/>
        <a:font script="Syrc" typeface="Estrangelo Edessa"/>
        <a:font script="Taml" typeface="Latha"/>
        <a:font script="Telu" typeface="Gautami"/>
        <a:font script="Thaa" typeface="MV Boli"/>
        <a:font script="Thai" typeface="Angsana New"/>
        <a:font script="Tibt" typeface="Microsoft Himalaya"/>
        <a:font script="Cans" typeface="Euphemia"/>
        <a:font script="Yiii" typeface="Microsoft Yi Baiti"/>
        <a:font script="Osma" typeface="Ebrima"/>
        <a:font script="Tale" typeface="Microsoft Tai Le"/>
        <a:font script="Bugi" typeface="Leelawadee UI"/>
        <a:font script="Talu" typeface="Microsoft New Tai Lue"/>
        <a:font script="Tfng" typeface="Ebrima"/>
        <a:font script="Hans" typeface="等线 Light"/>
        <a:font script="Hant" typeface="新細明體"/>
        <a:font script="Java" typeface="Javanese Text"/>
        <a:font script="Nkoo" typeface="Ebrima"/>
        <a:font script="Phag" typeface="Phagspa"/>
        <a:font script="Syre" typeface="Estrangelo Edessa"/>
        <a:font script="Syrj" typeface="Estrangelo Edessa"/>
        <a:font script="Syrn" typeface="Estrangelo Edessa"/>
        <a:font script="Jpan" typeface="游ゴシック Light"/>
        <a:font script="Olck" typeface="Nirmala UI"/>
        <a:font script="Lisu" typeface="Segoe UI"/>
        <a:font script="Sora" typeface="Nirmala UI"/>
      </a:majorFont>
      <a:minorFont>
        <a:latin typeface="Calibri" panose="020F0502020204030204"/>
        <a:ea typeface=""/>
        <a:cs typeface=""/>
        <a:font script="Arab" typeface="Arial"/>
        <a:font script="Armn" typeface="Arial"/>
        <a:font script="Beng" typeface="Vrinda"/>
        <a:font script="Bopo" typeface="Microsoft JhengHei"/>
        <a:font script="Cher" typeface="Plantagenet Cherokee"/>
        <a:font script="Deva" typeface="Mangal"/>
        <a:font script="Ethi" typeface="Nyala"/>
        <a:font script="Geor" typeface="Sylfaen"/>
        <a:font script="Gujr" typeface="Shruti"/>
        <a:font script="Guru" typeface="Raavi"/>
        <a:font script="Hang" typeface="맑은 고딕"/>
        <a:font script="Hebr" typeface="Arial"/>
        <a:font script="Knda" typeface="Tunga"/>
        <a:font script="Khmr" typeface="DaunPenh"/>
        <a:font script="Laoo" typeface="DokChampa"/>
        <a:font script="Mlym" typeface="Kartika"/>
        <a:font script="Mong" typeface="Mongolian Baiti"/>
        <a:font script="Mymr" typeface="Myanmar Text"/>
        <a:font script="Orya" typeface="Kalinga"/>
        <a:font script="Sinh" typeface="Iskoola Pota"/>
        <a:font script="Syrc" typeface="Estrangelo Edessa"/>
        <a:font script="Taml" typeface="Latha"/>
        <a:font script="Telu" typeface="Gautami"/>
        <a:font script="Thaa" typeface="MV Boli"/>
        <a:font script="Thai" typeface="Cordia New"/>
        <a:font script="Tibt" typeface="Microsoft Himalaya"/>
        <a:font script="Cans" typeface="Euphemia"/>
        <a:font script="Yiii" typeface="Microsoft Yi Baiti"/>
        <a:font script="Osma" typeface="Ebrima"/>
        <a:font script="Tale" typeface="Microsoft Tai Le"/>
        <a:font script="Bugi" typeface="Leelawadee UI"/>
        <a:font script="Talu" typeface="Microsoft New Tai Lue"/>
        <a:font script="Tfng" typeface="Ebrima"/>
        <a:font script="Hans" typeface="等线"/>
        <a:font script="Hant" typeface="新細明體"/>
        <a:font script="Java" typeface="Javanese Text"/>
        <a:font script="Nkoo" typeface="Ebrima"/>
        <a:font script="Phag" typeface="Phagspa"/>
        <a:font script="Syre" typeface="Estrangelo Edessa"/>
        <a:font script="Syrj" typeface="Estrangelo Edessa"/>
        <a:font script="Syrn" typeface="Estrangelo Edessa"/>
        <a:font script="Jpan" typeface="游明朝"/>
        <a:font script="Olck" typeface="Nirmala UI"/>
        <a:font script="Lisu" typeface="Segoe UI"/>
        <a:font script="Sora" typeface="Nirmala UI"/>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D902BE1-F051-47B3-8F45-162613A075EC}">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4249</Words>
  <Characters>24650</Characters>
  <Application>Microsoft Office Word</Application>
  <DocSecurity>0</DocSecurity>
  <Lines>205</Lines>
  <Paragraphs>57</Paragraphs>
  <ScaleCrop>false</ScaleCrop>
  <HeadingPairs>
    <vt:vector size="2" baseType="variant">
      <vt:variant>
        <vt:lpstr>Title</vt:lpstr>
      </vt:variant>
      <vt:variant>
        <vt:i4>1</vt:i4>
      </vt:variant>
    </vt:vector>
  </HeadingPairs>
  <TitlesOfParts>
    <vt:vector size="1" baseType="lpstr">
      <vt:lpstr>Assessment 1 Blogging to communicate</vt:lpstr>
    </vt:vector>
  </TitlesOfParts>
  <Company/>
  <LinksUpToDate>false</LinksUpToDate>
  <CharactersWithSpaces>28842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Assessment 1 Blogging to communicate</dc:title>
  <dc:subject>STUDENT ID:</dc:subject>
  <dc:creator>Diana-Rose Albu (Student)</dc:creator>
  <cp:lastModifiedBy>cristinadffdf</cp:lastModifiedBy>
</cp:coreProperties>
</file>