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ADFB6" w14:textId="49C39B51" w:rsidR="00E96545" w:rsidRPr="00EF419D" w:rsidRDefault="00E96545" w:rsidP="000A2A1A">
      <w:pPr>
        <w:pStyle w:val="Heading2"/>
        <w:jc w:val="center"/>
        <w:rPr>
          <w:sz w:val="32"/>
          <w:szCs w:val="32"/>
        </w:rPr>
      </w:pPr>
      <w:r w:rsidRPr="00EF419D">
        <w:rPr>
          <w:sz w:val="32"/>
          <w:szCs w:val="32"/>
        </w:rPr>
        <w:t>Alexanders encounter with Thalestris</w:t>
      </w:r>
    </w:p>
    <w:p w14:paraId="1DCD84F2" w14:textId="77777777" w:rsidR="00D25ECA" w:rsidRPr="00761B83" w:rsidRDefault="00D25ECA" w:rsidP="00D25ECA">
      <w:pPr>
        <w:rPr>
          <w:sz w:val="18"/>
          <w:szCs w:val="18"/>
        </w:rPr>
      </w:pPr>
    </w:p>
    <w:p w14:paraId="1692EAD8" w14:textId="3D4037E9" w:rsidR="00CF6FBF" w:rsidRDefault="00BE6E60" w:rsidP="0068294E">
      <w:pPr>
        <w:spacing w:line="480" w:lineRule="auto"/>
        <w:rPr>
          <w:sz w:val="24"/>
          <w:szCs w:val="24"/>
        </w:rPr>
      </w:pPr>
      <w:r>
        <w:rPr>
          <w:sz w:val="24"/>
          <w:szCs w:val="24"/>
        </w:rPr>
        <w:t>Within ancient sources a meeting and possible insemination between Alexander and Thalestris</w:t>
      </w:r>
      <w:r w:rsidR="00493CC0">
        <w:rPr>
          <w:sz w:val="24"/>
          <w:szCs w:val="24"/>
        </w:rPr>
        <w:t xml:space="preserve"> </w:t>
      </w:r>
      <w:r w:rsidR="004656C1">
        <w:rPr>
          <w:sz w:val="24"/>
          <w:szCs w:val="24"/>
        </w:rPr>
        <w:t>is</w:t>
      </w:r>
      <w:bookmarkStart w:id="0" w:name="_GoBack"/>
      <w:bookmarkEnd w:id="0"/>
      <w:r w:rsidR="00493CC0">
        <w:rPr>
          <w:sz w:val="24"/>
          <w:szCs w:val="24"/>
        </w:rPr>
        <w:t xml:space="preserve"> mentioned</w:t>
      </w:r>
      <w:r>
        <w:rPr>
          <w:sz w:val="24"/>
          <w:szCs w:val="24"/>
        </w:rPr>
        <w:t>.</w:t>
      </w:r>
      <w:r w:rsidR="000A2A1A">
        <w:rPr>
          <w:sz w:val="24"/>
          <w:szCs w:val="24"/>
        </w:rPr>
        <w:t xml:space="preserve"> </w:t>
      </w:r>
      <w:r w:rsidR="00FB52CE">
        <w:rPr>
          <w:sz w:val="24"/>
          <w:szCs w:val="24"/>
        </w:rPr>
        <w:t>The evocativeness and mystery surrounding the Amazons is well known throughout ancient literature</w:t>
      </w:r>
      <w:r w:rsidR="00493CC0">
        <w:rPr>
          <w:sz w:val="24"/>
          <w:szCs w:val="24"/>
        </w:rPr>
        <w:t>,</w:t>
      </w:r>
      <w:r w:rsidR="00077E87">
        <w:rPr>
          <w:rStyle w:val="FootnoteReference"/>
          <w:sz w:val="24"/>
          <w:szCs w:val="24"/>
        </w:rPr>
        <w:footnoteReference w:id="1"/>
      </w:r>
      <w:r w:rsidR="00FB52CE">
        <w:rPr>
          <w:sz w:val="24"/>
          <w:szCs w:val="24"/>
        </w:rPr>
        <w:t xml:space="preserve"> </w:t>
      </w:r>
      <w:r w:rsidR="00493CC0">
        <w:rPr>
          <w:sz w:val="24"/>
          <w:szCs w:val="24"/>
        </w:rPr>
        <w:t>and w</w:t>
      </w:r>
      <w:r w:rsidR="00FB52CE">
        <w:rPr>
          <w:sz w:val="24"/>
          <w:szCs w:val="24"/>
        </w:rPr>
        <w:t xml:space="preserve">hether it was Alexanders mythmaking or that of later propaganda, by the time Lysimachus had died, </w:t>
      </w:r>
      <w:r w:rsidR="00077E87">
        <w:rPr>
          <w:sz w:val="24"/>
          <w:szCs w:val="24"/>
        </w:rPr>
        <w:t>the story had</w:t>
      </w:r>
      <w:r w:rsidR="00FB52CE">
        <w:rPr>
          <w:sz w:val="24"/>
          <w:szCs w:val="24"/>
        </w:rPr>
        <w:t xml:space="preserve"> already been circulated and committed to literature.</w:t>
      </w:r>
      <w:r w:rsidR="00FB52CE">
        <w:rPr>
          <w:rStyle w:val="FootnoteReference"/>
          <w:sz w:val="24"/>
          <w:szCs w:val="24"/>
        </w:rPr>
        <w:footnoteReference w:id="2"/>
      </w:r>
      <w:r w:rsidR="00FB52CE">
        <w:rPr>
          <w:sz w:val="24"/>
          <w:szCs w:val="24"/>
        </w:rPr>
        <w:t xml:space="preserve"> The surviving sources that we have which mention the story however do not often </w:t>
      </w:r>
      <w:r w:rsidR="00327974">
        <w:rPr>
          <w:sz w:val="24"/>
          <w:szCs w:val="24"/>
        </w:rPr>
        <w:t>correlate</w:t>
      </w:r>
      <w:r w:rsidR="003C5CBF">
        <w:rPr>
          <w:sz w:val="24"/>
          <w:szCs w:val="24"/>
        </w:rPr>
        <w:t>,</w:t>
      </w:r>
      <w:r w:rsidR="00FB52CE">
        <w:rPr>
          <w:sz w:val="24"/>
          <w:szCs w:val="24"/>
        </w:rPr>
        <w:t xml:space="preserve"> </w:t>
      </w:r>
      <w:r w:rsidR="003C5CBF">
        <w:rPr>
          <w:sz w:val="24"/>
          <w:szCs w:val="24"/>
        </w:rPr>
        <w:t>causing</w:t>
      </w:r>
      <w:r w:rsidR="00FB52CE">
        <w:rPr>
          <w:sz w:val="24"/>
          <w:szCs w:val="24"/>
        </w:rPr>
        <w:t xml:space="preserve"> readers to question the story’s credibility</w:t>
      </w:r>
      <w:r w:rsidR="003C5CBF">
        <w:rPr>
          <w:sz w:val="24"/>
          <w:szCs w:val="24"/>
        </w:rPr>
        <w:t xml:space="preserve"> and</w:t>
      </w:r>
      <w:r w:rsidR="00FB52CE">
        <w:rPr>
          <w:sz w:val="24"/>
          <w:szCs w:val="24"/>
        </w:rPr>
        <w:t xml:space="preserve"> its purpose.</w:t>
      </w:r>
    </w:p>
    <w:p w14:paraId="63E006AB" w14:textId="597D7DD7" w:rsidR="004810B7" w:rsidRPr="00CF6FBF" w:rsidRDefault="00327974" w:rsidP="0068294E">
      <w:pPr>
        <w:spacing w:line="480" w:lineRule="auto"/>
        <w:rPr>
          <w:sz w:val="24"/>
          <w:szCs w:val="24"/>
        </w:rPr>
      </w:pPr>
      <w:r>
        <w:rPr>
          <w:sz w:val="24"/>
          <w:szCs w:val="24"/>
        </w:rPr>
        <w:t xml:space="preserve">Diodorus and Curtius have </w:t>
      </w:r>
      <w:r w:rsidR="006A54D3">
        <w:rPr>
          <w:sz w:val="24"/>
          <w:szCs w:val="24"/>
        </w:rPr>
        <w:t>similar tales</w:t>
      </w:r>
      <w:r w:rsidR="00CF6FBF">
        <w:rPr>
          <w:sz w:val="24"/>
          <w:szCs w:val="24"/>
        </w:rPr>
        <w:t>,</w:t>
      </w:r>
      <w:r w:rsidR="0068294E" w:rsidRPr="0068294E">
        <w:rPr>
          <w:rStyle w:val="FootnoteReference"/>
          <w:sz w:val="24"/>
          <w:szCs w:val="24"/>
        </w:rPr>
        <w:t xml:space="preserve"> </w:t>
      </w:r>
      <w:r w:rsidR="00CF6FBF">
        <w:rPr>
          <w:sz w:val="24"/>
          <w:szCs w:val="24"/>
        </w:rPr>
        <w:t xml:space="preserve">the reason for this being that </w:t>
      </w:r>
      <w:r w:rsidR="003C5CBF">
        <w:rPr>
          <w:sz w:val="24"/>
          <w:szCs w:val="24"/>
        </w:rPr>
        <w:t>they probably</w:t>
      </w:r>
      <w:r w:rsidR="00CF6FBF">
        <w:rPr>
          <w:sz w:val="24"/>
          <w:szCs w:val="24"/>
        </w:rPr>
        <w:t xml:space="preserve"> both had access to Cleitarchus’ original writings.</w:t>
      </w:r>
      <w:r w:rsidR="00CF6FBF">
        <w:rPr>
          <w:rStyle w:val="FootnoteReference"/>
          <w:sz w:val="24"/>
          <w:szCs w:val="24"/>
        </w:rPr>
        <w:footnoteReference w:id="3"/>
      </w:r>
      <w:r w:rsidR="00BA0DA9">
        <w:rPr>
          <w:sz w:val="24"/>
          <w:szCs w:val="24"/>
        </w:rPr>
        <w:t xml:space="preserve"> </w:t>
      </w:r>
      <w:r w:rsidR="0068294E">
        <w:rPr>
          <w:sz w:val="24"/>
          <w:szCs w:val="24"/>
        </w:rPr>
        <w:t xml:space="preserve">Both </w:t>
      </w:r>
      <w:r w:rsidR="000B730F">
        <w:rPr>
          <w:sz w:val="24"/>
          <w:szCs w:val="24"/>
        </w:rPr>
        <w:t xml:space="preserve">versions </w:t>
      </w:r>
      <w:r w:rsidR="0068294E">
        <w:rPr>
          <w:sz w:val="24"/>
          <w:szCs w:val="24"/>
        </w:rPr>
        <w:t>mention</w:t>
      </w:r>
      <w:r>
        <w:rPr>
          <w:sz w:val="24"/>
          <w:szCs w:val="24"/>
        </w:rPr>
        <w:t xml:space="preserve"> Alexander camp</w:t>
      </w:r>
      <w:r w:rsidR="00BA0DA9">
        <w:rPr>
          <w:sz w:val="24"/>
          <w:szCs w:val="24"/>
        </w:rPr>
        <w:t>ing</w:t>
      </w:r>
      <w:r>
        <w:rPr>
          <w:sz w:val="24"/>
          <w:szCs w:val="24"/>
        </w:rPr>
        <w:t xml:space="preserve"> near Hycarnia, and </w:t>
      </w:r>
      <w:r w:rsidR="00F52979">
        <w:rPr>
          <w:sz w:val="24"/>
          <w:szCs w:val="24"/>
        </w:rPr>
        <w:t xml:space="preserve">Queen </w:t>
      </w:r>
      <w:r>
        <w:rPr>
          <w:sz w:val="24"/>
          <w:szCs w:val="24"/>
        </w:rPr>
        <w:t>Thelestris com</w:t>
      </w:r>
      <w:r w:rsidR="00BA0DA9">
        <w:rPr>
          <w:sz w:val="24"/>
          <w:szCs w:val="24"/>
        </w:rPr>
        <w:t>ing</w:t>
      </w:r>
      <w:r>
        <w:rPr>
          <w:sz w:val="24"/>
          <w:szCs w:val="24"/>
        </w:rPr>
        <w:t xml:space="preserve"> to meet him accompanied by 300 </w:t>
      </w:r>
      <w:r w:rsidR="00F52979">
        <w:rPr>
          <w:sz w:val="24"/>
          <w:szCs w:val="24"/>
        </w:rPr>
        <w:t>A</w:t>
      </w:r>
      <w:r>
        <w:rPr>
          <w:sz w:val="24"/>
          <w:szCs w:val="24"/>
        </w:rPr>
        <w:t>mazon women</w:t>
      </w:r>
      <w:r w:rsidR="006A54D3">
        <w:rPr>
          <w:sz w:val="24"/>
          <w:szCs w:val="24"/>
        </w:rPr>
        <w:t xml:space="preserve"> </w:t>
      </w:r>
      <w:r w:rsidR="003C5CBF">
        <w:rPr>
          <w:sz w:val="24"/>
          <w:szCs w:val="24"/>
        </w:rPr>
        <w:t xml:space="preserve">solely </w:t>
      </w:r>
      <w:r>
        <w:rPr>
          <w:sz w:val="24"/>
          <w:szCs w:val="24"/>
        </w:rPr>
        <w:t>for procreation purposes</w:t>
      </w:r>
      <w:r w:rsidR="003C5CBF">
        <w:rPr>
          <w:sz w:val="24"/>
          <w:szCs w:val="24"/>
        </w:rPr>
        <w:t>; with them then spending 13 days together</w:t>
      </w:r>
      <w:r>
        <w:rPr>
          <w:sz w:val="24"/>
          <w:szCs w:val="24"/>
        </w:rPr>
        <w:t>.</w:t>
      </w:r>
      <w:r w:rsidR="000B730F">
        <w:rPr>
          <w:rStyle w:val="FootnoteReference"/>
          <w:sz w:val="24"/>
          <w:szCs w:val="24"/>
        </w:rPr>
        <w:footnoteReference w:id="4"/>
      </w:r>
      <w:r w:rsidR="000B730F">
        <w:rPr>
          <w:sz w:val="24"/>
          <w:szCs w:val="24"/>
        </w:rPr>
        <w:t xml:space="preserve"> </w:t>
      </w:r>
      <w:r w:rsidR="0068294E">
        <w:rPr>
          <w:sz w:val="24"/>
          <w:szCs w:val="24"/>
        </w:rPr>
        <w:t>Both</w:t>
      </w:r>
      <w:r w:rsidR="00CF6FBF">
        <w:rPr>
          <w:sz w:val="24"/>
          <w:szCs w:val="24"/>
        </w:rPr>
        <w:t xml:space="preserve"> include</w:t>
      </w:r>
      <w:r w:rsidR="0068294E">
        <w:rPr>
          <w:sz w:val="24"/>
          <w:szCs w:val="24"/>
        </w:rPr>
        <w:t xml:space="preserve"> an explanation of the clothing which they wear, clothing</w:t>
      </w:r>
      <w:r w:rsidR="000B730F">
        <w:rPr>
          <w:sz w:val="24"/>
          <w:szCs w:val="24"/>
        </w:rPr>
        <w:t xml:space="preserve"> resting</w:t>
      </w:r>
      <w:r w:rsidR="0068294E">
        <w:rPr>
          <w:sz w:val="24"/>
          <w:szCs w:val="24"/>
        </w:rPr>
        <w:t xml:space="preserve"> above the knee</w:t>
      </w:r>
      <w:r w:rsidR="00CF6FBF">
        <w:rPr>
          <w:sz w:val="24"/>
          <w:szCs w:val="24"/>
        </w:rPr>
        <w:t>;</w:t>
      </w:r>
      <w:r w:rsidR="0068294E">
        <w:rPr>
          <w:sz w:val="24"/>
          <w:szCs w:val="24"/>
        </w:rPr>
        <w:t xml:space="preserve"> the left </w:t>
      </w:r>
      <w:r w:rsidR="00CF6FBF">
        <w:rPr>
          <w:sz w:val="24"/>
          <w:szCs w:val="24"/>
        </w:rPr>
        <w:t xml:space="preserve">side of their body being exposed, </w:t>
      </w:r>
      <w:r w:rsidR="000B730F">
        <w:rPr>
          <w:sz w:val="24"/>
          <w:szCs w:val="24"/>
        </w:rPr>
        <w:t>and</w:t>
      </w:r>
      <w:r w:rsidR="00CF6FBF">
        <w:rPr>
          <w:sz w:val="24"/>
          <w:szCs w:val="24"/>
        </w:rPr>
        <w:t xml:space="preserve"> the right side </w:t>
      </w:r>
      <w:r w:rsidR="000B730F">
        <w:rPr>
          <w:sz w:val="24"/>
          <w:szCs w:val="24"/>
        </w:rPr>
        <w:t>being</w:t>
      </w:r>
      <w:r w:rsidR="00CF6FBF">
        <w:rPr>
          <w:sz w:val="24"/>
          <w:szCs w:val="24"/>
        </w:rPr>
        <w:t xml:space="preserve"> more covered, with the breast removed for archery purposes.</w:t>
      </w:r>
      <w:r w:rsidR="00AC4DE5">
        <w:rPr>
          <w:sz w:val="24"/>
          <w:szCs w:val="24"/>
        </w:rPr>
        <w:t xml:space="preserve"> They explain that the Amazons were an entirely female race, and any male offspring they may sire from the men which they mate with around the festival of Jupiter are given back</w:t>
      </w:r>
      <w:r w:rsidR="003C5CBF">
        <w:rPr>
          <w:sz w:val="24"/>
          <w:szCs w:val="24"/>
        </w:rPr>
        <w:t>.</w:t>
      </w:r>
    </w:p>
    <w:p w14:paraId="65150B03" w14:textId="7462DC29" w:rsidR="004810B7" w:rsidRDefault="0068294E" w:rsidP="00806C9B">
      <w:pPr>
        <w:spacing w:line="480" w:lineRule="auto"/>
        <w:rPr>
          <w:sz w:val="24"/>
          <w:szCs w:val="24"/>
        </w:rPr>
      </w:pPr>
      <w:r>
        <w:rPr>
          <w:sz w:val="24"/>
          <w:szCs w:val="24"/>
        </w:rPr>
        <w:t>In Curtius’ version,</w:t>
      </w:r>
      <w:r>
        <w:rPr>
          <w:rStyle w:val="FootnoteReference"/>
          <w:sz w:val="24"/>
          <w:szCs w:val="24"/>
        </w:rPr>
        <w:footnoteReference w:id="5"/>
      </w:r>
      <w:r>
        <w:rPr>
          <w:sz w:val="24"/>
          <w:szCs w:val="24"/>
        </w:rPr>
        <w:t xml:space="preserve"> the</w:t>
      </w:r>
      <w:r w:rsidR="00ED58FD">
        <w:rPr>
          <w:sz w:val="24"/>
          <w:szCs w:val="24"/>
        </w:rPr>
        <w:t xml:space="preserve"> </w:t>
      </w:r>
      <w:r w:rsidR="004810B7">
        <w:rPr>
          <w:sz w:val="24"/>
          <w:szCs w:val="24"/>
        </w:rPr>
        <w:t xml:space="preserve">mention of the Amazons seems to be of much importance to Alexanders </w:t>
      </w:r>
      <w:r w:rsidR="003C5CBF">
        <w:rPr>
          <w:sz w:val="24"/>
          <w:szCs w:val="24"/>
        </w:rPr>
        <w:t>eventual</w:t>
      </w:r>
      <w:r w:rsidR="004810B7">
        <w:rPr>
          <w:sz w:val="24"/>
          <w:szCs w:val="24"/>
        </w:rPr>
        <w:t xml:space="preserve"> </w:t>
      </w:r>
      <w:r w:rsidR="003C5CBF">
        <w:rPr>
          <w:sz w:val="24"/>
          <w:szCs w:val="24"/>
        </w:rPr>
        <w:t>societal downfall</w:t>
      </w:r>
      <w:r w:rsidR="004810B7">
        <w:rPr>
          <w:sz w:val="24"/>
          <w:szCs w:val="24"/>
        </w:rPr>
        <w:t xml:space="preserve">. Indeed, immediately after the mention of the even it </w:t>
      </w:r>
      <w:r w:rsidR="004810B7">
        <w:rPr>
          <w:sz w:val="24"/>
          <w:szCs w:val="24"/>
        </w:rPr>
        <w:lastRenderedPageBreak/>
        <w:t>is said that ‘Alexander gave loose rein to his passions, and changed […] to haughtiness and wantonness.’</w:t>
      </w:r>
      <w:r w:rsidR="004810B7">
        <w:rPr>
          <w:rStyle w:val="FootnoteReference"/>
          <w:sz w:val="24"/>
          <w:szCs w:val="24"/>
        </w:rPr>
        <w:footnoteReference w:id="6"/>
      </w:r>
      <w:r w:rsidR="004810B7">
        <w:rPr>
          <w:sz w:val="24"/>
          <w:szCs w:val="24"/>
        </w:rPr>
        <w:t xml:space="preserve"> </w:t>
      </w:r>
      <w:r w:rsidR="000B730F">
        <w:rPr>
          <w:sz w:val="24"/>
          <w:szCs w:val="24"/>
        </w:rPr>
        <w:t>Something along these lines has been the general consensus in all texts which mention their meeting,</w:t>
      </w:r>
      <w:r w:rsidR="0095235D">
        <w:rPr>
          <w:sz w:val="24"/>
          <w:szCs w:val="24"/>
        </w:rPr>
        <w:t xml:space="preserve"> that</w:t>
      </w:r>
      <w:r w:rsidR="000B730F">
        <w:rPr>
          <w:sz w:val="24"/>
          <w:szCs w:val="24"/>
        </w:rPr>
        <w:t xml:space="preserve"> Alexander adopts Persian customs and abandons his ‘Greekness’</w:t>
      </w:r>
      <w:r w:rsidR="00AC4DE5">
        <w:rPr>
          <w:sz w:val="24"/>
          <w:szCs w:val="24"/>
        </w:rPr>
        <w:t xml:space="preserve"> thereafter.</w:t>
      </w:r>
      <w:r w:rsidR="000B730F">
        <w:rPr>
          <w:sz w:val="24"/>
          <w:szCs w:val="24"/>
        </w:rPr>
        <w:t xml:space="preserve"> The reason why this is so is not mentioned and this leads</w:t>
      </w:r>
      <w:r w:rsidR="006A54D3">
        <w:rPr>
          <w:sz w:val="24"/>
          <w:szCs w:val="24"/>
        </w:rPr>
        <w:t xml:space="preserve"> one</w:t>
      </w:r>
      <w:r w:rsidR="000B730F">
        <w:rPr>
          <w:sz w:val="24"/>
          <w:szCs w:val="24"/>
        </w:rPr>
        <w:t xml:space="preserve"> to speculate</w:t>
      </w:r>
      <w:r w:rsidR="003C5CBF">
        <w:rPr>
          <w:sz w:val="24"/>
          <w:szCs w:val="24"/>
        </w:rPr>
        <w:t>, though</w:t>
      </w:r>
      <w:r w:rsidR="006A54D3">
        <w:rPr>
          <w:sz w:val="24"/>
          <w:szCs w:val="24"/>
        </w:rPr>
        <w:t xml:space="preserve"> now there is no way to </w:t>
      </w:r>
      <w:r w:rsidR="003C5CBF">
        <w:rPr>
          <w:sz w:val="24"/>
          <w:szCs w:val="24"/>
        </w:rPr>
        <w:t>know</w:t>
      </w:r>
      <w:r w:rsidR="000B730F">
        <w:rPr>
          <w:sz w:val="24"/>
          <w:szCs w:val="24"/>
        </w:rPr>
        <w:t>. Curtius</w:t>
      </w:r>
      <w:r w:rsidR="003C5CBF">
        <w:rPr>
          <w:sz w:val="24"/>
          <w:szCs w:val="24"/>
        </w:rPr>
        <w:t xml:space="preserve"> </w:t>
      </w:r>
      <w:r w:rsidR="000B730F">
        <w:rPr>
          <w:sz w:val="24"/>
          <w:szCs w:val="24"/>
        </w:rPr>
        <w:t>put it thi</w:t>
      </w:r>
      <w:r w:rsidR="003C5CBF">
        <w:rPr>
          <w:sz w:val="24"/>
          <w:szCs w:val="24"/>
        </w:rPr>
        <w:t>s</w:t>
      </w:r>
      <w:r w:rsidR="000B730F">
        <w:rPr>
          <w:sz w:val="24"/>
          <w:szCs w:val="24"/>
        </w:rPr>
        <w:t xml:space="preserve"> way to push forward his own agenda of lustfulness as an undesirable trait which may lead to tyrannical tendencies.</w:t>
      </w:r>
      <w:r w:rsidR="00D333D4">
        <w:rPr>
          <w:rStyle w:val="FootnoteReference"/>
          <w:sz w:val="24"/>
          <w:szCs w:val="24"/>
        </w:rPr>
        <w:footnoteReference w:id="7"/>
      </w:r>
      <w:r w:rsidR="000B730F">
        <w:rPr>
          <w:sz w:val="24"/>
          <w:szCs w:val="24"/>
        </w:rPr>
        <w:t xml:space="preserve"> </w:t>
      </w:r>
      <w:r w:rsidR="003C5CBF">
        <w:rPr>
          <w:sz w:val="24"/>
          <w:szCs w:val="24"/>
        </w:rPr>
        <w:t xml:space="preserve">Desire in Rome was frowned upon, as it led a man to be uncontrollable and, therefore, not respectable; this was something Curtius exploited to portray Alexander that way. </w:t>
      </w:r>
      <w:r w:rsidR="0095235D">
        <w:rPr>
          <w:sz w:val="24"/>
          <w:szCs w:val="24"/>
        </w:rPr>
        <w:t xml:space="preserve">Curtius was writing in the years of Imperial Rome </w:t>
      </w:r>
      <w:r w:rsidR="003C5CBF">
        <w:rPr>
          <w:sz w:val="24"/>
          <w:szCs w:val="24"/>
        </w:rPr>
        <w:t>(</w:t>
      </w:r>
      <w:r w:rsidR="0095235D">
        <w:rPr>
          <w:sz w:val="24"/>
          <w:szCs w:val="24"/>
        </w:rPr>
        <w:t>though the exact dates are unknown</w:t>
      </w:r>
      <w:r w:rsidR="003C5CBF">
        <w:rPr>
          <w:sz w:val="24"/>
          <w:szCs w:val="24"/>
        </w:rPr>
        <w:t>),</w:t>
      </w:r>
      <w:r w:rsidR="0095235D">
        <w:rPr>
          <w:sz w:val="24"/>
          <w:szCs w:val="24"/>
        </w:rPr>
        <w:t xml:space="preserve"> which may explain his dislike for a </w:t>
      </w:r>
      <w:r w:rsidR="003C5CBF">
        <w:rPr>
          <w:sz w:val="24"/>
          <w:szCs w:val="24"/>
        </w:rPr>
        <w:t>dictatorship style of leadership</w:t>
      </w:r>
      <w:r w:rsidR="0095235D">
        <w:rPr>
          <w:sz w:val="24"/>
          <w:szCs w:val="24"/>
        </w:rPr>
        <w:t xml:space="preserve"> and actions which may have seemed to display a disregard for the wishes of his people</w:t>
      </w:r>
      <w:r w:rsidR="00AC4DE5">
        <w:rPr>
          <w:sz w:val="24"/>
          <w:szCs w:val="24"/>
        </w:rPr>
        <w:t>; the way which he writes this scene reflects this, as the mention of desire is cited at least twice.</w:t>
      </w:r>
      <w:r w:rsidR="003C5CBF">
        <w:rPr>
          <w:rStyle w:val="FootnoteReference"/>
          <w:sz w:val="24"/>
          <w:szCs w:val="24"/>
        </w:rPr>
        <w:footnoteReference w:id="8"/>
      </w:r>
    </w:p>
    <w:p w14:paraId="1FD59D6C" w14:textId="1B56EBF9" w:rsidR="00FB52CE" w:rsidRDefault="00077E87" w:rsidP="00806C9B">
      <w:pPr>
        <w:spacing w:line="480" w:lineRule="auto"/>
        <w:rPr>
          <w:sz w:val="24"/>
          <w:szCs w:val="24"/>
        </w:rPr>
      </w:pPr>
      <w:r>
        <w:rPr>
          <w:sz w:val="24"/>
          <w:szCs w:val="24"/>
        </w:rPr>
        <w:t>T</w:t>
      </w:r>
      <w:r w:rsidR="00363A7E">
        <w:rPr>
          <w:sz w:val="24"/>
          <w:szCs w:val="24"/>
        </w:rPr>
        <w:t xml:space="preserve">he </w:t>
      </w:r>
      <w:r w:rsidR="00363A7E" w:rsidRPr="00363A7E">
        <w:rPr>
          <w:i/>
          <w:sz w:val="24"/>
          <w:szCs w:val="24"/>
        </w:rPr>
        <w:t>Historia de preliis</w:t>
      </w:r>
      <w:r w:rsidR="00363A7E">
        <w:rPr>
          <w:sz w:val="24"/>
          <w:szCs w:val="24"/>
        </w:rPr>
        <w:t>, written in 10</w:t>
      </w:r>
      <w:r w:rsidR="00363A7E" w:rsidRPr="00ED58FD">
        <w:rPr>
          <w:sz w:val="24"/>
          <w:szCs w:val="24"/>
          <w:vertAlign w:val="superscript"/>
        </w:rPr>
        <w:t>th</w:t>
      </w:r>
      <w:r w:rsidR="00363A7E">
        <w:rPr>
          <w:sz w:val="24"/>
          <w:szCs w:val="24"/>
        </w:rPr>
        <w:t xml:space="preserve"> century by Archbishop Leo of Naples,</w:t>
      </w:r>
      <w:r w:rsidR="00363A7E">
        <w:rPr>
          <w:rStyle w:val="FootnoteReference"/>
          <w:sz w:val="24"/>
          <w:szCs w:val="24"/>
        </w:rPr>
        <w:footnoteReference w:id="9"/>
      </w:r>
      <w:r w:rsidR="00363A7E">
        <w:rPr>
          <w:sz w:val="24"/>
          <w:szCs w:val="24"/>
        </w:rPr>
        <w:t xml:space="preserve"> presents the encounter of Thalestris and Alexander in a completely different context, using a series of letters between them both to present the story.</w:t>
      </w:r>
      <w:r w:rsidR="00F52979">
        <w:rPr>
          <w:rStyle w:val="FootnoteReference"/>
          <w:sz w:val="24"/>
          <w:szCs w:val="24"/>
        </w:rPr>
        <w:footnoteReference w:id="10"/>
      </w:r>
      <w:r w:rsidR="00363A7E">
        <w:rPr>
          <w:sz w:val="24"/>
          <w:szCs w:val="24"/>
        </w:rPr>
        <w:t xml:space="preserve"> In this version, the two never meet, and the respect for the women that Alexander shows in Diodorus’ version is not mentioned at all.</w:t>
      </w:r>
      <w:r w:rsidR="00CA7D26">
        <w:rPr>
          <w:rStyle w:val="FootnoteReference"/>
          <w:sz w:val="24"/>
          <w:szCs w:val="24"/>
        </w:rPr>
        <w:footnoteReference w:id="11"/>
      </w:r>
      <w:r w:rsidR="00363A7E">
        <w:rPr>
          <w:sz w:val="24"/>
          <w:szCs w:val="24"/>
        </w:rPr>
        <w:t xml:space="preserve"> Instead, Thalestris explains that him attacking her land will bring him nothing of worth as she is a female and therefore he can receive no glory by conquering her. Considering the time period which the </w:t>
      </w:r>
      <w:r w:rsidR="00363A7E">
        <w:rPr>
          <w:i/>
          <w:sz w:val="24"/>
          <w:szCs w:val="24"/>
        </w:rPr>
        <w:t>Historia de Preliis</w:t>
      </w:r>
      <w:r w:rsidR="00363A7E">
        <w:rPr>
          <w:sz w:val="24"/>
          <w:szCs w:val="24"/>
        </w:rPr>
        <w:t xml:space="preserve"> was written in as well as the political context is very </w:t>
      </w:r>
      <w:r w:rsidR="00363A7E">
        <w:rPr>
          <w:sz w:val="24"/>
          <w:szCs w:val="24"/>
        </w:rPr>
        <w:lastRenderedPageBreak/>
        <w:t xml:space="preserve">important to understand who would have been reading this and why it may have been written so differently. Frederick II was aligning himself with the imperialistic ways of Alexander the great and they shared many affinities between them, and this caused some in that region of the world to share a disdain and fear for Alexander, not glorifying </w:t>
      </w:r>
      <w:r w:rsidR="00363A7E" w:rsidRPr="00537D87">
        <w:rPr>
          <w:sz w:val="24"/>
          <w:szCs w:val="24"/>
        </w:rPr>
        <w:t xml:space="preserve">him therefore fit </w:t>
      </w:r>
      <w:r w:rsidR="00EF2F8D" w:rsidRPr="00537D87">
        <w:rPr>
          <w:sz w:val="24"/>
          <w:szCs w:val="24"/>
        </w:rPr>
        <w:t>the political</w:t>
      </w:r>
      <w:r w:rsidR="00363A7E" w:rsidRPr="00537D87">
        <w:rPr>
          <w:sz w:val="24"/>
          <w:szCs w:val="24"/>
        </w:rPr>
        <w:t xml:space="preserve"> agenda</w:t>
      </w:r>
      <w:r w:rsidR="00EF2F8D" w:rsidRPr="00537D87">
        <w:rPr>
          <w:sz w:val="24"/>
          <w:szCs w:val="24"/>
        </w:rPr>
        <w:t xml:space="preserve"> and possible motives of the Archbishop</w:t>
      </w:r>
      <w:r w:rsidR="00363A7E" w:rsidRPr="00537D87">
        <w:rPr>
          <w:sz w:val="24"/>
          <w:szCs w:val="24"/>
        </w:rPr>
        <w:t>.</w:t>
      </w:r>
      <w:r w:rsidR="00363A7E" w:rsidRPr="00537D87">
        <w:rPr>
          <w:rStyle w:val="FootnoteReference"/>
          <w:sz w:val="24"/>
          <w:szCs w:val="24"/>
        </w:rPr>
        <w:footnoteReference w:id="12"/>
      </w:r>
      <w:r w:rsidR="00537D87" w:rsidRPr="00537D87">
        <w:rPr>
          <w:sz w:val="24"/>
          <w:szCs w:val="24"/>
        </w:rPr>
        <w:t xml:space="preserve"> </w:t>
      </w:r>
      <w:r w:rsidR="00B12638" w:rsidRPr="00537D87">
        <w:rPr>
          <w:sz w:val="24"/>
          <w:szCs w:val="24"/>
        </w:rPr>
        <w:t>The</w:t>
      </w:r>
      <w:r w:rsidR="00B12638">
        <w:rPr>
          <w:sz w:val="24"/>
          <w:szCs w:val="24"/>
        </w:rPr>
        <w:t xml:space="preserve"> religious influence on the Historia de Preliis also is apparent, and could therefore explain why tales of copulation may have been less favourable to circulate amongst the readership</w:t>
      </w:r>
      <w:r w:rsidR="003C5CBF">
        <w:rPr>
          <w:sz w:val="24"/>
          <w:szCs w:val="24"/>
        </w:rPr>
        <w:t>,</w:t>
      </w:r>
      <w:r w:rsidR="00AC4DE5">
        <w:rPr>
          <w:sz w:val="24"/>
          <w:szCs w:val="24"/>
        </w:rPr>
        <w:t xml:space="preserve"> as having sex outside of marriage by the 10</w:t>
      </w:r>
      <w:r w:rsidR="00AC4DE5" w:rsidRPr="00AC4DE5">
        <w:rPr>
          <w:sz w:val="24"/>
          <w:szCs w:val="24"/>
          <w:vertAlign w:val="superscript"/>
        </w:rPr>
        <w:t>th</w:t>
      </w:r>
      <w:r w:rsidR="00AC4DE5">
        <w:rPr>
          <w:sz w:val="24"/>
          <w:szCs w:val="24"/>
        </w:rPr>
        <w:t xml:space="preserve"> century was not an approved practice.</w:t>
      </w:r>
    </w:p>
    <w:p w14:paraId="2779DEEE" w14:textId="4478D484" w:rsidR="001A1BD1" w:rsidRDefault="00FB52CE" w:rsidP="00806C9B">
      <w:pPr>
        <w:spacing w:line="480" w:lineRule="auto"/>
        <w:rPr>
          <w:sz w:val="24"/>
          <w:szCs w:val="24"/>
        </w:rPr>
      </w:pPr>
      <w:r>
        <w:rPr>
          <w:sz w:val="24"/>
          <w:szCs w:val="24"/>
        </w:rPr>
        <w:t>Arrian</w:t>
      </w:r>
      <w:r w:rsidR="00ED58FD">
        <w:rPr>
          <w:sz w:val="24"/>
          <w:szCs w:val="24"/>
        </w:rPr>
        <w:t>, a historian from the 5</w:t>
      </w:r>
      <w:r w:rsidR="00ED58FD" w:rsidRPr="00ED58FD">
        <w:rPr>
          <w:sz w:val="24"/>
          <w:szCs w:val="24"/>
          <w:vertAlign w:val="superscript"/>
        </w:rPr>
        <w:t>th</w:t>
      </w:r>
      <w:r w:rsidR="00ED58FD">
        <w:rPr>
          <w:sz w:val="24"/>
          <w:szCs w:val="24"/>
        </w:rPr>
        <w:t xml:space="preserve"> century AD,</w:t>
      </w:r>
      <w:r w:rsidR="00ED58FD">
        <w:rPr>
          <w:rStyle w:val="FootnoteReference"/>
          <w:sz w:val="24"/>
          <w:szCs w:val="24"/>
        </w:rPr>
        <w:footnoteReference w:id="13"/>
      </w:r>
      <w:r>
        <w:rPr>
          <w:sz w:val="24"/>
          <w:szCs w:val="24"/>
        </w:rPr>
        <w:t xml:space="preserve"> is probably the most sceptical about the possible meeting between Thalestris and Alexander,</w:t>
      </w:r>
      <w:r w:rsidR="00327974">
        <w:rPr>
          <w:rStyle w:val="FootnoteReference"/>
          <w:sz w:val="24"/>
          <w:szCs w:val="24"/>
        </w:rPr>
        <w:footnoteReference w:id="14"/>
      </w:r>
      <w:r>
        <w:rPr>
          <w:sz w:val="24"/>
          <w:szCs w:val="24"/>
        </w:rPr>
        <w:t xml:space="preserve"> openly denying that </w:t>
      </w:r>
      <w:r w:rsidR="003C5CBF">
        <w:rPr>
          <w:sz w:val="24"/>
          <w:szCs w:val="24"/>
        </w:rPr>
        <w:t>it</w:t>
      </w:r>
      <w:r>
        <w:rPr>
          <w:sz w:val="24"/>
          <w:szCs w:val="24"/>
        </w:rPr>
        <w:t xml:space="preserve"> happened. According to him, they were not Amazons, but a hundred women who were dressed for Alexanders pleasure, </w:t>
      </w:r>
      <w:r w:rsidR="001A1BD1">
        <w:rPr>
          <w:sz w:val="24"/>
          <w:szCs w:val="24"/>
        </w:rPr>
        <w:t>al</w:t>
      </w:r>
      <w:r>
        <w:rPr>
          <w:sz w:val="24"/>
          <w:szCs w:val="24"/>
        </w:rPr>
        <w:t xml:space="preserve">though he does say that Alexander sends them away </w:t>
      </w:r>
      <w:r w:rsidR="00327974">
        <w:rPr>
          <w:sz w:val="24"/>
          <w:szCs w:val="24"/>
        </w:rPr>
        <w:t xml:space="preserve">with the intention of </w:t>
      </w:r>
      <w:r>
        <w:rPr>
          <w:sz w:val="24"/>
          <w:szCs w:val="24"/>
        </w:rPr>
        <w:t>later visit</w:t>
      </w:r>
      <w:r w:rsidR="00327974">
        <w:rPr>
          <w:sz w:val="24"/>
          <w:szCs w:val="24"/>
        </w:rPr>
        <w:t>ing</w:t>
      </w:r>
      <w:r>
        <w:rPr>
          <w:sz w:val="24"/>
          <w:szCs w:val="24"/>
        </w:rPr>
        <w:t xml:space="preserve"> their Queen.</w:t>
      </w:r>
      <w:r w:rsidR="00F52979">
        <w:rPr>
          <w:rStyle w:val="FootnoteReference"/>
          <w:sz w:val="24"/>
          <w:szCs w:val="24"/>
        </w:rPr>
        <w:footnoteReference w:id="15"/>
      </w:r>
      <w:r>
        <w:rPr>
          <w:sz w:val="24"/>
          <w:szCs w:val="24"/>
        </w:rPr>
        <w:t xml:space="preserve"> </w:t>
      </w:r>
      <w:r w:rsidR="007B7EB5">
        <w:rPr>
          <w:sz w:val="24"/>
          <w:szCs w:val="24"/>
        </w:rPr>
        <w:t xml:space="preserve"> However, Arrian also le</w:t>
      </w:r>
      <w:r w:rsidR="00493CC0">
        <w:rPr>
          <w:sz w:val="24"/>
          <w:szCs w:val="24"/>
        </w:rPr>
        <w:t>ft</w:t>
      </w:r>
      <w:r w:rsidR="007B7EB5">
        <w:rPr>
          <w:sz w:val="24"/>
          <w:szCs w:val="24"/>
        </w:rPr>
        <w:t xml:space="preserve"> out parts of Alexanders journey which do not quite fit in to his own </w:t>
      </w:r>
      <w:r w:rsidR="00493CC0">
        <w:rPr>
          <w:sz w:val="24"/>
          <w:szCs w:val="24"/>
        </w:rPr>
        <w:t>agenda</w:t>
      </w:r>
      <w:r w:rsidR="007B7EB5">
        <w:rPr>
          <w:sz w:val="24"/>
          <w:szCs w:val="24"/>
        </w:rPr>
        <w:t>, such as the sack of Persepolis, and therefore it seems as though his personal opinion influence</w:t>
      </w:r>
      <w:r w:rsidR="00493CC0">
        <w:rPr>
          <w:sz w:val="24"/>
          <w:szCs w:val="24"/>
        </w:rPr>
        <w:t>s</w:t>
      </w:r>
      <w:r w:rsidR="007B7EB5">
        <w:rPr>
          <w:sz w:val="24"/>
          <w:szCs w:val="24"/>
        </w:rPr>
        <w:t xml:space="preserve"> his work</w:t>
      </w:r>
      <w:r w:rsidR="00493CC0">
        <w:rPr>
          <w:sz w:val="24"/>
          <w:szCs w:val="24"/>
        </w:rPr>
        <w:t>.</w:t>
      </w:r>
      <w:r w:rsidR="00077E87">
        <w:rPr>
          <w:rStyle w:val="FootnoteReference"/>
          <w:sz w:val="24"/>
          <w:szCs w:val="24"/>
        </w:rPr>
        <w:footnoteReference w:id="16"/>
      </w:r>
      <w:r w:rsidR="007B7EB5">
        <w:rPr>
          <w:sz w:val="24"/>
          <w:szCs w:val="24"/>
        </w:rPr>
        <w:t xml:space="preserve"> Arrian compar</w:t>
      </w:r>
      <w:r w:rsidR="003C5CBF">
        <w:rPr>
          <w:sz w:val="24"/>
          <w:szCs w:val="24"/>
        </w:rPr>
        <w:t>ed</w:t>
      </w:r>
      <w:r w:rsidR="007B7EB5">
        <w:rPr>
          <w:sz w:val="24"/>
          <w:szCs w:val="24"/>
        </w:rPr>
        <w:t xml:space="preserve"> himself to Achilles’ Homer</w:t>
      </w:r>
      <w:r w:rsidR="003C5CBF">
        <w:rPr>
          <w:sz w:val="24"/>
          <w:szCs w:val="24"/>
        </w:rPr>
        <w:t>, and Alexander to Achilles</w:t>
      </w:r>
      <w:r w:rsidR="00493CC0">
        <w:rPr>
          <w:sz w:val="24"/>
          <w:szCs w:val="24"/>
        </w:rPr>
        <w:t>,</w:t>
      </w:r>
      <w:r>
        <w:rPr>
          <w:rStyle w:val="FootnoteReference"/>
          <w:sz w:val="24"/>
          <w:szCs w:val="24"/>
        </w:rPr>
        <w:footnoteReference w:id="17"/>
      </w:r>
      <w:r w:rsidR="003C5CBF">
        <w:rPr>
          <w:sz w:val="24"/>
          <w:szCs w:val="24"/>
        </w:rPr>
        <w:t xml:space="preserve"> </w:t>
      </w:r>
      <w:r w:rsidR="00493CC0">
        <w:rPr>
          <w:sz w:val="24"/>
          <w:szCs w:val="24"/>
        </w:rPr>
        <w:t>p</w:t>
      </w:r>
      <w:r w:rsidR="003C5CBF">
        <w:rPr>
          <w:sz w:val="24"/>
          <w:szCs w:val="24"/>
        </w:rPr>
        <w:t>erhaps this is why he mentioned Thalestris at all</w:t>
      </w:r>
      <w:r w:rsidR="00493CC0">
        <w:rPr>
          <w:sz w:val="24"/>
          <w:szCs w:val="24"/>
        </w:rPr>
        <w:t>, to include an Amazon presence such as Achilles’ own.</w:t>
      </w:r>
      <w:r w:rsidR="00493CC0">
        <w:rPr>
          <w:rStyle w:val="FootnoteReference"/>
          <w:sz w:val="24"/>
          <w:szCs w:val="24"/>
        </w:rPr>
        <w:footnoteReference w:id="18"/>
      </w:r>
      <w:r w:rsidR="00ED58FD">
        <w:rPr>
          <w:sz w:val="24"/>
          <w:szCs w:val="24"/>
        </w:rPr>
        <w:t xml:space="preserve"> But </w:t>
      </w:r>
      <w:r w:rsidR="00493CC0">
        <w:rPr>
          <w:sz w:val="24"/>
          <w:szCs w:val="24"/>
        </w:rPr>
        <w:t>this</w:t>
      </w:r>
      <w:r w:rsidR="00ED58FD">
        <w:rPr>
          <w:sz w:val="24"/>
          <w:szCs w:val="24"/>
        </w:rPr>
        <w:t xml:space="preserve"> causes the question of why Arrian did</w:t>
      </w:r>
      <w:r w:rsidR="00493CC0">
        <w:rPr>
          <w:sz w:val="24"/>
          <w:szCs w:val="24"/>
        </w:rPr>
        <w:t xml:space="preserve"> not</w:t>
      </w:r>
      <w:r w:rsidR="00ED58FD">
        <w:rPr>
          <w:i/>
          <w:sz w:val="24"/>
          <w:szCs w:val="24"/>
        </w:rPr>
        <w:t xml:space="preserve"> </w:t>
      </w:r>
      <w:r w:rsidR="00ED58FD">
        <w:rPr>
          <w:sz w:val="24"/>
          <w:szCs w:val="24"/>
        </w:rPr>
        <w:t xml:space="preserve">exploit the link between </w:t>
      </w:r>
      <w:r w:rsidR="00493CC0">
        <w:rPr>
          <w:sz w:val="24"/>
          <w:szCs w:val="24"/>
        </w:rPr>
        <w:t>Alexander and Thalestris</w:t>
      </w:r>
      <w:r w:rsidR="00ED58FD">
        <w:rPr>
          <w:sz w:val="24"/>
          <w:szCs w:val="24"/>
        </w:rPr>
        <w:t>, as he would</w:t>
      </w:r>
      <w:r w:rsidR="00493CC0">
        <w:rPr>
          <w:sz w:val="24"/>
          <w:szCs w:val="24"/>
        </w:rPr>
        <w:t xml:space="preserve"> have</w:t>
      </w:r>
      <w:r w:rsidR="00ED58FD">
        <w:rPr>
          <w:sz w:val="24"/>
          <w:szCs w:val="24"/>
        </w:rPr>
        <w:t xml:space="preserve"> further</w:t>
      </w:r>
      <w:r w:rsidR="00493CC0">
        <w:rPr>
          <w:sz w:val="24"/>
          <w:szCs w:val="24"/>
        </w:rPr>
        <w:t>ed the</w:t>
      </w:r>
      <w:r w:rsidR="00ED58FD">
        <w:rPr>
          <w:sz w:val="24"/>
          <w:szCs w:val="24"/>
        </w:rPr>
        <w:t xml:space="preserve"> link</w:t>
      </w:r>
      <w:r w:rsidR="00493CC0">
        <w:rPr>
          <w:sz w:val="24"/>
          <w:szCs w:val="24"/>
        </w:rPr>
        <w:t xml:space="preserve"> between</w:t>
      </w:r>
      <w:r w:rsidR="00ED58FD">
        <w:rPr>
          <w:sz w:val="24"/>
          <w:szCs w:val="24"/>
        </w:rPr>
        <w:t xml:space="preserve"> himself as Homer</w:t>
      </w:r>
      <w:r w:rsidR="003C5CBF">
        <w:rPr>
          <w:sz w:val="24"/>
          <w:szCs w:val="24"/>
        </w:rPr>
        <w:t>.</w:t>
      </w:r>
      <w:r w:rsidR="00493CC0">
        <w:rPr>
          <w:sz w:val="24"/>
          <w:szCs w:val="24"/>
        </w:rPr>
        <w:t xml:space="preserve"> Perhaps he did not because it </w:t>
      </w:r>
      <w:r w:rsidR="00493CC0">
        <w:rPr>
          <w:sz w:val="24"/>
          <w:szCs w:val="24"/>
        </w:rPr>
        <w:lastRenderedPageBreak/>
        <w:t>would have made him sounded less credible and therefore diminished his responsibility to Alexander.</w:t>
      </w:r>
      <w:r w:rsidR="003C5CBF">
        <w:rPr>
          <w:sz w:val="24"/>
          <w:szCs w:val="24"/>
        </w:rPr>
        <w:t xml:space="preserve"> </w:t>
      </w:r>
    </w:p>
    <w:p w14:paraId="1A819EF6" w14:textId="1BE59698" w:rsidR="00077E87" w:rsidRDefault="00077E87" w:rsidP="00806C9B">
      <w:pPr>
        <w:spacing w:line="480" w:lineRule="auto"/>
        <w:rPr>
          <w:sz w:val="24"/>
          <w:szCs w:val="24"/>
        </w:rPr>
      </w:pPr>
      <w:r>
        <w:rPr>
          <w:sz w:val="24"/>
          <w:szCs w:val="24"/>
        </w:rPr>
        <w:t>In the sources, the intention behind writing the histories were different. Curtius probably wanted to set an example of how tyrannical ruling can eventually go wrong; Arrian wished to exalt himself and Alexander; Leo was recommitting the story to a medieval landscape. The political background of the authors influences the way in which the story of Thalestris and Alexander is appropriated.</w:t>
      </w:r>
    </w:p>
    <w:p w14:paraId="3B752895" w14:textId="18A29DD8" w:rsidR="00077E87" w:rsidRDefault="00077E87" w:rsidP="00806C9B">
      <w:pPr>
        <w:spacing w:line="480" w:lineRule="auto"/>
        <w:rPr>
          <w:sz w:val="24"/>
          <w:szCs w:val="24"/>
        </w:rPr>
      </w:pPr>
    </w:p>
    <w:p w14:paraId="318E2669" w14:textId="356453CD" w:rsidR="00077E87" w:rsidRDefault="00077E87" w:rsidP="00806C9B">
      <w:pPr>
        <w:spacing w:line="480" w:lineRule="auto"/>
        <w:rPr>
          <w:sz w:val="24"/>
          <w:szCs w:val="24"/>
        </w:rPr>
      </w:pPr>
    </w:p>
    <w:p w14:paraId="64EFA827" w14:textId="5912C159" w:rsidR="00077E87" w:rsidRDefault="00077E87" w:rsidP="00806C9B">
      <w:pPr>
        <w:spacing w:line="480" w:lineRule="auto"/>
        <w:rPr>
          <w:sz w:val="24"/>
          <w:szCs w:val="24"/>
        </w:rPr>
      </w:pPr>
    </w:p>
    <w:p w14:paraId="3F9063BA" w14:textId="77777777" w:rsidR="00077E87" w:rsidRDefault="00077E87" w:rsidP="00806C9B">
      <w:pPr>
        <w:spacing w:line="480" w:lineRule="auto"/>
        <w:rPr>
          <w:sz w:val="24"/>
          <w:szCs w:val="24"/>
        </w:rPr>
      </w:pPr>
    </w:p>
    <w:p w14:paraId="6F08C098" w14:textId="0789F76D" w:rsidR="00AC4DE5" w:rsidRDefault="00AC4DE5" w:rsidP="00806C9B">
      <w:pPr>
        <w:spacing w:line="480" w:lineRule="auto"/>
        <w:rPr>
          <w:sz w:val="24"/>
          <w:szCs w:val="24"/>
        </w:rPr>
      </w:pPr>
    </w:p>
    <w:p w14:paraId="52E5BB28" w14:textId="5249CDF7" w:rsidR="00077E87" w:rsidRDefault="00077E87" w:rsidP="00806C9B">
      <w:pPr>
        <w:spacing w:line="480" w:lineRule="auto"/>
        <w:rPr>
          <w:sz w:val="24"/>
          <w:szCs w:val="24"/>
        </w:rPr>
      </w:pPr>
    </w:p>
    <w:p w14:paraId="746F4DCD" w14:textId="6D089FD7" w:rsidR="00077E87" w:rsidRDefault="00077E87" w:rsidP="00806C9B">
      <w:pPr>
        <w:spacing w:line="480" w:lineRule="auto"/>
        <w:rPr>
          <w:sz w:val="24"/>
          <w:szCs w:val="24"/>
        </w:rPr>
      </w:pPr>
    </w:p>
    <w:p w14:paraId="7EE8EA5F" w14:textId="487434AC" w:rsidR="00077E87" w:rsidRDefault="00077E87" w:rsidP="00806C9B">
      <w:pPr>
        <w:spacing w:line="480" w:lineRule="auto"/>
        <w:rPr>
          <w:sz w:val="24"/>
          <w:szCs w:val="24"/>
        </w:rPr>
      </w:pPr>
    </w:p>
    <w:p w14:paraId="2D15958F" w14:textId="63DEDDD5" w:rsidR="00077E87" w:rsidRDefault="00077E87" w:rsidP="00806C9B">
      <w:pPr>
        <w:spacing w:line="480" w:lineRule="auto"/>
        <w:rPr>
          <w:sz w:val="24"/>
          <w:szCs w:val="24"/>
        </w:rPr>
      </w:pPr>
    </w:p>
    <w:p w14:paraId="77F124FE" w14:textId="6F3B8D0A" w:rsidR="00077E87" w:rsidRDefault="00077E87" w:rsidP="00806C9B">
      <w:pPr>
        <w:spacing w:line="480" w:lineRule="auto"/>
        <w:rPr>
          <w:sz w:val="24"/>
          <w:szCs w:val="24"/>
        </w:rPr>
      </w:pPr>
    </w:p>
    <w:p w14:paraId="5A9EAF78" w14:textId="77777777" w:rsidR="003C5CBF" w:rsidRDefault="003C5CBF" w:rsidP="00806C9B">
      <w:pPr>
        <w:spacing w:line="480" w:lineRule="auto"/>
        <w:rPr>
          <w:sz w:val="24"/>
          <w:szCs w:val="24"/>
        </w:rPr>
      </w:pPr>
    </w:p>
    <w:sdt>
      <w:sdtPr>
        <w:rPr>
          <w:color w:val="4472C4" w:themeColor="accent1"/>
        </w:rPr>
        <w:id w:val="-1164391656"/>
        <w:docPartObj>
          <w:docPartGallery w:val="Bibliographies"/>
          <w:docPartUnique/>
        </w:docPartObj>
      </w:sdtPr>
      <w:sdtEndPr>
        <w:rPr>
          <w:rFonts w:asciiTheme="minorHAnsi" w:eastAsiaTheme="minorHAnsi" w:hAnsiTheme="minorHAnsi" w:cstheme="minorBidi"/>
          <w:b/>
          <w:bCs/>
          <w:sz w:val="22"/>
          <w:szCs w:val="22"/>
        </w:rPr>
      </w:sdtEndPr>
      <w:sdtContent>
        <w:p w14:paraId="4D734477" w14:textId="7C056804" w:rsidR="00C363D3" w:rsidRPr="00077E87" w:rsidRDefault="002D09CA" w:rsidP="00D25ECA">
          <w:pPr>
            <w:pStyle w:val="Heading1"/>
            <w:rPr>
              <w:color w:val="4472C4" w:themeColor="accent1"/>
            </w:rPr>
          </w:pPr>
          <w:r w:rsidRPr="00C363D3">
            <w:rPr>
              <w:color w:val="4472C4" w:themeColor="accent1"/>
            </w:rPr>
            <w:t>Works Cited</w:t>
          </w:r>
        </w:p>
      </w:sdtContent>
    </w:sdt>
    <w:p w14:paraId="0586CF01" w14:textId="77777777" w:rsidR="00CF6FBF" w:rsidRPr="00CF6FBF" w:rsidRDefault="00CF6FBF" w:rsidP="00CF6FBF"/>
    <w:p w14:paraId="26095CD0" w14:textId="70AEF3C5" w:rsidR="00AC4DE5" w:rsidRDefault="00AC4DE5" w:rsidP="00761B83">
      <w:pPr>
        <w:spacing w:line="480" w:lineRule="auto"/>
        <w:rPr>
          <w:rFonts w:asciiTheme="majorHAnsi" w:hAnsiTheme="majorHAnsi" w:cstheme="majorHAnsi"/>
        </w:rPr>
      </w:pPr>
      <w:r w:rsidRPr="00AC4DE5">
        <w:rPr>
          <w:rFonts w:asciiTheme="majorHAnsi" w:hAnsiTheme="majorHAnsi" w:cstheme="majorHAnsi"/>
        </w:rPr>
        <w:t xml:space="preserve">Arrian &amp; E. J. Chinnock. </w:t>
      </w:r>
      <w:r w:rsidRPr="00AC4DE5">
        <w:rPr>
          <w:rFonts w:asciiTheme="majorHAnsi" w:hAnsiTheme="majorHAnsi" w:cstheme="majorHAnsi"/>
          <w:i/>
          <w:iCs/>
        </w:rPr>
        <w:t>The Anabasis of Alexander the Great</w:t>
      </w:r>
      <w:r w:rsidRPr="00AC4DE5">
        <w:rPr>
          <w:rFonts w:asciiTheme="majorHAnsi" w:hAnsiTheme="majorHAnsi" w:cstheme="majorHAnsi"/>
        </w:rPr>
        <w:t xml:space="preserve"> (London; Butler &amp; Tanner, 1884)</w:t>
      </w:r>
    </w:p>
    <w:p w14:paraId="02CAC74E" w14:textId="5FEDB5E5" w:rsidR="003C5CBF" w:rsidRPr="003C5CBF" w:rsidRDefault="003C5CBF" w:rsidP="003C5CBF">
      <w:pPr>
        <w:pStyle w:val="FootnoteText"/>
        <w:rPr>
          <w:rFonts w:asciiTheme="majorHAnsi" w:hAnsiTheme="majorHAnsi" w:cstheme="majorHAnsi"/>
          <w:sz w:val="22"/>
          <w:szCs w:val="22"/>
        </w:rPr>
      </w:pPr>
      <w:r w:rsidRPr="003C5CBF">
        <w:rPr>
          <w:rFonts w:asciiTheme="majorHAnsi" w:hAnsiTheme="majorHAnsi" w:cstheme="majorHAnsi"/>
          <w:sz w:val="22"/>
          <w:szCs w:val="22"/>
        </w:rPr>
        <w:lastRenderedPageBreak/>
        <w:t>Baynham</w:t>
      </w:r>
      <w:r>
        <w:rPr>
          <w:rFonts w:asciiTheme="majorHAnsi" w:hAnsiTheme="majorHAnsi" w:cstheme="majorHAnsi"/>
          <w:sz w:val="22"/>
          <w:szCs w:val="22"/>
        </w:rPr>
        <w:t>,</w:t>
      </w:r>
      <w:r w:rsidRPr="003C5CBF">
        <w:rPr>
          <w:rFonts w:asciiTheme="majorHAnsi" w:hAnsiTheme="majorHAnsi" w:cstheme="majorHAnsi"/>
          <w:sz w:val="22"/>
          <w:szCs w:val="22"/>
        </w:rPr>
        <w:t xml:space="preserve"> Elizabeth</w:t>
      </w:r>
      <w:r>
        <w:rPr>
          <w:rFonts w:asciiTheme="majorHAnsi" w:hAnsiTheme="majorHAnsi" w:cstheme="majorHAnsi"/>
          <w:sz w:val="22"/>
          <w:szCs w:val="22"/>
        </w:rPr>
        <w:t>.</w:t>
      </w:r>
      <w:r w:rsidRPr="003C5CBF">
        <w:rPr>
          <w:rFonts w:asciiTheme="majorHAnsi" w:hAnsiTheme="majorHAnsi" w:cstheme="majorHAnsi"/>
          <w:sz w:val="22"/>
          <w:szCs w:val="22"/>
        </w:rPr>
        <w:t xml:space="preserve"> ‘Alexander and the Amazons’ </w:t>
      </w:r>
      <w:r w:rsidRPr="003C5CBF">
        <w:rPr>
          <w:rFonts w:asciiTheme="majorHAnsi" w:hAnsiTheme="majorHAnsi" w:cstheme="majorHAnsi"/>
          <w:i/>
          <w:iCs/>
          <w:sz w:val="22"/>
          <w:szCs w:val="22"/>
        </w:rPr>
        <w:t>Classical Quarterly</w:t>
      </w:r>
      <w:r w:rsidRPr="003C5CBF">
        <w:rPr>
          <w:rFonts w:asciiTheme="majorHAnsi" w:hAnsiTheme="majorHAnsi" w:cstheme="majorHAnsi"/>
          <w:sz w:val="22"/>
          <w:szCs w:val="22"/>
        </w:rPr>
        <w:t xml:space="preserve"> 51.1 (2001) p.115-1</w:t>
      </w:r>
      <w:r>
        <w:rPr>
          <w:rFonts w:asciiTheme="majorHAnsi" w:hAnsiTheme="majorHAnsi" w:cstheme="majorHAnsi"/>
          <w:sz w:val="22"/>
          <w:szCs w:val="22"/>
        </w:rPr>
        <w:t>26</w:t>
      </w:r>
    </w:p>
    <w:p w14:paraId="19966D4C" w14:textId="77777777" w:rsidR="003C5CBF" w:rsidRPr="003C5CBF" w:rsidRDefault="003C5CBF" w:rsidP="003C5CBF">
      <w:pPr>
        <w:pStyle w:val="FootnoteText"/>
        <w:rPr>
          <w:i/>
          <w:iCs/>
          <w:u w:val="single"/>
        </w:rPr>
      </w:pPr>
    </w:p>
    <w:p w14:paraId="20560F5F" w14:textId="14BE6BBC" w:rsidR="002D09CA" w:rsidRPr="00EF419D" w:rsidRDefault="002D09CA" w:rsidP="00761B83">
      <w:pPr>
        <w:spacing w:line="480" w:lineRule="auto"/>
        <w:rPr>
          <w:rFonts w:asciiTheme="majorHAnsi" w:hAnsiTheme="majorHAnsi" w:cstheme="majorHAnsi"/>
          <w:shd w:val="clear" w:color="auto" w:fill="FFFFFF"/>
        </w:rPr>
      </w:pPr>
      <w:r w:rsidRPr="00EF419D">
        <w:rPr>
          <w:rFonts w:asciiTheme="majorHAnsi" w:hAnsiTheme="majorHAnsi" w:cstheme="majorHAnsi"/>
          <w:shd w:val="clear" w:color="auto" w:fill="FFFFFF"/>
        </w:rPr>
        <w:t>Chaplin. Janet D. "Conversations in History: Arrian and Herodotus, Parmenio and Alexander." </w:t>
      </w:r>
      <w:r w:rsidRPr="00EF419D">
        <w:rPr>
          <w:rFonts w:asciiTheme="majorHAnsi" w:hAnsiTheme="majorHAnsi" w:cstheme="majorHAnsi"/>
          <w:i/>
          <w:iCs/>
          <w:shd w:val="clear" w:color="auto" w:fill="FFFFFF"/>
        </w:rPr>
        <w:t>Greek, Roman, and Byzantine Studies</w:t>
      </w:r>
      <w:r w:rsidRPr="00EF419D">
        <w:rPr>
          <w:rFonts w:asciiTheme="majorHAnsi" w:hAnsiTheme="majorHAnsi" w:cstheme="majorHAnsi"/>
          <w:shd w:val="clear" w:color="auto" w:fill="FFFFFF"/>
        </w:rPr>
        <w:t> 51.4 (2011): 613-633</w:t>
      </w:r>
    </w:p>
    <w:p w14:paraId="7267383F" w14:textId="58250DD5" w:rsidR="00156083" w:rsidRPr="00EF419D" w:rsidRDefault="00156083" w:rsidP="00761B83">
      <w:pPr>
        <w:spacing w:line="480" w:lineRule="auto"/>
        <w:rPr>
          <w:rFonts w:asciiTheme="majorHAnsi" w:hAnsiTheme="majorHAnsi" w:cstheme="majorHAnsi"/>
          <w:shd w:val="clear" w:color="auto" w:fill="FFFFFF"/>
        </w:rPr>
      </w:pPr>
      <w:r w:rsidRPr="00EF419D">
        <w:rPr>
          <w:rFonts w:asciiTheme="majorHAnsi" w:hAnsiTheme="majorHAnsi" w:cstheme="majorHAnsi"/>
          <w:color w:val="000000"/>
          <w:shd w:val="clear" w:color="auto" w:fill="FFFFFF"/>
        </w:rPr>
        <w:t>Curtius, Rufus Q, and John C. Rolfe. </w:t>
      </w:r>
      <w:r w:rsidRPr="00EF419D">
        <w:rPr>
          <w:rFonts w:asciiTheme="majorHAnsi" w:hAnsiTheme="majorHAnsi" w:cstheme="majorHAnsi"/>
          <w:i/>
          <w:iCs/>
          <w:color w:val="000000"/>
          <w:shd w:val="clear" w:color="auto" w:fill="FFFFFF"/>
        </w:rPr>
        <w:t>History of Alexander</w:t>
      </w:r>
      <w:r w:rsidR="004810B7" w:rsidRPr="00EF419D">
        <w:rPr>
          <w:rFonts w:asciiTheme="majorHAnsi" w:hAnsiTheme="majorHAnsi" w:cstheme="majorHAnsi"/>
          <w:i/>
          <w:iCs/>
          <w:color w:val="000000"/>
          <w:shd w:val="clear" w:color="auto" w:fill="FFFFFF"/>
        </w:rPr>
        <w:t>, Volume II</w:t>
      </w:r>
      <w:r w:rsidRPr="00EF419D">
        <w:rPr>
          <w:rFonts w:asciiTheme="majorHAnsi" w:hAnsiTheme="majorHAnsi" w:cstheme="majorHAnsi"/>
          <w:color w:val="000000"/>
          <w:shd w:val="clear" w:color="auto" w:fill="FFFFFF"/>
        </w:rPr>
        <w:t xml:space="preserve">. </w:t>
      </w:r>
      <w:r w:rsidR="004810B7" w:rsidRPr="00EF419D">
        <w:rPr>
          <w:rFonts w:asciiTheme="majorHAnsi" w:hAnsiTheme="majorHAnsi" w:cstheme="majorHAnsi"/>
          <w:color w:val="000000"/>
          <w:shd w:val="clear" w:color="auto" w:fill="FFFFFF"/>
        </w:rPr>
        <w:t>(</w:t>
      </w:r>
      <w:r w:rsidRPr="00EF419D">
        <w:rPr>
          <w:rFonts w:asciiTheme="majorHAnsi" w:hAnsiTheme="majorHAnsi" w:cstheme="majorHAnsi"/>
          <w:color w:val="000000"/>
          <w:shd w:val="clear" w:color="auto" w:fill="FFFFFF"/>
        </w:rPr>
        <w:t>Cambridge, MA: Harvard University Press, 2014</w:t>
      </w:r>
      <w:r w:rsidR="004810B7" w:rsidRPr="00EF419D">
        <w:rPr>
          <w:rFonts w:asciiTheme="majorHAnsi" w:hAnsiTheme="majorHAnsi" w:cstheme="majorHAnsi"/>
          <w:color w:val="000000"/>
          <w:shd w:val="clear" w:color="auto" w:fill="FFFFFF"/>
        </w:rPr>
        <w:t>)</w:t>
      </w:r>
    </w:p>
    <w:p w14:paraId="24798559" w14:textId="6112740D" w:rsidR="00CF6FBF" w:rsidRPr="00EF419D" w:rsidRDefault="00CF6FBF" w:rsidP="00CF6FBF">
      <w:pPr>
        <w:pStyle w:val="FootnoteText"/>
        <w:rPr>
          <w:rFonts w:asciiTheme="majorHAnsi" w:hAnsiTheme="majorHAnsi" w:cstheme="majorHAnsi"/>
          <w:sz w:val="22"/>
          <w:szCs w:val="22"/>
        </w:rPr>
      </w:pPr>
      <w:r w:rsidRPr="00EF419D">
        <w:rPr>
          <w:rFonts w:asciiTheme="majorHAnsi" w:hAnsiTheme="majorHAnsi" w:cstheme="majorHAnsi"/>
          <w:sz w:val="22"/>
          <w:szCs w:val="22"/>
        </w:rPr>
        <w:t xml:space="preserve">Heckel, Waldemar. ‘Notes on Q. Curtius Rufus’ History of Alexander.’ </w:t>
      </w:r>
      <w:r w:rsidRPr="00EF419D">
        <w:rPr>
          <w:rFonts w:asciiTheme="majorHAnsi" w:hAnsiTheme="majorHAnsi" w:cstheme="majorHAnsi"/>
          <w:i/>
          <w:iCs/>
          <w:sz w:val="22"/>
          <w:szCs w:val="22"/>
        </w:rPr>
        <w:t xml:space="preserve">Acta Classica </w:t>
      </w:r>
      <w:r w:rsidRPr="00EF419D">
        <w:rPr>
          <w:rFonts w:asciiTheme="majorHAnsi" w:hAnsiTheme="majorHAnsi" w:cstheme="majorHAnsi"/>
          <w:sz w:val="22"/>
          <w:szCs w:val="22"/>
        </w:rPr>
        <w:t>37 (1994) p.67-78</w:t>
      </w:r>
    </w:p>
    <w:p w14:paraId="243DACA1" w14:textId="77777777" w:rsidR="00CF6FBF" w:rsidRPr="00EF419D" w:rsidRDefault="00CF6FBF" w:rsidP="00CF6FBF">
      <w:pPr>
        <w:pStyle w:val="FootnoteText"/>
        <w:rPr>
          <w:rFonts w:asciiTheme="majorHAnsi" w:hAnsiTheme="majorHAnsi" w:cstheme="majorHAnsi"/>
          <w:sz w:val="22"/>
          <w:szCs w:val="22"/>
        </w:rPr>
      </w:pPr>
    </w:p>
    <w:p w14:paraId="77BA5F21" w14:textId="5BD8BA8C" w:rsidR="00D25ECA" w:rsidRPr="00EF419D" w:rsidRDefault="00D25ECA" w:rsidP="00761B83">
      <w:pPr>
        <w:spacing w:line="480" w:lineRule="auto"/>
        <w:rPr>
          <w:rFonts w:asciiTheme="majorHAnsi" w:hAnsiTheme="majorHAnsi" w:cstheme="majorHAnsi"/>
          <w:shd w:val="clear" w:color="auto" w:fill="FFFFFF"/>
        </w:rPr>
      </w:pPr>
      <w:r w:rsidRPr="00EF419D">
        <w:rPr>
          <w:rFonts w:asciiTheme="majorHAnsi" w:hAnsiTheme="majorHAnsi" w:cstheme="majorHAnsi"/>
        </w:rPr>
        <w:t xml:space="preserve">Prichard. R. T. </w:t>
      </w:r>
      <w:r w:rsidRPr="00EF419D">
        <w:rPr>
          <w:rFonts w:asciiTheme="majorHAnsi" w:hAnsiTheme="majorHAnsi" w:cstheme="majorHAnsi"/>
          <w:i/>
          <w:iCs/>
        </w:rPr>
        <w:t>The History of Alexander’s Battles: Historia de Preliis, the J1 Version</w:t>
      </w:r>
      <w:r w:rsidRPr="00EF419D">
        <w:rPr>
          <w:rFonts w:asciiTheme="majorHAnsi" w:hAnsiTheme="majorHAnsi" w:cstheme="majorHAnsi"/>
        </w:rPr>
        <w:t>. (Toronto: Pontifical Institute of Medieval Studies, 1992)</w:t>
      </w:r>
    </w:p>
    <w:p w14:paraId="6C446F70" w14:textId="08171DCE" w:rsidR="00EF419D" w:rsidRPr="00EF419D" w:rsidRDefault="00EF419D" w:rsidP="00EF419D">
      <w:pPr>
        <w:pStyle w:val="FootnoteText"/>
        <w:rPr>
          <w:rFonts w:asciiTheme="majorHAnsi" w:hAnsiTheme="majorHAnsi" w:cstheme="majorHAnsi"/>
          <w:sz w:val="22"/>
          <w:szCs w:val="22"/>
        </w:rPr>
      </w:pPr>
      <w:r w:rsidRPr="00EF419D">
        <w:rPr>
          <w:rFonts w:asciiTheme="majorHAnsi" w:hAnsiTheme="majorHAnsi" w:cstheme="majorHAnsi"/>
          <w:sz w:val="22"/>
          <w:szCs w:val="22"/>
        </w:rPr>
        <w:t xml:space="preserve">Parkes, Ruth &amp; Melantha Snow (2020) </w:t>
      </w:r>
      <w:r w:rsidRPr="00EF419D">
        <w:rPr>
          <w:rFonts w:asciiTheme="majorHAnsi" w:hAnsiTheme="majorHAnsi" w:cstheme="majorHAnsi"/>
          <w:i/>
          <w:iCs/>
          <w:sz w:val="22"/>
          <w:szCs w:val="22"/>
        </w:rPr>
        <w:t>Lecture 3: Sources; Alexanders Love Life</w:t>
      </w:r>
      <w:r w:rsidRPr="00EF419D">
        <w:rPr>
          <w:rFonts w:asciiTheme="majorHAnsi" w:hAnsiTheme="majorHAnsi" w:cstheme="majorHAnsi"/>
          <w:sz w:val="22"/>
          <w:szCs w:val="22"/>
        </w:rPr>
        <w:t>. Lecture notes, HPAH6058 Classical Mythology in Roman and Medieval Times. Delivered at University of Wales Trinity St David on 9</w:t>
      </w:r>
      <w:r w:rsidRPr="00EF419D">
        <w:rPr>
          <w:rFonts w:asciiTheme="majorHAnsi" w:hAnsiTheme="majorHAnsi" w:cstheme="majorHAnsi"/>
          <w:sz w:val="22"/>
          <w:szCs w:val="22"/>
          <w:vertAlign w:val="superscript"/>
        </w:rPr>
        <w:t>th</w:t>
      </w:r>
      <w:r w:rsidRPr="00EF419D">
        <w:rPr>
          <w:rFonts w:asciiTheme="majorHAnsi" w:hAnsiTheme="majorHAnsi" w:cstheme="majorHAnsi"/>
          <w:sz w:val="22"/>
          <w:szCs w:val="22"/>
        </w:rPr>
        <w:t xml:space="preserve"> January 2020 </w:t>
      </w:r>
    </w:p>
    <w:p w14:paraId="7663C333" w14:textId="77777777" w:rsidR="00EF419D" w:rsidRPr="00EF419D" w:rsidRDefault="00EF419D" w:rsidP="000B730F">
      <w:pPr>
        <w:pStyle w:val="FootnoteText"/>
        <w:rPr>
          <w:rFonts w:asciiTheme="majorHAnsi" w:hAnsiTheme="majorHAnsi" w:cstheme="majorHAnsi"/>
          <w:sz w:val="22"/>
          <w:szCs w:val="22"/>
        </w:rPr>
      </w:pPr>
    </w:p>
    <w:p w14:paraId="0A05B284" w14:textId="255CDBAA" w:rsidR="000B730F" w:rsidRPr="00EF419D" w:rsidRDefault="000B730F" w:rsidP="000B730F">
      <w:pPr>
        <w:pStyle w:val="FootnoteText"/>
        <w:rPr>
          <w:rFonts w:asciiTheme="majorHAnsi" w:hAnsiTheme="majorHAnsi" w:cstheme="majorHAnsi"/>
          <w:sz w:val="22"/>
          <w:szCs w:val="22"/>
        </w:rPr>
      </w:pPr>
      <w:r w:rsidRPr="00EF419D">
        <w:rPr>
          <w:rFonts w:asciiTheme="majorHAnsi" w:hAnsiTheme="majorHAnsi" w:cstheme="majorHAnsi"/>
          <w:sz w:val="22"/>
          <w:szCs w:val="22"/>
        </w:rPr>
        <w:t>Siculus, Diodorus &amp; Charles Henry Oldfather. ‘</w:t>
      </w:r>
      <w:r w:rsidRPr="00EF419D">
        <w:rPr>
          <w:rFonts w:asciiTheme="majorHAnsi" w:hAnsiTheme="majorHAnsi" w:cstheme="majorHAnsi"/>
          <w:i/>
          <w:iCs/>
          <w:sz w:val="22"/>
          <w:szCs w:val="22"/>
        </w:rPr>
        <w:t>The Library of History</w:t>
      </w:r>
      <w:r w:rsidRPr="00EF419D">
        <w:rPr>
          <w:rFonts w:asciiTheme="majorHAnsi" w:hAnsiTheme="majorHAnsi" w:cstheme="majorHAnsi"/>
          <w:sz w:val="22"/>
          <w:szCs w:val="22"/>
        </w:rPr>
        <w:t>’ (2017) &lt;</w:t>
      </w:r>
      <w:hyperlink r:id="rId7" w:anchor="77" w:history="1">
        <w:r w:rsidRPr="00EF419D">
          <w:rPr>
            <w:rStyle w:val="Hyperlink"/>
            <w:rFonts w:asciiTheme="majorHAnsi" w:hAnsiTheme="majorHAnsi" w:cstheme="majorHAnsi"/>
            <w:sz w:val="22"/>
            <w:szCs w:val="22"/>
          </w:rPr>
          <w:t>http://penelope.uchicago.edu/Thayer/E/Roman/Texts/Diodorus_Siculus/17D*.html#77</w:t>
        </w:r>
      </w:hyperlink>
      <w:r w:rsidRPr="00EF419D">
        <w:rPr>
          <w:rFonts w:asciiTheme="majorHAnsi" w:hAnsiTheme="majorHAnsi" w:cstheme="majorHAnsi"/>
          <w:sz w:val="22"/>
          <w:szCs w:val="22"/>
        </w:rPr>
        <w:t>&gt; [Accessed 12/01/2020]</w:t>
      </w:r>
    </w:p>
    <w:p w14:paraId="6ECA8F4D" w14:textId="77777777" w:rsidR="000B730F" w:rsidRPr="00EF419D" w:rsidRDefault="000B730F" w:rsidP="000B730F">
      <w:pPr>
        <w:pStyle w:val="FootnoteText"/>
        <w:rPr>
          <w:rFonts w:asciiTheme="majorHAnsi" w:hAnsiTheme="majorHAnsi" w:cstheme="majorHAnsi"/>
          <w:sz w:val="22"/>
          <w:szCs w:val="22"/>
        </w:rPr>
      </w:pPr>
    </w:p>
    <w:p w14:paraId="1398ACD6" w14:textId="2BFFA911" w:rsidR="00803CCB" w:rsidRPr="00EF419D" w:rsidRDefault="00803CCB" w:rsidP="00761B83">
      <w:pPr>
        <w:spacing w:line="480" w:lineRule="auto"/>
        <w:rPr>
          <w:rFonts w:asciiTheme="majorHAnsi" w:hAnsiTheme="majorHAnsi" w:cstheme="majorHAnsi"/>
        </w:rPr>
      </w:pPr>
      <w:r w:rsidRPr="00EF419D">
        <w:rPr>
          <w:rFonts w:asciiTheme="majorHAnsi" w:hAnsiTheme="majorHAnsi" w:cstheme="majorHAnsi"/>
          <w:shd w:val="clear" w:color="auto" w:fill="FFFFFF"/>
        </w:rPr>
        <w:t xml:space="preserve">Stone. Charles Russell. "Proud Kings, Polyglot Scribes, and </w:t>
      </w:r>
      <w:r w:rsidR="00C363D3" w:rsidRPr="00EF419D">
        <w:rPr>
          <w:rFonts w:asciiTheme="majorHAnsi" w:hAnsiTheme="majorHAnsi" w:cstheme="majorHAnsi"/>
        </w:rPr>
        <w:t>the I3 Historia de preliis</w:t>
      </w:r>
      <w:r w:rsidRPr="00EF419D">
        <w:rPr>
          <w:rFonts w:asciiTheme="majorHAnsi" w:hAnsiTheme="majorHAnsi" w:cstheme="majorHAnsi"/>
          <w:shd w:val="clear" w:color="auto" w:fill="FFFFFF"/>
        </w:rPr>
        <w:t>: The Origins of Latin Alexander Romance in Norman and Staufen Italy." </w:t>
      </w:r>
      <w:r w:rsidRPr="00EF419D">
        <w:rPr>
          <w:rFonts w:asciiTheme="majorHAnsi" w:hAnsiTheme="majorHAnsi" w:cstheme="majorHAnsi"/>
          <w:i/>
          <w:iCs/>
          <w:shd w:val="clear" w:color="auto" w:fill="FFFFFF"/>
        </w:rPr>
        <w:t>Speculum</w:t>
      </w:r>
      <w:r w:rsidRPr="00EF419D">
        <w:rPr>
          <w:rFonts w:asciiTheme="majorHAnsi" w:hAnsiTheme="majorHAnsi" w:cstheme="majorHAnsi"/>
          <w:shd w:val="clear" w:color="auto" w:fill="FFFFFF"/>
        </w:rPr>
        <w:t> 91.3 (2016): 724-744.</w:t>
      </w:r>
    </w:p>
    <w:p w14:paraId="2EB87216" w14:textId="77777777" w:rsidR="00761B83" w:rsidRPr="00CF6FBF" w:rsidRDefault="00761B83" w:rsidP="00761B83">
      <w:pPr>
        <w:spacing w:line="480" w:lineRule="auto"/>
        <w:rPr>
          <w:rFonts w:asciiTheme="majorHAnsi" w:hAnsiTheme="majorHAnsi" w:cstheme="majorHAnsi"/>
          <w:sz w:val="20"/>
          <w:szCs w:val="20"/>
        </w:rPr>
      </w:pPr>
    </w:p>
    <w:p w14:paraId="088A7D3D" w14:textId="77777777" w:rsidR="00FB52CE" w:rsidRPr="00CF6FBF" w:rsidRDefault="00FB52CE">
      <w:pPr>
        <w:spacing w:line="480" w:lineRule="auto"/>
        <w:rPr>
          <w:rFonts w:asciiTheme="majorHAnsi" w:hAnsiTheme="majorHAnsi" w:cstheme="majorHAnsi"/>
          <w:b/>
          <w:bCs/>
          <w:sz w:val="24"/>
          <w:szCs w:val="24"/>
        </w:rPr>
      </w:pPr>
    </w:p>
    <w:sectPr w:rsidR="00FB52CE" w:rsidRPr="00CF6FB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577796" w14:textId="77777777" w:rsidR="00B12139" w:rsidRDefault="00B12139" w:rsidP="00E96545">
      <w:pPr>
        <w:spacing w:after="0" w:line="240" w:lineRule="auto"/>
      </w:pPr>
      <w:r>
        <w:separator/>
      </w:r>
    </w:p>
  </w:endnote>
  <w:endnote w:type="continuationSeparator" w:id="0">
    <w:p w14:paraId="1887B440" w14:textId="77777777" w:rsidR="00B12139" w:rsidRDefault="00B12139" w:rsidP="00E96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E741A9" w14:textId="77777777" w:rsidR="00B12139" w:rsidRDefault="00B12139" w:rsidP="00E96545">
      <w:pPr>
        <w:spacing w:after="0" w:line="240" w:lineRule="auto"/>
      </w:pPr>
      <w:r>
        <w:separator/>
      </w:r>
    </w:p>
  </w:footnote>
  <w:footnote w:type="continuationSeparator" w:id="0">
    <w:p w14:paraId="1B92C190" w14:textId="77777777" w:rsidR="00B12139" w:rsidRDefault="00B12139" w:rsidP="00E96545">
      <w:pPr>
        <w:spacing w:after="0" w:line="240" w:lineRule="auto"/>
      </w:pPr>
      <w:r>
        <w:continuationSeparator/>
      </w:r>
    </w:p>
  </w:footnote>
  <w:footnote w:id="1">
    <w:p w14:paraId="5B8C1483" w14:textId="1E7B0657" w:rsidR="00077E87" w:rsidRPr="003C5CBF" w:rsidRDefault="00077E87">
      <w:pPr>
        <w:pStyle w:val="FootnoteText"/>
        <w:rPr>
          <w:rFonts w:asciiTheme="majorHAnsi" w:hAnsiTheme="majorHAnsi" w:cstheme="majorHAnsi"/>
          <w:sz w:val="18"/>
          <w:szCs w:val="18"/>
        </w:rPr>
      </w:pPr>
      <w:r w:rsidRPr="003C5CBF">
        <w:rPr>
          <w:rStyle w:val="FootnoteReference"/>
          <w:rFonts w:asciiTheme="majorHAnsi" w:hAnsiTheme="majorHAnsi" w:cstheme="majorHAnsi"/>
          <w:sz w:val="18"/>
          <w:szCs w:val="18"/>
        </w:rPr>
        <w:footnoteRef/>
      </w:r>
      <w:r w:rsidRPr="003C5CBF">
        <w:rPr>
          <w:rFonts w:asciiTheme="majorHAnsi" w:hAnsiTheme="majorHAnsi" w:cstheme="majorHAnsi"/>
          <w:sz w:val="18"/>
          <w:szCs w:val="18"/>
        </w:rPr>
        <w:t xml:space="preserve">Elizabeth Baynham. ‘Alexander and the Amazons’ </w:t>
      </w:r>
      <w:r w:rsidRPr="003C5CBF">
        <w:rPr>
          <w:rFonts w:asciiTheme="majorHAnsi" w:hAnsiTheme="majorHAnsi" w:cstheme="majorHAnsi"/>
          <w:i/>
          <w:iCs/>
          <w:sz w:val="18"/>
          <w:szCs w:val="18"/>
        </w:rPr>
        <w:t>Classical Quarterly</w:t>
      </w:r>
      <w:r w:rsidRPr="003C5CBF">
        <w:rPr>
          <w:rFonts w:asciiTheme="majorHAnsi" w:hAnsiTheme="majorHAnsi" w:cstheme="majorHAnsi"/>
          <w:sz w:val="18"/>
          <w:szCs w:val="18"/>
        </w:rPr>
        <w:t xml:space="preserve"> 51.1</w:t>
      </w:r>
      <w:r w:rsidR="003C5CBF" w:rsidRPr="003C5CBF">
        <w:rPr>
          <w:rFonts w:asciiTheme="majorHAnsi" w:hAnsiTheme="majorHAnsi" w:cstheme="majorHAnsi"/>
          <w:sz w:val="18"/>
          <w:szCs w:val="18"/>
        </w:rPr>
        <w:t xml:space="preserve"> (2001) p.115-116</w:t>
      </w:r>
    </w:p>
  </w:footnote>
  <w:footnote w:id="2">
    <w:p w14:paraId="3F9CCB92" w14:textId="7FD46701" w:rsidR="00FB52CE" w:rsidRPr="003C5CBF" w:rsidRDefault="00FB52CE" w:rsidP="00327974">
      <w:pPr>
        <w:pStyle w:val="NoSpacing"/>
        <w:rPr>
          <w:rFonts w:asciiTheme="majorHAnsi" w:hAnsiTheme="majorHAnsi" w:cstheme="majorHAnsi"/>
          <w:sz w:val="18"/>
          <w:szCs w:val="18"/>
        </w:rPr>
      </w:pPr>
      <w:r w:rsidRPr="003C5CBF">
        <w:rPr>
          <w:rStyle w:val="FootnoteReference"/>
          <w:rFonts w:asciiTheme="majorHAnsi" w:hAnsiTheme="majorHAnsi" w:cstheme="majorHAnsi"/>
          <w:sz w:val="18"/>
          <w:szCs w:val="18"/>
        </w:rPr>
        <w:footnoteRef/>
      </w:r>
      <w:r w:rsidRPr="003C5CBF">
        <w:rPr>
          <w:rFonts w:asciiTheme="majorHAnsi" w:hAnsiTheme="majorHAnsi" w:cstheme="majorHAnsi"/>
          <w:sz w:val="18"/>
          <w:szCs w:val="18"/>
        </w:rPr>
        <w:t xml:space="preserve"> Plutarch </w:t>
      </w:r>
      <w:r w:rsidR="00327974" w:rsidRPr="003C5CBF">
        <w:rPr>
          <w:rFonts w:asciiTheme="majorHAnsi" w:hAnsiTheme="majorHAnsi" w:cstheme="majorHAnsi"/>
          <w:sz w:val="18"/>
          <w:szCs w:val="18"/>
        </w:rPr>
        <w:t>(</w:t>
      </w:r>
      <w:r w:rsidRPr="003C5CBF">
        <w:rPr>
          <w:rFonts w:asciiTheme="majorHAnsi" w:hAnsiTheme="majorHAnsi" w:cstheme="majorHAnsi"/>
          <w:sz w:val="18"/>
          <w:szCs w:val="18"/>
        </w:rPr>
        <w:t>6.4</w:t>
      </w:r>
      <w:r w:rsidR="00327974" w:rsidRPr="003C5CBF">
        <w:rPr>
          <w:rFonts w:asciiTheme="majorHAnsi" w:hAnsiTheme="majorHAnsi" w:cstheme="majorHAnsi"/>
          <w:sz w:val="18"/>
          <w:szCs w:val="18"/>
        </w:rPr>
        <w:t>6-4</w:t>
      </w:r>
      <w:r w:rsidRPr="003C5CBF">
        <w:rPr>
          <w:rFonts w:asciiTheme="majorHAnsi" w:hAnsiTheme="majorHAnsi" w:cstheme="majorHAnsi"/>
          <w:sz w:val="18"/>
          <w:szCs w:val="18"/>
        </w:rPr>
        <w:t>7</w:t>
      </w:r>
      <w:r w:rsidR="00327974" w:rsidRPr="003C5CBF">
        <w:rPr>
          <w:rFonts w:asciiTheme="majorHAnsi" w:hAnsiTheme="majorHAnsi" w:cstheme="majorHAnsi"/>
          <w:sz w:val="18"/>
          <w:szCs w:val="18"/>
        </w:rPr>
        <w:t>)</w:t>
      </w:r>
    </w:p>
  </w:footnote>
  <w:footnote w:id="3">
    <w:p w14:paraId="6C406611" w14:textId="77777777" w:rsidR="00CF6FBF" w:rsidRPr="003C5CBF" w:rsidRDefault="00CF6FBF" w:rsidP="00CF6FBF">
      <w:pPr>
        <w:pStyle w:val="FootnoteText"/>
        <w:rPr>
          <w:rFonts w:asciiTheme="majorHAnsi" w:hAnsiTheme="majorHAnsi" w:cstheme="majorHAnsi"/>
          <w:sz w:val="18"/>
          <w:szCs w:val="18"/>
        </w:rPr>
      </w:pPr>
      <w:r w:rsidRPr="003C5CBF">
        <w:rPr>
          <w:rStyle w:val="FootnoteReference"/>
          <w:rFonts w:asciiTheme="majorHAnsi" w:hAnsiTheme="majorHAnsi" w:cstheme="majorHAnsi"/>
          <w:sz w:val="18"/>
          <w:szCs w:val="18"/>
        </w:rPr>
        <w:footnoteRef/>
      </w:r>
      <w:r w:rsidRPr="003C5CBF">
        <w:rPr>
          <w:rFonts w:asciiTheme="majorHAnsi" w:hAnsiTheme="majorHAnsi" w:cstheme="majorHAnsi"/>
          <w:sz w:val="18"/>
          <w:szCs w:val="18"/>
        </w:rPr>
        <w:t xml:space="preserve"> Waldemar Heckel. ‘Notes on Q. Curtius Rufus’ History of Alexander.’ </w:t>
      </w:r>
      <w:r w:rsidRPr="003C5CBF">
        <w:rPr>
          <w:rFonts w:asciiTheme="majorHAnsi" w:hAnsiTheme="majorHAnsi" w:cstheme="majorHAnsi"/>
          <w:i/>
          <w:iCs/>
          <w:sz w:val="18"/>
          <w:szCs w:val="18"/>
        </w:rPr>
        <w:t xml:space="preserve">Acta Classica </w:t>
      </w:r>
      <w:r w:rsidRPr="003C5CBF">
        <w:rPr>
          <w:rFonts w:asciiTheme="majorHAnsi" w:hAnsiTheme="majorHAnsi" w:cstheme="majorHAnsi"/>
          <w:sz w:val="18"/>
          <w:szCs w:val="18"/>
        </w:rPr>
        <w:t>37 (1994) p.67</w:t>
      </w:r>
    </w:p>
  </w:footnote>
  <w:footnote w:id="4">
    <w:p w14:paraId="743A5BD8" w14:textId="77777777" w:rsidR="000B730F" w:rsidRPr="003C5CBF" w:rsidRDefault="000B730F" w:rsidP="000B730F">
      <w:pPr>
        <w:pStyle w:val="NoSpacing"/>
        <w:rPr>
          <w:rFonts w:asciiTheme="majorHAnsi" w:hAnsiTheme="majorHAnsi" w:cstheme="majorHAnsi"/>
          <w:sz w:val="18"/>
          <w:szCs w:val="18"/>
        </w:rPr>
      </w:pPr>
      <w:r w:rsidRPr="003C5CBF">
        <w:rPr>
          <w:rStyle w:val="FootnoteReference"/>
          <w:rFonts w:asciiTheme="majorHAnsi" w:hAnsiTheme="majorHAnsi" w:cstheme="majorHAnsi"/>
          <w:sz w:val="18"/>
          <w:szCs w:val="18"/>
        </w:rPr>
        <w:footnoteRef/>
      </w:r>
      <w:r w:rsidRPr="003C5CBF">
        <w:rPr>
          <w:rFonts w:asciiTheme="majorHAnsi" w:hAnsiTheme="majorHAnsi" w:cstheme="majorHAnsi"/>
          <w:sz w:val="18"/>
          <w:szCs w:val="18"/>
        </w:rPr>
        <w:t xml:space="preserve"> Diod. (17.77.1)</w:t>
      </w:r>
    </w:p>
    <w:p w14:paraId="7DE253F8" w14:textId="77777777" w:rsidR="000B730F" w:rsidRPr="003C5CBF" w:rsidRDefault="000B730F" w:rsidP="000B730F">
      <w:pPr>
        <w:pStyle w:val="NoSpacing"/>
        <w:rPr>
          <w:rFonts w:asciiTheme="majorHAnsi" w:hAnsiTheme="majorHAnsi" w:cstheme="majorHAnsi"/>
          <w:sz w:val="18"/>
          <w:szCs w:val="18"/>
        </w:rPr>
      </w:pPr>
      <w:r w:rsidRPr="003C5CBF">
        <w:rPr>
          <w:rFonts w:asciiTheme="majorHAnsi" w:hAnsiTheme="majorHAnsi" w:cstheme="majorHAnsi"/>
          <w:sz w:val="18"/>
          <w:szCs w:val="18"/>
        </w:rPr>
        <w:t xml:space="preserve">   Q.C.Rufus (6.5.24-32) </w:t>
      </w:r>
    </w:p>
  </w:footnote>
  <w:footnote w:id="5">
    <w:p w14:paraId="22812A4C" w14:textId="14654D74" w:rsidR="0068294E" w:rsidRPr="003C5CBF" w:rsidRDefault="0068294E">
      <w:pPr>
        <w:pStyle w:val="FootnoteText"/>
        <w:rPr>
          <w:rFonts w:asciiTheme="majorHAnsi" w:hAnsiTheme="majorHAnsi" w:cstheme="majorHAnsi"/>
          <w:sz w:val="18"/>
          <w:szCs w:val="18"/>
        </w:rPr>
      </w:pPr>
      <w:r w:rsidRPr="003C5CBF">
        <w:rPr>
          <w:rStyle w:val="FootnoteReference"/>
          <w:rFonts w:asciiTheme="majorHAnsi" w:hAnsiTheme="majorHAnsi" w:cstheme="majorHAnsi"/>
          <w:sz w:val="18"/>
          <w:szCs w:val="18"/>
        </w:rPr>
        <w:footnoteRef/>
      </w:r>
      <w:r w:rsidRPr="003C5CBF">
        <w:rPr>
          <w:rFonts w:asciiTheme="majorHAnsi" w:hAnsiTheme="majorHAnsi" w:cstheme="majorHAnsi"/>
          <w:sz w:val="18"/>
          <w:szCs w:val="18"/>
        </w:rPr>
        <w:t xml:space="preserve"> Quintus Curtius Rufus &amp; John C. Rolfe.</w:t>
      </w:r>
      <w:r w:rsidRPr="003C5CBF">
        <w:rPr>
          <w:rFonts w:asciiTheme="majorHAnsi" w:hAnsiTheme="majorHAnsi" w:cstheme="majorHAnsi"/>
          <w:i/>
          <w:iCs/>
          <w:sz w:val="18"/>
          <w:szCs w:val="18"/>
        </w:rPr>
        <w:t xml:space="preserve"> History of Alexander, Volume II.</w:t>
      </w:r>
      <w:r w:rsidRPr="003C5CBF">
        <w:rPr>
          <w:rFonts w:asciiTheme="majorHAnsi" w:hAnsiTheme="majorHAnsi" w:cstheme="majorHAnsi"/>
          <w:sz w:val="18"/>
          <w:szCs w:val="18"/>
        </w:rPr>
        <w:t xml:space="preserve"> (Cambridge, MA: Harvard University Press, 2014) p.47-49</w:t>
      </w:r>
    </w:p>
  </w:footnote>
  <w:footnote w:id="6">
    <w:p w14:paraId="083609FE" w14:textId="373E13DA" w:rsidR="004810B7" w:rsidRPr="003C5CBF" w:rsidRDefault="004810B7">
      <w:pPr>
        <w:pStyle w:val="FootnoteText"/>
        <w:rPr>
          <w:rFonts w:asciiTheme="majorHAnsi" w:hAnsiTheme="majorHAnsi" w:cstheme="majorHAnsi"/>
          <w:sz w:val="18"/>
          <w:szCs w:val="18"/>
        </w:rPr>
      </w:pPr>
      <w:r w:rsidRPr="003C5CBF">
        <w:rPr>
          <w:rStyle w:val="FootnoteReference"/>
          <w:rFonts w:asciiTheme="majorHAnsi" w:hAnsiTheme="majorHAnsi" w:cstheme="majorHAnsi"/>
          <w:sz w:val="18"/>
          <w:szCs w:val="18"/>
        </w:rPr>
        <w:footnoteRef/>
      </w:r>
      <w:r w:rsidRPr="003C5CBF">
        <w:rPr>
          <w:rFonts w:asciiTheme="majorHAnsi" w:hAnsiTheme="majorHAnsi" w:cstheme="majorHAnsi"/>
          <w:sz w:val="18"/>
          <w:szCs w:val="18"/>
        </w:rPr>
        <w:t xml:space="preserve"> Q. C. Rufus &amp; John C. Rolfe. p.49</w:t>
      </w:r>
    </w:p>
  </w:footnote>
  <w:footnote w:id="7">
    <w:p w14:paraId="301E8F33" w14:textId="21DFC086" w:rsidR="00D333D4" w:rsidRPr="003C5CBF" w:rsidRDefault="00D333D4">
      <w:pPr>
        <w:pStyle w:val="FootnoteText"/>
        <w:rPr>
          <w:rFonts w:asciiTheme="majorHAnsi" w:hAnsiTheme="majorHAnsi" w:cstheme="majorHAnsi"/>
          <w:sz w:val="18"/>
          <w:szCs w:val="18"/>
        </w:rPr>
      </w:pPr>
      <w:r w:rsidRPr="003C5CBF">
        <w:rPr>
          <w:rStyle w:val="FootnoteReference"/>
          <w:rFonts w:asciiTheme="majorHAnsi" w:hAnsiTheme="majorHAnsi" w:cstheme="majorHAnsi"/>
          <w:sz w:val="18"/>
          <w:szCs w:val="18"/>
        </w:rPr>
        <w:footnoteRef/>
      </w:r>
      <w:r w:rsidRPr="003C5CBF">
        <w:rPr>
          <w:rFonts w:asciiTheme="majorHAnsi" w:hAnsiTheme="majorHAnsi" w:cstheme="majorHAnsi"/>
          <w:sz w:val="18"/>
          <w:szCs w:val="18"/>
        </w:rPr>
        <w:t xml:space="preserve"> </w:t>
      </w:r>
      <w:r w:rsidR="00EF419D" w:rsidRPr="003C5CBF">
        <w:rPr>
          <w:rFonts w:asciiTheme="majorHAnsi" w:hAnsiTheme="majorHAnsi" w:cstheme="majorHAnsi"/>
          <w:sz w:val="18"/>
          <w:szCs w:val="18"/>
        </w:rPr>
        <w:t>Ruth Parkes &amp; Melantha Snow (2020)</w:t>
      </w:r>
      <w:r w:rsidRPr="003C5CBF">
        <w:rPr>
          <w:rFonts w:asciiTheme="majorHAnsi" w:hAnsiTheme="majorHAnsi" w:cstheme="majorHAnsi"/>
          <w:sz w:val="18"/>
          <w:szCs w:val="18"/>
        </w:rPr>
        <w:t xml:space="preserve"> </w:t>
      </w:r>
      <w:r w:rsidRPr="003C5CBF">
        <w:rPr>
          <w:rFonts w:asciiTheme="majorHAnsi" w:hAnsiTheme="majorHAnsi" w:cstheme="majorHAnsi"/>
          <w:i/>
          <w:iCs/>
          <w:sz w:val="18"/>
          <w:szCs w:val="18"/>
        </w:rPr>
        <w:t>Lecture 3: Sources; Alexanders Love Life</w:t>
      </w:r>
      <w:r w:rsidRPr="003C5CBF">
        <w:rPr>
          <w:rFonts w:asciiTheme="majorHAnsi" w:hAnsiTheme="majorHAnsi" w:cstheme="majorHAnsi"/>
          <w:sz w:val="18"/>
          <w:szCs w:val="18"/>
        </w:rPr>
        <w:t>.</w:t>
      </w:r>
      <w:r w:rsidR="00EF419D" w:rsidRPr="003C5CBF">
        <w:rPr>
          <w:rFonts w:asciiTheme="majorHAnsi" w:hAnsiTheme="majorHAnsi" w:cstheme="majorHAnsi"/>
          <w:sz w:val="18"/>
          <w:szCs w:val="18"/>
        </w:rPr>
        <w:t xml:space="preserve"> Lecture notes,</w:t>
      </w:r>
      <w:r w:rsidRPr="003C5CBF">
        <w:rPr>
          <w:rFonts w:asciiTheme="majorHAnsi" w:hAnsiTheme="majorHAnsi" w:cstheme="majorHAnsi"/>
          <w:sz w:val="18"/>
          <w:szCs w:val="18"/>
        </w:rPr>
        <w:t xml:space="preserve"> </w:t>
      </w:r>
      <w:r w:rsidR="00EF419D" w:rsidRPr="003C5CBF">
        <w:rPr>
          <w:rFonts w:asciiTheme="majorHAnsi" w:hAnsiTheme="majorHAnsi" w:cstheme="majorHAnsi"/>
          <w:sz w:val="18"/>
          <w:szCs w:val="18"/>
        </w:rPr>
        <w:t>HPAH6058 Classical Mythology in Roman and Medieval Times. Delivered at University of Wales Trinity St David on 9</w:t>
      </w:r>
      <w:r w:rsidR="00EF419D" w:rsidRPr="003C5CBF">
        <w:rPr>
          <w:rFonts w:asciiTheme="majorHAnsi" w:hAnsiTheme="majorHAnsi" w:cstheme="majorHAnsi"/>
          <w:sz w:val="18"/>
          <w:szCs w:val="18"/>
          <w:vertAlign w:val="superscript"/>
        </w:rPr>
        <w:t>th</w:t>
      </w:r>
      <w:r w:rsidR="00EF419D" w:rsidRPr="003C5CBF">
        <w:rPr>
          <w:rFonts w:asciiTheme="majorHAnsi" w:hAnsiTheme="majorHAnsi" w:cstheme="majorHAnsi"/>
          <w:sz w:val="18"/>
          <w:szCs w:val="18"/>
        </w:rPr>
        <w:t xml:space="preserve"> January 2020 </w:t>
      </w:r>
    </w:p>
  </w:footnote>
  <w:footnote w:id="8">
    <w:p w14:paraId="6908B833" w14:textId="77777777" w:rsidR="003C5CBF" w:rsidRPr="003C5CBF" w:rsidRDefault="003C5CBF" w:rsidP="003C5CBF">
      <w:pPr>
        <w:pStyle w:val="FootnoteText"/>
        <w:rPr>
          <w:rFonts w:asciiTheme="majorHAnsi" w:hAnsiTheme="majorHAnsi" w:cstheme="majorHAnsi"/>
          <w:sz w:val="18"/>
          <w:szCs w:val="18"/>
        </w:rPr>
      </w:pPr>
      <w:r w:rsidRPr="003C5CBF">
        <w:rPr>
          <w:rStyle w:val="FootnoteReference"/>
          <w:rFonts w:asciiTheme="majorHAnsi" w:hAnsiTheme="majorHAnsi" w:cstheme="majorHAnsi"/>
          <w:sz w:val="18"/>
          <w:szCs w:val="18"/>
        </w:rPr>
        <w:footnoteRef/>
      </w:r>
      <w:r w:rsidRPr="003C5CBF">
        <w:rPr>
          <w:rFonts w:asciiTheme="majorHAnsi" w:hAnsiTheme="majorHAnsi" w:cstheme="majorHAnsi"/>
          <w:sz w:val="18"/>
          <w:szCs w:val="18"/>
        </w:rPr>
        <w:t xml:space="preserve"> Ruth Parkes &amp; Melantha Snow. </w:t>
      </w:r>
    </w:p>
  </w:footnote>
  <w:footnote w:id="9">
    <w:p w14:paraId="639A056B" w14:textId="6E156901" w:rsidR="00363A7E" w:rsidRPr="003C5CBF" w:rsidRDefault="00363A7E" w:rsidP="00363A7E">
      <w:pPr>
        <w:pStyle w:val="FootnoteText"/>
        <w:rPr>
          <w:rFonts w:asciiTheme="majorHAnsi" w:hAnsiTheme="majorHAnsi" w:cstheme="majorHAnsi"/>
          <w:sz w:val="18"/>
          <w:szCs w:val="18"/>
        </w:rPr>
      </w:pPr>
      <w:r w:rsidRPr="003C5CBF">
        <w:rPr>
          <w:rStyle w:val="FootnoteReference"/>
          <w:rFonts w:asciiTheme="majorHAnsi" w:hAnsiTheme="majorHAnsi" w:cstheme="majorHAnsi"/>
          <w:sz w:val="18"/>
          <w:szCs w:val="18"/>
        </w:rPr>
        <w:footnoteRef/>
      </w:r>
      <w:r w:rsidRPr="003C5CBF">
        <w:rPr>
          <w:rFonts w:asciiTheme="majorHAnsi" w:hAnsiTheme="majorHAnsi" w:cstheme="majorHAnsi"/>
          <w:sz w:val="18"/>
          <w:szCs w:val="18"/>
        </w:rPr>
        <w:t xml:space="preserve"> </w:t>
      </w:r>
      <w:r w:rsidRPr="003C5CBF">
        <w:rPr>
          <w:rFonts w:asciiTheme="majorHAnsi" w:hAnsiTheme="majorHAnsi" w:cstheme="majorHAnsi"/>
          <w:sz w:val="18"/>
          <w:szCs w:val="18"/>
          <w:shd w:val="clear" w:color="auto" w:fill="FFFFFF"/>
        </w:rPr>
        <w:t>Charles Russell Stone. "</w:t>
      </w:r>
      <w:r w:rsidRPr="003C5CBF">
        <w:rPr>
          <w:rFonts w:asciiTheme="majorHAnsi" w:hAnsiTheme="majorHAnsi" w:cstheme="majorHAnsi"/>
          <w:sz w:val="18"/>
          <w:szCs w:val="18"/>
        </w:rPr>
        <w:t xml:space="preserve"> Proud Kings, Polyglot Scribes, and the I3 Historia de preliis: The Origins of Latin Alexander Romance in Norman and Staufen Italy” </w:t>
      </w:r>
      <w:r w:rsidRPr="003C5CBF">
        <w:rPr>
          <w:rFonts w:asciiTheme="majorHAnsi" w:hAnsiTheme="majorHAnsi" w:cstheme="majorHAnsi"/>
          <w:i/>
          <w:iCs/>
          <w:sz w:val="18"/>
          <w:szCs w:val="18"/>
          <w:shd w:val="clear" w:color="auto" w:fill="FFFFFF"/>
        </w:rPr>
        <w:t>Speculum</w:t>
      </w:r>
      <w:r w:rsidRPr="003C5CBF">
        <w:rPr>
          <w:rFonts w:asciiTheme="majorHAnsi" w:hAnsiTheme="majorHAnsi" w:cstheme="majorHAnsi"/>
          <w:sz w:val="18"/>
          <w:szCs w:val="18"/>
          <w:shd w:val="clear" w:color="auto" w:fill="FFFFFF"/>
        </w:rPr>
        <w:t xml:space="preserve"> 91.3 (2016): </w:t>
      </w:r>
      <w:r w:rsidR="00D25ECA" w:rsidRPr="003C5CBF">
        <w:rPr>
          <w:rFonts w:asciiTheme="majorHAnsi" w:hAnsiTheme="majorHAnsi" w:cstheme="majorHAnsi"/>
          <w:sz w:val="18"/>
          <w:szCs w:val="18"/>
          <w:shd w:val="clear" w:color="auto" w:fill="FFFFFF"/>
        </w:rPr>
        <w:t>p.</w:t>
      </w:r>
      <w:r w:rsidRPr="003C5CBF">
        <w:rPr>
          <w:rFonts w:asciiTheme="majorHAnsi" w:hAnsiTheme="majorHAnsi" w:cstheme="majorHAnsi"/>
          <w:sz w:val="18"/>
          <w:szCs w:val="18"/>
          <w:shd w:val="clear" w:color="auto" w:fill="FFFFFF"/>
        </w:rPr>
        <w:t>724</w:t>
      </w:r>
    </w:p>
  </w:footnote>
  <w:footnote w:id="10">
    <w:p w14:paraId="6DDC77A7" w14:textId="530BD190" w:rsidR="00F52979" w:rsidRPr="003C5CBF" w:rsidRDefault="00F52979">
      <w:pPr>
        <w:pStyle w:val="FootnoteText"/>
        <w:rPr>
          <w:rFonts w:asciiTheme="majorHAnsi" w:hAnsiTheme="majorHAnsi" w:cstheme="majorHAnsi"/>
          <w:sz w:val="18"/>
          <w:szCs w:val="18"/>
        </w:rPr>
      </w:pPr>
      <w:r w:rsidRPr="003C5CBF">
        <w:rPr>
          <w:rStyle w:val="FootnoteReference"/>
          <w:rFonts w:asciiTheme="majorHAnsi" w:hAnsiTheme="majorHAnsi" w:cstheme="majorHAnsi"/>
          <w:sz w:val="18"/>
          <w:szCs w:val="18"/>
        </w:rPr>
        <w:footnoteRef/>
      </w:r>
      <w:r w:rsidRPr="003C5CBF">
        <w:rPr>
          <w:rFonts w:asciiTheme="majorHAnsi" w:hAnsiTheme="majorHAnsi" w:cstheme="majorHAnsi"/>
          <w:sz w:val="18"/>
          <w:szCs w:val="18"/>
        </w:rPr>
        <w:t xml:space="preserve"> R. T. Prichard. </w:t>
      </w:r>
      <w:r w:rsidRPr="003C5CBF">
        <w:rPr>
          <w:rFonts w:asciiTheme="majorHAnsi" w:hAnsiTheme="majorHAnsi" w:cstheme="majorHAnsi"/>
          <w:i/>
          <w:iCs/>
          <w:sz w:val="18"/>
          <w:szCs w:val="18"/>
        </w:rPr>
        <w:t>The History of Alexander</w:t>
      </w:r>
      <w:r w:rsidR="00D25ECA" w:rsidRPr="003C5CBF">
        <w:rPr>
          <w:rFonts w:asciiTheme="majorHAnsi" w:hAnsiTheme="majorHAnsi" w:cstheme="majorHAnsi"/>
          <w:i/>
          <w:iCs/>
          <w:sz w:val="18"/>
          <w:szCs w:val="18"/>
        </w:rPr>
        <w:t>’</w:t>
      </w:r>
      <w:r w:rsidRPr="003C5CBF">
        <w:rPr>
          <w:rFonts w:asciiTheme="majorHAnsi" w:hAnsiTheme="majorHAnsi" w:cstheme="majorHAnsi"/>
          <w:i/>
          <w:iCs/>
          <w:sz w:val="18"/>
          <w:szCs w:val="18"/>
        </w:rPr>
        <w:t>s Battles: Historia de Preliis</w:t>
      </w:r>
      <w:r w:rsidR="00D25ECA" w:rsidRPr="003C5CBF">
        <w:rPr>
          <w:rFonts w:asciiTheme="majorHAnsi" w:hAnsiTheme="majorHAnsi" w:cstheme="majorHAnsi"/>
          <w:i/>
          <w:iCs/>
          <w:sz w:val="18"/>
          <w:szCs w:val="18"/>
        </w:rPr>
        <w:t>,</w:t>
      </w:r>
      <w:r w:rsidRPr="003C5CBF">
        <w:rPr>
          <w:rFonts w:asciiTheme="majorHAnsi" w:hAnsiTheme="majorHAnsi" w:cstheme="majorHAnsi"/>
          <w:i/>
          <w:iCs/>
          <w:sz w:val="18"/>
          <w:szCs w:val="18"/>
        </w:rPr>
        <w:t xml:space="preserve"> </w:t>
      </w:r>
      <w:r w:rsidR="00D25ECA" w:rsidRPr="003C5CBF">
        <w:rPr>
          <w:rFonts w:asciiTheme="majorHAnsi" w:hAnsiTheme="majorHAnsi" w:cstheme="majorHAnsi"/>
          <w:i/>
          <w:iCs/>
          <w:sz w:val="18"/>
          <w:szCs w:val="18"/>
        </w:rPr>
        <w:t>t</w:t>
      </w:r>
      <w:r w:rsidRPr="003C5CBF">
        <w:rPr>
          <w:rFonts w:asciiTheme="majorHAnsi" w:hAnsiTheme="majorHAnsi" w:cstheme="majorHAnsi"/>
          <w:i/>
          <w:iCs/>
          <w:sz w:val="18"/>
          <w:szCs w:val="18"/>
        </w:rPr>
        <w:t>he J1 Version</w:t>
      </w:r>
      <w:r w:rsidR="00D25ECA" w:rsidRPr="003C5CBF">
        <w:rPr>
          <w:rFonts w:asciiTheme="majorHAnsi" w:hAnsiTheme="majorHAnsi" w:cstheme="majorHAnsi"/>
          <w:sz w:val="18"/>
          <w:szCs w:val="18"/>
        </w:rPr>
        <w:t>. (Toronto: Pontifical Institute of Medieval Studies) p.77-79</w:t>
      </w:r>
    </w:p>
  </w:footnote>
  <w:footnote w:id="11">
    <w:p w14:paraId="7B64D128" w14:textId="03E6AE6D" w:rsidR="00CA7D26" w:rsidRPr="000B730F" w:rsidRDefault="00CA7D26">
      <w:pPr>
        <w:pStyle w:val="FootnoteText"/>
        <w:rPr>
          <w:rFonts w:asciiTheme="majorHAnsi" w:hAnsiTheme="majorHAnsi" w:cstheme="majorHAnsi"/>
          <w:sz w:val="18"/>
          <w:szCs w:val="18"/>
        </w:rPr>
      </w:pPr>
      <w:r w:rsidRPr="003C5CBF">
        <w:rPr>
          <w:rStyle w:val="FootnoteReference"/>
          <w:rFonts w:asciiTheme="majorHAnsi" w:hAnsiTheme="majorHAnsi" w:cstheme="majorHAnsi"/>
          <w:sz w:val="18"/>
          <w:szCs w:val="18"/>
        </w:rPr>
        <w:footnoteRef/>
      </w:r>
      <w:r w:rsidRPr="003C5CBF">
        <w:rPr>
          <w:rFonts w:asciiTheme="majorHAnsi" w:hAnsiTheme="majorHAnsi" w:cstheme="majorHAnsi"/>
          <w:sz w:val="18"/>
          <w:szCs w:val="18"/>
        </w:rPr>
        <w:t xml:space="preserve"> </w:t>
      </w:r>
      <w:r w:rsidR="00537D87" w:rsidRPr="003C5CBF">
        <w:rPr>
          <w:rFonts w:asciiTheme="majorHAnsi" w:hAnsiTheme="majorHAnsi" w:cstheme="majorHAnsi"/>
          <w:sz w:val="18"/>
          <w:szCs w:val="18"/>
        </w:rPr>
        <w:t>Diodorus Siculus</w:t>
      </w:r>
      <w:r w:rsidR="000B730F" w:rsidRPr="003C5CBF">
        <w:rPr>
          <w:rFonts w:asciiTheme="majorHAnsi" w:hAnsiTheme="majorHAnsi" w:cstheme="majorHAnsi"/>
          <w:sz w:val="18"/>
          <w:szCs w:val="18"/>
        </w:rPr>
        <w:t xml:space="preserve"> </w:t>
      </w:r>
      <w:r w:rsidR="00537D87" w:rsidRPr="003C5CBF">
        <w:rPr>
          <w:rFonts w:asciiTheme="majorHAnsi" w:hAnsiTheme="majorHAnsi" w:cstheme="majorHAnsi"/>
          <w:sz w:val="18"/>
          <w:szCs w:val="18"/>
        </w:rPr>
        <w:t>&amp; Charles Henry Oldfather. ‘</w:t>
      </w:r>
      <w:r w:rsidR="00537D87" w:rsidRPr="003C5CBF">
        <w:rPr>
          <w:rFonts w:asciiTheme="majorHAnsi" w:hAnsiTheme="majorHAnsi" w:cstheme="majorHAnsi"/>
          <w:i/>
          <w:iCs/>
          <w:sz w:val="18"/>
          <w:szCs w:val="18"/>
        </w:rPr>
        <w:t>The Library of History</w:t>
      </w:r>
      <w:r w:rsidR="00537D87" w:rsidRPr="003C5CBF">
        <w:rPr>
          <w:rFonts w:asciiTheme="majorHAnsi" w:hAnsiTheme="majorHAnsi" w:cstheme="majorHAnsi"/>
          <w:sz w:val="18"/>
          <w:szCs w:val="18"/>
        </w:rPr>
        <w:t>’</w:t>
      </w:r>
      <w:r w:rsidR="000B730F" w:rsidRPr="003C5CBF">
        <w:rPr>
          <w:rFonts w:asciiTheme="majorHAnsi" w:hAnsiTheme="majorHAnsi" w:cstheme="majorHAnsi"/>
          <w:sz w:val="18"/>
          <w:szCs w:val="18"/>
        </w:rPr>
        <w:t xml:space="preserve"> (2017)</w:t>
      </w:r>
      <w:r w:rsidR="00537D87" w:rsidRPr="003C5CBF">
        <w:rPr>
          <w:rFonts w:asciiTheme="majorHAnsi" w:hAnsiTheme="majorHAnsi" w:cstheme="majorHAnsi"/>
          <w:sz w:val="18"/>
          <w:szCs w:val="18"/>
        </w:rPr>
        <w:t xml:space="preserve"> </w:t>
      </w:r>
      <w:r w:rsidR="000B730F" w:rsidRPr="003C5CBF">
        <w:rPr>
          <w:rFonts w:asciiTheme="majorHAnsi" w:hAnsiTheme="majorHAnsi" w:cstheme="majorHAnsi"/>
          <w:sz w:val="18"/>
          <w:szCs w:val="18"/>
        </w:rPr>
        <w:t>&lt;</w:t>
      </w:r>
      <w:hyperlink r:id="rId1" w:anchor="77" w:history="1">
        <w:r w:rsidR="000B730F" w:rsidRPr="003C5CBF">
          <w:rPr>
            <w:rStyle w:val="Hyperlink"/>
            <w:rFonts w:asciiTheme="majorHAnsi" w:hAnsiTheme="majorHAnsi" w:cstheme="majorHAnsi"/>
            <w:sz w:val="18"/>
            <w:szCs w:val="18"/>
          </w:rPr>
          <w:t>http://penelope.uchicago.edu/Thayer/E/Roman/Texts/Diodorus_Siculus/17D*.html#77</w:t>
        </w:r>
      </w:hyperlink>
      <w:r w:rsidR="000B730F" w:rsidRPr="003C5CBF">
        <w:rPr>
          <w:rFonts w:asciiTheme="majorHAnsi" w:hAnsiTheme="majorHAnsi" w:cstheme="majorHAnsi"/>
          <w:sz w:val="18"/>
          <w:szCs w:val="18"/>
        </w:rPr>
        <w:t>&gt; [Accessed 12/01/2020]</w:t>
      </w:r>
    </w:p>
  </w:footnote>
  <w:footnote w:id="12">
    <w:p w14:paraId="153F823E" w14:textId="17ED2C14" w:rsidR="00363A7E" w:rsidRPr="001A1BD1" w:rsidRDefault="00363A7E">
      <w:pPr>
        <w:pStyle w:val="FootnoteText"/>
        <w:rPr>
          <w:rFonts w:asciiTheme="majorHAnsi" w:hAnsiTheme="majorHAnsi" w:cstheme="majorHAnsi"/>
          <w:sz w:val="18"/>
          <w:szCs w:val="18"/>
        </w:rPr>
      </w:pPr>
      <w:r w:rsidRPr="000B730F">
        <w:rPr>
          <w:rStyle w:val="FootnoteReference"/>
          <w:rFonts w:asciiTheme="majorHAnsi" w:hAnsiTheme="majorHAnsi" w:cstheme="majorHAnsi"/>
          <w:sz w:val="18"/>
          <w:szCs w:val="18"/>
        </w:rPr>
        <w:footnoteRef/>
      </w:r>
      <w:r w:rsidRPr="000B730F">
        <w:rPr>
          <w:rFonts w:asciiTheme="majorHAnsi" w:hAnsiTheme="majorHAnsi" w:cstheme="majorHAnsi"/>
          <w:sz w:val="18"/>
          <w:szCs w:val="18"/>
        </w:rPr>
        <w:t xml:space="preserve"> </w:t>
      </w:r>
      <w:r w:rsidRPr="000B730F">
        <w:rPr>
          <w:rFonts w:asciiTheme="majorHAnsi" w:hAnsiTheme="majorHAnsi" w:cstheme="majorHAnsi"/>
          <w:sz w:val="18"/>
          <w:szCs w:val="18"/>
          <w:shd w:val="clear" w:color="auto" w:fill="FFFFFF"/>
        </w:rPr>
        <w:t>Charles Russell Stone.</w:t>
      </w:r>
      <w:r w:rsidRPr="001A1BD1">
        <w:rPr>
          <w:rFonts w:asciiTheme="majorHAnsi" w:hAnsiTheme="majorHAnsi" w:cstheme="majorHAnsi"/>
          <w:sz w:val="18"/>
          <w:szCs w:val="18"/>
          <w:shd w:val="clear" w:color="auto" w:fill="FFFFFF"/>
        </w:rPr>
        <w:t xml:space="preserve"> "</w:t>
      </w:r>
      <w:r w:rsidRPr="001A1BD1">
        <w:rPr>
          <w:rFonts w:asciiTheme="majorHAnsi" w:hAnsiTheme="majorHAnsi" w:cstheme="majorHAnsi"/>
          <w:sz w:val="18"/>
          <w:szCs w:val="18"/>
        </w:rPr>
        <w:t xml:space="preserve"> Proud Kings, Polyglot Scribes, and the I3 Historia de preliis: The Origins of Latin Alexander Romance in Norman and Staufen Italy” </w:t>
      </w:r>
      <w:r w:rsidRPr="001A1BD1">
        <w:rPr>
          <w:rFonts w:asciiTheme="majorHAnsi" w:hAnsiTheme="majorHAnsi" w:cstheme="majorHAnsi"/>
          <w:i/>
          <w:iCs/>
          <w:sz w:val="18"/>
          <w:szCs w:val="18"/>
          <w:shd w:val="clear" w:color="auto" w:fill="FFFFFF"/>
        </w:rPr>
        <w:t>Speculum</w:t>
      </w:r>
      <w:r w:rsidRPr="001A1BD1">
        <w:rPr>
          <w:rFonts w:asciiTheme="majorHAnsi" w:hAnsiTheme="majorHAnsi" w:cstheme="majorHAnsi"/>
          <w:sz w:val="18"/>
          <w:szCs w:val="18"/>
          <w:shd w:val="clear" w:color="auto" w:fill="FFFFFF"/>
        </w:rPr>
        <w:t xml:space="preserve"> 91.3 (2016): </w:t>
      </w:r>
      <w:r w:rsidR="00D25ECA" w:rsidRPr="001A1BD1">
        <w:rPr>
          <w:rFonts w:asciiTheme="majorHAnsi" w:hAnsiTheme="majorHAnsi" w:cstheme="majorHAnsi"/>
          <w:sz w:val="18"/>
          <w:szCs w:val="18"/>
          <w:shd w:val="clear" w:color="auto" w:fill="FFFFFF"/>
        </w:rPr>
        <w:t>p.</w:t>
      </w:r>
      <w:r w:rsidRPr="001A1BD1">
        <w:rPr>
          <w:rFonts w:asciiTheme="majorHAnsi" w:hAnsiTheme="majorHAnsi" w:cstheme="majorHAnsi"/>
          <w:sz w:val="18"/>
          <w:szCs w:val="18"/>
          <w:shd w:val="clear" w:color="auto" w:fill="FFFFFF"/>
        </w:rPr>
        <w:t>725-26</w:t>
      </w:r>
    </w:p>
  </w:footnote>
  <w:footnote w:id="13">
    <w:p w14:paraId="6787E7CD" w14:textId="7E271C39" w:rsidR="00ED58FD" w:rsidRPr="00493CC0" w:rsidRDefault="00ED58FD">
      <w:pPr>
        <w:pStyle w:val="FootnoteText"/>
        <w:rPr>
          <w:rFonts w:asciiTheme="majorHAnsi" w:hAnsiTheme="majorHAnsi" w:cstheme="majorHAnsi"/>
          <w:sz w:val="18"/>
          <w:szCs w:val="18"/>
        </w:rPr>
      </w:pPr>
      <w:r w:rsidRPr="001A1BD1">
        <w:rPr>
          <w:rStyle w:val="FootnoteReference"/>
          <w:rFonts w:asciiTheme="majorHAnsi" w:hAnsiTheme="majorHAnsi" w:cstheme="majorHAnsi"/>
          <w:sz w:val="18"/>
          <w:szCs w:val="18"/>
        </w:rPr>
        <w:footnoteRef/>
      </w:r>
      <w:r w:rsidRPr="001A1BD1">
        <w:rPr>
          <w:rFonts w:asciiTheme="majorHAnsi" w:hAnsiTheme="majorHAnsi" w:cstheme="majorHAnsi"/>
          <w:sz w:val="18"/>
          <w:szCs w:val="18"/>
        </w:rPr>
        <w:t xml:space="preserve"> </w:t>
      </w:r>
      <w:r w:rsidR="002D09CA" w:rsidRPr="001A1BD1">
        <w:rPr>
          <w:rFonts w:asciiTheme="majorHAnsi" w:hAnsiTheme="majorHAnsi" w:cstheme="majorHAnsi"/>
          <w:sz w:val="18"/>
          <w:szCs w:val="18"/>
          <w:shd w:val="clear" w:color="auto" w:fill="FFFFFF"/>
        </w:rPr>
        <w:t xml:space="preserve">Janet </w:t>
      </w:r>
      <w:r w:rsidR="002D09CA" w:rsidRPr="00493CC0">
        <w:rPr>
          <w:rFonts w:asciiTheme="majorHAnsi" w:hAnsiTheme="majorHAnsi" w:cstheme="majorHAnsi"/>
          <w:sz w:val="18"/>
          <w:szCs w:val="18"/>
          <w:shd w:val="clear" w:color="auto" w:fill="FFFFFF"/>
        </w:rPr>
        <w:t>D. Chaplin. "Conversations in History: Arrian and Herodotus, Parmenio and Alexander." </w:t>
      </w:r>
      <w:r w:rsidR="002D09CA" w:rsidRPr="00493CC0">
        <w:rPr>
          <w:rFonts w:asciiTheme="majorHAnsi" w:hAnsiTheme="majorHAnsi" w:cstheme="majorHAnsi"/>
          <w:i/>
          <w:iCs/>
          <w:sz w:val="18"/>
          <w:szCs w:val="18"/>
          <w:shd w:val="clear" w:color="auto" w:fill="FFFFFF"/>
        </w:rPr>
        <w:t>Greek, Roman, and Byzantine Studies</w:t>
      </w:r>
      <w:r w:rsidR="002D09CA" w:rsidRPr="00493CC0">
        <w:rPr>
          <w:rFonts w:asciiTheme="majorHAnsi" w:hAnsiTheme="majorHAnsi" w:cstheme="majorHAnsi"/>
          <w:sz w:val="18"/>
          <w:szCs w:val="18"/>
          <w:shd w:val="clear" w:color="auto" w:fill="FFFFFF"/>
        </w:rPr>
        <w:t xml:space="preserve"> 51.4 (2011): </w:t>
      </w:r>
      <w:r w:rsidR="00D25ECA" w:rsidRPr="00493CC0">
        <w:rPr>
          <w:rFonts w:asciiTheme="majorHAnsi" w:hAnsiTheme="majorHAnsi" w:cstheme="majorHAnsi"/>
          <w:sz w:val="18"/>
          <w:szCs w:val="18"/>
          <w:shd w:val="clear" w:color="auto" w:fill="FFFFFF"/>
        </w:rPr>
        <w:t>p.</w:t>
      </w:r>
      <w:r w:rsidR="002D09CA" w:rsidRPr="00493CC0">
        <w:rPr>
          <w:rFonts w:asciiTheme="majorHAnsi" w:hAnsiTheme="majorHAnsi" w:cstheme="majorHAnsi"/>
          <w:sz w:val="18"/>
          <w:szCs w:val="18"/>
          <w:shd w:val="clear" w:color="auto" w:fill="FFFFFF"/>
        </w:rPr>
        <w:t>616</w:t>
      </w:r>
    </w:p>
  </w:footnote>
  <w:footnote w:id="14">
    <w:p w14:paraId="4A2E7638" w14:textId="22D5ECA6" w:rsidR="00327974" w:rsidRPr="00493CC0" w:rsidRDefault="00327974" w:rsidP="00AC4DE5">
      <w:pPr>
        <w:pStyle w:val="NoSpacing"/>
        <w:ind w:left="720" w:hanging="720"/>
        <w:rPr>
          <w:rFonts w:asciiTheme="majorHAnsi" w:hAnsiTheme="majorHAnsi" w:cstheme="majorHAnsi"/>
          <w:sz w:val="18"/>
          <w:szCs w:val="18"/>
        </w:rPr>
      </w:pPr>
      <w:r w:rsidRPr="00493CC0">
        <w:rPr>
          <w:rStyle w:val="FootnoteReference"/>
          <w:rFonts w:asciiTheme="majorHAnsi" w:hAnsiTheme="majorHAnsi" w:cstheme="majorHAnsi"/>
          <w:sz w:val="18"/>
          <w:szCs w:val="18"/>
        </w:rPr>
        <w:footnoteRef/>
      </w:r>
      <w:r w:rsidRPr="00493CC0">
        <w:rPr>
          <w:rFonts w:asciiTheme="majorHAnsi" w:hAnsiTheme="majorHAnsi" w:cstheme="majorHAnsi"/>
          <w:sz w:val="18"/>
          <w:szCs w:val="18"/>
        </w:rPr>
        <w:t xml:space="preserve"> </w:t>
      </w:r>
      <w:r w:rsidR="0095235D" w:rsidRPr="00493CC0">
        <w:rPr>
          <w:rFonts w:asciiTheme="majorHAnsi" w:hAnsiTheme="majorHAnsi" w:cstheme="majorHAnsi"/>
          <w:sz w:val="18"/>
          <w:szCs w:val="18"/>
        </w:rPr>
        <w:t xml:space="preserve">Arrian &amp; </w:t>
      </w:r>
      <w:r w:rsidR="00AC4DE5" w:rsidRPr="00493CC0">
        <w:rPr>
          <w:rFonts w:asciiTheme="majorHAnsi" w:hAnsiTheme="majorHAnsi" w:cstheme="majorHAnsi"/>
          <w:sz w:val="18"/>
          <w:szCs w:val="18"/>
        </w:rPr>
        <w:t xml:space="preserve">E. J. Chinnock. </w:t>
      </w:r>
      <w:r w:rsidR="00AC4DE5" w:rsidRPr="00493CC0">
        <w:rPr>
          <w:rFonts w:asciiTheme="majorHAnsi" w:hAnsiTheme="majorHAnsi" w:cstheme="majorHAnsi"/>
          <w:i/>
          <w:iCs/>
          <w:sz w:val="18"/>
          <w:szCs w:val="18"/>
        </w:rPr>
        <w:t>The Anabasis of Alexander the Great</w:t>
      </w:r>
      <w:r w:rsidR="00AC4DE5" w:rsidRPr="00493CC0">
        <w:rPr>
          <w:rFonts w:asciiTheme="majorHAnsi" w:hAnsiTheme="majorHAnsi" w:cstheme="majorHAnsi"/>
          <w:sz w:val="18"/>
          <w:szCs w:val="18"/>
        </w:rPr>
        <w:t xml:space="preserve"> (London; Butler &amp; Tanner, 1884) p.394</w:t>
      </w:r>
    </w:p>
  </w:footnote>
  <w:footnote w:id="15">
    <w:p w14:paraId="60CF5DC0" w14:textId="6912BF69" w:rsidR="00F52979" w:rsidRPr="00493CC0" w:rsidRDefault="00F52979">
      <w:pPr>
        <w:pStyle w:val="FootnoteText"/>
        <w:rPr>
          <w:rFonts w:asciiTheme="majorHAnsi" w:hAnsiTheme="majorHAnsi" w:cstheme="majorHAnsi"/>
          <w:sz w:val="18"/>
          <w:szCs w:val="18"/>
        </w:rPr>
      </w:pPr>
      <w:r w:rsidRPr="00493CC0">
        <w:rPr>
          <w:rStyle w:val="FootnoteReference"/>
          <w:rFonts w:asciiTheme="majorHAnsi" w:hAnsiTheme="majorHAnsi" w:cstheme="majorHAnsi"/>
          <w:sz w:val="18"/>
          <w:szCs w:val="18"/>
        </w:rPr>
        <w:footnoteRef/>
      </w:r>
      <w:r w:rsidRPr="00493CC0">
        <w:rPr>
          <w:rFonts w:asciiTheme="majorHAnsi" w:hAnsiTheme="majorHAnsi" w:cstheme="majorHAnsi"/>
          <w:sz w:val="18"/>
          <w:szCs w:val="18"/>
        </w:rPr>
        <w:t xml:space="preserve"> Arrian (7.13.2-6)</w:t>
      </w:r>
    </w:p>
  </w:footnote>
  <w:footnote w:id="16">
    <w:p w14:paraId="639FE829" w14:textId="77777777" w:rsidR="00077E87" w:rsidRPr="00493CC0" w:rsidRDefault="00077E87" w:rsidP="00077E87">
      <w:pPr>
        <w:pStyle w:val="FootnoteText"/>
        <w:rPr>
          <w:rFonts w:asciiTheme="majorHAnsi" w:hAnsiTheme="majorHAnsi" w:cstheme="majorHAnsi"/>
          <w:sz w:val="18"/>
          <w:szCs w:val="18"/>
        </w:rPr>
      </w:pPr>
      <w:r w:rsidRPr="00493CC0">
        <w:rPr>
          <w:rStyle w:val="FootnoteReference"/>
          <w:rFonts w:asciiTheme="majorHAnsi" w:hAnsiTheme="majorHAnsi" w:cstheme="majorHAnsi"/>
          <w:sz w:val="18"/>
          <w:szCs w:val="18"/>
        </w:rPr>
        <w:footnoteRef/>
      </w:r>
      <w:r w:rsidRPr="00493CC0">
        <w:rPr>
          <w:rFonts w:asciiTheme="majorHAnsi" w:hAnsiTheme="majorHAnsi" w:cstheme="majorHAnsi"/>
          <w:sz w:val="18"/>
          <w:szCs w:val="18"/>
        </w:rPr>
        <w:t xml:space="preserve"> </w:t>
      </w:r>
      <w:r w:rsidRPr="00493CC0">
        <w:rPr>
          <w:rFonts w:asciiTheme="majorHAnsi" w:hAnsiTheme="majorHAnsi" w:cstheme="majorHAnsi"/>
          <w:sz w:val="18"/>
          <w:szCs w:val="18"/>
          <w:shd w:val="clear" w:color="auto" w:fill="FFFFFF"/>
        </w:rPr>
        <w:t>Chaplin. p.614</w:t>
      </w:r>
    </w:p>
  </w:footnote>
  <w:footnote w:id="17">
    <w:p w14:paraId="7C5931C9" w14:textId="20EB2FF2" w:rsidR="00FB52CE" w:rsidRPr="00493CC0" w:rsidRDefault="00FB52CE">
      <w:pPr>
        <w:pStyle w:val="FootnoteText"/>
        <w:rPr>
          <w:rFonts w:asciiTheme="majorHAnsi" w:hAnsiTheme="majorHAnsi" w:cstheme="majorHAnsi"/>
          <w:sz w:val="18"/>
          <w:szCs w:val="18"/>
        </w:rPr>
      </w:pPr>
      <w:r w:rsidRPr="00493CC0">
        <w:rPr>
          <w:rStyle w:val="FootnoteReference"/>
          <w:rFonts w:asciiTheme="majorHAnsi" w:hAnsiTheme="majorHAnsi" w:cstheme="majorHAnsi"/>
          <w:sz w:val="18"/>
          <w:szCs w:val="18"/>
        </w:rPr>
        <w:footnoteRef/>
      </w:r>
      <w:r w:rsidRPr="00493CC0">
        <w:rPr>
          <w:rFonts w:asciiTheme="majorHAnsi" w:hAnsiTheme="majorHAnsi" w:cstheme="majorHAnsi"/>
          <w:sz w:val="18"/>
          <w:szCs w:val="18"/>
        </w:rPr>
        <w:t xml:space="preserve"> </w:t>
      </w:r>
      <w:r w:rsidR="00ED58FD" w:rsidRPr="00493CC0">
        <w:rPr>
          <w:rFonts w:asciiTheme="majorHAnsi" w:hAnsiTheme="majorHAnsi" w:cstheme="majorHAnsi"/>
          <w:sz w:val="18"/>
          <w:szCs w:val="18"/>
        </w:rPr>
        <w:t>Arrian (1.12.1-5)</w:t>
      </w:r>
    </w:p>
  </w:footnote>
  <w:footnote w:id="18">
    <w:p w14:paraId="376BB856" w14:textId="295BDEE6" w:rsidR="00493CC0" w:rsidRDefault="00493CC0">
      <w:pPr>
        <w:pStyle w:val="FootnoteText"/>
      </w:pPr>
      <w:r w:rsidRPr="00493CC0">
        <w:rPr>
          <w:rStyle w:val="FootnoteReference"/>
          <w:rFonts w:asciiTheme="majorHAnsi" w:hAnsiTheme="majorHAnsi" w:cstheme="majorHAnsi"/>
          <w:sz w:val="18"/>
          <w:szCs w:val="18"/>
        </w:rPr>
        <w:footnoteRef/>
      </w:r>
      <w:r w:rsidRPr="00493CC0">
        <w:rPr>
          <w:rFonts w:asciiTheme="majorHAnsi" w:hAnsiTheme="majorHAnsi" w:cstheme="majorHAnsi"/>
          <w:sz w:val="18"/>
          <w:szCs w:val="18"/>
        </w:rPr>
        <w:t xml:space="preserve"> Baynham. p.116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36A528" w14:textId="6B8E7829" w:rsidR="00E96545" w:rsidRDefault="00E96545">
    <w:pPr>
      <w:pStyle w:val="Header"/>
    </w:pPr>
    <w:r>
      <w:t>HPAH6058</w:t>
    </w:r>
    <w:r>
      <w:ptab w:relativeTo="margin" w:alignment="center" w:leader="none"/>
    </w:r>
    <w:r>
      <w:t>Melantha Snow</w:t>
    </w:r>
    <w:r>
      <w:ptab w:relativeTo="margin" w:alignment="right" w:leader="none"/>
    </w:r>
    <w:r>
      <w:t>1601759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545"/>
    <w:rsid w:val="00077E87"/>
    <w:rsid w:val="000A2A1A"/>
    <w:rsid w:val="000B730F"/>
    <w:rsid w:val="000E0052"/>
    <w:rsid w:val="00156083"/>
    <w:rsid w:val="001A1BD1"/>
    <w:rsid w:val="002D09CA"/>
    <w:rsid w:val="00327974"/>
    <w:rsid w:val="00334F45"/>
    <w:rsid w:val="00363A7E"/>
    <w:rsid w:val="00390743"/>
    <w:rsid w:val="003C5CBF"/>
    <w:rsid w:val="00441595"/>
    <w:rsid w:val="004656C1"/>
    <w:rsid w:val="004810B7"/>
    <w:rsid w:val="00493CC0"/>
    <w:rsid w:val="00537D87"/>
    <w:rsid w:val="005C1E35"/>
    <w:rsid w:val="0068294E"/>
    <w:rsid w:val="006A54D3"/>
    <w:rsid w:val="00761B83"/>
    <w:rsid w:val="007B2750"/>
    <w:rsid w:val="007B7EB5"/>
    <w:rsid w:val="00803CCB"/>
    <w:rsid w:val="00806C9B"/>
    <w:rsid w:val="0095235D"/>
    <w:rsid w:val="00AC4DE5"/>
    <w:rsid w:val="00AF2A1A"/>
    <w:rsid w:val="00B12139"/>
    <w:rsid w:val="00B12638"/>
    <w:rsid w:val="00BA0DA9"/>
    <w:rsid w:val="00BE656D"/>
    <w:rsid w:val="00BE6E60"/>
    <w:rsid w:val="00C363D3"/>
    <w:rsid w:val="00CA7D26"/>
    <w:rsid w:val="00CF6FBF"/>
    <w:rsid w:val="00D25ECA"/>
    <w:rsid w:val="00D333D4"/>
    <w:rsid w:val="00E96545"/>
    <w:rsid w:val="00ED58FD"/>
    <w:rsid w:val="00EF2F8D"/>
    <w:rsid w:val="00EF419D"/>
    <w:rsid w:val="00F52979"/>
    <w:rsid w:val="00F96452"/>
    <w:rsid w:val="00FB5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69EFC"/>
  <w15:chartTrackingRefBased/>
  <w15:docId w15:val="{F6D38C46-E39E-44FA-8E40-3CE1A0528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545"/>
    <w:pPr>
      <w:spacing w:after="160" w:line="259" w:lineRule="auto"/>
    </w:pPr>
  </w:style>
  <w:style w:type="paragraph" w:styleId="Heading1">
    <w:name w:val="heading 1"/>
    <w:basedOn w:val="Normal"/>
    <w:next w:val="Normal"/>
    <w:link w:val="Heading1Char"/>
    <w:uiPriority w:val="9"/>
    <w:qFormat/>
    <w:rsid w:val="00E965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65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5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654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96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545"/>
  </w:style>
  <w:style w:type="paragraph" w:styleId="Footer">
    <w:name w:val="footer"/>
    <w:basedOn w:val="Normal"/>
    <w:link w:val="FooterChar"/>
    <w:uiPriority w:val="99"/>
    <w:unhideWhenUsed/>
    <w:rsid w:val="00E96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545"/>
  </w:style>
  <w:style w:type="paragraph" w:styleId="FootnoteText">
    <w:name w:val="footnote text"/>
    <w:basedOn w:val="Normal"/>
    <w:link w:val="FootnoteTextChar"/>
    <w:uiPriority w:val="99"/>
    <w:unhideWhenUsed/>
    <w:rsid w:val="00761B83"/>
    <w:pPr>
      <w:spacing w:after="0" w:line="240" w:lineRule="auto"/>
    </w:pPr>
    <w:rPr>
      <w:sz w:val="20"/>
      <w:szCs w:val="20"/>
    </w:rPr>
  </w:style>
  <w:style w:type="character" w:customStyle="1" w:styleId="FootnoteTextChar">
    <w:name w:val="Footnote Text Char"/>
    <w:basedOn w:val="DefaultParagraphFont"/>
    <w:link w:val="FootnoteText"/>
    <w:uiPriority w:val="99"/>
    <w:rsid w:val="00761B83"/>
    <w:rPr>
      <w:sz w:val="20"/>
      <w:szCs w:val="20"/>
    </w:rPr>
  </w:style>
  <w:style w:type="character" w:styleId="FootnoteReference">
    <w:name w:val="footnote reference"/>
    <w:basedOn w:val="DefaultParagraphFont"/>
    <w:uiPriority w:val="99"/>
    <w:semiHidden/>
    <w:unhideWhenUsed/>
    <w:rsid w:val="00761B83"/>
    <w:rPr>
      <w:vertAlign w:val="superscript"/>
    </w:rPr>
  </w:style>
  <w:style w:type="paragraph" w:styleId="NoSpacing">
    <w:name w:val="No Spacing"/>
    <w:uiPriority w:val="1"/>
    <w:qFormat/>
    <w:rsid w:val="00327974"/>
    <w:pPr>
      <w:spacing w:after="0" w:line="240" w:lineRule="auto"/>
    </w:pPr>
  </w:style>
  <w:style w:type="character" w:customStyle="1" w:styleId="instancename">
    <w:name w:val="instancename"/>
    <w:basedOn w:val="DefaultParagraphFont"/>
    <w:rsid w:val="0068294E"/>
  </w:style>
  <w:style w:type="character" w:customStyle="1" w:styleId="accesshide">
    <w:name w:val="accesshide"/>
    <w:basedOn w:val="DefaultParagraphFont"/>
    <w:rsid w:val="0068294E"/>
  </w:style>
  <w:style w:type="character" w:styleId="Hyperlink">
    <w:name w:val="Hyperlink"/>
    <w:basedOn w:val="DefaultParagraphFont"/>
    <w:uiPriority w:val="99"/>
    <w:unhideWhenUsed/>
    <w:rsid w:val="004810B7"/>
    <w:rPr>
      <w:color w:val="0000FF"/>
      <w:u w:val="single"/>
    </w:rPr>
  </w:style>
  <w:style w:type="character" w:styleId="UnresolvedMention">
    <w:name w:val="Unresolved Mention"/>
    <w:basedOn w:val="DefaultParagraphFont"/>
    <w:uiPriority w:val="99"/>
    <w:semiHidden/>
    <w:unhideWhenUsed/>
    <w:rsid w:val="000B73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3419735">
      <w:bodyDiv w:val="1"/>
      <w:marLeft w:val="0"/>
      <w:marRight w:val="0"/>
      <w:marTop w:val="0"/>
      <w:marBottom w:val="0"/>
      <w:divBdr>
        <w:top w:val="none" w:sz="0" w:space="0" w:color="auto"/>
        <w:left w:val="none" w:sz="0" w:space="0" w:color="auto"/>
        <w:bottom w:val="none" w:sz="0" w:space="0" w:color="auto"/>
        <w:right w:val="none" w:sz="0" w:space="0" w:color="auto"/>
      </w:divBdr>
    </w:div>
    <w:div w:id="1694529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penelope.uchicago.edu/Thayer/E/Roman/Texts/Diodorus_Siculus/17D*.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penelope.uchicago.edu/Thayer/E/Roman/Texts/Diodorus_Siculus/17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ECB46-012B-4D04-9BA8-DAD588206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1008</Words>
  <Characters>5752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Melantha Snow</dc:creator>
  <cp:keywords/>
  <dc:description/>
  <cp:lastModifiedBy>Melantha Snow</cp:lastModifiedBy>
  <cp:revision>4</cp:revision>
  <dcterms:created xsi:type="dcterms:W3CDTF">2020-01-13T22:28:00Z</dcterms:created>
  <dcterms:modified xsi:type="dcterms:W3CDTF">2020-01-13T22:29:00Z</dcterms:modified>
</cp:coreProperties>
</file>