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3429A09E"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620AB3">
        <w:rPr>
          <w:rStyle w:val="Strong"/>
          <w:rFonts w:ascii="Arial" w:hAnsi="Arial" w:cs="Arial"/>
          <w:color w:val="1D2125"/>
          <w:sz w:val="32"/>
          <w:szCs w:val="32"/>
        </w:rPr>
        <w:t>: Maria Blachut</w:t>
      </w:r>
      <w:r w:rsidRPr="000264A1">
        <w:rPr>
          <w:rStyle w:val="Strong"/>
          <w:rFonts w:ascii="Arial" w:hAnsi="Arial" w:cs="Arial"/>
          <w:color w:val="1D2125"/>
          <w:sz w:val="32"/>
          <w:szCs w:val="32"/>
        </w:rPr>
        <w:t xml:space="preserve"> </w:t>
      </w:r>
    </w:p>
    <w:p w14:paraId="3F25C99D" w14:textId="6E58DFE0"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620AB3">
        <w:rPr>
          <w:rStyle w:val="Strong"/>
          <w:rFonts w:ascii="Arial" w:hAnsi="Arial" w:cs="Arial"/>
          <w:color w:val="1D2125"/>
          <w:sz w:val="32"/>
          <w:szCs w:val="32"/>
        </w:rPr>
        <w:t>: 2337025</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05424D25" w14:textId="77777777" w:rsidR="00EF06B9" w:rsidRDefault="00EF06B9" w:rsidP="00CF7BDC">
      <w:pPr>
        <w:spacing w:before="100" w:beforeAutospacing="1" w:after="100" w:afterAutospacing="1" w:line="240" w:lineRule="auto"/>
        <w:outlineLvl w:val="2"/>
        <w:rPr>
          <w:rFonts w:ascii="Arial" w:hAnsi="Arial" w:cs="Arial"/>
          <w:sz w:val="36"/>
          <w:szCs w:val="36"/>
        </w:rPr>
      </w:pPr>
    </w:p>
    <w:p w14:paraId="34CB1FA4" w14:textId="5DC90E9C" w:rsidR="00CF7BDC" w:rsidRPr="00EF06B9" w:rsidRDefault="00CF7BDC" w:rsidP="00CF7BDC">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EF06B9">
        <w:rPr>
          <w:rFonts w:ascii="Arial" w:eastAsia="Times New Roman" w:hAnsi="Arial" w:cs="Arial"/>
          <w:b/>
          <w:bCs/>
          <w:kern w:val="0"/>
          <w:sz w:val="28"/>
          <w:szCs w:val="28"/>
          <w:lang w:eastAsia="en-GB"/>
          <w14:ligatures w14:val="none"/>
        </w:rPr>
        <w:lastRenderedPageBreak/>
        <w:t>Classification and Diagnosis of Bulimia Nervosa</w:t>
      </w:r>
    </w:p>
    <w:p w14:paraId="6F89B97B" w14:textId="3484050E" w:rsidR="00CF7BDC" w:rsidRPr="00CF7BDC" w:rsidRDefault="00CF7BDC" w:rsidP="0081495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F7BDC">
        <w:rPr>
          <w:rFonts w:ascii="Arial" w:eastAsia="Times New Roman" w:hAnsi="Arial" w:cs="Arial"/>
          <w:kern w:val="0"/>
          <w:sz w:val="22"/>
          <w:szCs w:val="22"/>
          <w:lang w:eastAsia="en-GB"/>
          <w14:ligatures w14:val="none"/>
        </w:rPr>
        <w:t xml:space="preserve">Bulimia nervosa is classified in the </w:t>
      </w:r>
      <w:r w:rsidRPr="00CF7BDC">
        <w:rPr>
          <w:rFonts w:ascii="Arial" w:eastAsia="Times New Roman" w:hAnsi="Arial" w:cs="Arial"/>
          <w:b/>
          <w:bCs/>
          <w:kern w:val="0"/>
          <w:sz w:val="22"/>
          <w:szCs w:val="22"/>
          <w:lang w:eastAsia="en-GB"/>
          <w14:ligatures w14:val="none"/>
        </w:rPr>
        <w:t>International Classification of Diseases, 11th Revision (ICD-11)</w:t>
      </w:r>
      <w:r w:rsidRPr="00CF7BDC">
        <w:rPr>
          <w:rFonts w:ascii="Arial" w:eastAsia="Times New Roman" w:hAnsi="Arial" w:cs="Arial"/>
          <w:kern w:val="0"/>
          <w:sz w:val="22"/>
          <w:szCs w:val="22"/>
          <w:lang w:eastAsia="en-GB"/>
          <w14:ligatures w14:val="none"/>
        </w:rPr>
        <w:t xml:space="preserve"> as an </w:t>
      </w:r>
      <w:r w:rsidRPr="00230A22">
        <w:rPr>
          <w:rFonts w:ascii="Arial" w:eastAsia="Times New Roman" w:hAnsi="Arial" w:cs="Arial"/>
          <w:kern w:val="0"/>
          <w:sz w:val="22"/>
          <w:szCs w:val="22"/>
          <w:lang w:eastAsia="en-GB"/>
          <w14:ligatures w14:val="none"/>
        </w:rPr>
        <w:t>eating disorder</w:t>
      </w:r>
      <w:r w:rsidRPr="00CF7BDC">
        <w:rPr>
          <w:rFonts w:ascii="Arial" w:eastAsia="Times New Roman" w:hAnsi="Arial" w:cs="Arial"/>
          <w:kern w:val="0"/>
          <w:sz w:val="22"/>
          <w:szCs w:val="22"/>
          <w:lang w:eastAsia="en-GB"/>
          <w14:ligatures w14:val="none"/>
        </w:rPr>
        <w:t xml:space="preserve"> within the broader category of </w:t>
      </w:r>
      <w:r w:rsidRPr="00CF7BDC">
        <w:rPr>
          <w:rFonts w:ascii="Arial" w:eastAsia="Times New Roman" w:hAnsi="Arial" w:cs="Arial"/>
          <w:i/>
          <w:iCs/>
          <w:kern w:val="0"/>
          <w:sz w:val="22"/>
          <w:szCs w:val="22"/>
          <w:lang w:eastAsia="en-GB"/>
          <w14:ligatures w14:val="none"/>
        </w:rPr>
        <w:t>Feeding or eating disorders</w:t>
      </w:r>
      <w:r w:rsidR="00D7438F">
        <w:rPr>
          <w:rFonts w:ascii="Arial" w:eastAsia="Times New Roman" w:hAnsi="Arial" w:cs="Arial"/>
          <w:kern w:val="0"/>
          <w:sz w:val="22"/>
          <w:szCs w:val="22"/>
          <w:lang w:eastAsia="en-GB"/>
          <w14:ligatures w14:val="none"/>
        </w:rPr>
        <w:t xml:space="preserve"> </w:t>
      </w:r>
      <w:r w:rsidR="001E5B25">
        <w:rPr>
          <w:rFonts w:ascii="Arial" w:eastAsia="Times New Roman" w:hAnsi="Arial" w:cs="Arial"/>
          <w:kern w:val="0"/>
          <w:sz w:val="22"/>
          <w:szCs w:val="22"/>
          <w:lang w:eastAsia="en-GB"/>
          <w14:ligatures w14:val="none"/>
        </w:rPr>
        <w:t>(</w:t>
      </w:r>
      <w:r w:rsidR="002919A0">
        <w:rPr>
          <w:rFonts w:ascii="Arial" w:eastAsia="Times New Roman" w:hAnsi="Arial" w:cs="Arial"/>
          <w:kern w:val="0"/>
          <w:sz w:val="22"/>
          <w:szCs w:val="22"/>
          <w:lang w:eastAsia="en-GB"/>
          <w14:ligatures w14:val="none"/>
        </w:rPr>
        <w:t>6B81</w:t>
      </w:r>
      <w:r w:rsidR="001E5B25">
        <w:rPr>
          <w:rFonts w:ascii="Arial" w:eastAsia="Times New Roman" w:hAnsi="Arial" w:cs="Arial"/>
          <w:kern w:val="0"/>
          <w:sz w:val="22"/>
          <w:szCs w:val="22"/>
          <w:lang w:eastAsia="en-GB"/>
          <w14:ligatures w14:val="none"/>
        </w:rPr>
        <w:t>).</w:t>
      </w:r>
      <w:r w:rsidRPr="00CF7BDC">
        <w:rPr>
          <w:rFonts w:ascii="Arial" w:eastAsia="Times New Roman" w:hAnsi="Arial" w:cs="Arial"/>
          <w:kern w:val="0"/>
          <w:sz w:val="22"/>
          <w:szCs w:val="22"/>
          <w:lang w:eastAsia="en-GB"/>
          <w14:ligatures w14:val="none"/>
        </w:rPr>
        <w:t xml:space="preserve"> The World Health Organization (WHO) classifies bulimia nervosa as a mental and behavioural disorder characterised by repeated episodes of binge eating followed by inappropriate compensatory behaviours. These behaviours are intended to prevent weight gain and may include self-induced vomiting, misuse of laxatives or other medications, fasting, or excessive exercise (WH</w:t>
      </w:r>
      <w:r w:rsidR="002565EE">
        <w:rPr>
          <w:rFonts w:ascii="Arial" w:eastAsia="Times New Roman" w:hAnsi="Arial" w:cs="Arial"/>
          <w:kern w:val="0"/>
          <w:sz w:val="22"/>
          <w:szCs w:val="22"/>
          <w:lang w:eastAsia="en-GB"/>
          <w14:ligatures w14:val="none"/>
        </w:rPr>
        <w:t>O</w:t>
      </w:r>
      <w:r w:rsidRPr="00CF7BDC">
        <w:rPr>
          <w:rFonts w:ascii="Arial" w:eastAsia="Times New Roman" w:hAnsi="Arial" w:cs="Arial"/>
          <w:kern w:val="0"/>
          <w:sz w:val="22"/>
          <w:szCs w:val="22"/>
          <w:lang w:eastAsia="en-GB"/>
          <w14:ligatures w14:val="none"/>
        </w:rPr>
        <w:t xml:space="preserve">, 2024). The classification of bulimia nervosa as an eating disorder highlights that the condition involves both psychological and behavioural difficulties related to eating, body weight and body shape. Unlike some other classifications that may use terms such as “illness”, ICD-11 primarily uses the </w:t>
      </w:r>
      <w:r w:rsidRPr="00230A22">
        <w:rPr>
          <w:rFonts w:ascii="Arial" w:eastAsia="Times New Roman" w:hAnsi="Arial" w:cs="Arial"/>
          <w:kern w:val="0"/>
          <w:sz w:val="22"/>
          <w:szCs w:val="22"/>
          <w:lang w:eastAsia="en-GB"/>
          <w14:ligatures w14:val="none"/>
        </w:rPr>
        <w:t>terms “disorder” and “feeding or eating disorder”</w:t>
      </w:r>
      <w:r w:rsidRPr="00CF7BDC">
        <w:rPr>
          <w:rFonts w:ascii="Arial" w:eastAsia="Times New Roman" w:hAnsi="Arial" w:cs="Arial"/>
          <w:kern w:val="0"/>
          <w:sz w:val="22"/>
          <w:szCs w:val="22"/>
          <w:lang w:eastAsia="en-GB"/>
          <w14:ligatures w14:val="none"/>
        </w:rPr>
        <w:t xml:space="preserve"> when describing bulimia nervosa (</w:t>
      </w:r>
      <w:proofErr w:type="spellStart"/>
      <w:r w:rsidRPr="00CF7BDC">
        <w:rPr>
          <w:rFonts w:ascii="Arial" w:eastAsia="Times New Roman" w:hAnsi="Arial" w:cs="Arial"/>
          <w:kern w:val="0"/>
          <w:sz w:val="22"/>
          <w:szCs w:val="22"/>
          <w:lang w:eastAsia="en-GB"/>
          <w14:ligatures w14:val="none"/>
        </w:rPr>
        <w:t>WoHO</w:t>
      </w:r>
      <w:proofErr w:type="spellEnd"/>
      <w:r w:rsidRPr="00CF7BDC">
        <w:rPr>
          <w:rFonts w:ascii="Arial" w:eastAsia="Times New Roman" w:hAnsi="Arial" w:cs="Arial"/>
          <w:kern w:val="0"/>
          <w:sz w:val="22"/>
          <w:szCs w:val="22"/>
          <w:lang w:eastAsia="en-GB"/>
          <w14:ligatures w14:val="none"/>
        </w:rPr>
        <w:t>, 2024; Hay et al., 2012).</w:t>
      </w:r>
    </w:p>
    <w:p w14:paraId="119D9AE6" w14:textId="5FD743D7" w:rsidR="00CF7BDC" w:rsidRPr="00CF7BDC" w:rsidRDefault="00CF7BDC" w:rsidP="0081495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F7BDC">
        <w:rPr>
          <w:rFonts w:ascii="Arial" w:eastAsia="Times New Roman" w:hAnsi="Arial" w:cs="Arial"/>
          <w:kern w:val="0"/>
          <w:sz w:val="22"/>
          <w:szCs w:val="22"/>
          <w:lang w:eastAsia="en-GB"/>
          <w14:ligatures w14:val="none"/>
        </w:rPr>
        <w:t xml:space="preserve">According to ICD-11, the central diagnostic feature of bulimia nervosa is the presence of </w:t>
      </w:r>
      <w:r w:rsidRPr="00230A22">
        <w:rPr>
          <w:rFonts w:ascii="Arial" w:eastAsia="Times New Roman" w:hAnsi="Arial" w:cs="Arial"/>
          <w:kern w:val="0"/>
          <w:sz w:val="22"/>
          <w:szCs w:val="22"/>
          <w:lang w:eastAsia="en-GB"/>
          <w14:ligatures w14:val="none"/>
        </w:rPr>
        <w:t xml:space="preserve">recurrent episodes of binge eating. </w:t>
      </w:r>
      <w:r w:rsidRPr="00CF7BDC">
        <w:rPr>
          <w:rFonts w:ascii="Arial" w:eastAsia="Times New Roman" w:hAnsi="Arial" w:cs="Arial"/>
          <w:kern w:val="0"/>
          <w:sz w:val="22"/>
          <w:szCs w:val="22"/>
          <w:lang w:eastAsia="en-GB"/>
          <w14:ligatures w14:val="none"/>
        </w:rPr>
        <w:t xml:space="preserve">A binge-eating episode involves consuming an unusually large amount of food within a relatively short period while experiencing a sense of loss of control </w:t>
      </w:r>
      <w:r w:rsidR="00CE2DD7" w:rsidRPr="00CF7BDC">
        <w:rPr>
          <w:rFonts w:ascii="Arial" w:eastAsia="Times New Roman" w:hAnsi="Arial" w:cs="Arial"/>
          <w:kern w:val="0"/>
          <w:sz w:val="22"/>
          <w:szCs w:val="22"/>
          <w:lang w:eastAsia="en-GB"/>
          <w14:ligatures w14:val="none"/>
        </w:rPr>
        <w:t>overeating</w:t>
      </w:r>
      <w:r w:rsidR="006D4F54">
        <w:rPr>
          <w:rFonts w:ascii="Arial" w:eastAsia="Times New Roman" w:hAnsi="Arial" w:cs="Arial"/>
          <w:kern w:val="0"/>
          <w:sz w:val="22"/>
          <w:szCs w:val="22"/>
          <w:lang w:eastAsia="en-GB"/>
          <w14:ligatures w14:val="none"/>
        </w:rPr>
        <w:t xml:space="preserve"> (</w:t>
      </w:r>
      <w:r w:rsidR="00692048">
        <w:rPr>
          <w:rFonts w:ascii="Arial" w:eastAsia="Times New Roman" w:hAnsi="Arial" w:cs="Arial"/>
          <w:kern w:val="0"/>
          <w:sz w:val="22"/>
          <w:szCs w:val="22"/>
          <w:lang w:eastAsia="en-GB"/>
          <w14:ligatures w14:val="none"/>
        </w:rPr>
        <w:t>Berner et al., 2020</w:t>
      </w:r>
      <w:r w:rsidR="006D4F54">
        <w:rPr>
          <w:rFonts w:ascii="Arial" w:eastAsia="Times New Roman" w:hAnsi="Arial" w:cs="Arial"/>
          <w:kern w:val="0"/>
          <w:sz w:val="22"/>
          <w:szCs w:val="22"/>
          <w:lang w:eastAsia="en-GB"/>
          <w14:ligatures w14:val="none"/>
        </w:rPr>
        <w:t>)</w:t>
      </w:r>
      <w:r w:rsidR="00CE67FA">
        <w:rPr>
          <w:rFonts w:ascii="Arial" w:eastAsia="Times New Roman" w:hAnsi="Arial" w:cs="Arial"/>
          <w:kern w:val="0"/>
          <w:sz w:val="22"/>
          <w:szCs w:val="22"/>
          <w:lang w:eastAsia="en-GB"/>
          <w14:ligatures w14:val="none"/>
        </w:rPr>
        <w:t>.</w:t>
      </w:r>
      <w:r w:rsidRPr="00CF7BDC">
        <w:rPr>
          <w:rFonts w:ascii="Arial" w:eastAsia="Times New Roman" w:hAnsi="Arial" w:cs="Arial"/>
          <w:kern w:val="0"/>
          <w:sz w:val="22"/>
          <w:szCs w:val="22"/>
          <w:lang w:eastAsia="en-GB"/>
          <w14:ligatures w14:val="none"/>
        </w:rPr>
        <w:t xml:space="preserve"> Following these episodes, the individual repeatedly engages in compensatory behaviours to prevent weight gain. These behaviours can include self-induced vomiting, inappropriate use of laxatives, diuretics or other medications, fasting, or excessive physical activity. The individual also experiences persistent concern about body weight or body shape, with these concerns having a significant influence on self-evaluation (WHO, 2024). Similar diagnostic features are also recognised within the </w:t>
      </w:r>
      <w:r w:rsidRPr="00E26E07">
        <w:rPr>
          <w:rFonts w:ascii="Arial" w:eastAsia="Times New Roman" w:hAnsi="Arial" w:cs="Arial"/>
          <w:kern w:val="0"/>
          <w:sz w:val="22"/>
          <w:szCs w:val="22"/>
          <w:lang w:eastAsia="en-GB"/>
          <w14:ligatures w14:val="none"/>
        </w:rPr>
        <w:t>Diagnostic and Statistical Manual of Mental Disorders,</w:t>
      </w:r>
      <w:r w:rsidRPr="00CF7BDC">
        <w:rPr>
          <w:rFonts w:ascii="Arial" w:eastAsia="Times New Roman" w:hAnsi="Arial" w:cs="Arial"/>
          <w:kern w:val="0"/>
          <w:sz w:val="22"/>
          <w:szCs w:val="22"/>
          <w:lang w:eastAsia="en-GB"/>
          <w14:ligatures w14:val="none"/>
        </w:rPr>
        <w:t xml:space="preserve"> which identifies recurrent binge eating, compensatory behaviours and excessive influence of body shape and weight on self-evaluation as important features of bulimia nervosa (American Psychiatric Association, 2022).</w:t>
      </w:r>
    </w:p>
    <w:p w14:paraId="664C1CBB" w14:textId="11E66F90" w:rsidR="00CF7BDC" w:rsidRPr="00CF7BDC" w:rsidRDefault="00CF7BDC" w:rsidP="0081495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F7BDC">
        <w:rPr>
          <w:rFonts w:ascii="Arial" w:eastAsia="Times New Roman" w:hAnsi="Arial" w:cs="Arial"/>
          <w:kern w:val="0"/>
          <w:sz w:val="22"/>
          <w:szCs w:val="22"/>
          <w:lang w:eastAsia="en-GB"/>
          <w14:ligatures w14:val="none"/>
        </w:rPr>
        <w:t xml:space="preserve">The diagnostic process involves a </w:t>
      </w:r>
      <w:r w:rsidRPr="00230A22">
        <w:rPr>
          <w:rFonts w:ascii="Arial" w:eastAsia="Times New Roman" w:hAnsi="Arial" w:cs="Arial"/>
          <w:kern w:val="0"/>
          <w:sz w:val="22"/>
          <w:szCs w:val="22"/>
          <w:lang w:eastAsia="en-GB"/>
          <w14:ligatures w14:val="none"/>
        </w:rPr>
        <w:t xml:space="preserve">clinical assessment </w:t>
      </w:r>
      <w:r w:rsidRPr="00CF7BDC">
        <w:rPr>
          <w:rFonts w:ascii="Arial" w:eastAsia="Times New Roman" w:hAnsi="Arial" w:cs="Arial"/>
          <w:kern w:val="0"/>
          <w:sz w:val="22"/>
          <w:szCs w:val="22"/>
          <w:lang w:eastAsia="en-GB"/>
          <w14:ligatures w14:val="none"/>
        </w:rPr>
        <w:t>carried out by an appropriately trained healthcare professional. Assessment generally involves discussing the person's eating patterns, episodes of binge eating, compensatory behaviours, concerns about weight and body shape, and the impact of symptoms on everyday life</w:t>
      </w:r>
      <w:r w:rsidR="001E1E1E">
        <w:rPr>
          <w:rFonts w:ascii="Arial" w:eastAsia="Times New Roman" w:hAnsi="Arial" w:cs="Arial"/>
          <w:kern w:val="0"/>
          <w:sz w:val="22"/>
          <w:szCs w:val="22"/>
          <w:lang w:eastAsia="en-GB"/>
          <w14:ligatures w14:val="none"/>
        </w:rPr>
        <w:t xml:space="preserve"> </w:t>
      </w:r>
      <w:r w:rsidR="003D2588" w:rsidRPr="003D2588">
        <w:rPr>
          <w:rFonts w:ascii="Arial" w:eastAsia="Times New Roman" w:hAnsi="Arial" w:cs="Arial"/>
          <w:kern w:val="0"/>
          <w:sz w:val="22"/>
          <w:szCs w:val="22"/>
          <w:lang w:eastAsia="en-GB"/>
          <w14:ligatures w14:val="none"/>
        </w:rPr>
        <w:t>(</w:t>
      </w:r>
      <w:r w:rsidR="00037241" w:rsidRPr="003D2588">
        <w:rPr>
          <w:rFonts w:ascii="Arial" w:eastAsia="Times New Roman" w:hAnsi="Arial" w:cs="Arial"/>
          <w:kern w:val="0"/>
          <w:sz w:val="22"/>
          <w:szCs w:val="22"/>
          <w:lang w:eastAsia="en-GB"/>
          <w14:ligatures w14:val="none"/>
        </w:rPr>
        <w:t>Carter, Aimé &amp; Mills, 2001</w:t>
      </w:r>
      <w:r w:rsidR="001E1E1E" w:rsidRPr="003D2588">
        <w:rPr>
          <w:rFonts w:ascii="Arial" w:eastAsia="Times New Roman" w:hAnsi="Arial" w:cs="Arial"/>
          <w:kern w:val="0"/>
          <w:sz w:val="22"/>
          <w:szCs w:val="22"/>
          <w:lang w:eastAsia="en-GB"/>
          <w14:ligatures w14:val="none"/>
        </w:rPr>
        <w:t>)</w:t>
      </w:r>
      <w:r w:rsidR="00037241" w:rsidRPr="003D2588">
        <w:rPr>
          <w:rFonts w:ascii="Arial" w:eastAsia="Times New Roman" w:hAnsi="Arial" w:cs="Arial"/>
          <w:kern w:val="0"/>
          <w:sz w:val="22"/>
          <w:szCs w:val="22"/>
          <w:lang w:eastAsia="en-GB"/>
          <w14:ligatures w14:val="none"/>
        </w:rPr>
        <w:t>.</w:t>
      </w:r>
      <w:r w:rsidR="003D2588">
        <w:rPr>
          <w:rFonts w:ascii="Arial" w:eastAsia="Times New Roman" w:hAnsi="Arial" w:cs="Arial"/>
          <w:kern w:val="0"/>
          <w:sz w:val="22"/>
          <w:szCs w:val="22"/>
          <w:lang w:eastAsia="en-GB"/>
          <w14:ligatures w14:val="none"/>
        </w:rPr>
        <w:t xml:space="preserve"> </w:t>
      </w:r>
      <w:r w:rsidRPr="00CF7BDC">
        <w:rPr>
          <w:rFonts w:ascii="Arial" w:eastAsia="Times New Roman" w:hAnsi="Arial" w:cs="Arial"/>
          <w:kern w:val="0"/>
          <w:sz w:val="22"/>
          <w:szCs w:val="22"/>
          <w:lang w:eastAsia="en-GB"/>
          <w14:ligatures w14:val="none"/>
        </w:rPr>
        <w:t>Healthcare professionals may also assess physical health because repeated vomiting, fasting, excessive exercise and misuse of medications can result in potentially serious medical complications. A physical examination and relevant investigations may therefore be required to identify complications and assess the person's overall health. In addition, professionals may consider the individual's psychological wellbeing and assess for other mental health difficulties that may occur alongside bulimia nervosa</w:t>
      </w:r>
      <w:r w:rsidRPr="00230A22">
        <w:rPr>
          <w:rFonts w:ascii="Arial" w:eastAsia="Times New Roman" w:hAnsi="Arial" w:cs="Arial"/>
          <w:kern w:val="0"/>
          <w:sz w:val="22"/>
          <w:szCs w:val="22"/>
          <w:lang w:eastAsia="en-GB"/>
          <w14:ligatures w14:val="none"/>
        </w:rPr>
        <w:t>. The National Institute for Health and Care Excellence (NICE)</w:t>
      </w:r>
      <w:r w:rsidRPr="00CF7BDC">
        <w:rPr>
          <w:rFonts w:ascii="Arial" w:eastAsia="Times New Roman" w:hAnsi="Arial" w:cs="Arial"/>
          <w:kern w:val="0"/>
          <w:sz w:val="22"/>
          <w:szCs w:val="22"/>
          <w:lang w:eastAsia="en-GB"/>
          <w14:ligatures w14:val="none"/>
        </w:rPr>
        <w:t xml:space="preserve"> recommends that assessment of suspected eating disorders should </w:t>
      </w:r>
      <w:r w:rsidRPr="00CF7BDC">
        <w:rPr>
          <w:rFonts w:ascii="Arial" w:eastAsia="Times New Roman" w:hAnsi="Arial" w:cs="Arial"/>
          <w:kern w:val="0"/>
          <w:sz w:val="22"/>
          <w:szCs w:val="22"/>
          <w:lang w:eastAsia="en-GB"/>
          <w14:ligatures w14:val="none"/>
        </w:rPr>
        <w:lastRenderedPageBreak/>
        <w:t>consider both physical and mental health, as well as the individual's eating behaviours and psychological symptoms (NICE, 2017). Diagnosis should be based on the overall clinical presentation rather than on body weight alone, as people with bulimia nervosa can have different body sizes.</w:t>
      </w:r>
    </w:p>
    <w:p w14:paraId="10F70E19" w14:textId="5FF4CC3F" w:rsidR="00CF7BDC" w:rsidRPr="00CF7BDC" w:rsidRDefault="00CF7BDC" w:rsidP="0081495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F7BDC">
        <w:rPr>
          <w:rFonts w:ascii="Arial" w:eastAsia="Times New Roman" w:hAnsi="Arial" w:cs="Arial"/>
          <w:kern w:val="0"/>
          <w:sz w:val="22"/>
          <w:szCs w:val="22"/>
          <w:lang w:eastAsia="en-GB"/>
          <w14:ligatures w14:val="none"/>
        </w:rPr>
        <w:t xml:space="preserve">It is also important to distinguish bulimia nervosa from other feeding or eating disorders. For example, </w:t>
      </w:r>
      <w:r w:rsidRPr="00230A22">
        <w:rPr>
          <w:rFonts w:ascii="Arial" w:eastAsia="Times New Roman" w:hAnsi="Arial" w:cs="Arial"/>
          <w:kern w:val="0"/>
          <w:sz w:val="22"/>
          <w:szCs w:val="22"/>
          <w:lang w:eastAsia="en-GB"/>
          <w14:ligatures w14:val="none"/>
        </w:rPr>
        <w:t xml:space="preserve">binge-eating disorder </w:t>
      </w:r>
      <w:r w:rsidRPr="00CF7BDC">
        <w:rPr>
          <w:rFonts w:ascii="Arial" w:eastAsia="Times New Roman" w:hAnsi="Arial" w:cs="Arial"/>
          <w:kern w:val="0"/>
          <w:sz w:val="22"/>
          <w:szCs w:val="22"/>
          <w:lang w:eastAsia="en-GB"/>
          <w14:ligatures w14:val="none"/>
        </w:rPr>
        <w:t xml:space="preserve">involves recurrent binge-eating episodes but does not involve regular inappropriate compensatory behaviours. Other eating disorders may have different patterns of restriction, binge eating, purging or concerns about body weight and shape. Accurate classification is therefore important because it helps healthcare professionals identify the appropriate condition and plan suitable treatment and support. Research into the development of ICD-11 has highlighted the importance of clearly distinguishing different feeding and eating disorders according to their characteristic symptoms and behaviours (Hay et al., 2012). Overall, ICD-11 provides a standardised framework for recognising and diagnosing bulimia nervosa, while clinical assessment allows professionals to consider the individual's symptoms, behaviours, psychological experiences and physical health. This classification also demonstrates that bulimia nervosa is understood as a </w:t>
      </w:r>
      <w:r w:rsidRPr="00230A22">
        <w:rPr>
          <w:rFonts w:ascii="Arial" w:eastAsia="Times New Roman" w:hAnsi="Arial" w:cs="Arial"/>
          <w:kern w:val="0"/>
          <w:sz w:val="22"/>
          <w:szCs w:val="22"/>
          <w:lang w:eastAsia="en-GB"/>
          <w14:ligatures w14:val="none"/>
        </w:rPr>
        <w:t>disorder,</w:t>
      </w:r>
      <w:r w:rsidRPr="00CF7BDC">
        <w:rPr>
          <w:rFonts w:ascii="Arial" w:eastAsia="Times New Roman" w:hAnsi="Arial" w:cs="Arial"/>
          <w:kern w:val="0"/>
          <w:sz w:val="22"/>
          <w:szCs w:val="22"/>
          <w:lang w:eastAsia="en-GB"/>
          <w14:ligatures w14:val="none"/>
        </w:rPr>
        <w:t xml:space="preserve"> rather than simply a lifestyle choice or temporary problem, and requires appropriate assessment and professional intervention (WHO, 2024</w:t>
      </w:r>
      <w:r w:rsidR="00360611">
        <w:rPr>
          <w:rFonts w:ascii="Arial" w:eastAsia="Times New Roman" w:hAnsi="Arial" w:cs="Arial"/>
          <w:kern w:val="0"/>
          <w:sz w:val="22"/>
          <w:szCs w:val="22"/>
          <w:lang w:eastAsia="en-GB"/>
          <w14:ligatures w14:val="none"/>
        </w:rPr>
        <w:t>)</w:t>
      </w:r>
    </w:p>
    <w:p w14:paraId="6C6F9B65" w14:textId="77777777" w:rsidR="00CD515A" w:rsidRPr="00E26E07" w:rsidRDefault="00CD515A" w:rsidP="006C73EF">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E26E07">
        <w:rPr>
          <w:rFonts w:ascii="Arial" w:eastAsia="Times New Roman" w:hAnsi="Arial" w:cs="Arial"/>
          <w:b/>
          <w:bCs/>
          <w:kern w:val="0"/>
          <w:sz w:val="28"/>
          <w:szCs w:val="28"/>
          <w:lang w:eastAsia="en-GB"/>
          <w14:ligatures w14:val="none"/>
        </w:rPr>
        <w:t>Treatment and Rehabilitation of Bulimia Nervosa</w:t>
      </w:r>
    </w:p>
    <w:p w14:paraId="10A9727F" w14:textId="201C5FE0" w:rsidR="00CD515A" w:rsidRPr="006C73EF" w:rsidRDefault="00CD515A" w:rsidP="0029219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C73EF">
        <w:rPr>
          <w:rFonts w:ascii="Arial" w:eastAsia="Times New Roman" w:hAnsi="Arial" w:cs="Arial"/>
          <w:kern w:val="0"/>
          <w:sz w:val="22"/>
          <w:szCs w:val="22"/>
          <w:lang w:eastAsia="en-GB"/>
          <w14:ligatures w14:val="none"/>
        </w:rPr>
        <w:t>Treatment for bulimia nervosa usually involves a combination of psychological therapy, nutritional support and, where appropriate, medication</w:t>
      </w:r>
      <w:r w:rsidR="00B52B00">
        <w:rPr>
          <w:rFonts w:ascii="Arial" w:eastAsia="Times New Roman" w:hAnsi="Arial" w:cs="Arial"/>
          <w:kern w:val="0"/>
          <w:sz w:val="22"/>
          <w:szCs w:val="22"/>
          <w:lang w:eastAsia="en-GB"/>
          <w14:ligatures w14:val="none"/>
        </w:rPr>
        <w:t xml:space="preserve"> (Gomez et al., 2018)</w:t>
      </w:r>
      <w:r w:rsidR="007814C4">
        <w:rPr>
          <w:rFonts w:ascii="Arial" w:eastAsia="Times New Roman" w:hAnsi="Arial" w:cs="Arial"/>
          <w:kern w:val="0"/>
          <w:sz w:val="22"/>
          <w:szCs w:val="22"/>
          <w:lang w:eastAsia="en-GB"/>
          <w14:ligatures w14:val="none"/>
        </w:rPr>
        <w:t>.</w:t>
      </w:r>
      <w:r w:rsidRPr="006C73EF">
        <w:rPr>
          <w:rFonts w:ascii="Arial" w:eastAsia="Times New Roman" w:hAnsi="Arial" w:cs="Arial"/>
          <w:kern w:val="0"/>
          <w:sz w:val="22"/>
          <w:szCs w:val="22"/>
          <w:lang w:eastAsia="en-GB"/>
          <w14:ligatures w14:val="none"/>
        </w:rPr>
        <w:t xml:space="preserve"> The main recommended psychological treatment for adults is </w:t>
      </w:r>
      <w:r w:rsidRPr="00230A22">
        <w:rPr>
          <w:rFonts w:ascii="Arial" w:eastAsia="Times New Roman" w:hAnsi="Arial" w:cs="Arial"/>
          <w:kern w:val="0"/>
          <w:sz w:val="22"/>
          <w:szCs w:val="22"/>
          <w:lang w:eastAsia="en-GB"/>
          <w14:ligatures w14:val="none"/>
        </w:rPr>
        <w:t xml:space="preserve">cognitive behavioural therapy for eating disorders (CBT-ED). </w:t>
      </w:r>
      <w:r w:rsidRPr="006C73EF">
        <w:rPr>
          <w:rFonts w:ascii="Arial" w:eastAsia="Times New Roman" w:hAnsi="Arial" w:cs="Arial"/>
          <w:kern w:val="0"/>
          <w:sz w:val="22"/>
          <w:szCs w:val="22"/>
          <w:lang w:eastAsia="en-GB"/>
          <w14:ligatures w14:val="none"/>
        </w:rPr>
        <w:t>This approach aims to reduce binge eating and compensatory behaviours by addressing unhelpful thoughts and behaviours related to food, weight and body image (N</w:t>
      </w:r>
      <w:r w:rsidR="00094EC8">
        <w:rPr>
          <w:rFonts w:ascii="Arial" w:eastAsia="Times New Roman" w:hAnsi="Arial" w:cs="Arial"/>
          <w:kern w:val="0"/>
          <w:sz w:val="22"/>
          <w:szCs w:val="22"/>
          <w:lang w:eastAsia="en-GB"/>
          <w14:ligatures w14:val="none"/>
        </w:rPr>
        <w:t>ICE</w:t>
      </w:r>
      <w:r w:rsidRPr="006C73EF">
        <w:rPr>
          <w:rFonts w:ascii="Arial" w:eastAsia="Times New Roman" w:hAnsi="Arial" w:cs="Arial"/>
          <w:kern w:val="0"/>
          <w:sz w:val="22"/>
          <w:szCs w:val="22"/>
          <w:lang w:eastAsia="en-GB"/>
          <w14:ligatures w14:val="none"/>
        </w:rPr>
        <w:t xml:space="preserve">, 2017). Guided self-help may also be offered as an initial treatment, particularly for individuals who are able to engage with structured support. For some people, medication such as </w:t>
      </w:r>
      <w:r w:rsidRPr="00230A22">
        <w:rPr>
          <w:rFonts w:ascii="Arial" w:eastAsia="Times New Roman" w:hAnsi="Arial" w:cs="Arial"/>
          <w:kern w:val="0"/>
          <w:sz w:val="22"/>
          <w:szCs w:val="22"/>
          <w:lang w:eastAsia="en-GB"/>
          <w14:ligatures w14:val="none"/>
        </w:rPr>
        <w:t xml:space="preserve">antidepressants </w:t>
      </w:r>
      <w:r w:rsidRPr="006C73EF">
        <w:rPr>
          <w:rFonts w:ascii="Arial" w:eastAsia="Times New Roman" w:hAnsi="Arial" w:cs="Arial"/>
          <w:kern w:val="0"/>
          <w:sz w:val="22"/>
          <w:szCs w:val="22"/>
          <w:lang w:eastAsia="en-GB"/>
          <w14:ligatures w14:val="none"/>
        </w:rPr>
        <w:t>may be considered alongside psychological treatment, although medication should not normally be used as the only treatment for bulimia nervosa (N</w:t>
      </w:r>
      <w:r w:rsidR="00094EC8">
        <w:rPr>
          <w:rFonts w:ascii="Arial" w:eastAsia="Times New Roman" w:hAnsi="Arial" w:cs="Arial"/>
          <w:kern w:val="0"/>
          <w:sz w:val="22"/>
          <w:szCs w:val="22"/>
          <w:lang w:eastAsia="en-GB"/>
          <w14:ligatures w14:val="none"/>
        </w:rPr>
        <w:t>ICE</w:t>
      </w:r>
      <w:r w:rsidRPr="006C73EF">
        <w:rPr>
          <w:rFonts w:ascii="Arial" w:eastAsia="Times New Roman" w:hAnsi="Arial" w:cs="Arial"/>
          <w:kern w:val="0"/>
          <w:sz w:val="22"/>
          <w:szCs w:val="22"/>
          <w:lang w:eastAsia="en-GB"/>
          <w14:ligatures w14:val="none"/>
        </w:rPr>
        <w:t>, 2017).</w:t>
      </w:r>
    </w:p>
    <w:p w14:paraId="4F9A2EE7" w14:textId="29611067" w:rsidR="00CD515A" w:rsidRPr="006C73EF" w:rsidRDefault="00CD515A" w:rsidP="0029219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C73EF">
        <w:rPr>
          <w:rFonts w:ascii="Arial" w:eastAsia="Times New Roman" w:hAnsi="Arial" w:cs="Arial"/>
          <w:kern w:val="0"/>
          <w:sz w:val="22"/>
          <w:szCs w:val="22"/>
          <w:lang w:eastAsia="en-GB"/>
          <w14:ligatures w14:val="none"/>
        </w:rPr>
        <w:t>Rehabilitation involves supporting the individual to establish healthier eating patterns, reduce harmful compensatory behaviours and improve psychological wellbeing</w:t>
      </w:r>
      <w:r w:rsidR="00513841">
        <w:rPr>
          <w:rFonts w:ascii="Arial" w:eastAsia="Times New Roman" w:hAnsi="Arial" w:cs="Arial"/>
          <w:kern w:val="0"/>
          <w:sz w:val="22"/>
          <w:szCs w:val="22"/>
          <w:lang w:eastAsia="en-GB"/>
          <w14:ligatures w14:val="none"/>
        </w:rPr>
        <w:t xml:space="preserve"> (D</w:t>
      </w:r>
      <w:r w:rsidR="000472DE">
        <w:rPr>
          <w:rFonts w:ascii="Arial" w:eastAsia="Times New Roman" w:hAnsi="Arial" w:cs="Arial"/>
          <w:kern w:val="0"/>
          <w:sz w:val="22"/>
          <w:szCs w:val="22"/>
          <w:lang w:eastAsia="en-GB"/>
          <w14:ligatures w14:val="none"/>
        </w:rPr>
        <w:t>’Adamo et al, 2024).</w:t>
      </w:r>
      <w:r w:rsidRPr="006C73EF">
        <w:rPr>
          <w:rFonts w:ascii="Arial" w:eastAsia="Times New Roman" w:hAnsi="Arial" w:cs="Arial"/>
          <w:kern w:val="0"/>
          <w:sz w:val="22"/>
          <w:szCs w:val="22"/>
          <w:lang w:eastAsia="en-GB"/>
          <w14:ligatures w14:val="none"/>
        </w:rPr>
        <w:t xml:space="preserve"> In practice, rehabilitation may include nutritional education, regular eating plans, monitoring of physical health, psychological therapy and support from a multidisciplinary team. </w:t>
      </w:r>
      <w:r w:rsidRPr="006C73EF">
        <w:rPr>
          <w:rFonts w:ascii="Arial" w:eastAsia="Times New Roman" w:hAnsi="Arial" w:cs="Arial"/>
          <w:kern w:val="0"/>
          <w:sz w:val="22"/>
          <w:szCs w:val="22"/>
          <w:lang w:eastAsia="en-GB"/>
          <w14:ligatures w14:val="none"/>
        </w:rPr>
        <w:lastRenderedPageBreak/>
        <w:t>The</w:t>
      </w:r>
      <w:r w:rsidRPr="00230A22">
        <w:rPr>
          <w:rFonts w:ascii="Arial" w:eastAsia="Times New Roman" w:hAnsi="Arial" w:cs="Arial"/>
          <w:kern w:val="0"/>
          <w:sz w:val="22"/>
          <w:szCs w:val="22"/>
          <w:lang w:eastAsia="en-GB"/>
          <w14:ligatures w14:val="none"/>
        </w:rPr>
        <w:t xml:space="preserve"> International Classification of Diseases, 11th Revision (ICD-11) </w:t>
      </w:r>
      <w:r w:rsidRPr="006C73EF">
        <w:rPr>
          <w:rFonts w:ascii="Arial" w:eastAsia="Times New Roman" w:hAnsi="Arial" w:cs="Arial"/>
          <w:kern w:val="0"/>
          <w:sz w:val="22"/>
          <w:szCs w:val="22"/>
          <w:lang w:eastAsia="en-GB"/>
          <w14:ligatures w14:val="none"/>
        </w:rPr>
        <w:t>provides the classification framework for bulimia nervosa but does not prescribe one specific rehabilitation programme. Instead, the classification helps professionals identify the disorder and supports appropriate assessment and treatment planning (WHO, 2024). Rehabilitation should therefore be individualised according to the person's symptoms, physical health, psychological needs and social circumstances.</w:t>
      </w:r>
    </w:p>
    <w:p w14:paraId="690639AB" w14:textId="77777777" w:rsidR="00CD515A" w:rsidRPr="006C73EF" w:rsidRDefault="00CD515A" w:rsidP="0029219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C73EF">
        <w:rPr>
          <w:rFonts w:ascii="Arial" w:eastAsia="Times New Roman" w:hAnsi="Arial" w:cs="Arial"/>
          <w:kern w:val="0"/>
          <w:sz w:val="22"/>
          <w:szCs w:val="22"/>
          <w:lang w:eastAsia="en-GB"/>
          <w14:ligatures w14:val="none"/>
        </w:rPr>
        <w:t>Evidence suggests that psychological interventions, particularly CBT-based approaches, can be effective in reducing binge eating and inappropriate compensatory behaviours. However, treatment is not equally effective for everyone, and some individuals may continue to experience symptoms or relapse after treatment. NICE (2017) recommends monitoring progress and considering alternative or additional interventions when an initial treatment is unsuccessful. A further limitation is that treatment can be difficult to access because specialist eating-disorder services may have limited availability. Individuals may also experience shame, stigma or anxiety about seeking professional help, which can delay treatment.</w:t>
      </w:r>
    </w:p>
    <w:p w14:paraId="46F078CF" w14:textId="2B60FB16" w:rsidR="00CD515A" w:rsidRPr="006C73EF" w:rsidRDefault="00CD515A" w:rsidP="0029219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C73EF">
        <w:rPr>
          <w:rFonts w:ascii="Arial" w:eastAsia="Times New Roman" w:hAnsi="Arial" w:cs="Arial"/>
          <w:kern w:val="0"/>
          <w:sz w:val="22"/>
          <w:szCs w:val="22"/>
          <w:lang w:eastAsia="en-GB"/>
          <w14:ligatures w14:val="none"/>
        </w:rPr>
        <w:t>Overall, CBT-ED, nutritional support and appropriate medical monitoring provide an effective foundation for treating bulimia nervosa</w:t>
      </w:r>
      <w:r w:rsidR="00C63066">
        <w:rPr>
          <w:rFonts w:ascii="Arial" w:eastAsia="Times New Roman" w:hAnsi="Arial" w:cs="Arial"/>
          <w:kern w:val="0"/>
          <w:sz w:val="22"/>
          <w:szCs w:val="22"/>
          <w:lang w:eastAsia="en-GB"/>
          <w14:ligatures w14:val="none"/>
        </w:rPr>
        <w:t xml:space="preserve"> (Barakat et al., 2017).</w:t>
      </w:r>
      <w:r w:rsidRPr="006C73EF">
        <w:rPr>
          <w:rFonts w:ascii="Arial" w:eastAsia="Times New Roman" w:hAnsi="Arial" w:cs="Arial"/>
          <w:kern w:val="0"/>
          <w:sz w:val="22"/>
          <w:szCs w:val="22"/>
          <w:lang w:eastAsia="en-GB"/>
          <w14:ligatures w14:val="none"/>
        </w:rPr>
        <w:t xml:space="preserve"> However, successful rehabilitation requires </w:t>
      </w:r>
      <w:r w:rsidRPr="00230A22">
        <w:rPr>
          <w:rFonts w:ascii="Arial" w:eastAsia="Times New Roman" w:hAnsi="Arial" w:cs="Arial"/>
          <w:kern w:val="0"/>
          <w:sz w:val="22"/>
          <w:szCs w:val="22"/>
          <w:lang w:eastAsia="en-GB"/>
          <w14:ligatures w14:val="none"/>
        </w:rPr>
        <w:t>long-term, person-centred and multidisciplinary support,</w:t>
      </w:r>
      <w:r w:rsidRPr="006C73EF">
        <w:rPr>
          <w:rFonts w:ascii="Arial" w:eastAsia="Times New Roman" w:hAnsi="Arial" w:cs="Arial"/>
          <w:kern w:val="0"/>
          <w:sz w:val="22"/>
          <w:szCs w:val="22"/>
          <w:lang w:eastAsia="en-GB"/>
          <w14:ligatures w14:val="none"/>
        </w:rPr>
        <w:t xml:space="preserve"> particularly for individuals with persistent symptoms or physical complications. Early identification and access to specialist services are therefore important for improving recovery outcomes (N</w:t>
      </w:r>
      <w:r w:rsidR="001873F9">
        <w:rPr>
          <w:rFonts w:ascii="Arial" w:eastAsia="Times New Roman" w:hAnsi="Arial" w:cs="Arial"/>
          <w:kern w:val="0"/>
          <w:sz w:val="22"/>
          <w:szCs w:val="22"/>
          <w:lang w:eastAsia="en-GB"/>
          <w14:ligatures w14:val="none"/>
        </w:rPr>
        <w:t>ICE</w:t>
      </w:r>
      <w:r w:rsidRPr="006C73EF">
        <w:rPr>
          <w:rFonts w:ascii="Arial" w:eastAsia="Times New Roman" w:hAnsi="Arial" w:cs="Arial"/>
          <w:kern w:val="0"/>
          <w:sz w:val="22"/>
          <w:szCs w:val="22"/>
          <w:lang w:eastAsia="en-GB"/>
          <w14:ligatures w14:val="none"/>
        </w:rPr>
        <w:t>, 2017).</w:t>
      </w:r>
    </w:p>
    <w:p w14:paraId="12CBA632" w14:textId="77777777" w:rsidR="008A6D32" w:rsidRPr="008A6D32" w:rsidRDefault="008A6D32" w:rsidP="0029219E">
      <w:pPr>
        <w:pStyle w:val="NormalWeb"/>
        <w:spacing w:line="360" w:lineRule="auto"/>
        <w:jc w:val="both"/>
        <w:rPr>
          <w:rFonts w:ascii="Arial" w:hAnsi="Arial" w:cs="Arial"/>
          <w:color w:val="000000"/>
        </w:rPr>
      </w:pPr>
    </w:p>
    <w:p w14:paraId="668504A0" w14:textId="77777777" w:rsidR="008A6D32" w:rsidRPr="00E26E07" w:rsidRDefault="008A6D32" w:rsidP="008A6D32">
      <w:pPr>
        <w:pStyle w:val="NormalWeb"/>
        <w:rPr>
          <w:rFonts w:ascii="Arial" w:hAnsi="Arial" w:cs="Arial"/>
          <w:b/>
          <w:bCs/>
          <w:color w:val="000000"/>
          <w:sz w:val="28"/>
          <w:szCs w:val="28"/>
        </w:rPr>
      </w:pPr>
    </w:p>
    <w:p w14:paraId="7805141B" w14:textId="77777777" w:rsidR="0073412C" w:rsidRPr="00E26E07" w:rsidRDefault="0073412C" w:rsidP="0073412C">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E26E07">
        <w:rPr>
          <w:rFonts w:ascii="Arial" w:eastAsia="Times New Roman" w:hAnsi="Arial" w:cs="Arial"/>
          <w:b/>
          <w:bCs/>
          <w:kern w:val="0"/>
          <w:sz w:val="28"/>
          <w:szCs w:val="28"/>
          <w:lang w:eastAsia="en-GB"/>
          <w14:ligatures w14:val="none"/>
        </w:rPr>
        <w:t>Current Debates and Emerging Issues in Bulimia Nervosa</w:t>
      </w:r>
    </w:p>
    <w:p w14:paraId="75E149B7" w14:textId="6A8E4C42" w:rsidR="0073412C" w:rsidRPr="0073412C" w:rsidRDefault="0073412C" w:rsidP="0029219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3412C">
        <w:rPr>
          <w:rFonts w:ascii="Arial" w:eastAsia="Times New Roman" w:hAnsi="Arial" w:cs="Arial"/>
          <w:kern w:val="0"/>
          <w:sz w:val="22"/>
          <w:szCs w:val="22"/>
          <w:lang w:eastAsia="en-GB"/>
          <w14:ligatures w14:val="none"/>
        </w:rPr>
        <w:t>There are ongoing debates about the classification and treatment of bulimia nervosa, particularly regarding whether current diagnostic systems fully reflect the complexity of eating disorders. ICD-11 classifies bulimia nervosa as a feeding or eating disorder, based on recurrent binge eating, compensatory behaviours and excessive concern about body weight or shape (WHO, 2024). However, researchers have argued that eating disorders can overlap considerably, with individuals sometimes moving between diagnoses over time. This raises questions about whether rigid diagnostic categories accurately represent the experiences of people with eating disorders (Hay et al., 2012). A dimensional approach, which considers the severity and combination of symptoms rather than focusing only on diagnostic categories, may therefore provide a more flexible way of understanding bulimia nervosa.</w:t>
      </w:r>
    </w:p>
    <w:p w14:paraId="5ED5DFB3" w14:textId="77777777" w:rsidR="0073412C" w:rsidRPr="0073412C" w:rsidRDefault="0073412C" w:rsidP="0029219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3412C">
        <w:rPr>
          <w:rFonts w:ascii="Arial" w:eastAsia="Times New Roman" w:hAnsi="Arial" w:cs="Arial"/>
          <w:kern w:val="0"/>
          <w:sz w:val="22"/>
          <w:szCs w:val="22"/>
          <w:lang w:eastAsia="en-GB"/>
          <w14:ligatures w14:val="none"/>
        </w:rPr>
        <w:lastRenderedPageBreak/>
        <w:t xml:space="preserve">Another emerging issue is the relationship </w:t>
      </w:r>
      <w:r w:rsidRPr="00230A22">
        <w:rPr>
          <w:rFonts w:ascii="Arial" w:eastAsia="Times New Roman" w:hAnsi="Arial" w:cs="Arial"/>
          <w:kern w:val="0"/>
          <w:sz w:val="22"/>
          <w:szCs w:val="22"/>
          <w:lang w:eastAsia="en-GB"/>
          <w14:ligatures w14:val="none"/>
        </w:rPr>
        <w:t>between neurodivergence and eating disorders</w:t>
      </w:r>
      <w:r w:rsidRPr="0073412C">
        <w:rPr>
          <w:rFonts w:ascii="Arial" w:eastAsia="Times New Roman" w:hAnsi="Arial" w:cs="Arial"/>
          <w:kern w:val="0"/>
          <w:sz w:val="22"/>
          <w:szCs w:val="22"/>
          <w:lang w:eastAsia="en-GB"/>
          <w14:ligatures w14:val="none"/>
        </w:rPr>
        <w:t>. Neurodivergence includes conditions such as autism and attention-deficit/hyperactivity disorder (ADHD), and research suggests that autistic traits may occur more frequently among people with eating disorders than in the general population (Westwood and Tchanturia, 2017). This is important because neurodivergent individuals may experience difficulties with sensory processing, communication, routines and emotional regulation, which can affect how they experience food and engage with treatment. Standard treatments such as cognitive behavioural therapy may therefore need to be adapted to meet individual communication and cognitive needs. However, neurodivergence should not be assumed to cause bulimia nervosa, and professionals should avoid stereotyping patients based on a neurodevelopmental diagnosis.</w:t>
      </w:r>
    </w:p>
    <w:p w14:paraId="4DF3B75C" w14:textId="77777777" w:rsidR="0073412C" w:rsidRPr="0073412C" w:rsidRDefault="0073412C" w:rsidP="0029219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3412C">
        <w:rPr>
          <w:rFonts w:ascii="Arial" w:eastAsia="Times New Roman" w:hAnsi="Arial" w:cs="Arial"/>
          <w:kern w:val="0"/>
          <w:sz w:val="22"/>
          <w:szCs w:val="22"/>
          <w:lang w:eastAsia="en-GB"/>
          <w14:ligatures w14:val="none"/>
        </w:rPr>
        <w:t xml:space="preserve">These debates have implications for </w:t>
      </w:r>
      <w:r w:rsidRPr="00230A22">
        <w:rPr>
          <w:rFonts w:ascii="Arial" w:eastAsia="Times New Roman" w:hAnsi="Arial" w:cs="Arial"/>
          <w:kern w:val="0"/>
          <w:sz w:val="22"/>
          <w:szCs w:val="22"/>
          <w:lang w:eastAsia="en-GB"/>
          <w14:ligatures w14:val="none"/>
        </w:rPr>
        <w:t>healthcare practice and policy</w:t>
      </w:r>
      <w:r w:rsidRPr="0073412C">
        <w:rPr>
          <w:rFonts w:ascii="Arial" w:eastAsia="Times New Roman" w:hAnsi="Arial" w:cs="Arial"/>
          <w:kern w:val="0"/>
          <w:sz w:val="22"/>
          <w:szCs w:val="22"/>
          <w:lang w:eastAsia="en-GB"/>
          <w14:ligatures w14:val="none"/>
        </w:rPr>
        <w:t>. Greater recognition of diagnostic overlap and neurodivergence may encourage services to provide more personalised assessments and flexible treatment approaches. NICE (2017) recommends that treatment should consider the individual's physical and psychological needs, supporting a person-centred approach. In practice, this may require improved staff training, earlier identification of neurodivergence and closer collaboration between eating-disorder and neurodevelopmental services.</w:t>
      </w:r>
    </w:p>
    <w:p w14:paraId="19CE1C64" w14:textId="47A5D08F" w:rsidR="0073412C" w:rsidRPr="0073412C" w:rsidRDefault="0073412C" w:rsidP="0029219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3412C">
        <w:rPr>
          <w:rFonts w:ascii="Arial" w:eastAsia="Times New Roman" w:hAnsi="Arial" w:cs="Arial"/>
          <w:kern w:val="0"/>
          <w:sz w:val="22"/>
          <w:szCs w:val="22"/>
          <w:lang w:eastAsia="en-GB"/>
          <w14:ligatures w14:val="none"/>
        </w:rPr>
        <w:t xml:space="preserve">Overall, current debates highlight the need for classification systems and treatment services to become more flexible and inclusive. While ICD-11 provides an </w:t>
      </w:r>
      <w:r w:rsidR="00B761CE" w:rsidRPr="0073412C">
        <w:rPr>
          <w:rFonts w:ascii="Arial" w:eastAsia="Times New Roman" w:hAnsi="Arial" w:cs="Arial"/>
          <w:kern w:val="0"/>
          <w:sz w:val="22"/>
          <w:szCs w:val="22"/>
          <w:lang w:eastAsia="en-GB"/>
          <w14:ligatures w14:val="none"/>
        </w:rPr>
        <w:t>important, standardised</w:t>
      </w:r>
      <w:r w:rsidRPr="0073412C">
        <w:rPr>
          <w:rFonts w:ascii="Arial" w:eastAsia="Times New Roman" w:hAnsi="Arial" w:cs="Arial"/>
          <w:kern w:val="0"/>
          <w:sz w:val="22"/>
          <w:szCs w:val="22"/>
          <w:lang w:eastAsia="en-GB"/>
          <w14:ligatures w14:val="none"/>
        </w:rPr>
        <w:t xml:space="preserve"> framework, continued research into neurodivergence, diagnostic overlap and individual differences could contribute to improved assessment, treatment and policy development for people with bulimia nervosa.</w:t>
      </w:r>
    </w:p>
    <w:p w14:paraId="22EB9F7C" w14:textId="77777777" w:rsidR="008A6D32" w:rsidRPr="00E26E07" w:rsidRDefault="008A6D32" w:rsidP="008A6D32">
      <w:pPr>
        <w:pStyle w:val="NormalWeb"/>
        <w:rPr>
          <w:rFonts w:ascii="Arial" w:hAnsi="Arial" w:cs="Arial"/>
          <w:b/>
          <w:bCs/>
          <w:color w:val="000000"/>
          <w:sz w:val="28"/>
          <w:szCs w:val="28"/>
        </w:rPr>
      </w:pPr>
    </w:p>
    <w:p w14:paraId="3A3A8441" w14:textId="77777777" w:rsidR="00921377" w:rsidRPr="00E26E07" w:rsidRDefault="00921377" w:rsidP="00921377">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E26E07">
        <w:rPr>
          <w:rFonts w:ascii="Arial" w:eastAsia="Times New Roman" w:hAnsi="Arial" w:cs="Arial"/>
          <w:b/>
          <w:bCs/>
          <w:kern w:val="0"/>
          <w:sz w:val="28"/>
          <w:szCs w:val="28"/>
          <w:lang w:eastAsia="en-GB"/>
          <w14:ligatures w14:val="none"/>
        </w:rPr>
        <w:t>Recommendations for Bulimia Nervosa</w:t>
      </w:r>
    </w:p>
    <w:p w14:paraId="71F0932B" w14:textId="68D2F4A5" w:rsidR="00921377" w:rsidRPr="00921377" w:rsidRDefault="00921377" w:rsidP="001E22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21377">
        <w:rPr>
          <w:rFonts w:ascii="Arial" w:eastAsia="Times New Roman" w:hAnsi="Arial" w:cs="Arial"/>
          <w:kern w:val="0"/>
          <w:sz w:val="22"/>
          <w:szCs w:val="22"/>
          <w:lang w:eastAsia="en-GB"/>
          <w14:ligatures w14:val="none"/>
        </w:rPr>
        <w:t>Several recommendations could improve the classification, diagnosis, treatment and rehabilitation of people experiencing bulimia nervosa. Firstly, healthcare professionals should adopt a</w:t>
      </w:r>
      <w:r w:rsidRPr="00230A22">
        <w:rPr>
          <w:rFonts w:ascii="Arial" w:eastAsia="Times New Roman" w:hAnsi="Arial" w:cs="Arial"/>
          <w:kern w:val="0"/>
          <w:sz w:val="22"/>
          <w:szCs w:val="22"/>
          <w:lang w:eastAsia="en-GB"/>
          <w14:ligatures w14:val="none"/>
        </w:rPr>
        <w:t xml:space="preserve"> more comprehensive and person-centred assessment process</w:t>
      </w:r>
      <w:r w:rsidRPr="00921377">
        <w:rPr>
          <w:rFonts w:ascii="Arial" w:eastAsia="Times New Roman" w:hAnsi="Arial" w:cs="Arial"/>
          <w:kern w:val="0"/>
          <w:sz w:val="22"/>
          <w:szCs w:val="22"/>
          <w:lang w:eastAsia="en-GB"/>
          <w14:ligatures w14:val="none"/>
        </w:rPr>
        <w:t xml:space="preserve">. Although ICD-11 provides standardised diagnostic criteria, assessment should consider not only binge eating and compensatory behaviours but also physical health, psychological wellbeing, social circumstances and any co-existing conditions (WHO, 2024). Services should avoid relying solely on body weight when identifying bulimia nervosa, as individuals with the condition can </w:t>
      </w:r>
      <w:r w:rsidRPr="00921377">
        <w:rPr>
          <w:rFonts w:ascii="Arial" w:eastAsia="Times New Roman" w:hAnsi="Arial" w:cs="Arial"/>
          <w:kern w:val="0"/>
          <w:sz w:val="22"/>
          <w:szCs w:val="22"/>
          <w:lang w:eastAsia="en-GB"/>
          <w14:ligatures w14:val="none"/>
        </w:rPr>
        <w:lastRenderedPageBreak/>
        <w:t>have different body sizes. Earlier recognition in primary care, schools and community services could also reduce delays in accessing specialist treatment.</w:t>
      </w:r>
    </w:p>
    <w:p w14:paraId="354AC57E" w14:textId="77777777" w:rsidR="00921377" w:rsidRPr="00921377" w:rsidRDefault="00921377" w:rsidP="001E22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21377">
        <w:rPr>
          <w:rFonts w:ascii="Arial" w:eastAsia="Times New Roman" w:hAnsi="Arial" w:cs="Arial"/>
          <w:kern w:val="0"/>
          <w:sz w:val="22"/>
          <w:szCs w:val="22"/>
          <w:lang w:eastAsia="en-GB"/>
          <w14:ligatures w14:val="none"/>
        </w:rPr>
        <w:t xml:space="preserve">Secondly, treatment services should improve access to </w:t>
      </w:r>
      <w:r w:rsidRPr="00230A22">
        <w:rPr>
          <w:rFonts w:ascii="Arial" w:eastAsia="Times New Roman" w:hAnsi="Arial" w:cs="Arial"/>
          <w:kern w:val="0"/>
          <w:sz w:val="22"/>
          <w:szCs w:val="22"/>
          <w:lang w:eastAsia="en-GB"/>
          <w14:ligatures w14:val="none"/>
        </w:rPr>
        <w:t>evidence-based psychological interventions</w:t>
      </w:r>
      <w:r w:rsidRPr="00921377">
        <w:rPr>
          <w:rFonts w:ascii="Arial" w:eastAsia="Times New Roman" w:hAnsi="Arial" w:cs="Arial"/>
          <w:kern w:val="0"/>
          <w:sz w:val="22"/>
          <w:szCs w:val="22"/>
          <w:lang w:eastAsia="en-GB"/>
          <w14:ligatures w14:val="none"/>
        </w:rPr>
        <w:t>, particularly cognitive behavioural therapy for eating disorders (CBT-ED). Treatment should be adapted to individual needs, including communication preferences, cultural background and possible neurodivergence. Nutritional support and regular physical-health monitoring should be incorporated where appropriate, particularly for individuals experiencing complications associated with vomiting, fasting or other compensatory behaviours. NICE (2017) recommends psychological interventions as a central component of treatment and highlights the importance of monitoring both physical and mental health. Increasing access to specialist eating-disorder services and reducing waiting times should therefore be a priority for healthcare providers and policymakers.</w:t>
      </w:r>
    </w:p>
    <w:p w14:paraId="108749C5" w14:textId="42EB2540" w:rsidR="00921377" w:rsidRPr="00921377" w:rsidRDefault="00921377" w:rsidP="001E22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21377">
        <w:rPr>
          <w:rFonts w:ascii="Arial" w:eastAsia="Times New Roman" w:hAnsi="Arial" w:cs="Arial"/>
          <w:kern w:val="0"/>
          <w:sz w:val="22"/>
          <w:szCs w:val="22"/>
          <w:lang w:eastAsia="en-GB"/>
          <w14:ligatures w14:val="none"/>
        </w:rPr>
        <w:t xml:space="preserve">Thirdly, greater investment in </w:t>
      </w:r>
      <w:r w:rsidRPr="00230A22">
        <w:rPr>
          <w:rFonts w:ascii="Arial" w:eastAsia="Times New Roman" w:hAnsi="Arial" w:cs="Arial"/>
          <w:kern w:val="0"/>
          <w:sz w:val="22"/>
          <w:szCs w:val="22"/>
          <w:lang w:eastAsia="en-GB"/>
          <w14:ligatures w14:val="none"/>
        </w:rPr>
        <w:t>multidisciplinary and long-term rehabilitation</w:t>
      </w:r>
      <w:r w:rsidRPr="00921377">
        <w:rPr>
          <w:rFonts w:ascii="Arial" w:eastAsia="Times New Roman" w:hAnsi="Arial" w:cs="Arial"/>
          <w:kern w:val="0"/>
          <w:sz w:val="22"/>
          <w:szCs w:val="22"/>
          <w:lang w:eastAsia="en-GB"/>
          <w14:ligatures w14:val="none"/>
        </w:rPr>
        <w:t xml:space="preserve"> is recommended. Effective recovery should not focus only on stopping binge eating and compensatory behaviours but should also address body image, emotional regulation, social functioning and relapse prevention. Collaboration between GPs, mental health professionals, dietitians and other relevant professionals could provide more coordinated support. Services should also ensure that individuals and families receive appropriate education about bulimia nervosa to reduce stigma and encourage early help-seeking (N</w:t>
      </w:r>
      <w:r w:rsidR="00160162">
        <w:rPr>
          <w:rFonts w:ascii="Arial" w:eastAsia="Times New Roman" w:hAnsi="Arial" w:cs="Arial"/>
          <w:kern w:val="0"/>
          <w:sz w:val="22"/>
          <w:szCs w:val="22"/>
          <w:lang w:eastAsia="en-GB"/>
          <w14:ligatures w14:val="none"/>
        </w:rPr>
        <w:t>ICE</w:t>
      </w:r>
      <w:r w:rsidRPr="00921377">
        <w:rPr>
          <w:rFonts w:ascii="Arial" w:eastAsia="Times New Roman" w:hAnsi="Arial" w:cs="Arial"/>
          <w:kern w:val="0"/>
          <w:sz w:val="22"/>
          <w:szCs w:val="22"/>
          <w:lang w:eastAsia="en-GB"/>
          <w14:ligatures w14:val="none"/>
        </w:rPr>
        <w:t>, 2017).</w:t>
      </w:r>
    </w:p>
    <w:p w14:paraId="0F4EE54D" w14:textId="35B809EE" w:rsidR="00921377" w:rsidRPr="00921377" w:rsidRDefault="00921377" w:rsidP="001E22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21377">
        <w:rPr>
          <w:rFonts w:ascii="Arial" w:eastAsia="Times New Roman" w:hAnsi="Arial" w:cs="Arial"/>
          <w:kern w:val="0"/>
          <w:sz w:val="22"/>
          <w:szCs w:val="22"/>
          <w:lang w:eastAsia="en-GB"/>
          <w14:ligatures w14:val="none"/>
        </w:rPr>
        <w:t>For policy, governments and healthcare organisations should ensure that eating-disorder services receive sufficient funding and have appropriately trained staff. Further research should investigate the long-term effectiveness of different treatment approaches, particularly for people with co-existing neurodevelopmental conditions and those who do not respond to standard interventions. Research should also examine whether future classification systems could better reflect the overlap and changing nature of eating-disorder symptoms. Overall, improving early diagnosis, personalised treatment, multidisciplinary rehabilitation and research investment could lead to better recovery outcomes and more equitable access to care.</w:t>
      </w:r>
    </w:p>
    <w:p w14:paraId="1AECE137" w14:textId="77777777" w:rsidR="008A6D32" w:rsidRPr="008A6D32" w:rsidRDefault="008A6D32" w:rsidP="001E2232">
      <w:pPr>
        <w:pStyle w:val="NormalWeb"/>
        <w:spacing w:line="360" w:lineRule="auto"/>
        <w:jc w:val="both"/>
        <w:rPr>
          <w:rFonts w:ascii="Arial" w:hAnsi="Arial" w:cs="Arial"/>
          <w:color w:val="000000"/>
        </w:rPr>
      </w:pPr>
    </w:p>
    <w:p w14:paraId="75C42BB4" w14:textId="71763F0B" w:rsidR="008A6D32" w:rsidRPr="00E26E07" w:rsidRDefault="008A6D32" w:rsidP="008A6D32">
      <w:pPr>
        <w:pStyle w:val="NormalWeb"/>
        <w:rPr>
          <w:rFonts w:ascii="Arial" w:hAnsi="Arial" w:cs="Arial"/>
          <w:b/>
          <w:bCs/>
          <w:color w:val="000000"/>
          <w:sz w:val="28"/>
          <w:szCs w:val="28"/>
        </w:rPr>
      </w:pPr>
      <w:r w:rsidRPr="00E26E07">
        <w:rPr>
          <w:rFonts w:ascii="Arial" w:hAnsi="Arial" w:cs="Arial"/>
          <w:b/>
          <w:bCs/>
          <w:color w:val="000000"/>
          <w:sz w:val="28"/>
          <w:szCs w:val="28"/>
        </w:rPr>
        <w:t>Conclusion</w:t>
      </w:r>
    </w:p>
    <w:p w14:paraId="4902A695" w14:textId="3EE33E61" w:rsidR="00E47F98" w:rsidRPr="001E2232" w:rsidRDefault="00E47F98" w:rsidP="001E2232">
      <w:pPr>
        <w:pStyle w:val="isselectedend"/>
        <w:spacing w:line="360" w:lineRule="auto"/>
        <w:jc w:val="both"/>
        <w:rPr>
          <w:rFonts w:ascii="Arial" w:hAnsi="Arial" w:cs="Arial"/>
          <w:sz w:val="22"/>
          <w:szCs w:val="22"/>
        </w:rPr>
      </w:pPr>
      <w:r w:rsidRPr="001E2232">
        <w:rPr>
          <w:rFonts w:ascii="Arial" w:hAnsi="Arial" w:cs="Arial"/>
          <w:sz w:val="22"/>
          <w:szCs w:val="22"/>
        </w:rPr>
        <w:t xml:space="preserve">In conclusion, bulimia nervosa is a complex mental and behavioural disorder that has significant effects on an individual’s physical health, psychological wellbeing and social </w:t>
      </w:r>
      <w:r w:rsidRPr="001E2232">
        <w:rPr>
          <w:rFonts w:ascii="Arial" w:hAnsi="Arial" w:cs="Arial"/>
          <w:sz w:val="22"/>
          <w:szCs w:val="22"/>
        </w:rPr>
        <w:lastRenderedPageBreak/>
        <w:t>functioning</w:t>
      </w:r>
      <w:r w:rsidR="00C34679">
        <w:rPr>
          <w:rFonts w:ascii="Arial" w:hAnsi="Arial" w:cs="Arial"/>
          <w:sz w:val="22"/>
          <w:szCs w:val="22"/>
        </w:rPr>
        <w:t xml:space="preserve"> (</w:t>
      </w:r>
      <w:proofErr w:type="spellStart"/>
      <w:r w:rsidR="00F21444">
        <w:rPr>
          <w:rFonts w:ascii="Arial" w:hAnsi="Arial" w:cs="Arial"/>
          <w:sz w:val="22"/>
          <w:szCs w:val="22"/>
        </w:rPr>
        <w:t>Schlegl</w:t>
      </w:r>
      <w:proofErr w:type="spellEnd"/>
      <w:r w:rsidR="00F21444">
        <w:rPr>
          <w:rFonts w:ascii="Arial" w:hAnsi="Arial" w:cs="Arial"/>
          <w:sz w:val="22"/>
          <w:szCs w:val="22"/>
        </w:rPr>
        <w:t xml:space="preserve"> et al., 2020</w:t>
      </w:r>
      <w:r w:rsidR="00C34679">
        <w:rPr>
          <w:rFonts w:ascii="Arial" w:hAnsi="Arial" w:cs="Arial"/>
          <w:sz w:val="22"/>
          <w:szCs w:val="22"/>
        </w:rPr>
        <w:t>)</w:t>
      </w:r>
      <w:r w:rsidR="00542092">
        <w:rPr>
          <w:rFonts w:ascii="Arial" w:hAnsi="Arial" w:cs="Arial"/>
          <w:sz w:val="22"/>
          <w:szCs w:val="22"/>
        </w:rPr>
        <w:t xml:space="preserve">. </w:t>
      </w:r>
      <w:r w:rsidRPr="001E2232">
        <w:rPr>
          <w:rFonts w:ascii="Arial" w:hAnsi="Arial" w:cs="Arial"/>
          <w:sz w:val="22"/>
          <w:szCs w:val="22"/>
        </w:rPr>
        <w:t xml:space="preserve">Within the International Classification of Diseases, 11th Revision (ICD-11), bulimia nervosa is classified as a </w:t>
      </w:r>
      <w:r w:rsidRPr="00230A22">
        <w:rPr>
          <w:rStyle w:val="Strong"/>
          <w:rFonts w:ascii="Arial" w:hAnsi="Arial" w:cs="Arial"/>
          <w:b w:val="0"/>
          <w:bCs w:val="0"/>
          <w:sz w:val="22"/>
          <w:szCs w:val="22"/>
        </w:rPr>
        <w:t>feeding or eating disorder</w:t>
      </w:r>
      <w:r w:rsidRPr="001E2232">
        <w:rPr>
          <w:rFonts w:ascii="Arial" w:hAnsi="Arial" w:cs="Arial"/>
          <w:sz w:val="22"/>
          <w:szCs w:val="22"/>
        </w:rPr>
        <w:t xml:space="preserve"> and is characterised by recurrent episodes of binge eating, a sense of loss of control </w:t>
      </w:r>
      <w:r w:rsidR="00230A22" w:rsidRPr="001E2232">
        <w:rPr>
          <w:rFonts w:ascii="Arial" w:hAnsi="Arial" w:cs="Arial"/>
          <w:sz w:val="22"/>
          <w:szCs w:val="22"/>
        </w:rPr>
        <w:t>overeating</w:t>
      </w:r>
      <w:r w:rsidRPr="001E2232">
        <w:rPr>
          <w:rFonts w:ascii="Arial" w:hAnsi="Arial" w:cs="Arial"/>
          <w:sz w:val="22"/>
          <w:szCs w:val="22"/>
        </w:rPr>
        <w:t>, and repeated compensatory behaviours intended to prevent weight gain (WHO, 2024). The classification of bulimia nervosa as a disorder rather than simply a lifestyle issue highlights the seriousness of the condition and the need for appropriate professional assessment and intervention.</w:t>
      </w:r>
    </w:p>
    <w:p w14:paraId="5354D33A" w14:textId="3BF91EE0" w:rsidR="00E47F98" w:rsidRPr="001E2232" w:rsidRDefault="00E47F98" w:rsidP="001E2232">
      <w:pPr>
        <w:pStyle w:val="isselectedend"/>
        <w:spacing w:line="360" w:lineRule="auto"/>
        <w:jc w:val="both"/>
        <w:rPr>
          <w:rFonts w:ascii="Arial" w:hAnsi="Arial" w:cs="Arial"/>
          <w:sz w:val="22"/>
          <w:szCs w:val="22"/>
        </w:rPr>
      </w:pPr>
      <w:r w:rsidRPr="001E2232">
        <w:rPr>
          <w:rFonts w:ascii="Arial" w:hAnsi="Arial" w:cs="Arial"/>
          <w:sz w:val="22"/>
          <w:szCs w:val="22"/>
        </w:rPr>
        <w:t>Accurate diagnosis is an important first step in supporting individuals with bulimia nervosa. Assessment should consider eating patterns, binge-eating episodes, compensatory behaviours, concerns about body weight and shape, psychological wellbeing and physical health</w:t>
      </w:r>
      <w:r w:rsidR="00B01946" w:rsidRPr="001E2232">
        <w:rPr>
          <w:rFonts w:ascii="Arial" w:hAnsi="Arial" w:cs="Arial"/>
          <w:sz w:val="22"/>
          <w:szCs w:val="22"/>
        </w:rPr>
        <w:t xml:space="preserve"> (</w:t>
      </w:r>
      <w:r w:rsidR="00443E81" w:rsidRPr="001E2232">
        <w:rPr>
          <w:rFonts w:ascii="Arial" w:hAnsi="Arial" w:cs="Arial"/>
          <w:sz w:val="22"/>
          <w:szCs w:val="22"/>
        </w:rPr>
        <w:t>Trompeter et al., 2022</w:t>
      </w:r>
      <w:r w:rsidR="00B01946" w:rsidRPr="001E2232">
        <w:rPr>
          <w:rFonts w:ascii="Arial" w:hAnsi="Arial" w:cs="Arial"/>
          <w:sz w:val="22"/>
          <w:szCs w:val="22"/>
        </w:rPr>
        <w:t>)</w:t>
      </w:r>
      <w:r w:rsidRPr="001E2232">
        <w:rPr>
          <w:rFonts w:ascii="Arial" w:hAnsi="Arial" w:cs="Arial"/>
          <w:sz w:val="22"/>
          <w:szCs w:val="22"/>
        </w:rPr>
        <w:t>. It is important that professionals recognise that bulimia nervosa can occur in individuals with different body weights and that diagnosis should not depend on appearance alone. NICE (2017) emphasises the importance of assessing both physical and mental health when identifying eating disorders. Early recognition is particularly important because repeated vomiting, fasting and other compensatory behaviours can result in serious physical complications if the condition remains untreated</w:t>
      </w:r>
      <w:r w:rsidR="00C67FFE" w:rsidRPr="001E2232">
        <w:rPr>
          <w:rFonts w:ascii="Arial" w:hAnsi="Arial" w:cs="Arial"/>
          <w:sz w:val="22"/>
          <w:szCs w:val="22"/>
        </w:rPr>
        <w:t xml:space="preserve"> (</w:t>
      </w:r>
      <w:r w:rsidR="00141E2E" w:rsidRPr="001E2232">
        <w:rPr>
          <w:rFonts w:ascii="Arial" w:hAnsi="Arial" w:cs="Arial"/>
          <w:sz w:val="22"/>
          <w:szCs w:val="22"/>
        </w:rPr>
        <w:t>Takahashi</w:t>
      </w:r>
      <w:r w:rsidR="001A7030" w:rsidRPr="001E2232">
        <w:rPr>
          <w:rFonts w:ascii="Arial" w:hAnsi="Arial" w:cs="Arial"/>
          <w:sz w:val="22"/>
          <w:szCs w:val="22"/>
        </w:rPr>
        <w:t xml:space="preserve"> et al, </w:t>
      </w:r>
      <w:r w:rsidR="00141E2E" w:rsidRPr="001E2232">
        <w:rPr>
          <w:rFonts w:ascii="Arial" w:hAnsi="Arial" w:cs="Arial"/>
          <w:sz w:val="22"/>
          <w:szCs w:val="22"/>
        </w:rPr>
        <w:t>2022</w:t>
      </w:r>
      <w:r w:rsidR="001A7030" w:rsidRPr="001E2232">
        <w:rPr>
          <w:rFonts w:ascii="Arial" w:hAnsi="Arial" w:cs="Arial"/>
          <w:sz w:val="22"/>
          <w:szCs w:val="22"/>
        </w:rPr>
        <w:t>).</w:t>
      </w:r>
      <w:r w:rsidR="00C67FFE" w:rsidRPr="001E2232">
        <w:rPr>
          <w:rFonts w:ascii="Arial" w:hAnsi="Arial" w:cs="Arial"/>
          <w:sz w:val="22"/>
          <w:szCs w:val="22"/>
        </w:rPr>
        <w:t xml:space="preserve">         </w:t>
      </w:r>
      <w:r w:rsidRPr="001E2232">
        <w:rPr>
          <w:rFonts w:ascii="Arial" w:hAnsi="Arial" w:cs="Arial"/>
          <w:sz w:val="22"/>
          <w:szCs w:val="22"/>
        </w:rPr>
        <w:t>Treatment is generally based on evidence-based psychological interventions, particularly cognitive behavioural therapy for eating disorders (CBT-ED), alongside nutritional and physical-health support where required</w:t>
      </w:r>
      <w:r w:rsidR="00281292" w:rsidRPr="001E2232">
        <w:rPr>
          <w:rFonts w:ascii="Arial" w:hAnsi="Arial" w:cs="Arial"/>
          <w:sz w:val="22"/>
          <w:szCs w:val="22"/>
        </w:rPr>
        <w:t xml:space="preserve"> (</w:t>
      </w:r>
      <w:r w:rsidR="00A32764" w:rsidRPr="001E2232">
        <w:rPr>
          <w:rFonts w:ascii="Arial" w:hAnsi="Arial" w:cs="Arial"/>
          <w:sz w:val="22"/>
          <w:szCs w:val="22"/>
        </w:rPr>
        <w:t>Waller</w:t>
      </w:r>
      <w:r w:rsidR="00EC3FB7" w:rsidRPr="001E2232">
        <w:rPr>
          <w:rFonts w:ascii="Arial" w:hAnsi="Arial" w:cs="Arial"/>
          <w:sz w:val="22"/>
          <w:szCs w:val="22"/>
        </w:rPr>
        <w:t xml:space="preserve"> &amp; </w:t>
      </w:r>
      <w:r w:rsidR="00A32764" w:rsidRPr="001E2232">
        <w:rPr>
          <w:rFonts w:ascii="Arial" w:hAnsi="Arial" w:cs="Arial"/>
          <w:sz w:val="22"/>
          <w:szCs w:val="22"/>
        </w:rPr>
        <w:t>Beard,</w:t>
      </w:r>
      <w:r w:rsidR="00EC3FB7" w:rsidRPr="001E2232">
        <w:rPr>
          <w:rFonts w:ascii="Arial" w:hAnsi="Arial" w:cs="Arial"/>
          <w:sz w:val="22"/>
          <w:szCs w:val="22"/>
        </w:rPr>
        <w:t xml:space="preserve"> </w:t>
      </w:r>
      <w:r w:rsidR="00A32764" w:rsidRPr="001E2232">
        <w:rPr>
          <w:rFonts w:ascii="Arial" w:hAnsi="Arial" w:cs="Arial"/>
          <w:sz w:val="22"/>
          <w:szCs w:val="22"/>
        </w:rPr>
        <w:t>2024)</w:t>
      </w:r>
      <w:r w:rsidR="00281292" w:rsidRPr="001E2232">
        <w:rPr>
          <w:rFonts w:ascii="Arial" w:hAnsi="Arial" w:cs="Arial"/>
          <w:sz w:val="22"/>
          <w:szCs w:val="22"/>
        </w:rPr>
        <w:t>.</w:t>
      </w:r>
      <w:r w:rsidRPr="001E2232">
        <w:rPr>
          <w:rFonts w:ascii="Arial" w:hAnsi="Arial" w:cs="Arial"/>
          <w:sz w:val="22"/>
          <w:szCs w:val="22"/>
        </w:rPr>
        <w:t xml:space="preserve"> These approaches can reduce binge eating and compensatory behaviours and help individuals develop healthier attitudes towards food and body image. However, treatment does not have the same outcome for everyone, and some individuals may experience persistent symptoms or relapse. Therefore, rehabilitation should be personalised and may require long-term multidisciplinary support involving mental health professionals, dietitians, GPs and other healthcare practitioners (NICE, 2017).</w:t>
      </w:r>
    </w:p>
    <w:p w14:paraId="783842B1" w14:textId="45825106" w:rsidR="00E47F98" w:rsidRPr="001E2232" w:rsidRDefault="00E47F98" w:rsidP="001E2232">
      <w:pPr>
        <w:pStyle w:val="isselectedend"/>
        <w:spacing w:line="360" w:lineRule="auto"/>
        <w:jc w:val="both"/>
        <w:rPr>
          <w:rFonts w:ascii="Arial" w:hAnsi="Arial" w:cs="Arial"/>
          <w:sz w:val="22"/>
          <w:szCs w:val="22"/>
        </w:rPr>
      </w:pPr>
      <w:r w:rsidRPr="001E2232">
        <w:rPr>
          <w:rFonts w:ascii="Arial" w:hAnsi="Arial" w:cs="Arial"/>
          <w:sz w:val="22"/>
          <w:szCs w:val="22"/>
        </w:rPr>
        <w:t xml:space="preserve">Current debates also demonstrate the importance of recognising the diversity of individuals experiencing bulimia nervosa. Diagnostic overlap between eating disorders and the potential relationship between eating disorders and neurodivergence raise questions about whether traditional diagnostic categories fully capture individual experiences. Research suggests that neurodevelopmental characteristics, including autistic traits, may be relevant when considering assessment and treatment for some people with eating disorders (Westwood </w:t>
      </w:r>
      <w:r w:rsidR="00F241EA">
        <w:rPr>
          <w:rFonts w:ascii="Arial" w:hAnsi="Arial" w:cs="Arial"/>
          <w:sz w:val="22"/>
          <w:szCs w:val="22"/>
        </w:rPr>
        <w:t>&amp;</w:t>
      </w:r>
      <w:r w:rsidRPr="001E2232">
        <w:rPr>
          <w:rFonts w:ascii="Arial" w:hAnsi="Arial" w:cs="Arial"/>
          <w:sz w:val="22"/>
          <w:szCs w:val="22"/>
        </w:rPr>
        <w:t xml:space="preserve"> Tchanturia, 2017). This supports the need for flexible, person-centred approaches rather than a one-size-fits-all model.</w:t>
      </w:r>
    </w:p>
    <w:p w14:paraId="21636C59" w14:textId="095CC5ED" w:rsidR="00E47F98" w:rsidRPr="001E2232" w:rsidRDefault="00E47F98" w:rsidP="001E2232">
      <w:pPr>
        <w:pStyle w:val="NormalWeb"/>
        <w:spacing w:line="360" w:lineRule="auto"/>
        <w:jc w:val="both"/>
        <w:rPr>
          <w:rFonts w:ascii="Arial" w:hAnsi="Arial" w:cs="Arial"/>
          <w:sz w:val="22"/>
          <w:szCs w:val="22"/>
        </w:rPr>
      </w:pPr>
      <w:r w:rsidRPr="001E2232">
        <w:rPr>
          <w:rFonts w:ascii="Arial" w:hAnsi="Arial" w:cs="Arial"/>
          <w:sz w:val="22"/>
          <w:szCs w:val="22"/>
        </w:rPr>
        <w:lastRenderedPageBreak/>
        <w:t xml:space="preserve">Overall, improving outcomes for people with bulimia </w:t>
      </w:r>
      <w:r w:rsidRPr="00230A22">
        <w:rPr>
          <w:rFonts w:ascii="Arial" w:hAnsi="Arial" w:cs="Arial"/>
          <w:sz w:val="22"/>
          <w:szCs w:val="22"/>
        </w:rPr>
        <w:t>nervosa requires</w:t>
      </w:r>
      <w:r w:rsidRPr="00230A22">
        <w:rPr>
          <w:rFonts w:ascii="Arial" w:hAnsi="Arial" w:cs="Arial"/>
          <w:b/>
          <w:bCs/>
          <w:sz w:val="22"/>
          <w:szCs w:val="22"/>
        </w:rPr>
        <w:t xml:space="preserve"> </w:t>
      </w:r>
      <w:r w:rsidRPr="00230A22">
        <w:rPr>
          <w:rStyle w:val="Strong"/>
          <w:rFonts w:ascii="Arial" w:hAnsi="Arial" w:cs="Arial"/>
          <w:b w:val="0"/>
          <w:bCs w:val="0"/>
          <w:sz w:val="22"/>
          <w:szCs w:val="22"/>
        </w:rPr>
        <w:t>early diagnosis, accessible evidence-based treatment, personalised rehabilitation and continued professional support</w:t>
      </w:r>
      <w:r w:rsidRPr="00230A22">
        <w:rPr>
          <w:rFonts w:ascii="Arial" w:hAnsi="Arial" w:cs="Arial"/>
          <w:b/>
          <w:bCs/>
          <w:sz w:val="22"/>
          <w:szCs w:val="22"/>
        </w:rPr>
        <w:t>.</w:t>
      </w:r>
      <w:r w:rsidRPr="001E2232">
        <w:rPr>
          <w:rFonts w:ascii="Arial" w:hAnsi="Arial" w:cs="Arial"/>
          <w:sz w:val="22"/>
          <w:szCs w:val="22"/>
        </w:rPr>
        <w:t xml:space="preserve"> Healthcare policy should prioritise adequate funding, specialist services and staff training, while future research should continue to examine treatment effectiveness, neurodivergence and improvements to diagnostic classification. Although ICD-11 provides an </w:t>
      </w:r>
      <w:r w:rsidR="00814951" w:rsidRPr="001E2232">
        <w:rPr>
          <w:rFonts w:ascii="Arial" w:hAnsi="Arial" w:cs="Arial"/>
          <w:sz w:val="22"/>
          <w:szCs w:val="22"/>
        </w:rPr>
        <w:t>important, standardised</w:t>
      </w:r>
      <w:r w:rsidRPr="001E2232">
        <w:rPr>
          <w:rFonts w:ascii="Arial" w:hAnsi="Arial" w:cs="Arial"/>
          <w:sz w:val="22"/>
          <w:szCs w:val="22"/>
        </w:rPr>
        <w:t xml:space="preserve"> framework, effective care ultimately depends on understanding the individual as a whole and responding to their physical, psychological and social needs (Hay et al., 2012).</w:t>
      </w:r>
    </w:p>
    <w:p w14:paraId="57A73FC4" w14:textId="77777777" w:rsidR="00E47F98" w:rsidRPr="001E2232" w:rsidRDefault="00E47F98" w:rsidP="001E2232">
      <w:pPr>
        <w:pStyle w:val="NormalWeb"/>
        <w:spacing w:line="360" w:lineRule="auto"/>
        <w:jc w:val="both"/>
        <w:rPr>
          <w:rFonts w:ascii="Arial" w:hAnsi="Arial" w:cs="Arial"/>
          <w:b/>
          <w:bCs/>
          <w:color w:val="000000"/>
          <w:sz w:val="22"/>
          <w:szCs w:val="22"/>
        </w:rPr>
      </w:pPr>
    </w:p>
    <w:p w14:paraId="45A36524" w14:textId="77777777" w:rsidR="008A6D32" w:rsidRPr="008A6D32" w:rsidRDefault="008A6D32" w:rsidP="008A6D32">
      <w:pPr>
        <w:pStyle w:val="NormalWeb"/>
        <w:rPr>
          <w:rFonts w:ascii="Arial" w:hAnsi="Arial" w:cs="Arial"/>
          <w:color w:val="000000"/>
        </w:rPr>
      </w:pPr>
    </w:p>
    <w:p w14:paraId="4F7597D5" w14:textId="77777777" w:rsidR="008A6D32" w:rsidRPr="008A6D32" w:rsidRDefault="008A6D32" w:rsidP="008A6D32">
      <w:pPr>
        <w:pStyle w:val="NormalWeb"/>
        <w:rPr>
          <w:rFonts w:ascii="Arial" w:hAnsi="Arial" w:cs="Arial"/>
          <w:color w:val="000000"/>
        </w:rPr>
      </w:pPr>
    </w:p>
    <w:p w14:paraId="7AD2E81E" w14:textId="77777777" w:rsidR="008A6D32" w:rsidRPr="00E26E07" w:rsidRDefault="008A6D32" w:rsidP="008A6D32">
      <w:pPr>
        <w:pStyle w:val="NormalWeb"/>
        <w:rPr>
          <w:rFonts w:ascii="Arial" w:hAnsi="Arial" w:cs="Arial"/>
          <w:color w:val="000000"/>
          <w:sz w:val="28"/>
          <w:szCs w:val="28"/>
        </w:rPr>
      </w:pPr>
    </w:p>
    <w:p w14:paraId="464E4062" w14:textId="02CAC658" w:rsidR="008A6D32" w:rsidRPr="00E26E07" w:rsidRDefault="008A6D32" w:rsidP="008A6D32">
      <w:pPr>
        <w:pStyle w:val="NormalWeb"/>
        <w:rPr>
          <w:rFonts w:ascii="Arial" w:hAnsi="Arial" w:cs="Arial"/>
          <w:b/>
          <w:bCs/>
          <w:color w:val="000000"/>
          <w:sz w:val="28"/>
          <w:szCs w:val="28"/>
        </w:rPr>
      </w:pPr>
      <w:r w:rsidRPr="00E26E07">
        <w:rPr>
          <w:rFonts w:ascii="Arial" w:hAnsi="Arial" w:cs="Arial"/>
          <w:b/>
          <w:bCs/>
          <w:color w:val="000000"/>
          <w:sz w:val="28"/>
          <w:szCs w:val="28"/>
        </w:rPr>
        <w:t xml:space="preserve">References </w:t>
      </w:r>
    </w:p>
    <w:p w14:paraId="0825FD02" w14:textId="01130C84" w:rsidR="006F5F2E" w:rsidRDefault="009D2A47" w:rsidP="009D2A47">
      <w:pPr>
        <w:pStyle w:val="isselectedend"/>
        <w:rPr>
          <w:rFonts w:ascii="Arial" w:hAnsi="Arial" w:cs="Arial"/>
          <w:sz w:val="22"/>
          <w:szCs w:val="22"/>
        </w:rPr>
      </w:pPr>
      <w:r w:rsidRPr="00814951">
        <w:rPr>
          <w:rFonts w:ascii="Arial" w:hAnsi="Arial" w:cs="Arial"/>
          <w:sz w:val="22"/>
          <w:szCs w:val="22"/>
        </w:rPr>
        <w:t xml:space="preserve">American Psychiatric Association (2022) </w:t>
      </w:r>
      <w:r w:rsidRPr="00814951">
        <w:rPr>
          <w:rStyle w:val="Emphasis"/>
          <w:rFonts w:ascii="Arial" w:hAnsi="Arial" w:cs="Arial"/>
          <w:sz w:val="22"/>
          <w:szCs w:val="22"/>
        </w:rPr>
        <w:t>Diagnostic and statistical manual of mental disorders: DSM-5-TR</w:t>
      </w:r>
      <w:r w:rsidRPr="00814951">
        <w:rPr>
          <w:rFonts w:ascii="Arial" w:hAnsi="Arial" w:cs="Arial"/>
          <w:sz w:val="22"/>
          <w:szCs w:val="22"/>
        </w:rPr>
        <w:t xml:space="preserve">. 5th </w:t>
      </w:r>
      <w:proofErr w:type="spellStart"/>
      <w:r w:rsidRPr="00814951">
        <w:rPr>
          <w:rFonts w:ascii="Arial" w:hAnsi="Arial" w:cs="Arial"/>
          <w:sz w:val="22"/>
          <w:szCs w:val="22"/>
        </w:rPr>
        <w:t>edn</w:t>
      </w:r>
      <w:proofErr w:type="spellEnd"/>
      <w:r w:rsidRPr="00814951">
        <w:rPr>
          <w:rFonts w:ascii="Arial" w:hAnsi="Arial" w:cs="Arial"/>
          <w:sz w:val="22"/>
          <w:szCs w:val="22"/>
        </w:rPr>
        <w:t>, text revision. Washington, DC: American Psychiatric Association.</w:t>
      </w:r>
    </w:p>
    <w:p w14:paraId="5E944520" w14:textId="600BC0CD" w:rsidR="00C63066" w:rsidRPr="00C63066" w:rsidRDefault="008400FD" w:rsidP="00C63066">
      <w:pPr>
        <w:spacing w:after="0" w:line="240" w:lineRule="auto"/>
        <w:rPr>
          <w:rFonts w:ascii="Times New Roman" w:eastAsia="Times New Roman" w:hAnsi="Times New Roman" w:cs="Times New Roman"/>
          <w:kern w:val="0"/>
          <w:lang w:eastAsia="en-GB"/>
          <w14:ligatures w14:val="none"/>
        </w:rPr>
      </w:pPr>
      <w:r w:rsidRPr="008400FD">
        <w:rPr>
          <w:rFonts w:ascii="Arial" w:hAnsi="Arial" w:cs="Arial"/>
          <w:color w:val="3A3A3A"/>
          <w:sz w:val="22"/>
          <w:szCs w:val="22"/>
          <w:shd w:val="clear" w:color="auto" w:fill="FFFFFF"/>
        </w:rPr>
        <w:t>Barakat, S</w:t>
      </w:r>
      <w:r w:rsidR="00D65E32">
        <w:rPr>
          <w:rFonts w:ascii="Arial" w:hAnsi="Arial" w:cs="Arial"/>
          <w:color w:val="3A3A3A"/>
          <w:sz w:val="22"/>
          <w:szCs w:val="22"/>
          <w:shd w:val="clear" w:color="auto" w:fill="FFFFFF"/>
        </w:rPr>
        <w:t xml:space="preserve">., </w:t>
      </w:r>
      <w:r w:rsidRPr="008400FD">
        <w:rPr>
          <w:rFonts w:ascii="Arial" w:hAnsi="Arial" w:cs="Arial"/>
          <w:color w:val="3A3A3A"/>
          <w:sz w:val="22"/>
          <w:szCs w:val="22"/>
          <w:shd w:val="clear" w:color="auto" w:fill="FFFFFF"/>
        </w:rPr>
        <w:t>Maguire, S</w:t>
      </w:r>
      <w:r w:rsidR="00D65E32">
        <w:rPr>
          <w:rFonts w:ascii="Arial" w:hAnsi="Arial" w:cs="Arial"/>
          <w:color w:val="3A3A3A"/>
          <w:sz w:val="22"/>
          <w:szCs w:val="22"/>
          <w:shd w:val="clear" w:color="auto" w:fill="FFFFFF"/>
        </w:rPr>
        <w:t xml:space="preserve">., </w:t>
      </w:r>
      <w:r w:rsidRPr="008400FD">
        <w:rPr>
          <w:rFonts w:ascii="Arial" w:hAnsi="Arial" w:cs="Arial"/>
          <w:color w:val="3A3A3A"/>
          <w:sz w:val="22"/>
          <w:szCs w:val="22"/>
          <w:shd w:val="clear" w:color="auto" w:fill="FFFFFF"/>
        </w:rPr>
        <w:t>Surgenor, L</w:t>
      </w:r>
      <w:r w:rsidR="00F52545">
        <w:rPr>
          <w:rFonts w:ascii="Arial" w:hAnsi="Arial" w:cs="Arial"/>
          <w:color w:val="3A3A3A"/>
          <w:sz w:val="22"/>
          <w:szCs w:val="22"/>
          <w:shd w:val="clear" w:color="auto" w:fill="FFFFFF"/>
        </w:rPr>
        <w:t xml:space="preserve">., </w:t>
      </w:r>
      <w:r w:rsidRPr="008400FD">
        <w:rPr>
          <w:rFonts w:ascii="Arial" w:hAnsi="Arial" w:cs="Arial"/>
          <w:color w:val="3A3A3A"/>
          <w:sz w:val="22"/>
          <w:szCs w:val="22"/>
          <w:shd w:val="clear" w:color="auto" w:fill="FFFFFF"/>
        </w:rPr>
        <w:t>Donnelly, B</w:t>
      </w:r>
      <w:r w:rsidR="00F52545">
        <w:rPr>
          <w:rFonts w:ascii="Arial" w:hAnsi="Arial" w:cs="Arial"/>
          <w:color w:val="3A3A3A"/>
          <w:sz w:val="22"/>
          <w:szCs w:val="22"/>
          <w:shd w:val="clear" w:color="auto" w:fill="FFFFFF"/>
        </w:rPr>
        <w:t xml:space="preserve">., </w:t>
      </w:r>
      <w:proofErr w:type="spellStart"/>
      <w:r w:rsidRPr="008400FD">
        <w:rPr>
          <w:rFonts w:ascii="Arial" w:hAnsi="Arial" w:cs="Arial"/>
          <w:color w:val="3A3A3A"/>
          <w:sz w:val="22"/>
          <w:szCs w:val="22"/>
          <w:shd w:val="clear" w:color="auto" w:fill="FFFFFF"/>
        </w:rPr>
        <w:t>Miceska</w:t>
      </w:r>
      <w:proofErr w:type="spellEnd"/>
      <w:r w:rsidRPr="008400FD">
        <w:rPr>
          <w:rFonts w:ascii="Arial" w:hAnsi="Arial" w:cs="Arial"/>
          <w:color w:val="3A3A3A"/>
          <w:sz w:val="22"/>
          <w:szCs w:val="22"/>
          <w:shd w:val="clear" w:color="auto" w:fill="FFFFFF"/>
        </w:rPr>
        <w:t>, B</w:t>
      </w:r>
      <w:r w:rsidR="00F52545">
        <w:rPr>
          <w:rFonts w:ascii="Arial" w:hAnsi="Arial" w:cs="Arial"/>
          <w:color w:val="3A3A3A"/>
          <w:sz w:val="22"/>
          <w:szCs w:val="22"/>
          <w:shd w:val="clear" w:color="auto" w:fill="FFFFFF"/>
        </w:rPr>
        <w:t>.,</w:t>
      </w:r>
      <w:r w:rsidRPr="008400FD">
        <w:rPr>
          <w:rFonts w:ascii="Arial" w:hAnsi="Arial" w:cs="Arial"/>
          <w:color w:val="3A3A3A"/>
          <w:sz w:val="22"/>
          <w:szCs w:val="22"/>
          <w:shd w:val="clear" w:color="auto" w:fill="FFFFFF"/>
        </w:rPr>
        <w:t xml:space="preserve"> Fromholtz, K</w:t>
      </w:r>
      <w:r>
        <w:rPr>
          <w:rFonts w:ascii="Arial" w:hAnsi="Arial" w:cs="Arial"/>
          <w:color w:val="3A3A3A"/>
          <w:sz w:val="22"/>
          <w:szCs w:val="22"/>
          <w:shd w:val="clear" w:color="auto" w:fill="FFFFFF"/>
        </w:rPr>
        <w:t xml:space="preserve">., </w:t>
      </w:r>
      <w:r w:rsidRPr="008400FD">
        <w:rPr>
          <w:rFonts w:ascii="Arial" w:hAnsi="Arial" w:cs="Arial"/>
          <w:color w:val="3A3A3A"/>
          <w:sz w:val="22"/>
          <w:szCs w:val="22"/>
          <w:shd w:val="clear" w:color="auto" w:fill="FFFFFF"/>
        </w:rPr>
        <w:t>Russell, J</w:t>
      </w:r>
      <w:r>
        <w:rPr>
          <w:rFonts w:ascii="Arial" w:hAnsi="Arial" w:cs="Arial"/>
          <w:color w:val="3A3A3A"/>
          <w:sz w:val="22"/>
          <w:szCs w:val="22"/>
          <w:shd w:val="clear" w:color="auto" w:fill="FFFFFF"/>
        </w:rPr>
        <w:t xml:space="preserve">., </w:t>
      </w:r>
      <w:r w:rsidRPr="008400FD">
        <w:rPr>
          <w:rFonts w:ascii="Arial" w:hAnsi="Arial" w:cs="Arial"/>
          <w:color w:val="3A3A3A"/>
          <w:sz w:val="22"/>
          <w:szCs w:val="22"/>
          <w:shd w:val="clear" w:color="auto" w:fill="FFFFFF"/>
        </w:rPr>
        <w:t>Hay, P</w:t>
      </w:r>
      <w:r>
        <w:rPr>
          <w:rFonts w:ascii="Arial" w:hAnsi="Arial" w:cs="Arial"/>
          <w:color w:val="3A3A3A"/>
          <w:sz w:val="22"/>
          <w:szCs w:val="22"/>
          <w:shd w:val="clear" w:color="auto" w:fill="FFFFFF"/>
        </w:rPr>
        <w:t xml:space="preserve">., </w:t>
      </w:r>
      <w:proofErr w:type="spellStart"/>
      <w:r w:rsidRPr="008400FD">
        <w:rPr>
          <w:rFonts w:ascii="Arial" w:hAnsi="Arial" w:cs="Arial"/>
          <w:color w:val="3A3A3A"/>
          <w:sz w:val="22"/>
          <w:szCs w:val="22"/>
          <w:shd w:val="clear" w:color="auto" w:fill="FFFFFF"/>
        </w:rPr>
        <w:t>Touyz</w:t>
      </w:r>
      <w:proofErr w:type="spellEnd"/>
      <w:r w:rsidRPr="008400FD">
        <w:rPr>
          <w:rFonts w:ascii="Arial" w:hAnsi="Arial" w:cs="Arial"/>
          <w:color w:val="3A3A3A"/>
          <w:sz w:val="22"/>
          <w:szCs w:val="22"/>
          <w:shd w:val="clear" w:color="auto" w:fill="FFFFFF"/>
        </w:rPr>
        <w:t>, S</w:t>
      </w:r>
      <w:r>
        <w:rPr>
          <w:rFonts w:ascii="Arial" w:hAnsi="Arial" w:cs="Arial"/>
          <w:color w:val="3A3A3A"/>
          <w:sz w:val="22"/>
          <w:szCs w:val="22"/>
          <w:shd w:val="clear" w:color="auto" w:fill="FFFFFF"/>
        </w:rPr>
        <w:t xml:space="preserve">. </w:t>
      </w:r>
      <w:r w:rsidR="00C63066" w:rsidRPr="00C63066">
        <w:rPr>
          <w:rFonts w:ascii="Times New Roman" w:eastAsia="Times New Roman" w:hAnsi="Times New Roman" w:cs="Times New Roman"/>
          <w:kern w:val="0"/>
          <w:lang w:eastAsia="en-GB"/>
          <w14:ligatures w14:val="none"/>
        </w:rPr>
        <w:t xml:space="preserve">(2017) “The Role of Regular Eating and Self-Monitoring in the Treatment of Bulimia Nervosa: A Pilot Study of an Online Guided Self-Help CBT Program,” </w:t>
      </w:r>
      <w:proofErr w:type="spellStart"/>
      <w:r w:rsidR="00C63066" w:rsidRPr="00C63066">
        <w:rPr>
          <w:rFonts w:ascii="Times New Roman" w:eastAsia="Times New Roman" w:hAnsi="Times New Roman" w:cs="Times New Roman"/>
          <w:i/>
          <w:iCs/>
          <w:kern w:val="0"/>
          <w:lang w:eastAsia="en-GB"/>
          <w14:ligatures w14:val="none"/>
        </w:rPr>
        <w:t>Behavioral</w:t>
      </w:r>
      <w:proofErr w:type="spellEnd"/>
      <w:r w:rsidR="00C63066" w:rsidRPr="00C63066">
        <w:rPr>
          <w:rFonts w:ascii="Times New Roman" w:eastAsia="Times New Roman" w:hAnsi="Times New Roman" w:cs="Times New Roman"/>
          <w:i/>
          <w:iCs/>
          <w:kern w:val="0"/>
          <w:lang w:eastAsia="en-GB"/>
          <w14:ligatures w14:val="none"/>
        </w:rPr>
        <w:t xml:space="preserve"> sciences</w:t>
      </w:r>
      <w:r w:rsidR="00C63066" w:rsidRPr="00C63066">
        <w:rPr>
          <w:rFonts w:ascii="Times New Roman" w:eastAsia="Times New Roman" w:hAnsi="Times New Roman" w:cs="Times New Roman"/>
          <w:kern w:val="0"/>
          <w:lang w:eastAsia="en-GB"/>
          <w14:ligatures w14:val="none"/>
        </w:rPr>
        <w:t>, 7(3), p. 39. Available at: https://doi.org/10.3390/bs7030039.</w:t>
      </w:r>
    </w:p>
    <w:p w14:paraId="0F2F0B0E" w14:textId="77777777" w:rsidR="00C63066" w:rsidRPr="00814951" w:rsidRDefault="00C63066" w:rsidP="009D2A47">
      <w:pPr>
        <w:pStyle w:val="isselectedend"/>
        <w:rPr>
          <w:rFonts w:ascii="Arial" w:hAnsi="Arial" w:cs="Arial"/>
          <w:sz w:val="22"/>
          <w:szCs w:val="22"/>
        </w:rPr>
      </w:pPr>
    </w:p>
    <w:p w14:paraId="056F7CA6" w14:textId="3FA4A2FD" w:rsidR="006C21BA" w:rsidRDefault="00CE67FA" w:rsidP="001E1E1E">
      <w:pPr>
        <w:spacing w:after="0" w:line="240" w:lineRule="auto"/>
        <w:rPr>
          <w:rFonts w:ascii="Arial" w:eastAsia="Times New Roman" w:hAnsi="Arial" w:cs="Arial"/>
          <w:kern w:val="0"/>
          <w:sz w:val="22"/>
          <w:szCs w:val="22"/>
          <w:lang w:eastAsia="en-GB"/>
          <w14:ligatures w14:val="none"/>
        </w:rPr>
      </w:pPr>
      <w:r w:rsidRPr="00814951">
        <w:rPr>
          <w:rFonts w:ascii="Arial" w:hAnsi="Arial" w:cs="Arial"/>
          <w:sz w:val="22"/>
          <w:szCs w:val="22"/>
          <w:shd w:val="clear" w:color="auto" w:fill="FFFFFF"/>
        </w:rPr>
        <w:t>Berner, L</w:t>
      </w:r>
      <w:r w:rsidR="00F42CBC" w:rsidRPr="00814951">
        <w:rPr>
          <w:rFonts w:ascii="Arial" w:hAnsi="Arial" w:cs="Arial"/>
          <w:sz w:val="22"/>
          <w:szCs w:val="22"/>
          <w:shd w:val="clear" w:color="auto" w:fill="FFFFFF"/>
        </w:rPr>
        <w:t xml:space="preserve">., </w:t>
      </w:r>
      <w:r w:rsidRPr="00814951">
        <w:rPr>
          <w:rFonts w:ascii="Arial" w:hAnsi="Arial" w:cs="Arial"/>
          <w:sz w:val="22"/>
          <w:szCs w:val="22"/>
          <w:shd w:val="clear" w:color="auto" w:fill="FFFFFF"/>
        </w:rPr>
        <w:t>Sysko, R</w:t>
      </w:r>
      <w:r w:rsidR="00F42CBC" w:rsidRPr="00814951">
        <w:rPr>
          <w:rFonts w:ascii="Arial" w:hAnsi="Arial" w:cs="Arial"/>
          <w:sz w:val="22"/>
          <w:szCs w:val="22"/>
          <w:shd w:val="clear" w:color="auto" w:fill="FFFFFF"/>
        </w:rPr>
        <w:t>.,</w:t>
      </w:r>
      <w:r w:rsidRPr="00814951">
        <w:rPr>
          <w:rFonts w:ascii="Arial" w:hAnsi="Arial" w:cs="Arial"/>
          <w:sz w:val="22"/>
          <w:szCs w:val="22"/>
          <w:shd w:val="clear" w:color="auto" w:fill="FFFFFF"/>
        </w:rPr>
        <w:t xml:space="preserve"> Rebello, T</w:t>
      </w:r>
      <w:r w:rsidR="00F42CBC" w:rsidRPr="00814951">
        <w:rPr>
          <w:rFonts w:ascii="Arial" w:hAnsi="Arial" w:cs="Arial"/>
          <w:sz w:val="22"/>
          <w:szCs w:val="22"/>
          <w:shd w:val="clear" w:color="auto" w:fill="FFFFFF"/>
        </w:rPr>
        <w:t xml:space="preserve">., </w:t>
      </w:r>
      <w:r w:rsidRPr="00814951">
        <w:rPr>
          <w:rFonts w:ascii="Arial" w:hAnsi="Arial" w:cs="Arial"/>
          <w:sz w:val="22"/>
          <w:szCs w:val="22"/>
          <w:shd w:val="clear" w:color="auto" w:fill="FFFFFF"/>
        </w:rPr>
        <w:t>Roberto, C</w:t>
      </w:r>
      <w:r w:rsidR="00200B1F" w:rsidRPr="00814951">
        <w:rPr>
          <w:rFonts w:ascii="Arial" w:hAnsi="Arial" w:cs="Arial"/>
          <w:sz w:val="22"/>
          <w:szCs w:val="22"/>
          <w:shd w:val="clear" w:color="auto" w:fill="FFFFFF"/>
        </w:rPr>
        <w:t>.,</w:t>
      </w:r>
      <w:r w:rsidRPr="00814951">
        <w:rPr>
          <w:rFonts w:ascii="Arial" w:hAnsi="Arial" w:cs="Arial"/>
          <w:sz w:val="22"/>
          <w:szCs w:val="22"/>
          <w:shd w:val="clear" w:color="auto" w:fill="FFFFFF"/>
        </w:rPr>
        <w:t xml:space="preserve"> Pike, </w:t>
      </w:r>
      <w:proofErr w:type="gramStart"/>
      <w:r w:rsidRPr="00814951">
        <w:rPr>
          <w:rFonts w:ascii="Arial" w:hAnsi="Arial" w:cs="Arial"/>
          <w:sz w:val="22"/>
          <w:szCs w:val="22"/>
          <w:shd w:val="clear" w:color="auto" w:fill="FFFFFF"/>
        </w:rPr>
        <w:t>K</w:t>
      </w:r>
      <w:r w:rsidR="00200B1F" w:rsidRPr="00814951">
        <w:rPr>
          <w:rFonts w:ascii="Arial" w:hAnsi="Arial" w:cs="Arial"/>
          <w:color w:val="3A3A3A"/>
          <w:sz w:val="22"/>
          <w:szCs w:val="22"/>
          <w:shd w:val="clear" w:color="auto" w:fill="FFFFFF"/>
        </w:rPr>
        <w:t>.</w:t>
      </w:r>
      <w:r w:rsidR="006D4F54" w:rsidRPr="00814951">
        <w:rPr>
          <w:rFonts w:ascii="Arial" w:eastAsia="Times New Roman" w:hAnsi="Arial" w:cs="Arial"/>
          <w:kern w:val="0"/>
          <w:sz w:val="22"/>
          <w:szCs w:val="22"/>
          <w:lang w:eastAsia="en-GB"/>
          <w14:ligatures w14:val="none"/>
        </w:rPr>
        <w:t>(</w:t>
      </w:r>
      <w:proofErr w:type="gramEnd"/>
      <w:r w:rsidR="006D4F54" w:rsidRPr="00814951">
        <w:rPr>
          <w:rFonts w:ascii="Arial" w:eastAsia="Times New Roman" w:hAnsi="Arial" w:cs="Arial"/>
          <w:kern w:val="0"/>
          <w:sz w:val="22"/>
          <w:szCs w:val="22"/>
          <w:lang w:eastAsia="en-GB"/>
          <w14:ligatures w14:val="none"/>
        </w:rPr>
        <w:t xml:space="preserve">2020) “Patient descriptions of loss of control and eating episode size interact to influence expert diagnosis of ICD-11 binge-eating disorder,” </w:t>
      </w:r>
      <w:r w:rsidR="006D4F54" w:rsidRPr="00814951">
        <w:rPr>
          <w:rFonts w:ascii="Arial" w:eastAsia="Times New Roman" w:hAnsi="Arial" w:cs="Arial"/>
          <w:i/>
          <w:iCs/>
          <w:kern w:val="0"/>
          <w:sz w:val="22"/>
          <w:szCs w:val="22"/>
          <w:lang w:eastAsia="en-GB"/>
          <w14:ligatures w14:val="none"/>
        </w:rPr>
        <w:t>Journal of eating disorders</w:t>
      </w:r>
      <w:r w:rsidR="006D4F54" w:rsidRPr="00814951">
        <w:rPr>
          <w:rFonts w:ascii="Arial" w:eastAsia="Times New Roman" w:hAnsi="Arial" w:cs="Arial"/>
          <w:kern w:val="0"/>
          <w:sz w:val="22"/>
          <w:szCs w:val="22"/>
          <w:lang w:eastAsia="en-GB"/>
          <w14:ligatures w14:val="none"/>
        </w:rPr>
        <w:t xml:space="preserve">, 8(1). Available at: </w:t>
      </w:r>
      <w:hyperlink r:id="rId10" w:history="1">
        <w:r w:rsidR="001E1E1E" w:rsidRPr="00814951">
          <w:rPr>
            <w:rStyle w:val="Hyperlink"/>
            <w:rFonts w:ascii="Arial" w:eastAsia="Times New Roman" w:hAnsi="Arial" w:cs="Arial"/>
            <w:kern w:val="0"/>
            <w:sz w:val="22"/>
            <w:szCs w:val="22"/>
            <w:lang w:eastAsia="en-GB"/>
            <w14:ligatures w14:val="none"/>
          </w:rPr>
          <w:t>https://doi.org/10.1186/s40337-020-00342-z</w:t>
        </w:r>
      </w:hyperlink>
      <w:r w:rsidR="006D4F54" w:rsidRPr="00814951">
        <w:rPr>
          <w:rFonts w:ascii="Arial" w:eastAsia="Times New Roman" w:hAnsi="Arial" w:cs="Arial"/>
          <w:kern w:val="0"/>
          <w:sz w:val="22"/>
          <w:szCs w:val="22"/>
          <w:lang w:eastAsia="en-GB"/>
          <w14:ligatures w14:val="none"/>
        </w:rPr>
        <w:t>.</w:t>
      </w:r>
    </w:p>
    <w:p w14:paraId="35E16605" w14:textId="77777777" w:rsidR="00542092" w:rsidRDefault="00542092" w:rsidP="001E1E1E">
      <w:pPr>
        <w:spacing w:after="0" w:line="240" w:lineRule="auto"/>
        <w:rPr>
          <w:rFonts w:ascii="Arial" w:eastAsia="Times New Roman" w:hAnsi="Arial" w:cs="Arial"/>
          <w:kern w:val="0"/>
          <w:sz w:val="22"/>
          <w:szCs w:val="22"/>
          <w:lang w:eastAsia="en-GB"/>
          <w14:ligatures w14:val="none"/>
        </w:rPr>
      </w:pPr>
    </w:p>
    <w:p w14:paraId="415EE8DF" w14:textId="77777777" w:rsidR="00542092" w:rsidRDefault="00542092" w:rsidP="001E1E1E">
      <w:pPr>
        <w:spacing w:after="0" w:line="240" w:lineRule="auto"/>
        <w:rPr>
          <w:rFonts w:ascii="Arial" w:eastAsia="Times New Roman" w:hAnsi="Arial" w:cs="Arial"/>
          <w:kern w:val="0"/>
          <w:sz w:val="22"/>
          <w:szCs w:val="22"/>
          <w:lang w:eastAsia="en-GB"/>
          <w14:ligatures w14:val="none"/>
        </w:rPr>
      </w:pPr>
    </w:p>
    <w:p w14:paraId="1CB8AE32" w14:textId="77777777" w:rsidR="001E2232" w:rsidRDefault="001E2232" w:rsidP="001E1E1E">
      <w:pPr>
        <w:spacing w:after="0" w:line="240" w:lineRule="auto"/>
        <w:rPr>
          <w:rFonts w:ascii="Arial" w:eastAsia="Times New Roman" w:hAnsi="Arial" w:cs="Arial"/>
          <w:kern w:val="0"/>
          <w:sz w:val="22"/>
          <w:szCs w:val="22"/>
          <w:lang w:eastAsia="en-GB"/>
          <w14:ligatures w14:val="none"/>
        </w:rPr>
      </w:pPr>
    </w:p>
    <w:p w14:paraId="28E7285D" w14:textId="77777777" w:rsidR="001E2232" w:rsidRPr="00814951" w:rsidRDefault="001E2232" w:rsidP="001E1E1E">
      <w:pPr>
        <w:spacing w:after="0" w:line="240" w:lineRule="auto"/>
        <w:rPr>
          <w:rFonts w:ascii="Arial" w:eastAsia="Times New Roman" w:hAnsi="Arial" w:cs="Arial"/>
          <w:kern w:val="0"/>
          <w:sz w:val="22"/>
          <w:szCs w:val="22"/>
          <w:lang w:eastAsia="en-GB"/>
          <w14:ligatures w14:val="none"/>
        </w:rPr>
      </w:pPr>
    </w:p>
    <w:p w14:paraId="7F55FCB1" w14:textId="5C27FF06" w:rsidR="001E1E1E" w:rsidRDefault="001E1E1E" w:rsidP="001E1E1E">
      <w:pPr>
        <w:spacing w:after="0" w:line="240" w:lineRule="auto"/>
        <w:rPr>
          <w:rFonts w:ascii="Arial" w:eastAsia="Times New Roman" w:hAnsi="Arial" w:cs="Arial"/>
          <w:kern w:val="0"/>
          <w:sz w:val="22"/>
          <w:szCs w:val="22"/>
          <w:lang w:eastAsia="en-GB"/>
          <w14:ligatures w14:val="none"/>
        </w:rPr>
      </w:pPr>
      <w:r w:rsidRPr="00814951">
        <w:rPr>
          <w:rFonts w:ascii="Arial" w:eastAsia="Times New Roman" w:hAnsi="Arial" w:cs="Arial"/>
          <w:kern w:val="0"/>
          <w:sz w:val="22"/>
          <w:szCs w:val="22"/>
          <w:lang w:eastAsia="en-GB"/>
          <w14:ligatures w14:val="none"/>
        </w:rPr>
        <w:t xml:space="preserve">Carter, J.C., Aimé, A.A. and Mills, J.S. (2001) “Assessment of bulimia nervosa: A comparison of interview and self-report questionnaire methods,” </w:t>
      </w:r>
      <w:r w:rsidRPr="00814951">
        <w:rPr>
          <w:rFonts w:ascii="Arial" w:eastAsia="Times New Roman" w:hAnsi="Arial" w:cs="Arial"/>
          <w:i/>
          <w:iCs/>
          <w:kern w:val="0"/>
          <w:sz w:val="22"/>
          <w:szCs w:val="22"/>
          <w:lang w:eastAsia="en-GB"/>
          <w14:ligatures w14:val="none"/>
        </w:rPr>
        <w:t>The International journal of eating disorders</w:t>
      </w:r>
      <w:r w:rsidRPr="00814951">
        <w:rPr>
          <w:rFonts w:ascii="Arial" w:eastAsia="Times New Roman" w:hAnsi="Arial" w:cs="Arial"/>
          <w:kern w:val="0"/>
          <w:sz w:val="22"/>
          <w:szCs w:val="22"/>
          <w:lang w:eastAsia="en-GB"/>
          <w14:ligatures w14:val="none"/>
        </w:rPr>
        <w:t xml:space="preserve">, 30(2), pp. 187–192. Available at: </w:t>
      </w:r>
      <w:hyperlink r:id="rId11" w:history="1">
        <w:r w:rsidR="007814C4" w:rsidRPr="00814951">
          <w:rPr>
            <w:rStyle w:val="Hyperlink"/>
            <w:rFonts w:ascii="Arial" w:eastAsia="Times New Roman" w:hAnsi="Arial" w:cs="Arial"/>
            <w:kern w:val="0"/>
            <w:sz w:val="22"/>
            <w:szCs w:val="22"/>
            <w:lang w:eastAsia="en-GB"/>
            <w14:ligatures w14:val="none"/>
          </w:rPr>
          <w:t>https://doi.org/10.1002/eat.1071</w:t>
        </w:r>
      </w:hyperlink>
      <w:r w:rsidRPr="00814951">
        <w:rPr>
          <w:rFonts w:ascii="Arial" w:eastAsia="Times New Roman" w:hAnsi="Arial" w:cs="Arial"/>
          <w:kern w:val="0"/>
          <w:sz w:val="22"/>
          <w:szCs w:val="22"/>
          <w:lang w:eastAsia="en-GB"/>
          <w14:ligatures w14:val="none"/>
        </w:rPr>
        <w:t>.</w:t>
      </w:r>
    </w:p>
    <w:p w14:paraId="5DB9145D" w14:textId="77777777" w:rsidR="006F5970" w:rsidRDefault="006F5970" w:rsidP="001E1E1E">
      <w:pPr>
        <w:spacing w:after="0" w:line="240" w:lineRule="auto"/>
        <w:rPr>
          <w:rFonts w:ascii="Arial" w:eastAsia="Times New Roman" w:hAnsi="Arial" w:cs="Arial"/>
          <w:kern w:val="0"/>
          <w:sz w:val="22"/>
          <w:szCs w:val="22"/>
          <w:lang w:eastAsia="en-GB"/>
          <w14:ligatures w14:val="none"/>
        </w:rPr>
      </w:pPr>
    </w:p>
    <w:p w14:paraId="57055CF9" w14:textId="3F571338" w:rsidR="006F5970" w:rsidRPr="00216422" w:rsidRDefault="0080103F" w:rsidP="006F5970">
      <w:pPr>
        <w:spacing w:after="0" w:line="240" w:lineRule="auto"/>
        <w:rPr>
          <w:rFonts w:ascii="Arial" w:eastAsia="Times New Roman" w:hAnsi="Arial" w:cs="Arial"/>
          <w:kern w:val="0"/>
          <w:sz w:val="22"/>
          <w:szCs w:val="22"/>
          <w:lang w:eastAsia="en-GB"/>
          <w14:ligatures w14:val="none"/>
        </w:rPr>
      </w:pPr>
      <w:r w:rsidRPr="00216422">
        <w:rPr>
          <w:rFonts w:ascii="Arial" w:hAnsi="Arial" w:cs="Arial"/>
          <w:color w:val="3A3A3A"/>
          <w:sz w:val="22"/>
          <w:szCs w:val="22"/>
          <w:shd w:val="clear" w:color="auto" w:fill="FFFFFF"/>
        </w:rPr>
        <w:t>D'Adamo, L</w:t>
      </w:r>
      <w:r w:rsidR="00025B21" w:rsidRPr="00216422">
        <w:rPr>
          <w:rFonts w:ascii="Arial" w:hAnsi="Arial" w:cs="Arial"/>
          <w:color w:val="3A3A3A"/>
          <w:sz w:val="22"/>
          <w:szCs w:val="22"/>
          <w:shd w:val="clear" w:color="auto" w:fill="FFFFFF"/>
        </w:rPr>
        <w:t xml:space="preserve">., </w:t>
      </w:r>
      <w:proofErr w:type="spellStart"/>
      <w:r w:rsidRPr="00216422">
        <w:rPr>
          <w:rFonts w:ascii="Arial" w:hAnsi="Arial" w:cs="Arial"/>
          <w:color w:val="3A3A3A"/>
          <w:sz w:val="22"/>
          <w:szCs w:val="22"/>
          <w:shd w:val="clear" w:color="auto" w:fill="FFFFFF"/>
        </w:rPr>
        <w:t>Linardon</w:t>
      </w:r>
      <w:proofErr w:type="spellEnd"/>
      <w:r w:rsidRPr="00216422">
        <w:rPr>
          <w:rFonts w:ascii="Arial" w:hAnsi="Arial" w:cs="Arial"/>
          <w:color w:val="3A3A3A"/>
          <w:sz w:val="22"/>
          <w:szCs w:val="22"/>
          <w:shd w:val="clear" w:color="auto" w:fill="FFFFFF"/>
        </w:rPr>
        <w:t>, J</w:t>
      </w:r>
      <w:r w:rsidR="00025B21" w:rsidRPr="00216422">
        <w:rPr>
          <w:rFonts w:ascii="Arial" w:hAnsi="Arial" w:cs="Arial"/>
          <w:color w:val="3A3A3A"/>
          <w:sz w:val="22"/>
          <w:szCs w:val="22"/>
          <w:shd w:val="clear" w:color="auto" w:fill="FFFFFF"/>
        </w:rPr>
        <w:t xml:space="preserve">., </w:t>
      </w:r>
      <w:r w:rsidRPr="00216422">
        <w:rPr>
          <w:rFonts w:ascii="Arial" w:hAnsi="Arial" w:cs="Arial"/>
          <w:color w:val="3A3A3A"/>
          <w:sz w:val="22"/>
          <w:szCs w:val="22"/>
          <w:shd w:val="clear" w:color="auto" w:fill="FFFFFF"/>
        </w:rPr>
        <w:t>Manasse, S</w:t>
      </w:r>
      <w:r w:rsidR="00025B21" w:rsidRPr="00216422">
        <w:rPr>
          <w:rFonts w:ascii="Arial" w:hAnsi="Arial" w:cs="Arial"/>
          <w:color w:val="3A3A3A"/>
          <w:sz w:val="22"/>
          <w:szCs w:val="22"/>
          <w:shd w:val="clear" w:color="auto" w:fill="FFFFFF"/>
        </w:rPr>
        <w:t xml:space="preserve">., </w:t>
      </w:r>
      <w:r w:rsidRPr="00216422">
        <w:rPr>
          <w:rFonts w:ascii="Arial" w:hAnsi="Arial" w:cs="Arial"/>
          <w:color w:val="3A3A3A"/>
          <w:sz w:val="22"/>
          <w:szCs w:val="22"/>
          <w:shd w:val="clear" w:color="auto" w:fill="FFFFFF"/>
        </w:rPr>
        <w:t>Juarascio, A</w:t>
      </w:r>
      <w:r w:rsidR="00025B21" w:rsidRPr="00216422">
        <w:rPr>
          <w:rFonts w:ascii="Arial" w:hAnsi="Arial" w:cs="Arial"/>
          <w:color w:val="3A3A3A"/>
          <w:sz w:val="22"/>
          <w:szCs w:val="22"/>
          <w:shd w:val="clear" w:color="auto" w:fill="FFFFFF"/>
        </w:rPr>
        <w:t>.</w:t>
      </w:r>
      <w:r w:rsidR="006F5970" w:rsidRPr="00216422">
        <w:rPr>
          <w:rFonts w:ascii="Arial" w:eastAsia="Times New Roman" w:hAnsi="Arial" w:cs="Arial"/>
          <w:kern w:val="0"/>
          <w:sz w:val="22"/>
          <w:szCs w:val="22"/>
          <w:lang w:eastAsia="en-GB"/>
          <w14:ligatures w14:val="none"/>
        </w:rPr>
        <w:t xml:space="preserve"> (2024) “Trajectories of therapeutic skills use and their dynamic relations to symptom change during cognitive</w:t>
      </w:r>
      <w:r w:rsidR="006F5970" w:rsidRPr="00216422">
        <w:rPr>
          <w:rFonts w:ascii="Cambria Math" w:eastAsia="Times New Roman" w:hAnsi="Cambria Math" w:cs="Cambria Math"/>
          <w:kern w:val="0"/>
          <w:sz w:val="22"/>
          <w:szCs w:val="22"/>
          <w:lang w:eastAsia="en-GB"/>
          <w14:ligatures w14:val="none"/>
        </w:rPr>
        <w:t>‐</w:t>
      </w:r>
      <w:proofErr w:type="spellStart"/>
      <w:r w:rsidR="006F5970" w:rsidRPr="00216422">
        <w:rPr>
          <w:rFonts w:ascii="Arial" w:eastAsia="Times New Roman" w:hAnsi="Arial" w:cs="Arial"/>
          <w:kern w:val="0"/>
          <w:sz w:val="22"/>
          <w:szCs w:val="22"/>
          <w:lang w:eastAsia="en-GB"/>
          <w14:ligatures w14:val="none"/>
        </w:rPr>
        <w:t>behavioral</w:t>
      </w:r>
      <w:proofErr w:type="spellEnd"/>
      <w:r w:rsidR="006F5970" w:rsidRPr="00216422">
        <w:rPr>
          <w:rFonts w:ascii="Arial" w:eastAsia="Times New Roman" w:hAnsi="Arial" w:cs="Arial"/>
          <w:kern w:val="0"/>
          <w:sz w:val="22"/>
          <w:szCs w:val="22"/>
          <w:lang w:eastAsia="en-GB"/>
          <w14:ligatures w14:val="none"/>
        </w:rPr>
        <w:t xml:space="preserve"> therapy for bulimia nervosa,” </w:t>
      </w:r>
      <w:r w:rsidR="006F5970" w:rsidRPr="00216422">
        <w:rPr>
          <w:rFonts w:ascii="Arial" w:eastAsia="Times New Roman" w:hAnsi="Arial" w:cs="Arial"/>
          <w:i/>
          <w:iCs/>
          <w:kern w:val="0"/>
          <w:sz w:val="22"/>
          <w:szCs w:val="22"/>
          <w:lang w:eastAsia="en-GB"/>
          <w14:ligatures w14:val="none"/>
        </w:rPr>
        <w:t>The International journal of eating disorders</w:t>
      </w:r>
      <w:r w:rsidR="006F5970" w:rsidRPr="00216422">
        <w:rPr>
          <w:rFonts w:ascii="Arial" w:eastAsia="Times New Roman" w:hAnsi="Arial" w:cs="Arial"/>
          <w:kern w:val="0"/>
          <w:sz w:val="22"/>
          <w:szCs w:val="22"/>
          <w:lang w:eastAsia="en-GB"/>
          <w14:ligatures w14:val="none"/>
        </w:rPr>
        <w:t>, 57(1), pp. 173–183. Available at: https://doi.org/10.1002/eat.24099.</w:t>
      </w:r>
    </w:p>
    <w:p w14:paraId="17795A61" w14:textId="77777777" w:rsidR="006F5970" w:rsidRPr="00814951" w:rsidRDefault="006F5970" w:rsidP="001E1E1E">
      <w:pPr>
        <w:spacing w:after="0" w:line="240" w:lineRule="auto"/>
        <w:rPr>
          <w:rFonts w:ascii="Arial" w:eastAsia="Times New Roman" w:hAnsi="Arial" w:cs="Arial"/>
          <w:kern w:val="0"/>
          <w:sz w:val="22"/>
          <w:szCs w:val="22"/>
          <w:lang w:eastAsia="en-GB"/>
          <w14:ligatures w14:val="none"/>
        </w:rPr>
      </w:pPr>
    </w:p>
    <w:p w14:paraId="2CD484F8" w14:textId="77777777" w:rsidR="007814C4" w:rsidRPr="00814951" w:rsidRDefault="007814C4" w:rsidP="001E1E1E">
      <w:pPr>
        <w:spacing w:after="0" w:line="240" w:lineRule="auto"/>
        <w:rPr>
          <w:rFonts w:ascii="Arial" w:eastAsia="Times New Roman" w:hAnsi="Arial" w:cs="Arial"/>
          <w:kern w:val="0"/>
          <w:sz w:val="22"/>
          <w:szCs w:val="22"/>
          <w:lang w:eastAsia="en-GB"/>
          <w14:ligatures w14:val="none"/>
        </w:rPr>
      </w:pPr>
    </w:p>
    <w:p w14:paraId="2684E60C" w14:textId="40DDF44E" w:rsidR="007814C4" w:rsidRPr="00814951" w:rsidRDefault="0000052A" w:rsidP="007B1893">
      <w:pPr>
        <w:shd w:val="clear" w:color="auto" w:fill="FFFFFF"/>
        <w:spacing w:after="0" w:line="336" w:lineRule="atLeast"/>
        <w:rPr>
          <w:rFonts w:ascii="Arial" w:eastAsia="Times New Roman" w:hAnsi="Arial" w:cs="Arial"/>
          <w:kern w:val="0"/>
          <w:sz w:val="22"/>
          <w:szCs w:val="22"/>
          <w:lang w:eastAsia="en-GB"/>
          <w14:ligatures w14:val="none"/>
        </w:rPr>
      </w:pPr>
      <w:r w:rsidRPr="00814951">
        <w:rPr>
          <w:rFonts w:ascii="Arial" w:eastAsia="Times New Roman" w:hAnsi="Arial" w:cs="Arial"/>
          <w:kern w:val="0"/>
          <w:sz w:val="22"/>
          <w:szCs w:val="22"/>
          <w:lang w:eastAsia="en-GB"/>
          <w14:ligatures w14:val="none"/>
        </w:rPr>
        <w:lastRenderedPageBreak/>
        <w:t>Gómez Candela, C</w:t>
      </w:r>
      <w:r w:rsidR="001A5922" w:rsidRPr="00814951">
        <w:rPr>
          <w:rFonts w:ascii="Arial" w:eastAsia="Times New Roman" w:hAnsi="Arial" w:cs="Arial"/>
          <w:kern w:val="0"/>
          <w:sz w:val="22"/>
          <w:szCs w:val="22"/>
          <w:lang w:eastAsia="en-GB"/>
          <w14:ligatures w14:val="none"/>
        </w:rPr>
        <w:t xml:space="preserve">., </w:t>
      </w:r>
      <w:r w:rsidRPr="00814951">
        <w:rPr>
          <w:rFonts w:ascii="Arial" w:eastAsia="Times New Roman" w:hAnsi="Arial" w:cs="Arial"/>
          <w:kern w:val="0"/>
          <w:sz w:val="22"/>
          <w:szCs w:val="22"/>
          <w:lang w:eastAsia="en-GB"/>
          <w14:ligatures w14:val="none"/>
        </w:rPr>
        <w:t>Palma Milla, S</w:t>
      </w:r>
      <w:r w:rsidR="007D5798" w:rsidRPr="00814951">
        <w:rPr>
          <w:rFonts w:ascii="Arial" w:eastAsia="Times New Roman" w:hAnsi="Arial" w:cs="Arial"/>
          <w:kern w:val="0"/>
          <w:sz w:val="22"/>
          <w:szCs w:val="22"/>
          <w:lang w:eastAsia="en-GB"/>
          <w14:ligatures w14:val="none"/>
        </w:rPr>
        <w:t xml:space="preserve">., </w:t>
      </w:r>
      <w:proofErr w:type="spellStart"/>
      <w:r w:rsidRPr="00814951">
        <w:rPr>
          <w:rFonts w:ascii="Arial" w:eastAsia="Times New Roman" w:hAnsi="Arial" w:cs="Arial"/>
          <w:kern w:val="0"/>
          <w:sz w:val="22"/>
          <w:szCs w:val="22"/>
          <w:lang w:eastAsia="en-GB"/>
          <w14:ligatures w14:val="none"/>
        </w:rPr>
        <w:t>Miján</w:t>
      </w:r>
      <w:proofErr w:type="spellEnd"/>
      <w:r w:rsidRPr="00814951">
        <w:rPr>
          <w:rFonts w:ascii="Arial" w:eastAsia="Times New Roman" w:hAnsi="Arial" w:cs="Arial"/>
          <w:kern w:val="0"/>
          <w:sz w:val="22"/>
          <w:szCs w:val="22"/>
          <w:lang w:eastAsia="en-GB"/>
          <w14:ligatures w14:val="none"/>
        </w:rPr>
        <w:t>-de-la-Torre, A</w:t>
      </w:r>
      <w:r w:rsidR="007D5798" w:rsidRPr="00814951">
        <w:rPr>
          <w:rFonts w:ascii="Arial" w:eastAsia="Times New Roman" w:hAnsi="Arial" w:cs="Arial"/>
          <w:kern w:val="0"/>
          <w:sz w:val="22"/>
          <w:szCs w:val="22"/>
          <w:lang w:eastAsia="en-GB"/>
          <w14:ligatures w14:val="none"/>
        </w:rPr>
        <w:t xml:space="preserve">., </w:t>
      </w:r>
      <w:r w:rsidRPr="00814951">
        <w:rPr>
          <w:rFonts w:ascii="Arial" w:eastAsia="Times New Roman" w:hAnsi="Arial" w:cs="Arial"/>
          <w:kern w:val="0"/>
          <w:sz w:val="22"/>
          <w:szCs w:val="22"/>
          <w:lang w:eastAsia="en-GB"/>
          <w14:ligatures w14:val="none"/>
        </w:rPr>
        <w:t>Rodríguez Ortega, P</w:t>
      </w:r>
      <w:r w:rsidR="007D5798" w:rsidRPr="00814951">
        <w:rPr>
          <w:rFonts w:ascii="Arial" w:eastAsia="Times New Roman" w:hAnsi="Arial" w:cs="Arial"/>
          <w:kern w:val="0"/>
          <w:sz w:val="22"/>
          <w:szCs w:val="22"/>
          <w:lang w:eastAsia="en-GB"/>
          <w14:ligatures w14:val="none"/>
        </w:rPr>
        <w:t xml:space="preserve">., </w:t>
      </w:r>
      <w:proofErr w:type="spellStart"/>
      <w:r w:rsidRPr="00814951">
        <w:rPr>
          <w:rFonts w:ascii="Arial" w:eastAsia="Times New Roman" w:hAnsi="Arial" w:cs="Arial"/>
          <w:kern w:val="0"/>
          <w:sz w:val="22"/>
          <w:szCs w:val="22"/>
          <w:lang w:eastAsia="en-GB"/>
          <w14:ligatures w14:val="none"/>
        </w:rPr>
        <w:t>Matía</w:t>
      </w:r>
      <w:proofErr w:type="spellEnd"/>
      <w:r w:rsidRPr="00814951">
        <w:rPr>
          <w:rFonts w:ascii="Arial" w:eastAsia="Times New Roman" w:hAnsi="Arial" w:cs="Arial"/>
          <w:kern w:val="0"/>
          <w:sz w:val="22"/>
          <w:szCs w:val="22"/>
          <w:lang w:eastAsia="en-GB"/>
          <w14:ligatures w14:val="none"/>
        </w:rPr>
        <w:t xml:space="preserve"> Martín, P</w:t>
      </w:r>
      <w:r w:rsidR="007D5798" w:rsidRPr="00814951">
        <w:rPr>
          <w:rFonts w:ascii="Arial" w:eastAsia="Times New Roman" w:hAnsi="Arial" w:cs="Arial"/>
          <w:kern w:val="0"/>
          <w:sz w:val="22"/>
          <w:szCs w:val="22"/>
          <w:lang w:eastAsia="en-GB"/>
          <w14:ligatures w14:val="none"/>
        </w:rPr>
        <w:t xml:space="preserve">., </w:t>
      </w:r>
      <w:r w:rsidRPr="00814951">
        <w:rPr>
          <w:rFonts w:ascii="Arial" w:eastAsia="Times New Roman" w:hAnsi="Arial" w:cs="Arial"/>
          <w:kern w:val="0"/>
          <w:sz w:val="22"/>
          <w:szCs w:val="22"/>
          <w:lang w:eastAsia="en-GB"/>
          <w14:ligatures w14:val="none"/>
        </w:rPr>
        <w:t>Loria Cohen, V</w:t>
      </w:r>
      <w:r w:rsidR="007D5798" w:rsidRPr="00814951">
        <w:rPr>
          <w:rFonts w:ascii="Arial" w:eastAsia="Times New Roman" w:hAnsi="Arial" w:cs="Arial"/>
          <w:kern w:val="0"/>
          <w:sz w:val="22"/>
          <w:szCs w:val="22"/>
          <w:lang w:eastAsia="en-GB"/>
          <w14:ligatures w14:val="none"/>
        </w:rPr>
        <w:t xml:space="preserve">., </w:t>
      </w:r>
      <w:r w:rsidRPr="00814951">
        <w:rPr>
          <w:rFonts w:ascii="Arial" w:eastAsia="Times New Roman" w:hAnsi="Arial" w:cs="Arial"/>
          <w:kern w:val="0"/>
          <w:sz w:val="22"/>
          <w:szCs w:val="22"/>
          <w:lang w:eastAsia="en-GB"/>
          <w14:ligatures w14:val="none"/>
        </w:rPr>
        <w:t>Campos Del Portillo, R</w:t>
      </w:r>
      <w:r w:rsidR="007D5798" w:rsidRPr="00814951">
        <w:rPr>
          <w:rFonts w:ascii="Arial" w:eastAsia="Times New Roman" w:hAnsi="Arial" w:cs="Arial"/>
          <w:kern w:val="0"/>
          <w:sz w:val="22"/>
          <w:szCs w:val="22"/>
          <w:lang w:eastAsia="en-GB"/>
          <w14:ligatures w14:val="none"/>
        </w:rPr>
        <w:t xml:space="preserve">., </w:t>
      </w:r>
      <w:r w:rsidRPr="00814951">
        <w:rPr>
          <w:rFonts w:ascii="Arial" w:eastAsia="Times New Roman" w:hAnsi="Arial" w:cs="Arial"/>
          <w:kern w:val="0"/>
          <w:sz w:val="22"/>
          <w:szCs w:val="22"/>
          <w:lang w:eastAsia="en-GB"/>
          <w14:ligatures w14:val="none"/>
        </w:rPr>
        <w:t xml:space="preserve"> Virgili Casas, M</w:t>
      </w:r>
      <w:r w:rsidR="007D5798" w:rsidRPr="00814951">
        <w:rPr>
          <w:rFonts w:ascii="Arial" w:eastAsia="Times New Roman" w:hAnsi="Arial" w:cs="Arial"/>
          <w:kern w:val="0"/>
          <w:sz w:val="22"/>
          <w:szCs w:val="22"/>
          <w:lang w:eastAsia="en-GB"/>
          <w14:ligatures w14:val="none"/>
        </w:rPr>
        <w:t>.,</w:t>
      </w:r>
      <w:r w:rsidRPr="00814951">
        <w:rPr>
          <w:rFonts w:ascii="Arial" w:eastAsia="Times New Roman" w:hAnsi="Arial" w:cs="Arial"/>
          <w:kern w:val="0"/>
          <w:sz w:val="22"/>
          <w:szCs w:val="22"/>
          <w:lang w:eastAsia="en-GB"/>
          <w14:ligatures w14:val="none"/>
        </w:rPr>
        <w:t xml:space="preserve"> Martínez Olmos, M</w:t>
      </w:r>
      <w:r w:rsidR="00B43006" w:rsidRPr="00814951">
        <w:rPr>
          <w:rFonts w:ascii="Arial" w:eastAsia="Times New Roman" w:hAnsi="Arial" w:cs="Arial"/>
          <w:kern w:val="0"/>
          <w:sz w:val="22"/>
          <w:szCs w:val="22"/>
          <w:lang w:eastAsia="en-GB"/>
          <w14:ligatures w14:val="none"/>
        </w:rPr>
        <w:t xml:space="preserve">., </w:t>
      </w:r>
      <w:r w:rsidRPr="00814951">
        <w:rPr>
          <w:rFonts w:ascii="Arial" w:eastAsia="Times New Roman" w:hAnsi="Arial" w:cs="Arial"/>
          <w:kern w:val="0"/>
          <w:sz w:val="22"/>
          <w:szCs w:val="22"/>
          <w:lang w:eastAsia="en-GB"/>
          <w14:ligatures w14:val="none"/>
        </w:rPr>
        <w:t xml:space="preserve"> </w:t>
      </w:r>
      <w:proofErr w:type="spellStart"/>
      <w:r w:rsidRPr="00814951">
        <w:rPr>
          <w:rFonts w:ascii="Arial" w:eastAsia="Times New Roman" w:hAnsi="Arial" w:cs="Arial"/>
          <w:kern w:val="0"/>
          <w:sz w:val="22"/>
          <w:szCs w:val="22"/>
          <w:lang w:eastAsia="en-GB"/>
          <w14:ligatures w14:val="none"/>
        </w:rPr>
        <w:t>Mories</w:t>
      </w:r>
      <w:proofErr w:type="spellEnd"/>
      <w:r w:rsidRPr="00814951">
        <w:rPr>
          <w:rFonts w:ascii="Arial" w:eastAsia="Times New Roman" w:hAnsi="Arial" w:cs="Arial"/>
          <w:kern w:val="0"/>
          <w:sz w:val="22"/>
          <w:szCs w:val="22"/>
          <w:lang w:eastAsia="en-GB"/>
          <w14:ligatures w14:val="none"/>
        </w:rPr>
        <w:t xml:space="preserve"> Álvarez, M</w:t>
      </w:r>
      <w:r w:rsidR="00B43006" w:rsidRPr="00814951">
        <w:rPr>
          <w:rFonts w:ascii="Arial" w:eastAsia="Times New Roman" w:hAnsi="Arial" w:cs="Arial"/>
          <w:kern w:val="0"/>
          <w:sz w:val="22"/>
          <w:szCs w:val="22"/>
          <w:lang w:eastAsia="en-GB"/>
          <w14:ligatures w14:val="none"/>
        </w:rPr>
        <w:t xml:space="preserve">., </w:t>
      </w:r>
      <w:r w:rsidRPr="00814951">
        <w:rPr>
          <w:rFonts w:ascii="Arial" w:eastAsia="Times New Roman" w:hAnsi="Arial" w:cs="Arial"/>
          <w:kern w:val="0"/>
          <w:sz w:val="22"/>
          <w:szCs w:val="22"/>
          <w:lang w:eastAsia="en-GB"/>
          <w14:ligatures w14:val="none"/>
        </w:rPr>
        <w:t>Castro A</w:t>
      </w:r>
      <w:r w:rsidR="007B1893" w:rsidRPr="00814951">
        <w:rPr>
          <w:rFonts w:ascii="Arial" w:eastAsia="Times New Roman" w:hAnsi="Arial" w:cs="Arial"/>
          <w:kern w:val="0"/>
          <w:sz w:val="22"/>
          <w:szCs w:val="22"/>
          <w:lang w:eastAsia="en-GB"/>
          <w14:ligatures w14:val="none"/>
        </w:rPr>
        <w:t xml:space="preserve">., </w:t>
      </w:r>
      <w:r w:rsidRPr="00814951">
        <w:rPr>
          <w:rFonts w:ascii="Arial" w:eastAsia="Times New Roman" w:hAnsi="Arial" w:cs="Arial"/>
          <w:kern w:val="0"/>
          <w:sz w:val="22"/>
          <w:szCs w:val="22"/>
          <w:lang w:eastAsia="en-GB"/>
          <w14:ligatures w14:val="none"/>
        </w:rPr>
        <w:t>Martín-Palmero, Á</w:t>
      </w:r>
      <w:r w:rsidR="007B1893" w:rsidRPr="00814951">
        <w:rPr>
          <w:rFonts w:ascii="Arial" w:eastAsia="Times New Roman" w:hAnsi="Arial" w:cs="Arial"/>
          <w:kern w:val="0"/>
          <w:sz w:val="22"/>
          <w:szCs w:val="22"/>
          <w:lang w:eastAsia="en-GB"/>
          <w14:ligatures w14:val="none"/>
        </w:rPr>
        <w:t>.</w:t>
      </w:r>
      <w:r w:rsidR="007814C4" w:rsidRPr="00814951">
        <w:rPr>
          <w:rFonts w:ascii="Arial" w:eastAsia="Times New Roman" w:hAnsi="Arial" w:cs="Arial"/>
          <w:kern w:val="0"/>
          <w:sz w:val="22"/>
          <w:szCs w:val="22"/>
          <w:lang w:eastAsia="en-GB"/>
          <w14:ligatures w14:val="none"/>
        </w:rPr>
        <w:t xml:space="preserve">(2018) “Consensus document about the nutritional evaluation and management of eating disorders: bulimia nervosa, binge eating disorder, and others,” </w:t>
      </w:r>
      <w:proofErr w:type="spellStart"/>
      <w:r w:rsidR="007814C4" w:rsidRPr="00814951">
        <w:rPr>
          <w:rFonts w:ascii="Arial" w:eastAsia="Times New Roman" w:hAnsi="Arial" w:cs="Arial"/>
          <w:i/>
          <w:iCs/>
          <w:kern w:val="0"/>
          <w:sz w:val="22"/>
          <w:szCs w:val="22"/>
          <w:lang w:eastAsia="en-GB"/>
          <w14:ligatures w14:val="none"/>
        </w:rPr>
        <w:t>Nutrición</w:t>
      </w:r>
      <w:proofErr w:type="spellEnd"/>
      <w:r w:rsidR="007814C4" w:rsidRPr="00814951">
        <w:rPr>
          <w:rFonts w:ascii="Arial" w:eastAsia="Times New Roman" w:hAnsi="Arial" w:cs="Arial"/>
          <w:i/>
          <w:iCs/>
          <w:kern w:val="0"/>
          <w:sz w:val="22"/>
          <w:szCs w:val="22"/>
          <w:lang w:eastAsia="en-GB"/>
          <w14:ligatures w14:val="none"/>
        </w:rPr>
        <w:t xml:space="preserve"> </w:t>
      </w:r>
      <w:proofErr w:type="spellStart"/>
      <w:r w:rsidR="007814C4" w:rsidRPr="00814951">
        <w:rPr>
          <w:rFonts w:ascii="Arial" w:eastAsia="Times New Roman" w:hAnsi="Arial" w:cs="Arial"/>
          <w:i/>
          <w:iCs/>
          <w:kern w:val="0"/>
          <w:sz w:val="22"/>
          <w:szCs w:val="22"/>
          <w:lang w:eastAsia="en-GB"/>
          <w14:ligatures w14:val="none"/>
        </w:rPr>
        <w:t>hospitalaria</w:t>
      </w:r>
      <w:proofErr w:type="spellEnd"/>
      <w:r w:rsidR="007814C4" w:rsidRPr="00814951">
        <w:rPr>
          <w:rFonts w:ascii="Arial" w:eastAsia="Times New Roman" w:hAnsi="Arial" w:cs="Arial"/>
          <w:i/>
          <w:iCs/>
          <w:kern w:val="0"/>
          <w:sz w:val="22"/>
          <w:szCs w:val="22"/>
          <w:lang w:eastAsia="en-GB"/>
          <w14:ligatures w14:val="none"/>
        </w:rPr>
        <w:t xml:space="preserve"> : </w:t>
      </w:r>
      <w:proofErr w:type="spellStart"/>
      <w:r w:rsidR="007814C4" w:rsidRPr="00814951">
        <w:rPr>
          <w:rFonts w:ascii="Arial" w:eastAsia="Times New Roman" w:hAnsi="Arial" w:cs="Arial"/>
          <w:i/>
          <w:iCs/>
          <w:kern w:val="0"/>
          <w:sz w:val="22"/>
          <w:szCs w:val="22"/>
          <w:lang w:eastAsia="en-GB"/>
          <w14:ligatures w14:val="none"/>
        </w:rPr>
        <w:t>organo</w:t>
      </w:r>
      <w:proofErr w:type="spellEnd"/>
      <w:r w:rsidR="007814C4" w:rsidRPr="00814951">
        <w:rPr>
          <w:rFonts w:ascii="Arial" w:eastAsia="Times New Roman" w:hAnsi="Arial" w:cs="Arial"/>
          <w:i/>
          <w:iCs/>
          <w:kern w:val="0"/>
          <w:sz w:val="22"/>
          <w:szCs w:val="22"/>
          <w:lang w:eastAsia="en-GB"/>
          <w14:ligatures w14:val="none"/>
        </w:rPr>
        <w:t xml:space="preserve"> </w:t>
      </w:r>
      <w:proofErr w:type="spellStart"/>
      <w:r w:rsidR="007814C4" w:rsidRPr="00814951">
        <w:rPr>
          <w:rFonts w:ascii="Arial" w:eastAsia="Times New Roman" w:hAnsi="Arial" w:cs="Arial"/>
          <w:i/>
          <w:iCs/>
          <w:kern w:val="0"/>
          <w:sz w:val="22"/>
          <w:szCs w:val="22"/>
          <w:lang w:eastAsia="en-GB"/>
          <w14:ligatures w14:val="none"/>
        </w:rPr>
        <w:t>oficial</w:t>
      </w:r>
      <w:proofErr w:type="spellEnd"/>
      <w:r w:rsidR="007814C4" w:rsidRPr="00814951">
        <w:rPr>
          <w:rFonts w:ascii="Arial" w:eastAsia="Times New Roman" w:hAnsi="Arial" w:cs="Arial"/>
          <w:i/>
          <w:iCs/>
          <w:kern w:val="0"/>
          <w:sz w:val="22"/>
          <w:szCs w:val="22"/>
          <w:lang w:eastAsia="en-GB"/>
          <w14:ligatures w14:val="none"/>
        </w:rPr>
        <w:t xml:space="preserve"> de la Sociedad Española de </w:t>
      </w:r>
      <w:proofErr w:type="spellStart"/>
      <w:r w:rsidR="007814C4" w:rsidRPr="00814951">
        <w:rPr>
          <w:rFonts w:ascii="Arial" w:eastAsia="Times New Roman" w:hAnsi="Arial" w:cs="Arial"/>
          <w:i/>
          <w:iCs/>
          <w:kern w:val="0"/>
          <w:sz w:val="22"/>
          <w:szCs w:val="22"/>
          <w:lang w:eastAsia="en-GB"/>
          <w14:ligatures w14:val="none"/>
        </w:rPr>
        <w:t>Nutrición</w:t>
      </w:r>
      <w:proofErr w:type="spellEnd"/>
      <w:r w:rsidR="007814C4" w:rsidRPr="00814951">
        <w:rPr>
          <w:rFonts w:ascii="Arial" w:eastAsia="Times New Roman" w:hAnsi="Arial" w:cs="Arial"/>
          <w:i/>
          <w:iCs/>
          <w:kern w:val="0"/>
          <w:sz w:val="22"/>
          <w:szCs w:val="22"/>
          <w:lang w:eastAsia="en-GB"/>
          <w14:ligatures w14:val="none"/>
        </w:rPr>
        <w:t xml:space="preserve"> Parenteral y Enteral</w:t>
      </w:r>
      <w:r w:rsidR="007814C4" w:rsidRPr="00814951">
        <w:rPr>
          <w:rFonts w:ascii="Arial" w:eastAsia="Times New Roman" w:hAnsi="Arial" w:cs="Arial"/>
          <w:kern w:val="0"/>
          <w:sz w:val="22"/>
          <w:szCs w:val="22"/>
          <w:lang w:eastAsia="en-GB"/>
          <w14:ligatures w14:val="none"/>
        </w:rPr>
        <w:t xml:space="preserve">, 35(Spec No1), p. 49. Available at: </w:t>
      </w:r>
      <w:hyperlink r:id="rId12" w:history="1">
        <w:r w:rsidR="00DC6CAE" w:rsidRPr="00814951">
          <w:rPr>
            <w:rStyle w:val="Hyperlink"/>
            <w:rFonts w:ascii="Arial" w:eastAsia="Times New Roman" w:hAnsi="Arial" w:cs="Arial"/>
            <w:kern w:val="0"/>
            <w:sz w:val="22"/>
            <w:szCs w:val="22"/>
            <w:lang w:eastAsia="en-GB"/>
            <w14:ligatures w14:val="none"/>
          </w:rPr>
          <w:t>https://doi.org/10.20960/nh.1562</w:t>
        </w:r>
      </w:hyperlink>
      <w:r w:rsidR="007814C4" w:rsidRPr="00814951">
        <w:rPr>
          <w:rFonts w:ascii="Arial" w:eastAsia="Times New Roman" w:hAnsi="Arial" w:cs="Arial"/>
          <w:kern w:val="0"/>
          <w:sz w:val="22"/>
          <w:szCs w:val="22"/>
          <w:lang w:eastAsia="en-GB"/>
          <w14:ligatures w14:val="none"/>
        </w:rPr>
        <w:t>.</w:t>
      </w:r>
    </w:p>
    <w:p w14:paraId="1931A4BF" w14:textId="77777777" w:rsidR="007B3560" w:rsidRPr="00814951" w:rsidRDefault="007B3560" w:rsidP="007B1893">
      <w:pPr>
        <w:shd w:val="clear" w:color="auto" w:fill="FFFFFF"/>
        <w:spacing w:after="0" w:line="336" w:lineRule="atLeast"/>
        <w:rPr>
          <w:rFonts w:ascii="Arial" w:eastAsia="Times New Roman" w:hAnsi="Arial" w:cs="Arial"/>
          <w:kern w:val="0"/>
          <w:sz w:val="22"/>
          <w:szCs w:val="22"/>
          <w:lang w:eastAsia="en-GB"/>
          <w14:ligatures w14:val="none"/>
        </w:rPr>
      </w:pPr>
    </w:p>
    <w:p w14:paraId="433DE42A" w14:textId="77777777" w:rsidR="007B3560" w:rsidRPr="00814951" w:rsidRDefault="007B3560" w:rsidP="007B3560">
      <w:pPr>
        <w:pStyle w:val="isselectedend"/>
        <w:rPr>
          <w:rFonts w:ascii="Arial" w:hAnsi="Arial" w:cs="Arial"/>
          <w:sz w:val="22"/>
          <w:szCs w:val="22"/>
        </w:rPr>
      </w:pPr>
      <w:r w:rsidRPr="00814951">
        <w:rPr>
          <w:rFonts w:ascii="Arial" w:hAnsi="Arial" w:cs="Arial"/>
          <w:sz w:val="22"/>
          <w:szCs w:val="22"/>
        </w:rPr>
        <w:t xml:space="preserve">Hay, P.J., Claudino, A.M., </w:t>
      </w:r>
      <w:proofErr w:type="spellStart"/>
      <w:r w:rsidRPr="00814951">
        <w:rPr>
          <w:rFonts w:ascii="Arial" w:hAnsi="Arial" w:cs="Arial"/>
          <w:sz w:val="22"/>
          <w:szCs w:val="22"/>
        </w:rPr>
        <w:t>Touyz</w:t>
      </w:r>
      <w:proofErr w:type="spellEnd"/>
      <w:r w:rsidRPr="00814951">
        <w:rPr>
          <w:rFonts w:ascii="Arial" w:hAnsi="Arial" w:cs="Arial"/>
          <w:sz w:val="22"/>
          <w:szCs w:val="22"/>
        </w:rPr>
        <w:t xml:space="preserve">, S. and Abd Elbaky, G. (2012) ‘Classification of feeding and eating disorders: review of evidence and proposals for ICD-11’, </w:t>
      </w:r>
      <w:r w:rsidRPr="00814951">
        <w:rPr>
          <w:rStyle w:val="Emphasis"/>
          <w:rFonts w:ascii="Arial" w:hAnsi="Arial" w:cs="Arial"/>
          <w:sz w:val="22"/>
          <w:szCs w:val="22"/>
        </w:rPr>
        <w:t>World Psychiatry</w:t>
      </w:r>
      <w:r w:rsidRPr="00814951">
        <w:rPr>
          <w:rFonts w:ascii="Arial" w:hAnsi="Arial" w:cs="Arial"/>
          <w:sz w:val="22"/>
          <w:szCs w:val="22"/>
        </w:rPr>
        <w:t xml:space="preserve">, 11(2), pp. 80–85. Available at: </w:t>
      </w:r>
      <w:hyperlink r:id="rId13" w:history="1">
        <w:r w:rsidRPr="00814951">
          <w:rPr>
            <w:rStyle w:val="Hyperlink"/>
            <w:rFonts w:ascii="Arial" w:hAnsi="Arial" w:cs="Arial"/>
            <w:sz w:val="22"/>
            <w:szCs w:val="22"/>
          </w:rPr>
          <w:t>https://pmc.ncbi.nlm.nih.gov/articles/PMC3363377/</w:t>
        </w:r>
      </w:hyperlink>
      <w:r w:rsidRPr="00814951">
        <w:rPr>
          <w:rFonts w:ascii="Arial" w:hAnsi="Arial" w:cs="Arial"/>
          <w:sz w:val="22"/>
          <w:szCs w:val="22"/>
        </w:rPr>
        <w:t xml:space="preserve"> (Accessed: 2 August 2026).</w:t>
      </w:r>
    </w:p>
    <w:p w14:paraId="1301379B" w14:textId="77777777" w:rsidR="00DC6CAE" w:rsidRDefault="00DC6CAE" w:rsidP="00DC6CAE">
      <w:pPr>
        <w:pStyle w:val="isselectedend"/>
        <w:rPr>
          <w:rFonts w:ascii="Arial" w:hAnsi="Arial" w:cs="Arial"/>
          <w:sz w:val="22"/>
          <w:szCs w:val="22"/>
        </w:rPr>
      </w:pPr>
      <w:r w:rsidRPr="00814951">
        <w:rPr>
          <w:rFonts w:ascii="Arial" w:hAnsi="Arial" w:cs="Arial"/>
          <w:sz w:val="22"/>
          <w:szCs w:val="22"/>
        </w:rPr>
        <w:t xml:space="preserve">National Institute for Health and Care Excellence (NICE) (2017) </w:t>
      </w:r>
      <w:proofErr w:type="gramStart"/>
      <w:r w:rsidRPr="00814951">
        <w:rPr>
          <w:rStyle w:val="Emphasis"/>
          <w:rFonts w:ascii="Arial" w:hAnsi="Arial" w:cs="Arial"/>
          <w:sz w:val="22"/>
          <w:szCs w:val="22"/>
        </w:rPr>
        <w:t>Eating disorders</w:t>
      </w:r>
      <w:proofErr w:type="gramEnd"/>
      <w:r w:rsidRPr="00814951">
        <w:rPr>
          <w:rStyle w:val="Emphasis"/>
          <w:rFonts w:ascii="Arial" w:hAnsi="Arial" w:cs="Arial"/>
          <w:sz w:val="22"/>
          <w:szCs w:val="22"/>
        </w:rPr>
        <w:t>: recognition and treatment (NG69)</w:t>
      </w:r>
      <w:r w:rsidRPr="00814951">
        <w:rPr>
          <w:rFonts w:ascii="Arial" w:hAnsi="Arial" w:cs="Arial"/>
          <w:sz w:val="22"/>
          <w:szCs w:val="22"/>
        </w:rPr>
        <w:t xml:space="preserve">. Available at: </w:t>
      </w:r>
      <w:hyperlink r:id="rId14" w:history="1">
        <w:r w:rsidRPr="00814951">
          <w:rPr>
            <w:rStyle w:val="Hyperlink"/>
            <w:rFonts w:ascii="Arial" w:hAnsi="Arial" w:cs="Arial"/>
            <w:sz w:val="22"/>
            <w:szCs w:val="22"/>
          </w:rPr>
          <w:t>https://www.nice.org.uk/guidance/ng69</w:t>
        </w:r>
      </w:hyperlink>
      <w:r w:rsidRPr="00814951">
        <w:rPr>
          <w:rFonts w:ascii="Arial" w:hAnsi="Arial" w:cs="Arial"/>
          <w:sz w:val="22"/>
          <w:szCs w:val="22"/>
        </w:rPr>
        <w:t xml:space="preserve"> (Accessed:  30 July 2026).</w:t>
      </w:r>
    </w:p>
    <w:p w14:paraId="0678AD53" w14:textId="34ACF4B9" w:rsidR="00542092" w:rsidRPr="00542092" w:rsidRDefault="00BF0016" w:rsidP="00542092">
      <w:pPr>
        <w:spacing w:after="0" w:line="240" w:lineRule="auto"/>
        <w:rPr>
          <w:rFonts w:ascii="Times New Roman" w:eastAsia="Times New Roman" w:hAnsi="Times New Roman" w:cs="Times New Roman"/>
          <w:kern w:val="0"/>
          <w:lang w:eastAsia="en-GB"/>
          <w14:ligatures w14:val="none"/>
        </w:rPr>
      </w:pPr>
      <w:r w:rsidRPr="00E35035">
        <w:rPr>
          <w:rFonts w:ascii="Arial" w:hAnsi="Arial" w:cs="Arial"/>
          <w:color w:val="3A3A3A"/>
          <w:sz w:val="22"/>
          <w:szCs w:val="22"/>
          <w:shd w:val="clear" w:color="auto" w:fill="FFFFFF"/>
        </w:rPr>
        <w:t>Schlegl, S</w:t>
      </w:r>
      <w:r w:rsidR="00A125CA" w:rsidRPr="00E35035">
        <w:rPr>
          <w:rFonts w:ascii="Arial" w:hAnsi="Arial" w:cs="Arial"/>
          <w:color w:val="3A3A3A"/>
          <w:sz w:val="22"/>
          <w:szCs w:val="22"/>
          <w:shd w:val="clear" w:color="auto" w:fill="FFFFFF"/>
        </w:rPr>
        <w:t xml:space="preserve">., </w:t>
      </w:r>
      <w:proofErr w:type="spellStart"/>
      <w:r w:rsidRPr="00E35035">
        <w:rPr>
          <w:rFonts w:ascii="Arial" w:hAnsi="Arial" w:cs="Arial"/>
          <w:color w:val="3A3A3A"/>
          <w:sz w:val="22"/>
          <w:szCs w:val="22"/>
          <w:shd w:val="clear" w:color="auto" w:fill="FFFFFF"/>
        </w:rPr>
        <w:t>Meule</w:t>
      </w:r>
      <w:proofErr w:type="spellEnd"/>
      <w:r w:rsidRPr="00E35035">
        <w:rPr>
          <w:rFonts w:ascii="Arial" w:hAnsi="Arial" w:cs="Arial"/>
          <w:color w:val="3A3A3A"/>
          <w:sz w:val="22"/>
          <w:szCs w:val="22"/>
          <w:shd w:val="clear" w:color="auto" w:fill="FFFFFF"/>
        </w:rPr>
        <w:t>, A</w:t>
      </w:r>
      <w:r w:rsidR="00A125CA" w:rsidRPr="00E35035">
        <w:rPr>
          <w:rFonts w:ascii="Arial" w:hAnsi="Arial" w:cs="Arial"/>
          <w:color w:val="3A3A3A"/>
          <w:sz w:val="22"/>
          <w:szCs w:val="22"/>
          <w:shd w:val="clear" w:color="auto" w:fill="FFFFFF"/>
        </w:rPr>
        <w:t xml:space="preserve">., </w:t>
      </w:r>
      <w:r w:rsidRPr="00E35035">
        <w:rPr>
          <w:rFonts w:ascii="Arial" w:hAnsi="Arial" w:cs="Arial"/>
          <w:color w:val="3A3A3A"/>
          <w:sz w:val="22"/>
          <w:szCs w:val="22"/>
          <w:shd w:val="clear" w:color="auto" w:fill="FFFFFF"/>
        </w:rPr>
        <w:t>Favreau, M</w:t>
      </w:r>
      <w:r w:rsidR="00A125CA" w:rsidRPr="00E35035">
        <w:rPr>
          <w:rFonts w:ascii="Arial" w:hAnsi="Arial" w:cs="Arial"/>
          <w:color w:val="3A3A3A"/>
          <w:sz w:val="22"/>
          <w:szCs w:val="22"/>
          <w:shd w:val="clear" w:color="auto" w:fill="FFFFFF"/>
        </w:rPr>
        <w:t xml:space="preserve">., </w:t>
      </w:r>
      <w:proofErr w:type="spellStart"/>
      <w:r w:rsidRPr="00E35035">
        <w:rPr>
          <w:rFonts w:ascii="Arial" w:hAnsi="Arial" w:cs="Arial"/>
          <w:color w:val="3A3A3A"/>
          <w:sz w:val="22"/>
          <w:szCs w:val="22"/>
          <w:shd w:val="clear" w:color="auto" w:fill="FFFFFF"/>
        </w:rPr>
        <w:t>Voderholzer</w:t>
      </w:r>
      <w:proofErr w:type="spellEnd"/>
      <w:r w:rsidRPr="00E35035">
        <w:rPr>
          <w:rFonts w:ascii="Arial" w:hAnsi="Arial" w:cs="Arial"/>
          <w:color w:val="3A3A3A"/>
          <w:sz w:val="22"/>
          <w:szCs w:val="22"/>
          <w:shd w:val="clear" w:color="auto" w:fill="FFFFFF"/>
        </w:rPr>
        <w:t>, U</w:t>
      </w:r>
      <w:r w:rsidR="00A125CA" w:rsidRPr="00E35035">
        <w:rPr>
          <w:rFonts w:ascii="Arial" w:hAnsi="Arial" w:cs="Arial"/>
          <w:color w:val="3A3A3A"/>
          <w:sz w:val="22"/>
          <w:szCs w:val="22"/>
          <w:shd w:val="clear" w:color="auto" w:fill="FFFFFF"/>
        </w:rPr>
        <w:t>.</w:t>
      </w:r>
      <w:r w:rsidR="00542092" w:rsidRPr="00E35035">
        <w:rPr>
          <w:rFonts w:ascii="Arial" w:eastAsia="Times New Roman" w:hAnsi="Arial" w:cs="Arial"/>
          <w:kern w:val="0"/>
          <w:sz w:val="22"/>
          <w:szCs w:val="22"/>
          <w:lang w:eastAsia="en-GB"/>
          <w14:ligatures w14:val="none"/>
        </w:rPr>
        <w:t xml:space="preserve"> </w:t>
      </w:r>
      <w:r w:rsidR="00542092" w:rsidRPr="00542092">
        <w:rPr>
          <w:rFonts w:ascii="Times New Roman" w:eastAsia="Times New Roman" w:hAnsi="Times New Roman" w:cs="Times New Roman"/>
          <w:kern w:val="0"/>
          <w:lang w:eastAsia="en-GB"/>
          <w14:ligatures w14:val="none"/>
        </w:rPr>
        <w:t>(2020) “Bulimia nervosa in times of the COVID</w:t>
      </w:r>
      <w:r w:rsidR="00542092" w:rsidRPr="00542092">
        <w:rPr>
          <w:rFonts w:ascii="Cambria Math" w:eastAsia="Times New Roman" w:hAnsi="Cambria Math" w:cs="Cambria Math"/>
          <w:kern w:val="0"/>
          <w:lang w:eastAsia="en-GB"/>
          <w14:ligatures w14:val="none"/>
        </w:rPr>
        <w:t>‐</w:t>
      </w:r>
      <w:r w:rsidR="00542092" w:rsidRPr="00542092">
        <w:rPr>
          <w:rFonts w:ascii="Times New Roman" w:eastAsia="Times New Roman" w:hAnsi="Times New Roman" w:cs="Times New Roman"/>
          <w:kern w:val="0"/>
          <w:lang w:eastAsia="en-GB"/>
          <w14:ligatures w14:val="none"/>
        </w:rPr>
        <w:t>19 pandemic</w:t>
      </w:r>
      <w:r w:rsidR="00542092" w:rsidRPr="00542092">
        <w:rPr>
          <w:rFonts w:ascii="Aptos" w:eastAsia="Times New Roman" w:hAnsi="Aptos" w:cs="Aptos"/>
          <w:kern w:val="0"/>
          <w:lang w:eastAsia="en-GB"/>
          <w14:ligatures w14:val="none"/>
        </w:rPr>
        <w:t>—</w:t>
      </w:r>
      <w:r w:rsidR="00542092" w:rsidRPr="00542092">
        <w:rPr>
          <w:rFonts w:ascii="Times New Roman" w:eastAsia="Times New Roman" w:hAnsi="Times New Roman" w:cs="Times New Roman"/>
          <w:kern w:val="0"/>
          <w:lang w:eastAsia="en-GB"/>
          <w14:ligatures w14:val="none"/>
        </w:rPr>
        <w:t>Results from an online survey of former inpatients,</w:t>
      </w:r>
      <w:r w:rsidR="00542092" w:rsidRPr="00542092">
        <w:rPr>
          <w:rFonts w:ascii="Aptos" w:eastAsia="Times New Roman" w:hAnsi="Aptos" w:cs="Aptos"/>
          <w:kern w:val="0"/>
          <w:lang w:eastAsia="en-GB"/>
          <w14:ligatures w14:val="none"/>
        </w:rPr>
        <w:t>”</w:t>
      </w:r>
      <w:r w:rsidR="00542092" w:rsidRPr="00542092">
        <w:rPr>
          <w:rFonts w:ascii="Times New Roman" w:eastAsia="Times New Roman" w:hAnsi="Times New Roman" w:cs="Times New Roman"/>
          <w:kern w:val="0"/>
          <w:lang w:eastAsia="en-GB"/>
          <w14:ligatures w14:val="none"/>
        </w:rPr>
        <w:t xml:space="preserve"> </w:t>
      </w:r>
      <w:r w:rsidR="00542092" w:rsidRPr="00542092">
        <w:rPr>
          <w:rFonts w:ascii="Times New Roman" w:eastAsia="Times New Roman" w:hAnsi="Times New Roman" w:cs="Times New Roman"/>
          <w:i/>
          <w:iCs/>
          <w:kern w:val="0"/>
          <w:lang w:eastAsia="en-GB"/>
          <w14:ligatures w14:val="none"/>
        </w:rPr>
        <w:t>European Eating Disorders Review</w:t>
      </w:r>
      <w:r w:rsidR="00542092" w:rsidRPr="00542092">
        <w:rPr>
          <w:rFonts w:ascii="Times New Roman" w:eastAsia="Times New Roman" w:hAnsi="Times New Roman" w:cs="Times New Roman"/>
          <w:kern w:val="0"/>
          <w:lang w:eastAsia="en-GB"/>
          <w14:ligatures w14:val="none"/>
        </w:rPr>
        <w:t>, 28(6), pp. 847–854. Available at: https://doi.org/10.1002/erv.2773.</w:t>
      </w:r>
    </w:p>
    <w:p w14:paraId="399B6EF4" w14:textId="77777777" w:rsidR="00542092" w:rsidRPr="00814951" w:rsidRDefault="00542092" w:rsidP="00DC6CAE">
      <w:pPr>
        <w:pStyle w:val="isselectedend"/>
        <w:rPr>
          <w:rFonts w:ascii="Arial" w:hAnsi="Arial" w:cs="Arial"/>
          <w:sz w:val="22"/>
          <w:szCs w:val="22"/>
        </w:rPr>
      </w:pPr>
    </w:p>
    <w:p w14:paraId="38CDC0D3" w14:textId="77777777" w:rsidR="00814951" w:rsidRPr="00814951" w:rsidRDefault="00814951" w:rsidP="00814951">
      <w:pPr>
        <w:spacing w:after="0" w:line="240" w:lineRule="auto"/>
        <w:rPr>
          <w:rFonts w:ascii="Arial" w:eastAsia="Times New Roman" w:hAnsi="Arial" w:cs="Arial"/>
          <w:kern w:val="0"/>
          <w:sz w:val="22"/>
          <w:szCs w:val="22"/>
          <w:lang w:eastAsia="en-GB"/>
          <w14:ligatures w14:val="none"/>
        </w:rPr>
      </w:pPr>
      <w:r w:rsidRPr="00814951">
        <w:rPr>
          <w:rFonts w:ascii="Arial" w:hAnsi="Arial" w:cs="Arial"/>
          <w:color w:val="3A3A3A"/>
          <w:sz w:val="22"/>
          <w:szCs w:val="22"/>
          <w:shd w:val="clear" w:color="auto" w:fill="FFFFFF"/>
        </w:rPr>
        <w:t xml:space="preserve">Takahashi, K., Shimizu, T., Sasayama, D., </w:t>
      </w:r>
      <w:proofErr w:type="spellStart"/>
      <w:r w:rsidRPr="00814951">
        <w:rPr>
          <w:rFonts w:ascii="Arial" w:hAnsi="Arial" w:cs="Arial"/>
          <w:color w:val="3A3A3A"/>
          <w:sz w:val="22"/>
          <w:szCs w:val="22"/>
          <w:shd w:val="clear" w:color="auto" w:fill="FFFFFF"/>
        </w:rPr>
        <w:t>Washizuka</w:t>
      </w:r>
      <w:proofErr w:type="spellEnd"/>
      <w:r w:rsidRPr="00814951">
        <w:rPr>
          <w:rFonts w:ascii="Arial" w:hAnsi="Arial" w:cs="Arial"/>
          <w:color w:val="3A3A3A"/>
          <w:sz w:val="22"/>
          <w:szCs w:val="22"/>
          <w:shd w:val="clear" w:color="auto" w:fill="FFFFFF"/>
        </w:rPr>
        <w:t>, S.</w:t>
      </w:r>
      <w:r w:rsidRPr="00814951">
        <w:rPr>
          <w:rFonts w:ascii="Arial" w:eastAsia="Times New Roman" w:hAnsi="Arial" w:cs="Arial"/>
          <w:kern w:val="0"/>
          <w:sz w:val="22"/>
          <w:szCs w:val="22"/>
          <w:lang w:eastAsia="en-GB"/>
          <w14:ligatures w14:val="none"/>
        </w:rPr>
        <w:t xml:space="preserve"> (2022) “Prevention of end</w:t>
      </w:r>
      <w:r w:rsidRPr="00814951">
        <w:rPr>
          <w:rFonts w:ascii="Cambria Math" w:eastAsia="Times New Roman" w:hAnsi="Cambria Math" w:cs="Cambria Math"/>
          <w:kern w:val="0"/>
          <w:sz w:val="22"/>
          <w:szCs w:val="22"/>
          <w:lang w:eastAsia="en-GB"/>
          <w14:ligatures w14:val="none"/>
        </w:rPr>
        <w:t>‐</w:t>
      </w:r>
      <w:r w:rsidRPr="00814951">
        <w:rPr>
          <w:rFonts w:ascii="Arial" w:eastAsia="Times New Roman" w:hAnsi="Arial" w:cs="Arial"/>
          <w:kern w:val="0"/>
          <w:sz w:val="22"/>
          <w:szCs w:val="22"/>
          <w:lang w:eastAsia="en-GB"/>
          <w14:ligatures w14:val="none"/>
        </w:rPr>
        <w:t xml:space="preserve">stage renal disease with percutaneous endoscopic gastrojejunostomy tubes in a patient with recurrent episodes of binge eating and purging,” </w:t>
      </w:r>
      <w:r w:rsidRPr="00814951">
        <w:rPr>
          <w:rFonts w:ascii="Arial" w:eastAsia="Times New Roman" w:hAnsi="Arial" w:cs="Arial"/>
          <w:i/>
          <w:iCs/>
          <w:kern w:val="0"/>
          <w:sz w:val="22"/>
          <w:szCs w:val="22"/>
          <w:lang w:eastAsia="en-GB"/>
          <w14:ligatures w14:val="none"/>
        </w:rPr>
        <w:t>PCN reports</w:t>
      </w:r>
      <w:r w:rsidRPr="00814951">
        <w:rPr>
          <w:rFonts w:ascii="Arial" w:eastAsia="Times New Roman" w:hAnsi="Arial" w:cs="Arial"/>
          <w:kern w:val="0"/>
          <w:sz w:val="22"/>
          <w:szCs w:val="22"/>
          <w:lang w:eastAsia="en-GB"/>
          <w14:ligatures w14:val="none"/>
        </w:rPr>
        <w:t>, 1(4), pp. e63-n/a. Available at: https://doi.org/10.1002/pcn5.63.</w:t>
      </w:r>
    </w:p>
    <w:p w14:paraId="486B2409" w14:textId="77777777" w:rsidR="00814951" w:rsidRPr="00814951" w:rsidRDefault="00814951" w:rsidP="00814951">
      <w:pPr>
        <w:pStyle w:val="isselectedend"/>
        <w:rPr>
          <w:rFonts w:ascii="Arial" w:hAnsi="Arial" w:cs="Arial"/>
          <w:sz w:val="22"/>
          <w:szCs w:val="22"/>
        </w:rPr>
      </w:pPr>
    </w:p>
    <w:p w14:paraId="4EFFB4E4" w14:textId="7A5FE317" w:rsidR="002613AF" w:rsidRPr="00814951" w:rsidRDefault="002613AF" w:rsidP="002613AF">
      <w:pPr>
        <w:spacing w:after="0" w:line="240" w:lineRule="auto"/>
        <w:rPr>
          <w:rFonts w:ascii="Arial" w:eastAsia="Times New Roman" w:hAnsi="Arial" w:cs="Arial"/>
          <w:kern w:val="0"/>
          <w:sz w:val="22"/>
          <w:szCs w:val="22"/>
          <w:lang w:eastAsia="en-GB"/>
          <w14:ligatures w14:val="none"/>
        </w:rPr>
      </w:pPr>
      <w:r w:rsidRPr="00814951">
        <w:rPr>
          <w:rFonts w:ascii="Arial" w:hAnsi="Arial" w:cs="Arial"/>
          <w:sz w:val="22"/>
          <w:szCs w:val="22"/>
          <w:shd w:val="clear" w:color="auto" w:fill="FFFFFF"/>
        </w:rPr>
        <w:t>Trompeter, N.</w:t>
      </w:r>
      <w:proofErr w:type="gramStart"/>
      <w:r w:rsidRPr="00814951">
        <w:rPr>
          <w:rFonts w:ascii="Arial" w:hAnsi="Arial" w:cs="Arial"/>
          <w:sz w:val="22"/>
          <w:szCs w:val="22"/>
          <w:shd w:val="clear" w:color="auto" w:fill="FFFFFF"/>
        </w:rPr>
        <w:t>,  Bussey</w:t>
      </w:r>
      <w:proofErr w:type="gramEnd"/>
      <w:r w:rsidRPr="00814951">
        <w:rPr>
          <w:rFonts w:ascii="Arial" w:hAnsi="Arial" w:cs="Arial"/>
          <w:sz w:val="22"/>
          <w:szCs w:val="22"/>
          <w:shd w:val="clear" w:color="auto" w:fill="FFFFFF"/>
        </w:rPr>
        <w:t xml:space="preserve">, K., Forbes, M., Hay, P., Goldstein, M., Thornton, C., Basten, C., </w:t>
      </w:r>
      <w:proofErr w:type="spellStart"/>
      <w:r w:rsidRPr="00814951">
        <w:rPr>
          <w:rFonts w:ascii="Arial" w:hAnsi="Arial" w:cs="Arial"/>
          <w:sz w:val="22"/>
          <w:szCs w:val="22"/>
          <w:shd w:val="clear" w:color="auto" w:fill="FFFFFF"/>
        </w:rPr>
        <w:t>Heruc</w:t>
      </w:r>
      <w:proofErr w:type="spellEnd"/>
      <w:r w:rsidRPr="00814951">
        <w:rPr>
          <w:rFonts w:ascii="Arial" w:hAnsi="Arial" w:cs="Arial"/>
          <w:sz w:val="22"/>
          <w:szCs w:val="22"/>
          <w:shd w:val="clear" w:color="auto" w:fill="FFFFFF"/>
        </w:rPr>
        <w:t>, G., Roberts, M., Byrne, S., Griffiths, S., Lonergan, A.</w:t>
      </w:r>
      <w:proofErr w:type="gramStart"/>
      <w:r w:rsidRPr="00814951">
        <w:rPr>
          <w:rFonts w:ascii="Arial" w:hAnsi="Arial" w:cs="Arial"/>
          <w:sz w:val="22"/>
          <w:szCs w:val="22"/>
          <w:shd w:val="clear" w:color="auto" w:fill="FFFFFF"/>
        </w:rPr>
        <w:t xml:space="preserve">,  </w:t>
      </w:r>
      <w:proofErr w:type="spellStart"/>
      <w:r w:rsidRPr="00814951">
        <w:rPr>
          <w:rFonts w:ascii="Arial" w:hAnsi="Arial" w:cs="Arial"/>
          <w:sz w:val="22"/>
          <w:szCs w:val="22"/>
          <w:shd w:val="clear" w:color="auto" w:fill="FFFFFF"/>
        </w:rPr>
        <w:t>Mitchison</w:t>
      </w:r>
      <w:proofErr w:type="spellEnd"/>
      <w:proofErr w:type="gramEnd"/>
      <w:r w:rsidRPr="00814951">
        <w:rPr>
          <w:rFonts w:ascii="Arial" w:hAnsi="Arial" w:cs="Arial"/>
          <w:sz w:val="22"/>
          <w:szCs w:val="22"/>
          <w:shd w:val="clear" w:color="auto" w:fill="FFFFFF"/>
        </w:rPr>
        <w:t xml:space="preserve">, D. </w:t>
      </w:r>
      <w:r w:rsidRPr="00814951">
        <w:rPr>
          <w:rFonts w:ascii="Arial" w:hAnsi="Arial" w:cs="Arial"/>
          <w:color w:val="3A3A3A"/>
          <w:sz w:val="22"/>
          <w:szCs w:val="22"/>
          <w:shd w:val="clear" w:color="auto" w:fill="FFFFFF"/>
        </w:rPr>
        <w:t>(</w:t>
      </w:r>
      <w:r w:rsidRPr="00814951">
        <w:rPr>
          <w:rFonts w:ascii="Arial" w:eastAsia="Times New Roman" w:hAnsi="Arial" w:cs="Arial"/>
          <w:kern w:val="0"/>
          <w:sz w:val="22"/>
          <w:szCs w:val="22"/>
          <w:lang w:eastAsia="en-GB"/>
          <w14:ligatures w14:val="none"/>
        </w:rPr>
        <w:t xml:space="preserve">2022) “Emotion Dysregulation and Eating Disorder Symptoms: Examining Distinct Associations and Interactions in Adolescents,” </w:t>
      </w:r>
      <w:r w:rsidRPr="00814951">
        <w:rPr>
          <w:rFonts w:ascii="Arial" w:eastAsia="Times New Roman" w:hAnsi="Arial" w:cs="Arial"/>
          <w:i/>
          <w:iCs/>
          <w:kern w:val="0"/>
          <w:sz w:val="22"/>
          <w:szCs w:val="22"/>
          <w:lang w:eastAsia="en-GB"/>
          <w14:ligatures w14:val="none"/>
        </w:rPr>
        <w:t>Journal of abnormal child psychology</w:t>
      </w:r>
      <w:r w:rsidRPr="00814951">
        <w:rPr>
          <w:rFonts w:ascii="Arial" w:eastAsia="Times New Roman" w:hAnsi="Arial" w:cs="Arial"/>
          <w:kern w:val="0"/>
          <w:sz w:val="22"/>
          <w:szCs w:val="22"/>
          <w:lang w:eastAsia="en-GB"/>
          <w14:ligatures w14:val="none"/>
        </w:rPr>
        <w:t xml:space="preserve">, 50(5), pp. 683–694. Available at: </w:t>
      </w:r>
      <w:hyperlink r:id="rId15" w:history="1">
        <w:r w:rsidRPr="00814951">
          <w:rPr>
            <w:rStyle w:val="Hyperlink"/>
            <w:rFonts w:ascii="Arial" w:eastAsia="Times New Roman" w:hAnsi="Arial" w:cs="Arial"/>
            <w:kern w:val="0"/>
            <w:sz w:val="22"/>
            <w:szCs w:val="22"/>
            <w:lang w:eastAsia="en-GB"/>
            <w14:ligatures w14:val="none"/>
          </w:rPr>
          <w:t>https://doi.org/10.1007/s10802-022-00898-1</w:t>
        </w:r>
      </w:hyperlink>
      <w:r w:rsidRPr="00814951">
        <w:rPr>
          <w:rFonts w:ascii="Arial" w:eastAsia="Times New Roman" w:hAnsi="Arial" w:cs="Arial"/>
          <w:kern w:val="0"/>
          <w:sz w:val="22"/>
          <w:szCs w:val="22"/>
          <w:lang w:eastAsia="en-GB"/>
          <w14:ligatures w14:val="none"/>
        </w:rPr>
        <w:t>.</w:t>
      </w:r>
    </w:p>
    <w:p w14:paraId="0508A5E0" w14:textId="77777777" w:rsidR="002613AF" w:rsidRPr="00814951" w:rsidRDefault="002613AF" w:rsidP="002613AF">
      <w:pPr>
        <w:spacing w:after="0" w:line="240" w:lineRule="auto"/>
        <w:rPr>
          <w:rFonts w:ascii="Arial" w:eastAsia="Times New Roman" w:hAnsi="Arial" w:cs="Arial"/>
          <w:kern w:val="0"/>
          <w:sz w:val="22"/>
          <w:szCs w:val="22"/>
          <w:lang w:eastAsia="en-GB"/>
          <w14:ligatures w14:val="none"/>
        </w:rPr>
      </w:pPr>
    </w:p>
    <w:p w14:paraId="7BAF4E21" w14:textId="77777777" w:rsidR="002613AF" w:rsidRPr="00814951" w:rsidRDefault="002613AF" w:rsidP="002613AF">
      <w:pPr>
        <w:spacing w:after="0" w:line="240" w:lineRule="auto"/>
        <w:rPr>
          <w:rFonts w:ascii="Arial" w:eastAsia="Times New Roman" w:hAnsi="Arial" w:cs="Arial"/>
          <w:kern w:val="0"/>
          <w:sz w:val="22"/>
          <w:szCs w:val="22"/>
          <w:lang w:eastAsia="en-GB"/>
          <w14:ligatures w14:val="none"/>
        </w:rPr>
      </w:pPr>
    </w:p>
    <w:p w14:paraId="0F554A97" w14:textId="77777777" w:rsidR="002613AF" w:rsidRPr="00814951" w:rsidRDefault="002613AF" w:rsidP="002613AF">
      <w:pPr>
        <w:spacing w:after="0" w:line="240" w:lineRule="auto"/>
        <w:rPr>
          <w:rFonts w:ascii="Arial" w:eastAsia="Times New Roman" w:hAnsi="Arial" w:cs="Arial"/>
          <w:kern w:val="0"/>
          <w:sz w:val="22"/>
          <w:szCs w:val="22"/>
          <w:lang w:eastAsia="en-GB"/>
          <w14:ligatures w14:val="none"/>
        </w:rPr>
      </w:pPr>
      <w:r w:rsidRPr="00814951">
        <w:rPr>
          <w:rFonts w:ascii="Arial" w:eastAsia="Times New Roman" w:hAnsi="Arial" w:cs="Arial"/>
          <w:kern w:val="0"/>
          <w:sz w:val="22"/>
          <w:szCs w:val="22"/>
          <w:lang w:eastAsia="en-GB"/>
          <w14:ligatures w14:val="none"/>
        </w:rPr>
        <w:t xml:space="preserve">Waller, G. and Beard, J. (2024) “Recent Advances in Cognitive-Behavioural Therapy for Eating Disorders (CBT-ED),” </w:t>
      </w:r>
      <w:r w:rsidRPr="00814951">
        <w:rPr>
          <w:rFonts w:ascii="Arial" w:eastAsia="Times New Roman" w:hAnsi="Arial" w:cs="Arial"/>
          <w:i/>
          <w:iCs/>
          <w:kern w:val="0"/>
          <w:sz w:val="22"/>
          <w:szCs w:val="22"/>
          <w:lang w:eastAsia="en-GB"/>
          <w14:ligatures w14:val="none"/>
        </w:rPr>
        <w:t>Current psychiatry reports</w:t>
      </w:r>
      <w:r w:rsidRPr="00814951">
        <w:rPr>
          <w:rFonts w:ascii="Arial" w:eastAsia="Times New Roman" w:hAnsi="Arial" w:cs="Arial"/>
          <w:kern w:val="0"/>
          <w:sz w:val="22"/>
          <w:szCs w:val="22"/>
          <w:lang w:eastAsia="en-GB"/>
          <w14:ligatures w14:val="none"/>
        </w:rPr>
        <w:t xml:space="preserve">, 26(7), pp. 351–358. Available at: </w:t>
      </w:r>
      <w:hyperlink r:id="rId16" w:history="1">
        <w:r w:rsidRPr="00814951">
          <w:rPr>
            <w:rStyle w:val="Hyperlink"/>
            <w:rFonts w:ascii="Arial" w:eastAsia="Times New Roman" w:hAnsi="Arial" w:cs="Arial"/>
            <w:kern w:val="0"/>
            <w:sz w:val="22"/>
            <w:szCs w:val="22"/>
            <w:lang w:eastAsia="en-GB"/>
            <w14:ligatures w14:val="none"/>
          </w:rPr>
          <w:t>https://doi.org/10.1007/s11920-024-01509-0</w:t>
        </w:r>
      </w:hyperlink>
      <w:r w:rsidRPr="00814951">
        <w:rPr>
          <w:rFonts w:ascii="Arial" w:eastAsia="Times New Roman" w:hAnsi="Arial" w:cs="Arial"/>
          <w:kern w:val="0"/>
          <w:sz w:val="22"/>
          <w:szCs w:val="22"/>
          <w:lang w:eastAsia="en-GB"/>
          <w14:ligatures w14:val="none"/>
        </w:rPr>
        <w:t>.</w:t>
      </w:r>
    </w:p>
    <w:p w14:paraId="6E1A4CCA" w14:textId="77777777" w:rsidR="002613AF" w:rsidRPr="00814951" w:rsidRDefault="002613AF" w:rsidP="002613AF">
      <w:pPr>
        <w:spacing w:after="0" w:line="240" w:lineRule="auto"/>
        <w:rPr>
          <w:rFonts w:ascii="Arial" w:eastAsia="Times New Roman" w:hAnsi="Arial" w:cs="Arial"/>
          <w:kern w:val="0"/>
          <w:sz w:val="22"/>
          <w:szCs w:val="22"/>
          <w:lang w:eastAsia="en-GB"/>
          <w14:ligatures w14:val="none"/>
        </w:rPr>
      </w:pPr>
    </w:p>
    <w:p w14:paraId="59DC3CAD" w14:textId="20A56E37" w:rsidR="00FA10E9" w:rsidRPr="00814951" w:rsidRDefault="00FA10E9" w:rsidP="00FA10E9">
      <w:pPr>
        <w:pStyle w:val="isselectedend"/>
        <w:rPr>
          <w:rFonts w:ascii="Arial" w:hAnsi="Arial" w:cs="Arial"/>
          <w:sz w:val="22"/>
          <w:szCs w:val="22"/>
        </w:rPr>
      </w:pPr>
      <w:r w:rsidRPr="00814951">
        <w:rPr>
          <w:rFonts w:ascii="Arial" w:hAnsi="Arial" w:cs="Arial"/>
          <w:sz w:val="22"/>
          <w:szCs w:val="22"/>
        </w:rPr>
        <w:t>Westwood, H. and Tchanturia, K. (2017) ‘</w:t>
      </w:r>
      <w:proofErr w:type="gramStart"/>
      <w:r w:rsidRPr="00814951">
        <w:rPr>
          <w:rFonts w:ascii="Arial" w:hAnsi="Arial" w:cs="Arial"/>
          <w:sz w:val="22"/>
          <w:szCs w:val="22"/>
        </w:rPr>
        <w:t>Autism spectrum disorder</w:t>
      </w:r>
      <w:proofErr w:type="gramEnd"/>
      <w:r w:rsidRPr="00814951">
        <w:rPr>
          <w:rFonts w:ascii="Arial" w:hAnsi="Arial" w:cs="Arial"/>
          <w:sz w:val="22"/>
          <w:szCs w:val="22"/>
        </w:rPr>
        <w:t xml:space="preserve"> in anorexia nervosa: an updated literature review’, </w:t>
      </w:r>
      <w:r w:rsidRPr="00814951">
        <w:rPr>
          <w:rStyle w:val="Emphasis"/>
          <w:rFonts w:ascii="Arial" w:hAnsi="Arial" w:cs="Arial"/>
          <w:sz w:val="22"/>
          <w:szCs w:val="22"/>
        </w:rPr>
        <w:t>Current Psychiatry Reports</w:t>
      </w:r>
      <w:r w:rsidRPr="00814951">
        <w:rPr>
          <w:rFonts w:ascii="Arial" w:hAnsi="Arial" w:cs="Arial"/>
          <w:sz w:val="22"/>
          <w:szCs w:val="22"/>
        </w:rPr>
        <w:t>, 19, 41.</w:t>
      </w:r>
    </w:p>
    <w:p w14:paraId="19D25AC9" w14:textId="77777777" w:rsidR="00A06109" w:rsidRPr="00814951" w:rsidRDefault="00A06109" w:rsidP="004B7DD1">
      <w:pPr>
        <w:pStyle w:val="isselectedend"/>
        <w:rPr>
          <w:rFonts w:ascii="Arial" w:hAnsi="Arial" w:cs="Arial"/>
          <w:sz w:val="22"/>
          <w:szCs w:val="22"/>
        </w:rPr>
      </w:pPr>
    </w:p>
    <w:p w14:paraId="56855B9C" w14:textId="632EE9F5" w:rsidR="004B7DD1" w:rsidRPr="00814951" w:rsidRDefault="004B7DD1" w:rsidP="004B7DD1">
      <w:pPr>
        <w:pStyle w:val="isselectedend"/>
        <w:rPr>
          <w:rFonts w:ascii="Arial" w:hAnsi="Arial" w:cs="Arial"/>
          <w:sz w:val="22"/>
          <w:szCs w:val="22"/>
        </w:rPr>
      </w:pPr>
      <w:r w:rsidRPr="00814951">
        <w:rPr>
          <w:rFonts w:ascii="Arial" w:hAnsi="Arial" w:cs="Arial"/>
          <w:sz w:val="22"/>
          <w:szCs w:val="22"/>
        </w:rPr>
        <w:t xml:space="preserve">World Health Organization (2024) </w:t>
      </w:r>
      <w:r w:rsidRPr="00814951">
        <w:rPr>
          <w:rStyle w:val="Emphasis"/>
          <w:rFonts w:ascii="Arial" w:hAnsi="Arial" w:cs="Arial"/>
          <w:sz w:val="22"/>
          <w:szCs w:val="22"/>
        </w:rPr>
        <w:t>ICD-11 for Mortality and Morbidity Statistics</w:t>
      </w:r>
      <w:r w:rsidRPr="00814951">
        <w:rPr>
          <w:rFonts w:ascii="Arial" w:hAnsi="Arial" w:cs="Arial"/>
          <w:sz w:val="22"/>
          <w:szCs w:val="22"/>
        </w:rPr>
        <w:t xml:space="preserve">. Geneva: World Health Organization. Available at: </w:t>
      </w:r>
      <w:hyperlink r:id="rId17" w:history="1">
        <w:r w:rsidRPr="00814951">
          <w:rPr>
            <w:rStyle w:val="Hyperlink"/>
            <w:rFonts w:ascii="Arial" w:hAnsi="Arial" w:cs="Arial"/>
            <w:sz w:val="22"/>
            <w:szCs w:val="22"/>
          </w:rPr>
          <w:t>https://icd.who.int/browse/2024-01/mms/en</w:t>
        </w:r>
      </w:hyperlink>
      <w:r w:rsidRPr="00814951">
        <w:rPr>
          <w:rFonts w:ascii="Arial" w:hAnsi="Arial" w:cs="Arial"/>
          <w:sz w:val="22"/>
          <w:szCs w:val="22"/>
        </w:rPr>
        <w:t xml:space="preserve"> (Accessed: 10 August 2026).</w:t>
      </w:r>
    </w:p>
    <w:p w14:paraId="39358161" w14:textId="77777777" w:rsidR="00C67FFE" w:rsidRPr="00814951" w:rsidRDefault="00C67FFE" w:rsidP="004B7DD1">
      <w:pPr>
        <w:pStyle w:val="isselectedend"/>
        <w:rPr>
          <w:rFonts w:ascii="Arial" w:hAnsi="Arial" w:cs="Arial"/>
          <w:sz w:val="22"/>
          <w:szCs w:val="22"/>
        </w:rPr>
      </w:pPr>
    </w:p>
    <w:p w14:paraId="0B933C09" w14:textId="77777777" w:rsidR="009B093F" w:rsidRDefault="009B093F" w:rsidP="004B7DD1">
      <w:pPr>
        <w:pStyle w:val="isselectedend"/>
      </w:pPr>
    </w:p>
    <w:p w14:paraId="188C629E" w14:textId="77777777" w:rsidR="00443E81" w:rsidRDefault="00443E81" w:rsidP="00281292">
      <w:pPr>
        <w:spacing w:after="0" w:line="240" w:lineRule="auto"/>
        <w:rPr>
          <w:rFonts w:ascii="Times New Roman" w:eastAsia="Times New Roman" w:hAnsi="Times New Roman" w:cs="Times New Roman"/>
          <w:kern w:val="0"/>
          <w:lang w:eastAsia="en-GB"/>
          <w14:ligatures w14:val="none"/>
        </w:rPr>
      </w:pPr>
    </w:p>
    <w:p w14:paraId="735AECF4" w14:textId="77777777" w:rsidR="00A06109" w:rsidRDefault="00A06109" w:rsidP="00443E81">
      <w:pPr>
        <w:spacing w:after="0" w:line="240" w:lineRule="auto"/>
        <w:rPr>
          <w:rFonts w:ascii="Arial" w:hAnsi="Arial" w:cs="Arial"/>
          <w:sz w:val="22"/>
          <w:szCs w:val="22"/>
          <w:shd w:val="clear" w:color="auto" w:fill="FFFFFF"/>
        </w:rPr>
      </w:pPr>
    </w:p>
    <w:p w14:paraId="2BD93146" w14:textId="77777777" w:rsidR="00515AEF" w:rsidRDefault="00515AEF" w:rsidP="004B7DD1">
      <w:pPr>
        <w:pStyle w:val="NormalWeb"/>
      </w:pPr>
    </w:p>
    <w:p w14:paraId="6B6F0AE1" w14:textId="77777777" w:rsidR="004B7DD1" w:rsidRDefault="004B7DD1" w:rsidP="00FA10E9">
      <w:pPr>
        <w:pStyle w:val="NormalWeb"/>
      </w:pPr>
    </w:p>
    <w:p w14:paraId="71958A8E" w14:textId="77777777" w:rsidR="00FA10E9" w:rsidRDefault="00FA10E9" w:rsidP="000F5D36">
      <w:pPr>
        <w:pStyle w:val="NormalWeb"/>
      </w:pPr>
    </w:p>
    <w:p w14:paraId="05A81DFE" w14:textId="77777777" w:rsidR="000F5D36" w:rsidRDefault="000F5D36" w:rsidP="009D2A47">
      <w:pPr>
        <w:pStyle w:val="NormalWeb"/>
      </w:pPr>
    </w:p>
    <w:p w14:paraId="2C491C01" w14:textId="77777777" w:rsidR="009D2A47" w:rsidRPr="008A6D32" w:rsidRDefault="009D2A47" w:rsidP="008A6D32">
      <w:pPr>
        <w:pStyle w:val="NormalWeb"/>
        <w:rPr>
          <w:rFonts w:ascii="Arial" w:hAnsi="Arial" w:cs="Arial"/>
          <w:b/>
          <w:bCs/>
          <w:color w:val="000000"/>
        </w:rPr>
      </w:pP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A05A8" w14:textId="77777777" w:rsidR="00D97505" w:rsidRDefault="00D97505" w:rsidP="000264A1">
      <w:pPr>
        <w:spacing w:after="0" w:line="240" w:lineRule="auto"/>
      </w:pPr>
      <w:r>
        <w:separator/>
      </w:r>
    </w:p>
  </w:endnote>
  <w:endnote w:type="continuationSeparator" w:id="0">
    <w:p w14:paraId="5BCA483D" w14:textId="77777777" w:rsidR="00D97505" w:rsidRDefault="00D97505"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503C3" w14:textId="77777777" w:rsidR="00D97505" w:rsidRDefault="00D97505" w:rsidP="000264A1">
      <w:pPr>
        <w:spacing w:after="0" w:line="240" w:lineRule="auto"/>
      </w:pPr>
      <w:r>
        <w:separator/>
      </w:r>
    </w:p>
  </w:footnote>
  <w:footnote w:type="continuationSeparator" w:id="0">
    <w:p w14:paraId="32DF6C8B" w14:textId="77777777" w:rsidR="00D97505" w:rsidRDefault="00D97505"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052A"/>
    <w:rsid w:val="00025B21"/>
    <w:rsid w:val="000264A1"/>
    <w:rsid w:val="00037241"/>
    <w:rsid w:val="000472DE"/>
    <w:rsid w:val="0005756C"/>
    <w:rsid w:val="00060FB4"/>
    <w:rsid w:val="00094EC8"/>
    <w:rsid w:val="000F5D36"/>
    <w:rsid w:val="00120F85"/>
    <w:rsid w:val="001310A7"/>
    <w:rsid w:val="00141E2E"/>
    <w:rsid w:val="00160162"/>
    <w:rsid w:val="00164349"/>
    <w:rsid w:val="001873F9"/>
    <w:rsid w:val="001A3D87"/>
    <w:rsid w:val="001A5922"/>
    <w:rsid w:val="001A7030"/>
    <w:rsid w:val="001E1E1E"/>
    <w:rsid w:val="001E2232"/>
    <w:rsid w:val="001E5B25"/>
    <w:rsid w:val="001E6ACE"/>
    <w:rsid w:val="00200B1F"/>
    <w:rsid w:val="00216422"/>
    <w:rsid w:val="00230A22"/>
    <w:rsid w:val="002565EE"/>
    <w:rsid w:val="002613AF"/>
    <w:rsid w:val="00281292"/>
    <w:rsid w:val="00281D96"/>
    <w:rsid w:val="00290EDC"/>
    <w:rsid w:val="002919A0"/>
    <w:rsid w:val="0029219E"/>
    <w:rsid w:val="002A2D21"/>
    <w:rsid w:val="003264E2"/>
    <w:rsid w:val="00360611"/>
    <w:rsid w:val="003D2588"/>
    <w:rsid w:val="003E1CA0"/>
    <w:rsid w:val="00443E81"/>
    <w:rsid w:val="00452647"/>
    <w:rsid w:val="004B7DD1"/>
    <w:rsid w:val="00511E74"/>
    <w:rsid w:val="00513841"/>
    <w:rsid w:val="00515AEF"/>
    <w:rsid w:val="00542092"/>
    <w:rsid w:val="00556503"/>
    <w:rsid w:val="005C1788"/>
    <w:rsid w:val="00605B85"/>
    <w:rsid w:val="00620AB3"/>
    <w:rsid w:val="00637171"/>
    <w:rsid w:val="00692048"/>
    <w:rsid w:val="006C21BA"/>
    <w:rsid w:val="006C73EF"/>
    <w:rsid w:val="006D4F54"/>
    <w:rsid w:val="006F5970"/>
    <w:rsid w:val="006F5F2E"/>
    <w:rsid w:val="00722ABC"/>
    <w:rsid w:val="0073412C"/>
    <w:rsid w:val="00780C08"/>
    <w:rsid w:val="007814C4"/>
    <w:rsid w:val="007B1893"/>
    <w:rsid w:val="007B3560"/>
    <w:rsid w:val="007D5798"/>
    <w:rsid w:val="0080103F"/>
    <w:rsid w:val="00814951"/>
    <w:rsid w:val="008400FD"/>
    <w:rsid w:val="00843285"/>
    <w:rsid w:val="00843325"/>
    <w:rsid w:val="00893EDF"/>
    <w:rsid w:val="008A6D32"/>
    <w:rsid w:val="008B260B"/>
    <w:rsid w:val="008B323C"/>
    <w:rsid w:val="00921377"/>
    <w:rsid w:val="00967C91"/>
    <w:rsid w:val="0099567D"/>
    <w:rsid w:val="009B093F"/>
    <w:rsid w:val="009D2A47"/>
    <w:rsid w:val="00A01A9C"/>
    <w:rsid w:val="00A06109"/>
    <w:rsid w:val="00A125CA"/>
    <w:rsid w:val="00A32764"/>
    <w:rsid w:val="00A878C2"/>
    <w:rsid w:val="00A91717"/>
    <w:rsid w:val="00B01946"/>
    <w:rsid w:val="00B43006"/>
    <w:rsid w:val="00B52B00"/>
    <w:rsid w:val="00B554B9"/>
    <w:rsid w:val="00B62DE6"/>
    <w:rsid w:val="00B761CE"/>
    <w:rsid w:val="00BA7FE5"/>
    <w:rsid w:val="00BE32C2"/>
    <w:rsid w:val="00BF0016"/>
    <w:rsid w:val="00C34679"/>
    <w:rsid w:val="00C348E3"/>
    <w:rsid w:val="00C63066"/>
    <w:rsid w:val="00C63BBE"/>
    <w:rsid w:val="00C67FFE"/>
    <w:rsid w:val="00CD515A"/>
    <w:rsid w:val="00CE2DD7"/>
    <w:rsid w:val="00CE67FA"/>
    <w:rsid w:val="00CF7BDC"/>
    <w:rsid w:val="00D22DE0"/>
    <w:rsid w:val="00D65E32"/>
    <w:rsid w:val="00D7438F"/>
    <w:rsid w:val="00D929E6"/>
    <w:rsid w:val="00D97505"/>
    <w:rsid w:val="00DB257A"/>
    <w:rsid w:val="00DC6CAE"/>
    <w:rsid w:val="00E21CF3"/>
    <w:rsid w:val="00E26E07"/>
    <w:rsid w:val="00E35035"/>
    <w:rsid w:val="00E47F98"/>
    <w:rsid w:val="00E97F74"/>
    <w:rsid w:val="00EC3FB7"/>
    <w:rsid w:val="00EF06B9"/>
    <w:rsid w:val="00F21444"/>
    <w:rsid w:val="00F241EA"/>
    <w:rsid w:val="00F42CBC"/>
    <w:rsid w:val="00F52545"/>
    <w:rsid w:val="00FA10E9"/>
    <w:rsid w:val="00FE6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customStyle="1" w:styleId="isselectedend">
    <w:name w:val="isselectedend"/>
    <w:basedOn w:val="Normal"/>
    <w:rsid w:val="009D2A4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D2A47"/>
    <w:rPr>
      <w:i/>
      <w:iCs/>
    </w:rPr>
  </w:style>
  <w:style w:type="character" w:styleId="Hyperlink">
    <w:name w:val="Hyperlink"/>
    <w:basedOn w:val="DefaultParagraphFont"/>
    <w:uiPriority w:val="99"/>
    <w:unhideWhenUsed/>
    <w:rsid w:val="009D2A47"/>
    <w:rPr>
      <w:color w:val="0000FF"/>
      <w:u w:val="single"/>
    </w:rPr>
  </w:style>
  <w:style w:type="character" w:styleId="UnresolvedMention">
    <w:name w:val="Unresolved Mention"/>
    <w:basedOn w:val="DefaultParagraphFont"/>
    <w:uiPriority w:val="99"/>
    <w:semiHidden/>
    <w:unhideWhenUsed/>
    <w:rsid w:val="001E1E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mc.ncbi.nlm.nih.gov/articles/PMC3363377/"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20960/nh.1562" TargetMode="External"/><Relationship Id="rId17" Type="http://schemas.openxmlformats.org/officeDocument/2006/relationships/hyperlink" Target="https://icd.who.int/browse/2024-01/mms/en" TargetMode="External"/><Relationship Id="rId2" Type="http://schemas.openxmlformats.org/officeDocument/2006/relationships/customXml" Target="../customXml/item2.xml"/><Relationship Id="rId16" Type="http://schemas.openxmlformats.org/officeDocument/2006/relationships/hyperlink" Target="https://doi.org/10.1007/s11920-024-01509-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2/eat.1071" TargetMode="External"/><Relationship Id="rId5" Type="http://schemas.openxmlformats.org/officeDocument/2006/relationships/settings" Target="settings.xml"/><Relationship Id="rId15" Type="http://schemas.openxmlformats.org/officeDocument/2006/relationships/hyperlink" Target="https://doi.org/10.1007/s10802-022-00898-1" TargetMode="External"/><Relationship Id="rId10" Type="http://schemas.openxmlformats.org/officeDocument/2006/relationships/hyperlink" Target="https://doi.org/10.1186/s40337-020-00342-z"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nice.org.uk/guidance/ng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9368149c8bad289758f63ccdbca947ff">
  <xsd:schema xmlns:xsd="http://www.w3.org/2001/XMLSchema" xmlns:xs="http://www.w3.org/2001/XMLSchema" xmlns:p="http://schemas.microsoft.com/office/2006/metadata/properties" xmlns:ns3="80ad0dd2-2cb0-44fb-bfff-af5123703117" targetNamespace="http://schemas.microsoft.com/office/2006/metadata/properties" ma:root="true" ma:fieldsID="7adf8b6a5cfc928696bae61d85b60196"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8128B26-2DE4-43FD-A04E-14D3F14817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94AB31-A816-491F-AF37-2BB3F9AD9929}">
  <ds:schemaRefs>
    <ds:schemaRef ds:uri="http://schemas.microsoft.com/office/2006/metadata/properties"/>
    <ds:schemaRef ds:uri="http://schemas.microsoft.com/office/infopath/2007/PartnerControls"/>
    <ds:schemaRef ds:uri="80ad0dd2-2cb0-44fb-bfff-af5123703117"/>
  </ds:schemaRefs>
</ds:datastoreItem>
</file>

<file path=customXml/itemProps3.xml><?xml version="1.0" encoding="utf-8"?>
<ds:datastoreItem xmlns:ds="http://schemas.openxmlformats.org/officeDocument/2006/customXml" ds:itemID="{99E94BCA-A4C1-4C32-8563-05F7ED9FC0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2778</TotalTime>
  <Pages>10</Pages>
  <Words>3230</Words>
  <Characters>18413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Maria Blachut (2337025)</cp:lastModifiedBy>
  <cp:revision>110</cp:revision>
  <dcterms:created xsi:type="dcterms:W3CDTF">2026-08-10T12:06:00Z</dcterms:created>
  <dcterms:modified xsi:type="dcterms:W3CDTF">2026-08-13T14:16:00Z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