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7D746" w14:textId="77777777" w:rsidR="00296BFB" w:rsidRDefault="00296BFB" w:rsidP="007E7F25">
      <w:pPr>
        <w:shd w:val="clear" w:color="auto" w:fill="FFFFFF"/>
        <w:spacing w:after="240" w:line="510" w:lineRule="atLeast"/>
        <w:outlineLvl w:val="0"/>
        <w:rPr>
          <w:rFonts w:ascii="Segoe UI" w:eastAsia="Times New Roman" w:hAnsi="Segoe UI" w:cs="Segoe UI"/>
          <w:b/>
          <w:bCs/>
          <w:color w:val="0F1115"/>
          <w:kern w:val="36"/>
          <w:sz w:val="36"/>
          <w:szCs w:val="36"/>
          <w:lang w:eastAsia="en-GB"/>
          <w14:ligatures w14:val="none"/>
        </w:rPr>
      </w:pPr>
    </w:p>
    <w:p w14:paraId="2408693E" w14:textId="08FC8B43" w:rsidR="00296BFB" w:rsidRPr="00296BFB" w:rsidRDefault="00296BFB" w:rsidP="00296BFB">
      <w:pPr>
        <w:rPr>
          <w:rFonts w:ascii="Segoe UI" w:eastAsia="Times New Roman" w:hAnsi="Segoe UI" w:cs="Segoe UI"/>
          <w:b/>
          <w:bCs/>
          <w:color w:val="0F1115"/>
          <w:kern w:val="36"/>
          <w:sz w:val="36"/>
          <w:szCs w:val="36"/>
          <w:lang w:eastAsia="en-GB"/>
          <w14:ligatures w14:val="none"/>
        </w:rPr>
      </w:pPr>
      <w:r>
        <w:rPr>
          <w:rFonts w:ascii="Times New Roman" w:eastAsia="Times New Roman" w:hAnsi="Times New Roman" w:cs="Times New Roman"/>
          <w:b/>
          <w:bCs/>
          <w:kern w:val="36"/>
          <w:sz w:val="48"/>
          <w:szCs w:val="48"/>
          <w:lang w:eastAsia="en-GB"/>
          <w14:ligatures w14:val="none"/>
        </w:rPr>
        <w:t xml:space="preserve">      </w:t>
      </w:r>
      <w:r>
        <w:rPr>
          <w:rFonts w:ascii="Arial Black" w:eastAsia="Times New Roman" w:hAnsi="Arial Black" w:cs="Times New Roman"/>
          <w:b/>
          <w:bCs/>
          <w:kern w:val="36"/>
          <w:sz w:val="48"/>
          <w:szCs w:val="48"/>
          <w:lang w:eastAsia="en-GB"/>
          <w14:ligatures w14:val="none"/>
        </w:rPr>
        <w:t>BSc Health and Social Care</w:t>
      </w:r>
    </w:p>
    <w:p w14:paraId="71BA337B" w14:textId="77777777" w:rsidR="00296BFB" w:rsidRDefault="00296BFB" w:rsidP="00296BF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F55EC39" w14:textId="77777777" w:rsidR="00296BFB" w:rsidRDefault="00296BFB" w:rsidP="00296BFB">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r>
        <w:rPr>
          <w:rFonts w:ascii="Times New Roman" w:eastAsia="Times New Roman" w:hAnsi="Times New Roman" w:cs="Times New Roman"/>
          <w:b/>
          <w:bCs/>
          <w:kern w:val="36"/>
          <w:sz w:val="48"/>
          <w:szCs w:val="48"/>
          <w:lang w:eastAsia="en-GB"/>
          <w14:ligatures w14:val="none"/>
        </w:rPr>
        <w:t xml:space="preserve">   </w:t>
      </w:r>
      <w:r>
        <w:rPr>
          <w:rFonts w:ascii="Arial" w:eastAsia="Times New Roman" w:hAnsi="Arial" w:cs="Arial"/>
          <w:b/>
          <w:bCs/>
          <w:kern w:val="36"/>
          <w:sz w:val="44"/>
          <w:szCs w:val="44"/>
          <w:lang w:eastAsia="en-GB"/>
          <w14:ligatures w14:val="none"/>
        </w:rPr>
        <w:t>Principle of Health and Social Care</w:t>
      </w:r>
    </w:p>
    <w:p w14:paraId="6E5407F8" w14:textId="77777777" w:rsidR="00296BFB" w:rsidRDefault="00296BFB" w:rsidP="00296BF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8C296F4" w14:textId="77777777" w:rsidR="00296BFB" w:rsidRDefault="00296BFB" w:rsidP="00296BFB">
      <w:pPr>
        <w:spacing w:before="100" w:beforeAutospacing="1" w:after="100" w:afterAutospacing="1" w:line="240" w:lineRule="auto"/>
        <w:outlineLvl w:val="0"/>
        <w:rPr>
          <w:rFonts w:ascii="Arial" w:hAnsi="Arial" w:cs="Arial"/>
          <w:b/>
          <w:sz w:val="44"/>
          <w:szCs w:val="44"/>
        </w:rPr>
      </w:pPr>
      <w:r>
        <w:rPr>
          <w:rFonts w:ascii="Arial" w:eastAsia="Times New Roman" w:hAnsi="Arial" w:cs="Arial"/>
          <w:b/>
          <w:bCs/>
          <w:kern w:val="36"/>
          <w:sz w:val="44"/>
          <w:szCs w:val="44"/>
          <w:lang w:eastAsia="en-GB"/>
          <w14:ligatures w14:val="none"/>
        </w:rPr>
        <w:t>Module Code</w:t>
      </w:r>
      <w:r>
        <w:rPr>
          <w:rFonts w:ascii="Times New Roman" w:eastAsia="Times New Roman" w:hAnsi="Times New Roman" w:cs="Times New Roman"/>
          <w:b/>
          <w:bCs/>
          <w:kern w:val="36"/>
          <w:sz w:val="44"/>
          <w:szCs w:val="44"/>
          <w:lang w:eastAsia="en-GB"/>
          <w14:ligatures w14:val="none"/>
        </w:rPr>
        <w:t>:</w:t>
      </w:r>
      <w:r>
        <w:rPr>
          <w:rFonts w:ascii="Arial" w:hAnsi="Arial" w:cs="Arial"/>
          <w:b/>
          <w:sz w:val="40"/>
          <w:szCs w:val="40"/>
        </w:rPr>
        <w:t xml:space="preserve"> </w:t>
      </w:r>
      <w:r>
        <w:rPr>
          <w:rFonts w:ascii="Arial" w:hAnsi="Arial" w:cs="Arial"/>
          <w:b/>
          <w:sz w:val="44"/>
          <w:szCs w:val="44"/>
        </w:rPr>
        <w:t>BMHP5016</w:t>
      </w:r>
    </w:p>
    <w:p w14:paraId="4C25CACF" w14:textId="77777777" w:rsidR="00296BFB" w:rsidRDefault="00296BFB" w:rsidP="00296BFB">
      <w:pPr>
        <w:spacing w:before="100" w:beforeAutospacing="1" w:after="100" w:afterAutospacing="1" w:line="240" w:lineRule="auto"/>
        <w:outlineLvl w:val="0"/>
        <w:rPr>
          <w:rFonts w:ascii="Arial" w:hAnsi="Arial" w:cs="Arial"/>
          <w:b/>
          <w:bCs/>
          <w:sz w:val="44"/>
          <w:szCs w:val="44"/>
        </w:rPr>
      </w:pPr>
      <w:r>
        <w:rPr>
          <w:rFonts w:ascii="Arial" w:hAnsi="Arial" w:cs="Arial"/>
          <w:b/>
          <w:sz w:val="44"/>
          <w:szCs w:val="44"/>
        </w:rPr>
        <w:t>Assignment title: Component 1: Written Assignment (</w:t>
      </w:r>
      <w:r>
        <w:rPr>
          <w:rFonts w:ascii="Arial" w:hAnsi="Arial" w:cs="Arial"/>
          <w:b/>
          <w:bCs/>
          <w:sz w:val="44"/>
          <w:szCs w:val="44"/>
        </w:rPr>
        <w:t>Reflective Report)</w:t>
      </w:r>
    </w:p>
    <w:p w14:paraId="60E23B91" w14:textId="77777777" w:rsidR="00296BFB" w:rsidRDefault="00296BFB" w:rsidP="00296BFB">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r>
        <w:rPr>
          <w:rFonts w:ascii="Arial" w:eastAsia="Times New Roman" w:hAnsi="Arial" w:cs="Arial"/>
          <w:b/>
          <w:bCs/>
          <w:kern w:val="36"/>
          <w:sz w:val="44"/>
          <w:szCs w:val="44"/>
          <w:lang w:eastAsia="en-GB"/>
          <w14:ligatures w14:val="none"/>
        </w:rPr>
        <w:t>Student Name: Lavinia Groceanu</w:t>
      </w:r>
    </w:p>
    <w:p w14:paraId="621417BE" w14:textId="77777777" w:rsidR="00296BFB" w:rsidRDefault="00296BFB" w:rsidP="00296BFB">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r>
        <w:rPr>
          <w:rFonts w:ascii="Arial" w:eastAsia="Times New Roman" w:hAnsi="Arial" w:cs="Arial"/>
          <w:b/>
          <w:bCs/>
          <w:kern w:val="36"/>
          <w:sz w:val="44"/>
          <w:szCs w:val="44"/>
          <w:lang w:eastAsia="en-GB"/>
          <w14:ligatures w14:val="none"/>
        </w:rPr>
        <w:t>Student ID:2508612</w:t>
      </w:r>
    </w:p>
    <w:p w14:paraId="37DFCDB5" w14:textId="77777777" w:rsidR="00296BFB" w:rsidRDefault="00296BFB" w:rsidP="00296BFB">
      <w:pPr>
        <w:spacing w:before="100" w:beforeAutospacing="1" w:after="100" w:afterAutospacing="1" w:line="240" w:lineRule="auto"/>
        <w:outlineLvl w:val="0"/>
        <w:rPr>
          <w:rFonts w:ascii="Arial" w:hAnsi="Arial" w:cs="Arial"/>
          <w:b/>
          <w:bCs/>
          <w:sz w:val="44"/>
          <w:szCs w:val="44"/>
        </w:rPr>
      </w:pPr>
      <w:r>
        <w:rPr>
          <w:rFonts w:ascii="Arial" w:eastAsia="Times New Roman" w:hAnsi="Arial" w:cs="Arial"/>
          <w:b/>
          <w:bCs/>
          <w:kern w:val="36"/>
          <w:sz w:val="44"/>
          <w:szCs w:val="44"/>
          <w:lang w:eastAsia="en-GB"/>
          <w14:ligatures w14:val="none"/>
        </w:rPr>
        <w:t>Lecturer Name:</w:t>
      </w:r>
      <w:r>
        <w:rPr>
          <w:rFonts w:ascii="Arial" w:hAnsi="Arial" w:cs="Arial"/>
          <w:b/>
          <w:bCs/>
          <w:sz w:val="44"/>
          <w:szCs w:val="44"/>
        </w:rPr>
        <w:t xml:space="preserve"> Azida Zainol</w:t>
      </w:r>
    </w:p>
    <w:p w14:paraId="69C3080E" w14:textId="77777777" w:rsidR="00296BFB" w:rsidRDefault="00296BFB" w:rsidP="00296BFB">
      <w:pPr>
        <w:spacing w:before="100" w:beforeAutospacing="1" w:after="100" w:afterAutospacing="1" w:line="240" w:lineRule="auto"/>
        <w:outlineLvl w:val="0"/>
        <w:rPr>
          <w:rFonts w:ascii="Arial" w:hAnsi="Arial" w:cs="Arial"/>
          <w:b/>
          <w:bCs/>
          <w:sz w:val="44"/>
          <w:szCs w:val="44"/>
        </w:rPr>
      </w:pPr>
    </w:p>
    <w:p w14:paraId="291D2A8B" w14:textId="77777777" w:rsidR="00296BFB" w:rsidRDefault="00296BFB" w:rsidP="00296BFB">
      <w:pPr>
        <w:spacing w:before="100" w:beforeAutospacing="1" w:after="100" w:afterAutospacing="1" w:line="240" w:lineRule="auto"/>
        <w:outlineLvl w:val="0"/>
        <w:rPr>
          <w:rFonts w:ascii="Arial" w:hAnsi="Arial" w:cs="Arial"/>
          <w:b/>
          <w:bCs/>
          <w:sz w:val="44"/>
          <w:szCs w:val="44"/>
        </w:rPr>
      </w:pPr>
    </w:p>
    <w:p w14:paraId="1A68780F" w14:textId="77777777" w:rsidR="00296BFB" w:rsidRDefault="00296BFB" w:rsidP="00296BFB">
      <w:pPr>
        <w:spacing w:before="100" w:beforeAutospacing="1" w:after="100" w:afterAutospacing="1" w:line="240" w:lineRule="auto"/>
        <w:outlineLvl w:val="0"/>
        <w:rPr>
          <w:rFonts w:ascii="Arial" w:hAnsi="Arial" w:cs="Arial"/>
          <w:b/>
          <w:bCs/>
          <w:sz w:val="44"/>
          <w:szCs w:val="44"/>
        </w:rPr>
      </w:pPr>
    </w:p>
    <w:p w14:paraId="0B81BF46" w14:textId="77777777" w:rsidR="00296BFB" w:rsidRDefault="00296BFB" w:rsidP="00296BFB">
      <w:pPr>
        <w:spacing w:before="100" w:beforeAutospacing="1" w:after="100" w:afterAutospacing="1" w:line="240" w:lineRule="auto"/>
        <w:outlineLvl w:val="0"/>
        <w:rPr>
          <w:rFonts w:ascii="Arial" w:hAnsi="Arial" w:cs="Arial"/>
          <w:b/>
          <w:bCs/>
          <w:sz w:val="44"/>
          <w:szCs w:val="44"/>
        </w:rPr>
      </w:pPr>
    </w:p>
    <w:p w14:paraId="38DFEE78" w14:textId="77777777" w:rsidR="00296BFB" w:rsidRDefault="00296BFB" w:rsidP="00296BFB">
      <w:pPr>
        <w:spacing w:before="100" w:beforeAutospacing="1" w:after="100" w:afterAutospacing="1" w:line="240" w:lineRule="auto"/>
        <w:outlineLvl w:val="0"/>
        <w:rPr>
          <w:rFonts w:ascii="Arial" w:hAnsi="Arial" w:cs="Arial"/>
          <w:b/>
          <w:bCs/>
          <w:sz w:val="44"/>
          <w:szCs w:val="44"/>
        </w:rPr>
      </w:pPr>
    </w:p>
    <w:p w14:paraId="153775D8" w14:textId="77777777" w:rsidR="00296BFB" w:rsidRDefault="00296BFB" w:rsidP="00296BFB">
      <w:pPr>
        <w:spacing w:before="100" w:beforeAutospacing="1" w:after="100" w:afterAutospacing="1" w:line="240" w:lineRule="auto"/>
        <w:outlineLvl w:val="0"/>
        <w:rPr>
          <w:rFonts w:ascii="Arial" w:hAnsi="Arial" w:cs="Arial"/>
          <w:b/>
          <w:bCs/>
          <w:sz w:val="44"/>
          <w:szCs w:val="44"/>
        </w:rPr>
      </w:pPr>
    </w:p>
    <w:p w14:paraId="12079F50" w14:textId="77777777" w:rsidR="00296BFB" w:rsidRDefault="00296BFB" w:rsidP="00296BFB">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1FE371FF" w14:textId="77777777" w:rsidR="00296BFB" w:rsidRDefault="00296BFB" w:rsidP="00296BF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31F1DA6" w14:textId="6D8A37E6" w:rsidR="007E7F25" w:rsidRPr="00296BFB" w:rsidRDefault="007E7F25" w:rsidP="007E7F25">
      <w:pPr>
        <w:shd w:val="clear" w:color="auto" w:fill="FFFFFF"/>
        <w:spacing w:after="240" w:line="510" w:lineRule="atLeast"/>
        <w:outlineLvl w:val="0"/>
        <w:rPr>
          <w:rFonts w:ascii="Arial" w:eastAsia="Times New Roman" w:hAnsi="Arial" w:cs="Arial"/>
          <w:b/>
          <w:bCs/>
          <w:color w:val="0F1115"/>
          <w:kern w:val="36"/>
          <w:sz w:val="36"/>
          <w:szCs w:val="36"/>
          <w:lang w:eastAsia="en-GB"/>
          <w14:ligatures w14:val="none"/>
        </w:rPr>
      </w:pPr>
      <w:r w:rsidRPr="00296BFB">
        <w:rPr>
          <w:rFonts w:ascii="Arial" w:eastAsia="Times New Roman" w:hAnsi="Arial" w:cs="Arial"/>
          <w:b/>
          <w:bCs/>
          <w:color w:val="0F1115"/>
          <w:kern w:val="36"/>
          <w:sz w:val="36"/>
          <w:szCs w:val="36"/>
          <w:lang w:eastAsia="en-GB"/>
          <w14:ligatures w14:val="none"/>
        </w:rPr>
        <w:t>Reflecting on the Principles of Health and Social Care</w:t>
      </w:r>
    </w:p>
    <w:p w14:paraId="6BC14AEF" w14:textId="77777777" w:rsidR="007E7F25" w:rsidRPr="00296BFB" w:rsidRDefault="007E7F25" w:rsidP="007E7F25">
      <w:pPr>
        <w:shd w:val="clear" w:color="auto" w:fill="FFFFFF"/>
        <w:spacing w:before="480" w:after="240" w:line="480" w:lineRule="atLeast"/>
        <w:outlineLvl w:val="1"/>
        <w:rPr>
          <w:rFonts w:ascii="Arial" w:eastAsia="Times New Roman" w:hAnsi="Arial" w:cs="Arial"/>
          <w:b/>
          <w:bCs/>
          <w:color w:val="0F1115"/>
          <w:kern w:val="0"/>
          <w:sz w:val="32"/>
          <w:szCs w:val="32"/>
          <w:lang w:eastAsia="en-GB"/>
          <w14:ligatures w14:val="none"/>
        </w:rPr>
      </w:pPr>
      <w:r w:rsidRPr="00296BFB">
        <w:rPr>
          <w:rFonts w:ascii="Arial" w:eastAsia="Times New Roman" w:hAnsi="Arial" w:cs="Arial"/>
          <w:b/>
          <w:bCs/>
          <w:color w:val="0F1115"/>
          <w:kern w:val="0"/>
          <w:sz w:val="32"/>
          <w:szCs w:val="32"/>
          <w:lang w:eastAsia="en-GB"/>
          <w14:ligatures w14:val="none"/>
        </w:rPr>
        <w:t>Introduction</w:t>
      </w:r>
    </w:p>
    <w:p w14:paraId="7164A6A9"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The principles underpinning health and social care provision in the United Kingdom serve as the essential framework upon which safe, compassionate and effective services are constructed. Among these foundational principles, person-centred care, partnership working and ethical practice are particularly significant, as they fundamentally shape how professionals engage with individuals, collaborate with colleagues and make decisions in complex situations. This reflective report addresses three distinct tasks: firstly, it reflects upon the importance of these principles and their role in supporting quality of care; secondly, it evaluates how they are demonstrated within a published case study; and thirdly, it reflects on how they will influence my own professional practice and ongoing development. Throughout this report, relevant theory, legislation and professional guidance are drawn upon to ground the discussion firmly within UK health and social care practice.</w:t>
      </w:r>
    </w:p>
    <w:p w14:paraId="3D5A9AB4" w14:textId="77777777" w:rsidR="007E7F25" w:rsidRPr="00296BFB" w:rsidRDefault="007E7F25" w:rsidP="007E7F25">
      <w:pPr>
        <w:shd w:val="clear" w:color="auto" w:fill="FFFFFF"/>
        <w:spacing w:before="480" w:after="240" w:line="480" w:lineRule="atLeast"/>
        <w:outlineLvl w:val="1"/>
        <w:rPr>
          <w:rFonts w:ascii="Arial" w:eastAsia="Times New Roman" w:hAnsi="Arial" w:cs="Arial"/>
          <w:b/>
          <w:bCs/>
          <w:color w:val="0F1115"/>
          <w:kern w:val="0"/>
          <w:sz w:val="32"/>
          <w:szCs w:val="32"/>
          <w:lang w:eastAsia="en-GB"/>
          <w14:ligatures w14:val="none"/>
        </w:rPr>
      </w:pPr>
      <w:r w:rsidRPr="00296BFB">
        <w:rPr>
          <w:rFonts w:ascii="Arial" w:eastAsia="Times New Roman" w:hAnsi="Arial" w:cs="Arial"/>
          <w:b/>
          <w:bCs/>
          <w:color w:val="0F1115"/>
          <w:kern w:val="0"/>
          <w:sz w:val="32"/>
          <w:szCs w:val="32"/>
          <w:lang w:eastAsia="en-GB"/>
          <w14:ligatures w14:val="none"/>
        </w:rPr>
        <w:t>Task 1: Reflection on the Importance of Principles of Health and Social Care</w:t>
      </w:r>
    </w:p>
    <w:p w14:paraId="57EDC83A"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Person-centred care positions the individual at the heart of every decision, recognising them as a complete person rather than merely a collection of symptoms or needs. </w:t>
      </w:r>
      <w:proofErr w:type="spellStart"/>
      <w:r w:rsidRPr="00296BFB">
        <w:rPr>
          <w:rFonts w:ascii="Arial" w:eastAsia="Times New Roman" w:hAnsi="Arial" w:cs="Arial"/>
          <w:color w:val="0F1115"/>
          <w:kern w:val="0"/>
          <w:sz w:val="22"/>
          <w:szCs w:val="22"/>
          <w:lang w:eastAsia="en-GB"/>
          <w14:ligatures w14:val="none"/>
        </w:rPr>
        <w:t>Kitwood</w:t>
      </w:r>
      <w:proofErr w:type="spellEnd"/>
      <w:r w:rsidRPr="00296BFB">
        <w:rPr>
          <w:rFonts w:ascii="Arial" w:eastAsia="Times New Roman" w:hAnsi="Arial" w:cs="Arial"/>
          <w:color w:val="0F1115"/>
          <w:kern w:val="0"/>
          <w:sz w:val="22"/>
          <w:szCs w:val="22"/>
          <w:lang w:eastAsia="en-GB"/>
          <w14:ligatures w14:val="none"/>
        </w:rPr>
        <w:t xml:space="preserve"> (1997) contended that care should preserve the personhood of the individual, a perspective that has profoundly influenced contemporary practice. This principle is embedded within UK policy through the Health and Social Care Act 2012 and the Care Act 2014, which place a legal duty upon services to promote individual wellbeing and choice (Department of Health and Social Care, 2014). By involving people in decisions concerning their own care, person-centred practice enhances outcomes, dignity and satisfaction, and it is central to the NHS's "6Cs" of care, compassion, competence, communication, courage and commitment (NHS England, 2012). Maslow's (1943) hierarchy of needs further supports this approach, </w:t>
      </w:r>
      <w:r w:rsidRPr="00296BFB">
        <w:rPr>
          <w:rFonts w:ascii="Arial" w:eastAsia="Times New Roman" w:hAnsi="Arial" w:cs="Arial"/>
          <w:color w:val="0F1115"/>
          <w:kern w:val="0"/>
          <w:sz w:val="22"/>
          <w:szCs w:val="22"/>
          <w:lang w:eastAsia="en-GB"/>
          <w14:ligatures w14:val="none"/>
        </w:rPr>
        <w:lastRenderedPageBreak/>
        <w:t>reminding professionals that a person's basic physiological and safety needs must be satisfied before they can engage fully with higher-level goals such as self-esteem and self-actualisation.</w:t>
      </w:r>
    </w:p>
    <w:p w14:paraId="582734EE"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Partnership working is equally important, as no single professional or agency can meet the full range of an individual's needs. Effective collaboration between health, social care and voluntary organisations ensures that care is coordinated and that information is shared appropriately. The principle of partnership also extends to working with service users and their families, who are experts in their own lives. When agencies work in silos, care becomes fragmented and risks are missed; conversely, when they work together, services become more responsive and efficient (Glasby and Dickinson, 2014). The Health and Care Act 2022 reinforces this by establishing integrated care systems designed to bring health and social care organisations together around the needs of local populations (Department of Health and Social Care, 2022).</w:t>
      </w:r>
    </w:p>
    <w:p w14:paraId="732682D2"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Ethics provides the framework for decision-making in situations where there is no simple answer. Beauchamp and Childress (2019) identify four principles — autonomy, beneficence, non-maleficence and justice — which guide professionals in balancing competing demands. For example, respecting a person's autonomy may conflict with the duty to protect them from harm, and ethical reasoning helps practitioners navigate such tensions transparently and defensibly. In the UK, professional codes such as those of the Nursing and Midwifery Council (2018) reinforce these ethical duties, ensuring that care is delivered with integrity and accountability.</w:t>
      </w:r>
    </w:p>
    <w:p w14:paraId="2775B5DD"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Together, these three principles support the quality of care in the UK by ensuring that services are individualised, coordinated and morally sound. Person-centred care ensures individuals are treated with dignity and choice, partnership working enables holistic and integrated support, and ethics provides the moral compass for difficult decisions. They are not abstract ideals but practical principles that directly shape the experience of every person who uses health and social care services.</w:t>
      </w:r>
    </w:p>
    <w:p w14:paraId="69CEB7A0" w14:textId="77777777" w:rsidR="007E7F25" w:rsidRPr="00296BFB" w:rsidRDefault="007E7F25" w:rsidP="007E7F25">
      <w:pPr>
        <w:shd w:val="clear" w:color="auto" w:fill="FFFFFF"/>
        <w:spacing w:before="480" w:after="240" w:line="480" w:lineRule="atLeast"/>
        <w:outlineLvl w:val="1"/>
        <w:rPr>
          <w:rFonts w:ascii="Arial" w:eastAsia="Times New Roman" w:hAnsi="Arial" w:cs="Arial"/>
          <w:b/>
          <w:bCs/>
          <w:color w:val="0F1115"/>
          <w:kern w:val="0"/>
          <w:sz w:val="32"/>
          <w:szCs w:val="32"/>
          <w:lang w:eastAsia="en-GB"/>
          <w14:ligatures w14:val="none"/>
        </w:rPr>
      </w:pPr>
      <w:r w:rsidRPr="00296BFB">
        <w:rPr>
          <w:rFonts w:ascii="Arial" w:eastAsia="Times New Roman" w:hAnsi="Arial" w:cs="Arial"/>
          <w:b/>
          <w:bCs/>
          <w:color w:val="0F1115"/>
          <w:kern w:val="0"/>
          <w:sz w:val="32"/>
          <w:szCs w:val="32"/>
          <w:lang w:eastAsia="en-GB"/>
          <w14:ligatures w14:val="none"/>
        </w:rPr>
        <w:t>Task 2: Practical Examples of Concepts in Practice</w:t>
      </w:r>
    </w:p>
    <w:p w14:paraId="3A6754E2"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lastRenderedPageBreak/>
        <w:t>Joan's case illustrates how these principles operate in practice and how their application can transform both individual outcomes and the use of health resources. Joan lives with Chronic Obstructive Pulmonary Disease (COPD) alongside uncontrolled Crohn's disease, and her low Patient Activation Measure (PAM®) score of one indicated that she lacked the confidence, knowledge and skills to manage her own health, resulting in missed appointments and repeated emergency admissions.</w:t>
      </w:r>
    </w:p>
    <w:p w14:paraId="29304130"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Person-centred care is demonstrated from the outset. Rather than labelling Joan as non-compliant when she missed appointments, the therapy team sought to understand the reasons behind her behaviour, reflecting </w:t>
      </w:r>
      <w:proofErr w:type="spellStart"/>
      <w:r w:rsidRPr="00296BFB">
        <w:rPr>
          <w:rFonts w:ascii="Arial" w:eastAsia="Times New Roman" w:hAnsi="Arial" w:cs="Arial"/>
          <w:color w:val="0F1115"/>
          <w:kern w:val="0"/>
          <w:sz w:val="22"/>
          <w:szCs w:val="22"/>
          <w:lang w:eastAsia="en-GB"/>
          <w14:ligatures w14:val="none"/>
        </w:rPr>
        <w:t>Kitwood's</w:t>
      </w:r>
      <w:proofErr w:type="spellEnd"/>
      <w:r w:rsidRPr="00296BFB">
        <w:rPr>
          <w:rFonts w:ascii="Arial" w:eastAsia="Times New Roman" w:hAnsi="Arial" w:cs="Arial"/>
          <w:color w:val="0F1115"/>
          <w:kern w:val="0"/>
          <w:sz w:val="22"/>
          <w:szCs w:val="22"/>
          <w:lang w:eastAsia="en-GB"/>
          <w14:ligatures w14:val="none"/>
        </w:rPr>
        <w:t xml:space="preserve"> (1997) argument that care should preserve personhood. The use of the PAM® was itself person-centred, measuring Joan's own confidence rather than imposing a clinical judgement. Most significantly, the team identified her uncontrolled Crohn's disease as the hidden barrier preventing her from leaving the house, reflecting the biopsychosocial model, which holds that health is shaped by biological, psychological and social factors together (Engel, 1977). By looking </w:t>
      </w:r>
      <w:proofErr w:type="gramStart"/>
      <w:r w:rsidRPr="00296BFB">
        <w:rPr>
          <w:rFonts w:ascii="Arial" w:eastAsia="Times New Roman" w:hAnsi="Arial" w:cs="Arial"/>
          <w:color w:val="0F1115"/>
          <w:kern w:val="0"/>
          <w:sz w:val="22"/>
          <w:szCs w:val="22"/>
          <w:lang w:eastAsia="en-GB"/>
          <w14:ligatures w14:val="none"/>
        </w:rPr>
        <w:t>beyond</w:t>
      </w:r>
      <w:proofErr w:type="gramEnd"/>
      <w:r w:rsidRPr="00296BFB">
        <w:rPr>
          <w:rFonts w:ascii="Arial" w:eastAsia="Times New Roman" w:hAnsi="Arial" w:cs="Arial"/>
          <w:color w:val="0F1115"/>
          <w:kern w:val="0"/>
          <w:sz w:val="22"/>
          <w:szCs w:val="22"/>
          <w:lang w:eastAsia="en-GB"/>
          <w14:ligatures w14:val="none"/>
        </w:rPr>
        <w:t xml:space="preserve"> the COPD to the whole person, they addressed the real cause of her disengagement rather than its symptoms.</w:t>
      </w:r>
    </w:p>
    <w:p w14:paraId="3B41952C"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Partnership working is demonstrated at two levels. Firstly, between Joan and professionals: she met weekly with the therapy team, and together they identified barriers and drew up an action plan. This reflects the principle that service users are experts in their own lives and equal partners in their care (Glasby and Dickinson, 2014). Secondly, between professionals: her physiotherapist, therapy team and GP coordinated the management of her Crohn's disease, demonstrating integrated working across disciplines. This multi-professional approach reflects the aims of the Health and Care Act 2022, which promotes integration across health and social care (Department of Health and Social Care, 2022).</w:t>
      </w:r>
    </w:p>
    <w:p w14:paraId="5E047E71"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Ethical practice is demonstrated through the balance of autonomy and beneficence (Beauchamp and Childress, 2019). The team acted in Joan's best interests while ensuring she remained in control, drawing up the plan with her rather than for her. This is consistent with the duty to promote individual wellbeing set out in the Care Act 2014 (Department of Health and Social Care, 2014).</w:t>
      </w:r>
    </w:p>
    <w:p w14:paraId="6D739D80"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lastRenderedPageBreak/>
        <w:t>These approaches produced measurable results. Joan's PAM score improved by over 40%, reflecting growth in knowledge, skills and confidence, which can be understood through Bandura's (1997) theory of self-efficacy. She missed only one of ten subsequent appointments and had one emergency admission, compared with three missed appointments and two admissions the previous year. This addresses a central UK challenge: pressure on resources from unplanned admissions and missed appointments. As Hibbard et al. (2004) argue, higher patient activation is associated with better outcomes and lower costs. Joan's case therefore shows that these principles are practical tools that improve both individual wellbeing and the efficiency of health services.</w:t>
      </w:r>
    </w:p>
    <w:p w14:paraId="076E1949" w14:textId="77777777" w:rsidR="007E7F25" w:rsidRPr="00296BFB" w:rsidRDefault="007E7F25" w:rsidP="007E7F25">
      <w:pPr>
        <w:shd w:val="clear" w:color="auto" w:fill="FFFFFF"/>
        <w:spacing w:before="480" w:after="240" w:line="480" w:lineRule="atLeast"/>
        <w:outlineLvl w:val="1"/>
        <w:rPr>
          <w:rFonts w:ascii="Arial" w:eastAsia="Times New Roman" w:hAnsi="Arial" w:cs="Arial"/>
          <w:b/>
          <w:bCs/>
          <w:color w:val="0F1115"/>
          <w:kern w:val="0"/>
          <w:sz w:val="32"/>
          <w:szCs w:val="32"/>
          <w:lang w:eastAsia="en-GB"/>
          <w14:ligatures w14:val="none"/>
        </w:rPr>
      </w:pPr>
      <w:r w:rsidRPr="00296BFB">
        <w:rPr>
          <w:rFonts w:ascii="Arial" w:eastAsia="Times New Roman" w:hAnsi="Arial" w:cs="Arial"/>
          <w:b/>
          <w:bCs/>
          <w:color w:val="0F1115"/>
          <w:kern w:val="0"/>
          <w:sz w:val="32"/>
          <w:szCs w:val="32"/>
          <w:lang w:eastAsia="en-GB"/>
          <w14:ligatures w14:val="none"/>
        </w:rPr>
        <w:t>Task 3: Self-Reflection as a Health and Social Care Professional</w:t>
      </w:r>
    </w:p>
    <w:p w14:paraId="25CCBAA5"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As a health and social care professional, I am increasingly aware that the quality of the care I provide depends not only on my clinical knowledge but on the principles that guide how I work with people. Person-centred care, partnership working and ethics are not abstract concepts to be learned for an assignment; they are the foundation of my daily practice.</w:t>
      </w:r>
    </w:p>
    <w:p w14:paraId="3A211D77"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Person-centred care shapes the way I approach every interaction with a service user. Rather than seeing the person as a condition to be treated, I try to understand them as a whole individual with their own values, preferences and life circumstances. This reflects </w:t>
      </w:r>
      <w:proofErr w:type="spellStart"/>
      <w:r w:rsidRPr="00296BFB">
        <w:rPr>
          <w:rFonts w:ascii="Arial" w:eastAsia="Times New Roman" w:hAnsi="Arial" w:cs="Arial"/>
          <w:color w:val="0F1115"/>
          <w:kern w:val="0"/>
          <w:sz w:val="22"/>
          <w:szCs w:val="22"/>
          <w:lang w:eastAsia="en-GB"/>
          <w14:ligatures w14:val="none"/>
        </w:rPr>
        <w:t>Kitwood's</w:t>
      </w:r>
      <w:proofErr w:type="spellEnd"/>
      <w:r w:rsidRPr="00296BFB">
        <w:rPr>
          <w:rFonts w:ascii="Arial" w:eastAsia="Times New Roman" w:hAnsi="Arial" w:cs="Arial"/>
          <w:color w:val="0F1115"/>
          <w:kern w:val="0"/>
          <w:sz w:val="22"/>
          <w:szCs w:val="22"/>
          <w:lang w:eastAsia="en-GB"/>
          <w14:ligatures w14:val="none"/>
        </w:rPr>
        <w:t xml:space="preserve"> (1997) argument that care should preserve personhood, and it is embedded in UK legislation through the Care Act 2014, which places a duty on me to promote individual wellbeing and to involve people in decisions about their own care (Department of Health and Social Care, 2014). In practice, this means listening before advising, asking what matters to the person rather than assuming, and respecting their choices even when they differ from my own professional judgement. Maslow's (1943) hierarchy reminds me to consider a person's basic needs before expecting them to engage with higher-level goals.</w:t>
      </w:r>
    </w:p>
    <w:p w14:paraId="237429AF"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Partnership working influences how I collaborate with both service users and colleagues. I recognise that no single professional can meet </w:t>
      </w:r>
      <w:proofErr w:type="gramStart"/>
      <w:r w:rsidRPr="00296BFB">
        <w:rPr>
          <w:rFonts w:ascii="Arial" w:eastAsia="Times New Roman" w:hAnsi="Arial" w:cs="Arial"/>
          <w:color w:val="0F1115"/>
          <w:kern w:val="0"/>
          <w:sz w:val="22"/>
          <w:szCs w:val="22"/>
          <w:lang w:eastAsia="en-GB"/>
          <w14:ligatures w14:val="none"/>
        </w:rPr>
        <w:t>all of</w:t>
      </w:r>
      <w:proofErr w:type="gramEnd"/>
      <w:r w:rsidRPr="00296BFB">
        <w:rPr>
          <w:rFonts w:ascii="Arial" w:eastAsia="Times New Roman" w:hAnsi="Arial" w:cs="Arial"/>
          <w:color w:val="0F1115"/>
          <w:kern w:val="0"/>
          <w:sz w:val="22"/>
          <w:szCs w:val="22"/>
          <w:lang w:eastAsia="en-GB"/>
          <w14:ligatures w14:val="none"/>
        </w:rPr>
        <w:t xml:space="preserve"> a person's needs, and that effective care requires coordination across disciplines and agencies. Glasby and Dickinson (2014) argue that fragmented care arises when services work in silos, whereas integrated working produces more responsive and efficient support. In my daily work, this means </w:t>
      </w:r>
      <w:r w:rsidRPr="00296BFB">
        <w:rPr>
          <w:rFonts w:ascii="Arial" w:eastAsia="Times New Roman" w:hAnsi="Arial" w:cs="Arial"/>
          <w:color w:val="0F1115"/>
          <w:kern w:val="0"/>
          <w:sz w:val="22"/>
          <w:szCs w:val="22"/>
          <w:lang w:eastAsia="en-GB"/>
          <w14:ligatures w14:val="none"/>
        </w:rPr>
        <w:lastRenderedPageBreak/>
        <w:t>communicating clearly with other professionals, sharing information appropriately, and treating service users and their families as equal partners who are experts in their own lives.</w:t>
      </w:r>
    </w:p>
    <w:p w14:paraId="3A6FF50B"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Ethics provides the framework for the difficult decisions I face. Beauchamp and Childress (2019) identify four principles — autonomy, beneficence, non-maleficence and justice — which I use to balance competing demands. The Nursing and Midwifery Council's (2018) Code reinforces these duties, requiring me to act with integrity, accountability and in the best interests of those in my care.</w:t>
      </w:r>
    </w:p>
    <w:p w14:paraId="741871FF"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Reflecting honestly, I believe my greatest strength is my commitment to listening. I make a conscious effort to hear what service users are telling me, including what they do not say directly, and I am comfortable asking open questions that allow people to express their concerns. This supports person-centred practice, as it enables me to understand the individual's lived experience rather than imposing my own assumptions. I am also a reliable team member, communicating clearly with colleagues and keeping accurate records, which supports partnership working. In terms of ethics, I am developing a strong sense of professional accountability, understanding the importance of confidentiality, consent and safeguarding.</w:t>
      </w:r>
    </w:p>
    <w:p w14:paraId="68DA3D05"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Despite these strengths, I recognise several areas where I need to develop. Firstly, I sometimes find it challenging to balance respecting a person's autonomy with my duty to protect them from harm. In situations where a service user makes a choice that I believe places them at risk, I can feel uncertain about how far to intervene. I need to develop greater confidence in applying ethical frameworks such as those of Beauchamp and Childress (2019) to reach defensible decisions. Secondly, I am aware that my partnership working could be stronger. While I communicate well with immediate colleagues, I am less confident when working across different agencies and sectors, such as with social services, housing or voluntary organisations. Thirdly, I recognise that I could improve my ability to empower service users to manage their own health. The concept of patient activation, defined by Hibbard et al. (2004) as the knowledge, skill and confidence to manage one's own health, is central to person-centred care. I sometimes find it easier to do things for people than to support them to do things for themselves. Strengthening these areas will support my transition into more advanced roles and ensure I continue to deliver safe, ethical and person-centred care.</w:t>
      </w:r>
    </w:p>
    <w:p w14:paraId="1763CC8C"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lastRenderedPageBreak/>
        <w:t>Firstly, I intend to deepen my understanding of ethical decision-making by engaging with professional codes and ethical frameworks, and by seeking supervision and reflective discussion with experienced colleagues when I face difficult decisions. Reflective practice, as advocated by Schön (1983), will help me learn from my experiences and develop my professional judgement. Secondly, I plan to build my confidence in partnership working by actively seeking opportunities to work across agencies, attending multi-disciplinary meetings, and learning more about the roles of other professionals and services. Thirdly, I intend to develop my skills in supporting self-management by learning more about approaches such as motivational interviewing and health coaching, which are designed to build a person's confidence and motivation to manage their own health. Finally, I will commit to ongoing continuing professional development, keeping my knowledge of legislation and guidance up to date, and reflecting regularly on my practice to ensure that person-centred care, partnership working and ethics remain at the heart of everything I do.</w:t>
      </w:r>
    </w:p>
    <w:p w14:paraId="6AAAE7A1" w14:textId="77777777" w:rsidR="007E7F25" w:rsidRPr="00296BFB" w:rsidRDefault="007E7F25" w:rsidP="007E7F25">
      <w:pPr>
        <w:shd w:val="clear" w:color="auto" w:fill="FFFFFF"/>
        <w:spacing w:before="480" w:after="240" w:line="480" w:lineRule="atLeast"/>
        <w:outlineLvl w:val="1"/>
        <w:rPr>
          <w:rFonts w:ascii="Arial" w:eastAsia="Times New Roman" w:hAnsi="Arial" w:cs="Arial"/>
          <w:b/>
          <w:bCs/>
          <w:color w:val="0F1115"/>
          <w:kern w:val="0"/>
          <w:sz w:val="32"/>
          <w:szCs w:val="32"/>
          <w:lang w:eastAsia="en-GB"/>
          <w14:ligatures w14:val="none"/>
        </w:rPr>
      </w:pPr>
      <w:r w:rsidRPr="00296BFB">
        <w:rPr>
          <w:rFonts w:ascii="Arial" w:eastAsia="Times New Roman" w:hAnsi="Arial" w:cs="Arial"/>
          <w:b/>
          <w:bCs/>
          <w:color w:val="0F1115"/>
          <w:kern w:val="0"/>
          <w:sz w:val="32"/>
          <w:szCs w:val="32"/>
          <w:lang w:eastAsia="en-GB"/>
          <w14:ligatures w14:val="none"/>
        </w:rPr>
        <w:t>Conclusion</w:t>
      </w:r>
    </w:p>
    <w:p w14:paraId="39850459" w14:textId="77777777" w:rsidR="007E7F25" w:rsidRPr="007E7F25" w:rsidRDefault="007E7F25" w:rsidP="007E7F25">
      <w:pPr>
        <w:shd w:val="clear" w:color="auto" w:fill="FFFFFF"/>
        <w:spacing w:before="240" w:after="240" w:line="420" w:lineRule="atLeast"/>
        <w:rPr>
          <w:rFonts w:ascii="Segoe UI" w:eastAsia="Times New Roman" w:hAnsi="Segoe UI" w:cs="Segoe UI"/>
          <w:color w:val="0F1115"/>
          <w:kern w:val="0"/>
          <w:lang w:eastAsia="en-GB"/>
          <w14:ligatures w14:val="none"/>
        </w:rPr>
      </w:pPr>
      <w:r w:rsidRPr="00296BFB">
        <w:rPr>
          <w:rFonts w:ascii="Arial" w:eastAsia="Times New Roman" w:hAnsi="Arial" w:cs="Arial"/>
          <w:color w:val="0F1115"/>
          <w:kern w:val="0"/>
          <w:sz w:val="22"/>
          <w:szCs w:val="22"/>
          <w:lang w:eastAsia="en-GB"/>
          <w14:ligatures w14:val="none"/>
        </w:rPr>
        <w:t>This reflective report has explored the principles of person-centred care, partnership working and ethics, and their central role in UK health and social care practice. Task 1 established their theoretical and legislative foundations, Task 2 demonstrated their practical application and measurable impact through Joan's case, and Task 3 reflected on how they will shape my own professional growth. Reflecting on my practice has reinforced my understanding that these principles give my work its meaning and its quality. I am proud of my strengths in listening, teamwork and accountability, but I am also honest about the areas where I need to grow, particularly in ethical decision-making, cross-agency collaboration and empowering self-management. By committing to a clear plan of professional development, I am confident that I can continue to develop these principles in my daily work and provide the compassionate, effective and ethical care that service users deserve</w:t>
      </w:r>
      <w:r w:rsidRPr="007E7F25">
        <w:rPr>
          <w:rFonts w:ascii="Segoe UI" w:eastAsia="Times New Roman" w:hAnsi="Segoe UI" w:cs="Segoe UI"/>
          <w:color w:val="0F1115"/>
          <w:kern w:val="0"/>
          <w:lang w:eastAsia="en-GB"/>
          <w14:ligatures w14:val="none"/>
        </w:rPr>
        <w:t>.</w:t>
      </w:r>
    </w:p>
    <w:p w14:paraId="3F04A3A6" w14:textId="77777777" w:rsidR="007E7F25" w:rsidRPr="00296BFB" w:rsidRDefault="007E7F25" w:rsidP="007E7F25">
      <w:pPr>
        <w:shd w:val="clear" w:color="auto" w:fill="FFFFFF"/>
        <w:spacing w:before="480" w:after="240" w:line="480" w:lineRule="atLeast"/>
        <w:outlineLvl w:val="1"/>
        <w:rPr>
          <w:rFonts w:ascii="Arial" w:eastAsia="Times New Roman" w:hAnsi="Arial" w:cs="Arial"/>
          <w:b/>
          <w:bCs/>
          <w:color w:val="0F1115"/>
          <w:kern w:val="0"/>
          <w:sz w:val="32"/>
          <w:szCs w:val="32"/>
          <w:lang w:eastAsia="en-GB"/>
          <w14:ligatures w14:val="none"/>
        </w:rPr>
      </w:pPr>
      <w:r w:rsidRPr="00296BFB">
        <w:rPr>
          <w:rFonts w:ascii="Arial" w:eastAsia="Times New Roman" w:hAnsi="Arial" w:cs="Arial"/>
          <w:b/>
          <w:bCs/>
          <w:color w:val="0F1115"/>
          <w:kern w:val="0"/>
          <w:sz w:val="32"/>
          <w:szCs w:val="32"/>
          <w:lang w:eastAsia="en-GB"/>
          <w14:ligatures w14:val="none"/>
        </w:rPr>
        <w:t>References</w:t>
      </w:r>
    </w:p>
    <w:p w14:paraId="3006DE90"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Bandura, A. (1997) </w:t>
      </w:r>
      <w:r w:rsidRPr="00296BFB">
        <w:rPr>
          <w:rFonts w:ascii="Arial" w:eastAsia="Times New Roman" w:hAnsi="Arial" w:cs="Arial"/>
          <w:i/>
          <w:iCs/>
          <w:color w:val="0F1115"/>
          <w:kern w:val="0"/>
          <w:sz w:val="22"/>
          <w:szCs w:val="22"/>
          <w:lang w:eastAsia="en-GB"/>
          <w14:ligatures w14:val="none"/>
        </w:rPr>
        <w:t>Self-efficacy: The exercise of control</w:t>
      </w:r>
      <w:r w:rsidRPr="00296BFB">
        <w:rPr>
          <w:rFonts w:ascii="Arial" w:eastAsia="Times New Roman" w:hAnsi="Arial" w:cs="Arial"/>
          <w:color w:val="0F1115"/>
          <w:kern w:val="0"/>
          <w:sz w:val="22"/>
          <w:szCs w:val="22"/>
          <w:lang w:eastAsia="en-GB"/>
          <w14:ligatures w14:val="none"/>
        </w:rPr>
        <w:t>. New York: W.H. Freeman.</w:t>
      </w:r>
    </w:p>
    <w:p w14:paraId="12950A30"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lastRenderedPageBreak/>
        <w:t xml:space="preserve">Beauchamp, T.L. and Childress, J.F. (2019) </w:t>
      </w:r>
      <w:r w:rsidRPr="00296BFB">
        <w:rPr>
          <w:rFonts w:ascii="Arial" w:eastAsia="Times New Roman" w:hAnsi="Arial" w:cs="Arial"/>
          <w:i/>
          <w:iCs/>
          <w:color w:val="0F1115"/>
          <w:kern w:val="0"/>
          <w:sz w:val="22"/>
          <w:szCs w:val="22"/>
          <w:lang w:eastAsia="en-GB"/>
          <w14:ligatures w14:val="none"/>
        </w:rPr>
        <w:t>Principles of biomedical ethics</w:t>
      </w:r>
      <w:r w:rsidRPr="00296BFB">
        <w:rPr>
          <w:rFonts w:ascii="Arial" w:eastAsia="Times New Roman" w:hAnsi="Arial" w:cs="Arial"/>
          <w:color w:val="0F1115"/>
          <w:kern w:val="0"/>
          <w:sz w:val="22"/>
          <w:szCs w:val="22"/>
          <w:lang w:eastAsia="en-GB"/>
          <w14:ligatures w14:val="none"/>
        </w:rPr>
        <w:t>. 8th ed. New York: Oxford University Press.</w:t>
      </w:r>
    </w:p>
    <w:p w14:paraId="7AB49F09"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Department of Health and Social Care (2014) </w:t>
      </w:r>
      <w:r w:rsidRPr="00296BFB">
        <w:rPr>
          <w:rFonts w:ascii="Arial" w:eastAsia="Times New Roman" w:hAnsi="Arial" w:cs="Arial"/>
          <w:i/>
          <w:iCs/>
          <w:color w:val="0F1115"/>
          <w:kern w:val="0"/>
          <w:sz w:val="22"/>
          <w:szCs w:val="22"/>
          <w:lang w:eastAsia="en-GB"/>
          <w14:ligatures w14:val="none"/>
        </w:rPr>
        <w:t>Care Act 2014</w:t>
      </w:r>
      <w:r w:rsidRPr="00296BFB">
        <w:rPr>
          <w:rFonts w:ascii="Arial" w:eastAsia="Times New Roman" w:hAnsi="Arial" w:cs="Arial"/>
          <w:color w:val="0F1115"/>
          <w:kern w:val="0"/>
          <w:sz w:val="22"/>
          <w:szCs w:val="22"/>
          <w:lang w:eastAsia="en-GB"/>
          <w14:ligatures w14:val="none"/>
        </w:rPr>
        <w:t>. London: The Stationery Office.</w:t>
      </w:r>
    </w:p>
    <w:p w14:paraId="7E462709"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Department of Health and Social Care (2022) </w:t>
      </w:r>
      <w:r w:rsidRPr="00296BFB">
        <w:rPr>
          <w:rFonts w:ascii="Arial" w:eastAsia="Times New Roman" w:hAnsi="Arial" w:cs="Arial"/>
          <w:i/>
          <w:iCs/>
          <w:color w:val="0F1115"/>
          <w:kern w:val="0"/>
          <w:sz w:val="22"/>
          <w:szCs w:val="22"/>
          <w:lang w:eastAsia="en-GB"/>
          <w14:ligatures w14:val="none"/>
        </w:rPr>
        <w:t>Health and Care Act 2022</w:t>
      </w:r>
      <w:r w:rsidRPr="00296BFB">
        <w:rPr>
          <w:rFonts w:ascii="Arial" w:eastAsia="Times New Roman" w:hAnsi="Arial" w:cs="Arial"/>
          <w:color w:val="0F1115"/>
          <w:kern w:val="0"/>
          <w:sz w:val="22"/>
          <w:szCs w:val="22"/>
          <w:lang w:eastAsia="en-GB"/>
          <w14:ligatures w14:val="none"/>
        </w:rPr>
        <w:t>. London: The Stationery Office.</w:t>
      </w:r>
    </w:p>
    <w:p w14:paraId="64546D64"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Engel, G.L. (1977) 'The need for a new medical model: a challenge for biomedicine', </w:t>
      </w:r>
      <w:r w:rsidRPr="00296BFB">
        <w:rPr>
          <w:rFonts w:ascii="Arial" w:eastAsia="Times New Roman" w:hAnsi="Arial" w:cs="Arial"/>
          <w:i/>
          <w:iCs/>
          <w:color w:val="0F1115"/>
          <w:kern w:val="0"/>
          <w:sz w:val="22"/>
          <w:szCs w:val="22"/>
          <w:lang w:eastAsia="en-GB"/>
          <w14:ligatures w14:val="none"/>
        </w:rPr>
        <w:t>Science</w:t>
      </w:r>
      <w:r w:rsidRPr="00296BFB">
        <w:rPr>
          <w:rFonts w:ascii="Arial" w:eastAsia="Times New Roman" w:hAnsi="Arial" w:cs="Arial"/>
          <w:color w:val="0F1115"/>
          <w:kern w:val="0"/>
          <w:sz w:val="22"/>
          <w:szCs w:val="22"/>
          <w:lang w:eastAsia="en-GB"/>
          <w14:ligatures w14:val="none"/>
        </w:rPr>
        <w:t>, 196(4286), pp. 129–136.</w:t>
      </w:r>
    </w:p>
    <w:p w14:paraId="15F58F8A"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Glasby, J. and Dickinson, H. (2014) </w:t>
      </w:r>
      <w:r w:rsidRPr="00296BFB">
        <w:rPr>
          <w:rFonts w:ascii="Arial" w:eastAsia="Times New Roman" w:hAnsi="Arial" w:cs="Arial"/>
          <w:i/>
          <w:iCs/>
          <w:color w:val="0F1115"/>
          <w:kern w:val="0"/>
          <w:sz w:val="22"/>
          <w:szCs w:val="22"/>
          <w:lang w:eastAsia="en-GB"/>
          <w14:ligatures w14:val="none"/>
        </w:rPr>
        <w:t>Partnership working in health and social care: What is integrated care and how can we deliver it?</w:t>
      </w:r>
      <w:r w:rsidRPr="00296BFB">
        <w:rPr>
          <w:rFonts w:ascii="Arial" w:eastAsia="Times New Roman" w:hAnsi="Arial" w:cs="Arial"/>
          <w:color w:val="0F1115"/>
          <w:kern w:val="0"/>
          <w:sz w:val="22"/>
          <w:szCs w:val="22"/>
          <w:lang w:eastAsia="en-GB"/>
          <w14:ligatures w14:val="none"/>
        </w:rPr>
        <w:t xml:space="preserve"> 2nd ed. Bristol: Policy Press.</w:t>
      </w:r>
    </w:p>
    <w:p w14:paraId="08905E6E"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Hibbard, J.H., Stockard, J., Mahoney, E.R. and Tusler, M. (2004) 'Development of the Patient Activation Measure (PAM): conceptualizing and measuring activation in patients and consumers', </w:t>
      </w:r>
      <w:r w:rsidRPr="00296BFB">
        <w:rPr>
          <w:rFonts w:ascii="Arial" w:eastAsia="Times New Roman" w:hAnsi="Arial" w:cs="Arial"/>
          <w:i/>
          <w:iCs/>
          <w:color w:val="0F1115"/>
          <w:kern w:val="0"/>
          <w:sz w:val="22"/>
          <w:szCs w:val="22"/>
          <w:lang w:eastAsia="en-GB"/>
          <w14:ligatures w14:val="none"/>
        </w:rPr>
        <w:t>Health Services Research</w:t>
      </w:r>
      <w:r w:rsidRPr="00296BFB">
        <w:rPr>
          <w:rFonts w:ascii="Arial" w:eastAsia="Times New Roman" w:hAnsi="Arial" w:cs="Arial"/>
          <w:color w:val="0F1115"/>
          <w:kern w:val="0"/>
          <w:sz w:val="22"/>
          <w:szCs w:val="22"/>
          <w:lang w:eastAsia="en-GB"/>
          <w14:ligatures w14:val="none"/>
        </w:rPr>
        <w:t>, 39(4), pp. 1005–1026.</w:t>
      </w:r>
    </w:p>
    <w:p w14:paraId="25834567"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proofErr w:type="spellStart"/>
      <w:r w:rsidRPr="00296BFB">
        <w:rPr>
          <w:rFonts w:ascii="Arial" w:eastAsia="Times New Roman" w:hAnsi="Arial" w:cs="Arial"/>
          <w:color w:val="0F1115"/>
          <w:kern w:val="0"/>
          <w:sz w:val="22"/>
          <w:szCs w:val="22"/>
          <w:lang w:eastAsia="en-GB"/>
          <w14:ligatures w14:val="none"/>
        </w:rPr>
        <w:t>Kitwood</w:t>
      </w:r>
      <w:proofErr w:type="spellEnd"/>
      <w:r w:rsidRPr="00296BFB">
        <w:rPr>
          <w:rFonts w:ascii="Arial" w:eastAsia="Times New Roman" w:hAnsi="Arial" w:cs="Arial"/>
          <w:color w:val="0F1115"/>
          <w:kern w:val="0"/>
          <w:sz w:val="22"/>
          <w:szCs w:val="22"/>
          <w:lang w:eastAsia="en-GB"/>
          <w14:ligatures w14:val="none"/>
        </w:rPr>
        <w:t xml:space="preserve">, T. (1997) </w:t>
      </w:r>
      <w:r w:rsidRPr="00296BFB">
        <w:rPr>
          <w:rFonts w:ascii="Arial" w:eastAsia="Times New Roman" w:hAnsi="Arial" w:cs="Arial"/>
          <w:i/>
          <w:iCs/>
          <w:color w:val="0F1115"/>
          <w:kern w:val="0"/>
          <w:sz w:val="22"/>
          <w:szCs w:val="22"/>
          <w:lang w:eastAsia="en-GB"/>
          <w14:ligatures w14:val="none"/>
        </w:rPr>
        <w:t>Dementia reconsidered: The person comes first</w:t>
      </w:r>
      <w:r w:rsidRPr="00296BFB">
        <w:rPr>
          <w:rFonts w:ascii="Arial" w:eastAsia="Times New Roman" w:hAnsi="Arial" w:cs="Arial"/>
          <w:color w:val="0F1115"/>
          <w:kern w:val="0"/>
          <w:sz w:val="22"/>
          <w:szCs w:val="22"/>
          <w:lang w:eastAsia="en-GB"/>
          <w14:ligatures w14:val="none"/>
        </w:rPr>
        <w:t>. Buckingham: Open University Press.</w:t>
      </w:r>
    </w:p>
    <w:p w14:paraId="380A5709"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Maslow, A.H. (1943) 'A theory of human motivation', </w:t>
      </w:r>
      <w:r w:rsidRPr="00296BFB">
        <w:rPr>
          <w:rFonts w:ascii="Arial" w:eastAsia="Times New Roman" w:hAnsi="Arial" w:cs="Arial"/>
          <w:i/>
          <w:iCs/>
          <w:color w:val="0F1115"/>
          <w:kern w:val="0"/>
          <w:sz w:val="22"/>
          <w:szCs w:val="22"/>
          <w:lang w:eastAsia="en-GB"/>
          <w14:ligatures w14:val="none"/>
        </w:rPr>
        <w:t>Psychological Review</w:t>
      </w:r>
      <w:r w:rsidRPr="00296BFB">
        <w:rPr>
          <w:rFonts w:ascii="Arial" w:eastAsia="Times New Roman" w:hAnsi="Arial" w:cs="Arial"/>
          <w:color w:val="0F1115"/>
          <w:kern w:val="0"/>
          <w:sz w:val="22"/>
          <w:szCs w:val="22"/>
          <w:lang w:eastAsia="en-GB"/>
          <w14:ligatures w14:val="none"/>
        </w:rPr>
        <w:t>, 50(4), pp. 370–396.</w:t>
      </w:r>
    </w:p>
    <w:p w14:paraId="7FB9CD35"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NHS England (2012) </w:t>
      </w:r>
      <w:r w:rsidRPr="00296BFB">
        <w:rPr>
          <w:rFonts w:ascii="Arial" w:eastAsia="Times New Roman" w:hAnsi="Arial" w:cs="Arial"/>
          <w:i/>
          <w:iCs/>
          <w:color w:val="0F1115"/>
          <w:kern w:val="0"/>
          <w:sz w:val="22"/>
          <w:szCs w:val="22"/>
          <w:lang w:eastAsia="en-GB"/>
          <w14:ligatures w14:val="none"/>
        </w:rPr>
        <w:t>Compassion in practice: Nursing, midwifery and care staff — our vision and strategy</w:t>
      </w:r>
      <w:r w:rsidRPr="00296BFB">
        <w:rPr>
          <w:rFonts w:ascii="Arial" w:eastAsia="Times New Roman" w:hAnsi="Arial" w:cs="Arial"/>
          <w:color w:val="0F1115"/>
          <w:kern w:val="0"/>
          <w:sz w:val="22"/>
          <w:szCs w:val="22"/>
          <w:lang w:eastAsia="en-GB"/>
          <w14:ligatures w14:val="none"/>
        </w:rPr>
        <w:t>. London: NHS England.</w:t>
      </w:r>
    </w:p>
    <w:p w14:paraId="16025B66" w14:textId="77777777" w:rsidR="007E7F25" w:rsidRPr="00296BFB" w:rsidRDefault="007E7F25" w:rsidP="007E7F25">
      <w:pPr>
        <w:shd w:val="clear" w:color="auto" w:fill="FFFFFF"/>
        <w:spacing w:before="240" w:after="24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Nursing and Midwifery Council (2018) </w:t>
      </w:r>
      <w:r w:rsidRPr="00296BFB">
        <w:rPr>
          <w:rFonts w:ascii="Arial" w:eastAsia="Times New Roman" w:hAnsi="Arial" w:cs="Arial"/>
          <w:i/>
          <w:iCs/>
          <w:color w:val="0F1115"/>
          <w:kern w:val="0"/>
          <w:sz w:val="22"/>
          <w:szCs w:val="22"/>
          <w:lang w:eastAsia="en-GB"/>
          <w14:ligatures w14:val="none"/>
        </w:rPr>
        <w:t>The code: Professional standards of practice and behaviour for nurses, midwives and nursing associates</w:t>
      </w:r>
      <w:r w:rsidRPr="00296BFB">
        <w:rPr>
          <w:rFonts w:ascii="Arial" w:eastAsia="Times New Roman" w:hAnsi="Arial" w:cs="Arial"/>
          <w:color w:val="0F1115"/>
          <w:kern w:val="0"/>
          <w:sz w:val="22"/>
          <w:szCs w:val="22"/>
          <w:lang w:eastAsia="en-GB"/>
          <w14:ligatures w14:val="none"/>
        </w:rPr>
        <w:t>. London: NMC.</w:t>
      </w:r>
    </w:p>
    <w:p w14:paraId="73791651" w14:textId="77777777" w:rsidR="007E7F25" w:rsidRPr="00296BFB" w:rsidRDefault="007E7F25" w:rsidP="007E7F25">
      <w:pPr>
        <w:shd w:val="clear" w:color="auto" w:fill="FFFFFF"/>
        <w:spacing w:before="240" w:after="0" w:line="420" w:lineRule="atLeast"/>
        <w:rPr>
          <w:rFonts w:ascii="Arial" w:eastAsia="Times New Roman" w:hAnsi="Arial" w:cs="Arial"/>
          <w:color w:val="0F1115"/>
          <w:kern w:val="0"/>
          <w:sz w:val="22"/>
          <w:szCs w:val="22"/>
          <w:lang w:eastAsia="en-GB"/>
          <w14:ligatures w14:val="none"/>
        </w:rPr>
      </w:pPr>
      <w:r w:rsidRPr="00296BFB">
        <w:rPr>
          <w:rFonts w:ascii="Arial" w:eastAsia="Times New Roman" w:hAnsi="Arial" w:cs="Arial"/>
          <w:color w:val="0F1115"/>
          <w:kern w:val="0"/>
          <w:sz w:val="22"/>
          <w:szCs w:val="22"/>
          <w:lang w:eastAsia="en-GB"/>
          <w14:ligatures w14:val="none"/>
        </w:rPr>
        <w:t xml:space="preserve">Schön, D.A. (1983) </w:t>
      </w:r>
      <w:r w:rsidRPr="00296BFB">
        <w:rPr>
          <w:rFonts w:ascii="Arial" w:eastAsia="Times New Roman" w:hAnsi="Arial" w:cs="Arial"/>
          <w:i/>
          <w:iCs/>
          <w:color w:val="0F1115"/>
          <w:kern w:val="0"/>
          <w:sz w:val="22"/>
          <w:szCs w:val="22"/>
          <w:lang w:eastAsia="en-GB"/>
          <w14:ligatures w14:val="none"/>
        </w:rPr>
        <w:t>The reflective practitioner: How professionals think in action</w:t>
      </w:r>
      <w:r w:rsidRPr="00296BFB">
        <w:rPr>
          <w:rFonts w:ascii="Arial" w:eastAsia="Times New Roman" w:hAnsi="Arial" w:cs="Arial"/>
          <w:color w:val="0F1115"/>
          <w:kern w:val="0"/>
          <w:sz w:val="22"/>
          <w:szCs w:val="22"/>
          <w:lang w:eastAsia="en-GB"/>
          <w14:ligatures w14:val="none"/>
        </w:rPr>
        <w:t>. New York: Basic Books.</w:t>
      </w:r>
    </w:p>
    <w:p w14:paraId="71ED202E" w14:textId="77777777" w:rsidR="007E7F25" w:rsidRPr="00296BFB" w:rsidRDefault="007E7F25">
      <w:pPr>
        <w:rPr>
          <w:rFonts w:ascii="Arial" w:hAnsi="Arial" w:cs="Arial"/>
          <w:sz w:val="22"/>
          <w:szCs w:val="22"/>
        </w:rPr>
      </w:pPr>
    </w:p>
    <w:sectPr w:rsidR="007E7F25" w:rsidRPr="00296BF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0729C" w14:textId="77777777" w:rsidR="00AE3CA8" w:rsidRDefault="00AE3CA8" w:rsidP="00296BFB">
      <w:pPr>
        <w:spacing w:after="0" w:line="240" w:lineRule="auto"/>
      </w:pPr>
      <w:r>
        <w:separator/>
      </w:r>
    </w:p>
  </w:endnote>
  <w:endnote w:type="continuationSeparator" w:id="0">
    <w:p w14:paraId="5234BCA8" w14:textId="77777777" w:rsidR="00AE3CA8" w:rsidRDefault="00AE3CA8" w:rsidP="00296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59768" w14:textId="77777777" w:rsidR="00296BFB" w:rsidRDefault="00296B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5769920"/>
      <w:docPartObj>
        <w:docPartGallery w:val="Page Numbers (Bottom of Page)"/>
        <w:docPartUnique/>
      </w:docPartObj>
    </w:sdtPr>
    <w:sdtEndPr>
      <w:rPr>
        <w:noProof/>
      </w:rPr>
    </w:sdtEndPr>
    <w:sdtContent>
      <w:p w14:paraId="21B6027B" w14:textId="6C84A365" w:rsidR="00296BFB" w:rsidRDefault="00296BFB" w:rsidP="00296BFB">
        <w:pPr>
          <w:pStyle w:val="Footer"/>
          <w:spacing w:line="360" w:lineRule="auto"/>
        </w:pPr>
        <w:r>
          <w:fldChar w:fldCharType="begin"/>
        </w:r>
        <w:r>
          <w:instrText xml:space="preserve"> PAGE   \* MERGEFORMAT </w:instrText>
        </w:r>
        <w:r>
          <w:fldChar w:fldCharType="separate"/>
        </w:r>
        <w:r>
          <w:rPr>
            <w:noProof/>
          </w:rPr>
          <w:t>2</w:t>
        </w:r>
        <w:r>
          <w:rPr>
            <w:noProof/>
          </w:rPr>
          <w:fldChar w:fldCharType="end"/>
        </w:r>
      </w:p>
    </w:sdtContent>
  </w:sdt>
  <w:p w14:paraId="763D1177" w14:textId="77777777" w:rsidR="00296BFB" w:rsidRDefault="00296B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301BA" w14:textId="77777777" w:rsidR="00296BFB" w:rsidRDefault="00296B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18996" w14:textId="77777777" w:rsidR="00AE3CA8" w:rsidRDefault="00AE3CA8" w:rsidP="00296BFB">
      <w:pPr>
        <w:spacing w:after="0" w:line="240" w:lineRule="auto"/>
      </w:pPr>
      <w:r>
        <w:separator/>
      </w:r>
    </w:p>
  </w:footnote>
  <w:footnote w:type="continuationSeparator" w:id="0">
    <w:p w14:paraId="750C5F18" w14:textId="77777777" w:rsidR="00AE3CA8" w:rsidRDefault="00AE3CA8" w:rsidP="00296B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37E19" w14:textId="77777777" w:rsidR="00296BFB" w:rsidRDefault="00296B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97ED9" w14:textId="77777777" w:rsidR="00296BFB" w:rsidRDefault="00296B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44F50" w14:textId="77777777" w:rsidR="00296BFB" w:rsidRDefault="00296B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F25"/>
    <w:rsid w:val="00296BFB"/>
    <w:rsid w:val="00614DAC"/>
    <w:rsid w:val="007E7F25"/>
    <w:rsid w:val="00925DC6"/>
    <w:rsid w:val="00AE3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0B13E"/>
  <w15:chartTrackingRefBased/>
  <w15:docId w15:val="{3B094509-A0A6-4A78-93F8-BA8009AF8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F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7F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7F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7F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7F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7F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F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F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F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F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7F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7F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7F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7F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7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F25"/>
    <w:rPr>
      <w:rFonts w:eastAsiaTheme="majorEastAsia" w:cstheme="majorBidi"/>
      <w:color w:val="272727" w:themeColor="text1" w:themeTint="D8"/>
    </w:rPr>
  </w:style>
  <w:style w:type="paragraph" w:styleId="Title">
    <w:name w:val="Title"/>
    <w:basedOn w:val="Normal"/>
    <w:next w:val="Normal"/>
    <w:link w:val="TitleChar"/>
    <w:uiPriority w:val="10"/>
    <w:qFormat/>
    <w:rsid w:val="007E7F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F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F25"/>
    <w:pPr>
      <w:spacing w:before="160"/>
      <w:jc w:val="center"/>
    </w:pPr>
    <w:rPr>
      <w:i/>
      <w:iCs/>
      <w:color w:val="404040" w:themeColor="text1" w:themeTint="BF"/>
    </w:rPr>
  </w:style>
  <w:style w:type="character" w:customStyle="1" w:styleId="QuoteChar">
    <w:name w:val="Quote Char"/>
    <w:basedOn w:val="DefaultParagraphFont"/>
    <w:link w:val="Quote"/>
    <w:uiPriority w:val="29"/>
    <w:rsid w:val="007E7F25"/>
    <w:rPr>
      <w:i/>
      <w:iCs/>
      <w:color w:val="404040" w:themeColor="text1" w:themeTint="BF"/>
    </w:rPr>
  </w:style>
  <w:style w:type="paragraph" w:styleId="ListParagraph">
    <w:name w:val="List Paragraph"/>
    <w:basedOn w:val="Normal"/>
    <w:uiPriority w:val="34"/>
    <w:qFormat/>
    <w:rsid w:val="007E7F25"/>
    <w:pPr>
      <w:ind w:left="720"/>
      <w:contextualSpacing/>
    </w:pPr>
  </w:style>
  <w:style w:type="character" w:styleId="IntenseEmphasis">
    <w:name w:val="Intense Emphasis"/>
    <w:basedOn w:val="DefaultParagraphFont"/>
    <w:uiPriority w:val="21"/>
    <w:qFormat/>
    <w:rsid w:val="007E7F25"/>
    <w:rPr>
      <w:i/>
      <w:iCs/>
      <w:color w:val="0F4761" w:themeColor="accent1" w:themeShade="BF"/>
    </w:rPr>
  </w:style>
  <w:style w:type="paragraph" w:styleId="IntenseQuote">
    <w:name w:val="Intense Quote"/>
    <w:basedOn w:val="Normal"/>
    <w:next w:val="Normal"/>
    <w:link w:val="IntenseQuoteChar"/>
    <w:uiPriority w:val="30"/>
    <w:qFormat/>
    <w:rsid w:val="007E7F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7F25"/>
    <w:rPr>
      <w:i/>
      <w:iCs/>
      <w:color w:val="0F4761" w:themeColor="accent1" w:themeShade="BF"/>
    </w:rPr>
  </w:style>
  <w:style w:type="character" w:styleId="IntenseReference">
    <w:name w:val="Intense Reference"/>
    <w:basedOn w:val="DefaultParagraphFont"/>
    <w:uiPriority w:val="32"/>
    <w:qFormat/>
    <w:rsid w:val="007E7F25"/>
    <w:rPr>
      <w:b/>
      <w:bCs/>
      <w:smallCaps/>
      <w:color w:val="0F4761" w:themeColor="accent1" w:themeShade="BF"/>
      <w:spacing w:val="5"/>
    </w:rPr>
  </w:style>
  <w:style w:type="paragraph" w:styleId="Header">
    <w:name w:val="header"/>
    <w:basedOn w:val="Normal"/>
    <w:link w:val="HeaderChar"/>
    <w:uiPriority w:val="99"/>
    <w:unhideWhenUsed/>
    <w:rsid w:val="00296B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BFB"/>
  </w:style>
  <w:style w:type="paragraph" w:styleId="Footer">
    <w:name w:val="footer"/>
    <w:basedOn w:val="Normal"/>
    <w:link w:val="FooterChar"/>
    <w:uiPriority w:val="99"/>
    <w:unhideWhenUsed/>
    <w:rsid w:val="00296B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B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8</Pages>
  <Words>2315</Words>
  <Characters>13200</Characters>
  <Application>Microsoft Office Word</Application>
  <DocSecurity>0</DocSecurity>
  <Lines>110</Lines>
  <Paragraphs>30</Paragraphs>
  <ScaleCrop>false</ScaleCrop>
  <Company/>
  <LinksUpToDate>false</LinksUpToDate>
  <CharactersWithSpaces>15485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Atanasov Manolov</dc:creator>
  <cp:keywords/>
  <dc:description/>
  <cp:lastModifiedBy>Lavinia Groceanu</cp:lastModifiedBy>
  <cp:revision>2</cp:revision>
  <dcterms:created xsi:type="dcterms:W3CDTF">2026-10-22T18:43:00Z</dcterms:created>
  <dcterms:modified xsi:type="dcterms:W3CDTF">2026-10-22T18:43:00Z</dcterms:modified>
</cp:coreProperties>
</file>