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4D2C5" w14:textId="77777777" w:rsidR="00205EC8" w:rsidRPr="00543748" w:rsidRDefault="00205EC8" w:rsidP="00205EC8">
      <w:pPr>
        <w:spacing w:after="0" w:line="480" w:lineRule="auto"/>
        <w:rPr>
          <w:rFonts w:cs="Times New Roman"/>
          <w:szCs w:val="24"/>
        </w:rPr>
      </w:pPr>
      <w:r>
        <w:rPr>
          <w:noProof/>
          <w:sz w:val="20"/>
        </w:rPr>
        <w:drawing>
          <wp:anchor distT="0" distB="0" distL="114300" distR="114300" simplePos="0" relativeHeight="251659264" behindDoc="0" locked="0" layoutInCell="1" allowOverlap="1" wp14:anchorId="75C69F36" wp14:editId="5FD6DE0A">
            <wp:simplePos x="0" y="0"/>
            <wp:positionH relativeFrom="margin">
              <wp:align>left</wp:align>
            </wp:positionH>
            <wp:positionV relativeFrom="paragraph">
              <wp:posOffset>23796</wp:posOffset>
            </wp:positionV>
            <wp:extent cx="2257425" cy="789031"/>
            <wp:effectExtent l="0" t="0" r="0" b="0"/>
            <wp:wrapSquare wrapText="bothSides"/>
            <wp:docPr id="1" name="image1.jpe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57425" cy="789031"/>
                    </a:xfrm>
                    <a:prstGeom prst="rect">
                      <a:avLst/>
                    </a:prstGeom>
                  </pic:spPr>
                </pic:pic>
              </a:graphicData>
            </a:graphic>
          </wp:anchor>
        </w:drawing>
      </w:r>
    </w:p>
    <w:p w14:paraId="6ADB735A" w14:textId="77777777" w:rsidR="00B26F16" w:rsidRDefault="00B26F16" w:rsidP="0081133B">
      <w:pPr>
        <w:spacing w:line="360" w:lineRule="auto"/>
        <w:jc w:val="both"/>
      </w:pPr>
    </w:p>
    <w:p w14:paraId="2DC91A95" w14:textId="170D8DC3" w:rsidR="00BD27D6" w:rsidRDefault="00BD27D6" w:rsidP="0081133B">
      <w:pPr>
        <w:spacing w:line="360" w:lineRule="auto"/>
        <w:jc w:val="both"/>
      </w:pPr>
    </w:p>
    <w:p w14:paraId="0C7E7F1E" w14:textId="6BDF6256" w:rsidR="00BD27D6" w:rsidRDefault="00BD27D6" w:rsidP="0081133B">
      <w:pPr>
        <w:spacing w:line="360" w:lineRule="auto"/>
        <w:jc w:val="both"/>
      </w:pPr>
    </w:p>
    <w:p w14:paraId="24CAF360" w14:textId="18E7636C" w:rsidR="00BD27D6" w:rsidRDefault="00BD27D6" w:rsidP="0081133B">
      <w:pPr>
        <w:spacing w:line="360" w:lineRule="auto"/>
        <w:jc w:val="both"/>
      </w:pPr>
    </w:p>
    <w:p w14:paraId="3243113E" w14:textId="51F9509D" w:rsidR="00BD27D6" w:rsidRDefault="00BD27D6" w:rsidP="0081133B">
      <w:pPr>
        <w:spacing w:line="360" w:lineRule="auto"/>
        <w:jc w:val="both"/>
      </w:pPr>
    </w:p>
    <w:p w14:paraId="0CA69811" w14:textId="77777777" w:rsidR="009C2A3A" w:rsidRDefault="009C2A3A" w:rsidP="009C2A3A">
      <w:pPr>
        <w:jc w:val="center"/>
        <w:rPr>
          <w:rFonts w:cs="Times New Roman"/>
          <w:b/>
          <w:sz w:val="28"/>
          <w:szCs w:val="28"/>
        </w:rPr>
      </w:pPr>
    </w:p>
    <w:p w14:paraId="5A2A36BD" w14:textId="77777777" w:rsidR="009C2A3A" w:rsidRDefault="009C2A3A" w:rsidP="009C2A3A">
      <w:pPr>
        <w:rPr>
          <w:rFonts w:cs="Times New Roman"/>
          <w:b/>
          <w:sz w:val="28"/>
          <w:szCs w:val="28"/>
        </w:rPr>
      </w:pPr>
    </w:p>
    <w:p w14:paraId="581A7A14" w14:textId="77777777" w:rsidR="009C2A3A" w:rsidRDefault="009C2A3A" w:rsidP="009C2A3A">
      <w:pPr>
        <w:rPr>
          <w:rFonts w:cs="Times New Roman"/>
          <w:b/>
          <w:sz w:val="28"/>
          <w:szCs w:val="28"/>
        </w:rPr>
      </w:pPr>
    </w:p>
    <w:p w14:paraId="0CD84EF6" w14:textId="77777777" w:rsidR="009C2A3A" w:rsidRDefault="009C2A3A" w:rsidP="009C2A3A">
      <w:pPr>
        <w:rPr>
          <w:rFonts w:cs="Times New Roman"/>
          <w:b/>
          <w:sz w:val="28"/>
          <w:szCs w:val="28"/>
        </w:rPr>
      </w:pPr>
    </w:p>
    <w:p w14:paraId="51FC7280" w14:textId="77777777" w:rsidR="009C2A3A" w:rsidRDefault="009C2A3A" w:rsidP="009C2A3A">
      <w:pPr>
        <w:rPr>
          <w:rFonts w:cs="Times New Roman"/>
          <w:b/>
          <w:sz w:val="28"/>
          <w:szCs w:val="28"/>
        </w:rPr>
      </w:pPr>
    </w:p>
    <w:p w14:paraId="0623B012" w14:textId="77777777" w:rsidR="009C2A3A" w:rsidRDefault="009C2A3A" w:rsidP="009C2A3A">
      <w:pPr>
        <w:rPr>
          <w:rFonts w:cs="Times New Roman"/>
          <w:b/>
          <w:sz w:val="28"/>
          <w:szCs w:val="28"/>
        </w:rPr>
      </w:pPr>
    </w:p>
    <w:p w14:paraId="6E246BA9" w14:textId="21EC53EF" w:rsidR="009C2A3A" w:rsidRPr="00BA2B24" w:rsidRDefault="009C2A3A" w:rsidP="009C2A3A">
      <w:pPr>
        <w:rPr>
          <w:rFonts w:cs="Times New Roman"/>
          <w:b/>
          <w:sz w:val="28"/>
          <w:szCs w:val="28"/>
        </w:rPr>
      </w:pPr>
      <w:r w:rsidRPr="00BA2B24">
        <w:rPr>
          <w:rFonts w:cs="Times New Roman"/>
          <w:b/>
          <w:sz w:val="28"/>
          <w:szCs w:val="28"/>
        </w:rPr>
        <w:t xml:space="preserve">Module Code: </w:t>
      </w:r>
      <w:r w:rsidR="003134ED">
        <w:rPr>
          <w:rFonts w:cs="Times New Roman"/>
          <w:b/>
          <w:sz w:val="28"/>
          <w:szCs w:val="28"/>
        </w:rPr>
        <w:t>LCBB5005</w:t>
      </w:r>
    </w:p>
    <w:p w14:paraId="06432809" w14:textId="54E38E22" w:rsidR="009C2A3A" w:rsidRDefault="009C2A3A" w:rsidP="009C2A3A">
      <w:pPr>
        <w:rPr>
          <w:rFonts w:cs="Times New Roman"/>
          <w:b/>
          <w:sz w:val="28"/>
          <w:szCs w:val="28"/>
        </w:rPr>
      </w:pPr>
      <w:bookmarkStart w:id="0" w:name="_Hlk39845246"/>
      <w:r w:rsidRPr="00BA2B24">
        <w:rPr>
          <w:rFonts w:cs="Times New Roman"/>
          <w:b/>
          <w:sz w:val="28"/>
          <w:szCs w:val="28"/>
        </w:rPr>
        <w:t>Assignment Title</w:t>
      </w:r>
      <w:r>
        <w:rPr>
          <w:rFonts w:cs="Times New Roman"/>
          <w:b/>
          <w:sz w:val="28"/>
          <w:szCs w:val="28"/>
        </w:rPr>
        <w:t xml:space="preserve">:  </w:t>
      </w:r>
      <w:r w:rsidR="003134ED">
        <w:rPr>
          <w:rFonts w:cs="Times New Roman"/>
          <w:b/>
          <w:sz w:val="28"/>
          <w:szCs w:val="28"/>
        </w:rPr>
        <w:t>Assessment 1</w:t>
      </w:r>
    </w:p>
    <w:bookmarkEnd w:id="0"/>
    <w:p w14:paraId="59639BA3" w14:textId="71EE3437" w:rsidR="009C2A3A" w:rsidRPr="00B50570" w:rsidRDefault="009C2A3A" w:rsidP="009C2A3A">
      <w:pPr>
        <w:rPr>
          <w:rFonts w:cs="Times New Roman"/>
          <w:b/>
          <w:sz w:val="28"/>
          <w:szCs w:val="28"/>
        </w:rPr>
      </w:pPr>
      <w:r w:rsidRPr="00FF7DE1">
        <w:rPr>
          <w:rFonts w:cs="Times New Roman"/>
          <w:b/>
          <w:bCs/>
          <w:sz w:val="28"/>
          <w:szCs w:val="28"/>
        </w:rPr>
        <w:t>Module Lecturer’s Name:</w:t>
      </w:r>
      <w:r>
        <w:rPr>
          <w:rFonts w:cs="Times New Roman"/>
          <w:b/>
          <w:bCs/>
          <w:sz w:val="28"/>
          <w:szCs w:val="28"/>
        </w:rPr>
        <w:t xml:space="preserve"> </w:t>
      </w:r>
      <w:proofErr w:type="spellStart"/>
      <w:r w:rsidR="00014CC8">
        <w:rPr>
          <w:rFonts w:cs="Times New Roman"/>
          <w:b/>
          <w:bCs/>
          <w:sz w:val="28"/>
          <w:szCs w:val="28"/>
        </w:rPr>
        <w:t>Sadeque</w:t>
      </w:r>
      <w:proofErr w:type="spellEnd"/>
      <w:r w:rsidR="00014CC8">
        <w:rPr>
          <w:rFonts w:cs="Times New Roman"/>
          <w:b/>
          <w:bCs/>
          <w:sz w:val="28"/>
          <w:szCs w:val="28"/>
        </w:rPr>
        <w:t xml:space="preserve"> Shaikh</w:t>
      </w:r>
    </w:p>
    <w:p w14:paraId="5D56A929" w14:textId="77777777" w:rsidR="009C2A3A" w:rsidRDefault="009C2A3A" w:rsidP="009C2A3A">
      <w:pPr>
        <w:pStyle w:val="NoSpacing"/>
        <w:rPr>
          <w:rFonts w:cs="Times New Roman"/>
          <w:b/>
          <w:bCs/>
          <w:sz w:val="28"/>
          <w:szCs w:val="28"/>
        </w:rPr>
      </w:pPr>
      <w:r w:rsidRPr="00FF7DE1">
        <w:rPr>
          <w:rFonts w:cs="Times New Roman"/>
          <w:b/>
          <w:bCs/>
          <w:sz w:val="28"/>
          <w:szCs w:val="28"/>
        </w:rPr>
        <w:t xml:space="preserve">Student Name: </w:t>
      </w:r>
      <w:r>
        <w:rPr>
          <w:rFonts w:cs="Times New Roman"/>
          <w:b/>
          <w:bCs/>
          <w:sz w:val="28"/>
          <w:szCs w:val="28"/>
        </w:rPr>
        <w:t xml:space="preserve">Diana Paula </w:t>
      </w:r>
      <w:proofErr w:type="spellStart"/>
      <w:r>
        <w:rPr>
          <w:rFonts w:cs="Times New Roman"/>
          <w:b/>
          <w:bCs/>
          <w:sz w:val="28"/>
          <w:szCs w:val="28"/>
        </w:rPr>
        <w:t>Stratulat</w:t>
      </w:r>
      <w:proofErr w:type="spellEnd"/>
    </w:p>
    <w:p w14:paraId="60A467C7" w14:textId="77777777" w:rsidR="009C2A3A" w:rsidRPr="00FF7DE1" w:rsidRDefault="009C2A3A" w:rsidP="009C2A3A">
      <w:pPr>
        <w:pStyle w:val="NoSpacing"/>
        <w:rPr>
          <w:rFonts w:cs="Times New Roman"/>
          <w:b/>
          <w:bCs/>
          <w:sz w:val="28"/>
          <w:szCs w:val="28"/>
        </w:rPr>
      </w:pPr>
    </w:p>
    <w:p w14:paraId="1E2E2DFD" w14:textId="77777777" w:rsidR="009C2A3A" w:rsidRPr="00B50570" w:rsidRDefault="009C2A3A" w:rsidP="009C2A3A">
      <w:pPr>
        <w:pStyle w:val="NoSpacing"/>
        <w:rPr>
          <w:rFonts w:cs="Times New Roman"/>
          <w:b/>
          <w:bCs/>
          <w:sz w:val="28"/>
          <w:szCs w:val="28"/>
        </w:rPr>
      </w:pPr>
      <w:r w:rsidRPr="00FF7DE1">
        <w:rPr>
          <w:rFonts w:cs="Times New Roman"/>
          <w:b/>
          <w:bCs/>
          <w:sz w:val="28"/>
          <w:szCs w:val="28"/>
        </w:rPr>
        <w:t xml:space="preserve">Student ID: </w:t>
      </w:r>
      <w:r>
        <w:rPr>
          <w:rFonts w:cs="Times New Roman"/>
          <w:b/>
          <w:bCs/>
          <w:sz w:val="28"/>
          <w:szCs w:val="28"/>
        </w:rPr>
        <w:t>2024156</w:t>
      </w:r>
    </w:p>
    <w:p w14:paraId="02485865" w14:textId="2C73BD16" w:rsidR="00BD27D6" w:rsidRDefault="00BD27D6" w:rsidP="0081133B">
      <w:pPr>
        <w:spacing w:line="360" w:lineRule="auto"/>
        <w:jc w:val="both"/>
      </w:pPr>
    </w:p>
    <w:p w14:paraId="196BC336" w14:textId="562CBEF0" w:rsidR="00BD27D6" w:rsidRDefault="00BD27D6">
      <w:r>
        <w:br w:type="page"/>
      </w:r>
    </w:p>
    <w:sdt>
      <w:sdtPr>
        <w:rPr>
          <w:rFonts w:eastAsiaTheme="minorEastAsia" w:cstheme="minorBidi"/>
          <w:b w:val="0"/>
          <w:caps/>
          <w:color w:val="auto"/>
          <w:sz w:val="24"/>
          <w:szCs w:val="22"/>
          <w:lang w:val="en-GB" w:eastAsia="en-GB"/>
        </w:rPr>
        <w:id w:val="-219283122"/>
        <w:docPartObj>
          <w:docPartGallery w:val="Table of Contents"/>
          <w:docPartUnique/>
        </w:docPartObj>
      </w:sdtPr>
      <w:sdtEndPr>
        <w:rPr>
          <w:bCs/>
          <w:caps w:val="0"/>
        </w:rPr>
      </w:sdtEndPr>
      <w:sdtContent>
        <w:p w14:paraId="0C40DBC6" w14:textId="747CF95F" w:rsidR="0009616B" w:rsidRDefault="0009616B" w:rsidP="00B26F16">
          <w:pPr>
            <w:pStyle w:val="TOCHeading"/>
          </w:pPr>
          <w:r>
            <w:t>Table of Contents</w:t>
          </w:r>
        </w:p>
        <w:p w14:paraId="1B8BB194" w14:textId="5C5DE86C" w:rsidR="00436F1B" w:rsidRDefault="0009616B">
          <w:pPr>
            <w:pStyle w:val="TOC1"/>
            <w:tabs>
              <w:tab w:val="right" w:leader="dot" w:pos="9350"/>
            </w:tabs>
            <w:rPr>
              <w:rFonts w:asciiTheme="minorHAnsi" w:hAnsiTheme="minorHAnsi"/>
              <w:noProof/>
              <w:sz w:val="22"/>
            </w:rPr>
          </w:pPr>
          <w:r>
            <w:fldChar w:fldCharType="begin"/>
          </w:r>
          <w:r>
            <w:instrText xml:space="preserve"> TOC \o "1-3" \h \z \u </w:instrText>
          </w:r>
          <w:r>
            <w:fldChar w:fldCharType="separate"/>
          </w:r>
          <w:hyperlink w:anchor="_Toc119061416" w:history="1">
            <w:r w:rsidR="00436F1B" w:rsidRPr="0067352E">
              <w:rPr>
                <w:rStyle w:val="Hyperlink"/>
                <w:noProof/>
              </w:rPr>
              <w:t>Introduction</w:t>
            </w:r>
            <w:r w:rsidR="00436F1B">
              <w:rPr>
                <w:noProof/>
                <w:webHidden/>
              </w:rPr>
              <w:tab/>
            </w:r>
            <w:r w:rsidR="00436F1B">
              <w:rPr>
                <w:noProof/>
                <w:webHidden/>
              </w:rPr>
              <w:fldChar w:fldCharType="begin"/>
            </w:r>
            <w:r w:rsidR="00436F1B">
              <w:rPr>
                <w:noProof/>
                <w:webHidden/>
              </w:rPr>
              <w:instrText xml:space="preserve"> PAGEREF _Toc119061416 \h </w:instrText>
            </w:r>
            <w:r w:rsidR="00436F1B">
              <w:rPr>
                <w:noProof/>
                <w:webHidden/>
              </w:rPr>
            </w:r>
            <w:r w:rsidR="00436F1B">
              <w:rPr>
                <w:noProof/>
                <w:webHidden/>
              </w:rPr>
              <w:fldChar w:fldCharType="separate"/>
            </w:r>
            <w:r w:rsidR="00436F1B">
              <w:rPr>
                <w:noProof/>
                <w:webHidden/>
              </w:rPr>
              <w:t>1</w:t>
            </w:r>
            <w:r w:rsidR="00436F1B">
              <w:rPr>
                <w:noProof/>
                <w:webHidden/>
              </w:rPr>
              <w:fldChar w:fldCharType="end"/>
            </w:r>
          </w:hyperlink>
        </w:p>
        <w:p w14:paraId="59284458" w14:textId="14903AA0" w:rsidR="00436F1B" w:rsidRDefault="00E257A7">
          <w:pPr>
            <w:pStyle w:val="TOC1"/>
            <w:tabs>
              <w:tab w:val="right" w:leader="dot" w:pos="9350"/>
            </w:tabs>
            <w:rPr>
              <w:rFonts w:asciiTheme="minorHAnsi" w:hAnsiTheme="minorHAnsi"/>
              <w:noProof/>
              <w:sz w:val="22"/>
            </w:rPr>
          </w:pPr>
          <w:hyperlink w:anchor="_Toc119061417" w:history="1">
            <w:r w:rsidR="00436F1B" w:rsidRPr="0067352E">
              <w:rPr>
                <w:rStyle w:val="Hyperlink"/>
                <w:noProof/>
              </w:rPr>
              <w:t>Project Objectives</w:t>
            </w:r>
            <w:r w:rsidR="00436F1B">
              <w:rPr>
                <w:noProof/>
                <w:webHidden/>
              </w:rPr>
              <w:tab/>
            </w:r>
            <w:r w:rsidR="00436F1B">
              <w:rPr>
                <w:noProof/>
                <w:webHidden/>
              </w:rPr>
              <w:fldChar w:fldCharType="begin"/>
            </w:r>
            <w:r w:rsidR="00436F1B">
              <w:rPr>
                <w:noProof/>
                <w:webHidden/>
              </w:rPr>
              <w:instrText xml:space="preserve"> PAGEREF _Toc119061417 \h </w:instrText>
            </w:r>
            <w:r w:rsidR="00436F1B">
              <w:rPr>
                <w:noProof/>
                <w:webHidden/>
              </w:rPr>
            </w:r>
            <w:r w:rsidR="00436F1B">
              <w:rPr>
                <w:noProof/>
                <w:webHidden/>
              </w:rPr>
              <w:fldChar w:fldCharType="separate"/>
            </w:r>
            <w:r w:rsidR="00436F1B">
              <w:rPr>
                <w:noProof/>
                <w:webHidden/>
              </w:rPr>
              <w:t>1</w:t>
            </w:r>
            <w:r w:rsidR="00436F1B">
              <w:rPr>
                <w:noProof/>
                <w:webHidden/>
              </w:rPr>
              <w:fldChar w:fldCharType="end"/>
            </w:r>
          </w:hyperlink>
        </w:p>
        <w:p w14:paraId="78D2CC0A" w14:textId="55128BE1" w:rsidR="00436F1B" w:rsidRDefault="00E257A7">
          <w:pPr>
            <w:pStyle w:val="TOC1"/>
            <w:tabs>
              <w:tab w:val="right" w:leader="dot" w:pos="9350"/>
            </w:tabs>
            <w:rPr>
              <w:rFonts w:asciiTheme="minorHAnsi" w:hAnsiTheme="minorHAnsi"/>
              <w:noProof/>
              <w:sz w:val="22"/>
            </w:rPr>
          </w:pPr>
          <w:hyperlink w:anchor="_Toc119061418" w:history="1">
            <w:r w:rsidR="00436F1B" w:rsidRPr="0067352E">
              <w:rPr>
                <w:rStyle w:val="Hyperlink"/>
                <w:noProof/>
              </w:rPr>
              <w:t>Benefits of the Project</w:t>
            </w:r>
            <w:r w:rsidR="00436F1B">
              <w:rPr>
                <w:noProof/>
                <w:webHidden/>
              </w:rPr>
              <w:tab/>
            </w:r>
            <w:r w:rsidR="00436F1B">
              <w:rPr>
                <w:noProof/>
                <w:webHidden/>
              </w:rPr>
              <w:fldChar w:fldCharType="begin"/>
            </w:r>
            <w:r w:rsidR="00436F1B">
              <w:rPr>
                <w:noProof/>
                <w:webHidden/>
              </w:rPr>
              <w:instrText xml:space="preserve"> PAGEREF _Toc119061418 \h </w:instrText>
            </w:r>
            <w:r w:rsidR="00436F1B">
              <w:rPr>
                <w:noProof/>
                <w:webHidden/>
              </w:rPr>
            </w:r>
            <w:r w:rsidR="00436F1B">
              <w:rPr>
                <w:noProof/>
                <w:webHidden/>
              </w:rPr>
              <w:fldChar w:fldCharType="separate"/>
            </w:r>
            <w:r w:rsidR="00436F1B">
              <w:rPr>
                <w:noProof/>
                <w:webHidden/>
              </w:rPr>
              <w:t>1</w:t>
            </w:r>
            <w:r w:rsidR="00436F1B">
              <w:rPr>
                <w:noProof/>
                <w:webHidden/>
              </w:rPr>
              <w:fldChar w:fldCharType="end"/>
            </w:r>
          </w:hyperlink>
        </w:p>
        <w:p w14:paraId="49EAA74D" w14:textId="05B0D184" w:rsidR="00436F1B" w:rsidRDefault="00E257A7">
          <w:pPr>
            <w:pStyle w:val="TOC1"/>
            <w:tabs>
              <w:tab w:val="right" w:leader="dot" w:pos="9350"/>
            </w:tabs>
            <w:rPr>
              <w:rFonts w:asciiTheme="minorHAnsi" w:hAnsiTheme="minorHAnsi"/>
              <w:noProof/>
              <w:sz w:val="22"/>
            </w:rPr>
          </w:pPr>
          <w:hyperlink w:anchor="_Toc119061419" w:history="1">
            <w:r w:rsidR="00436F1B" w:rsidRPr="0067352E">
              <w:rPr>
                <w:rStyle w:val="Hyperlink"/>
                <w:noProof/>
              </w:rPr>
              <w:t>Project Scope</w:t>
            </w:r>
            <w:r w:rsidR="00436F1B">
              <w:rPr>
                <w:noProof/>
                <w:webHidden/>
              </w:rPr>
              <w:tab/>
            </w:r>
            <w:r w:rsidR="00436F1B">
              <w:rPr>
                <w:noProof/>
                <w:webHidden/>
              </w:rPr>
              <w:fldChar w:fldCharType="begin"/>
            </w:r>
            <w:r w:rsidR="00436F1B">
              <w:rPr>
                <w:noProof/>
                <w:webHidden/>
              </w:rPr>
              <w:instrText xml:space="preserve"> PAGEREF _Toc119061419 \h </w:instrText>
            </w:r>
            <w:r w:rsidR="00436F1B">
              <w:rPr>
                <w:noProof/>
                <w:webHidden/>
              </w:rPr>
            </w:r>
            <w:r w:rsidR="00436F1B">
              <w:rPr>
                <w:noProof/>
                <w:webHidden/>
              </w:rPr>
              <w:fldChar w:fldCharType="separate"/>
            </w:r>
            <w:r w:rsidR="00436F1B">
              <w:rPr>
                <w:noProof/>
                <w:webHidden/>
              </w:rPr>
              <w:t>2</w:t>
            </w:r>
            <w:r w:rsidR="00436F1B">
              <w:rPr>
                <w:noProof/>
                <w:webHidden/>
              </w:rPr>
              <w:fldChar w:fldCharType="end"/>
            </w:r>
          </w:hyperlink>
        </w:p>
        <w:p w14:paraId="4A20FEA0" w14:textId="5960F6E0" w:rsidR="00436F1B" w:rsidRDefault="00E257A7">
          <w:pPr>
            <w:pStyle w:val="TOC1"/>
            <w:tabs>
              <w:tab w:val="right" w:leader="dot" w:pos="9350"/>
            </w:tabs>
            <w:rPr>
              <w:rFonts w:asciiTheme="minorHAnsi" w:hAnsiTheme="minorHAnsi"/>
              <w:noProof/>
              <w:sz w:val="22"/>
            </w:rPr>
          </w:pPr>
          <w:hyperlink w:anchor="_Toc119061420" w:history="1">
            <w:r w:rsidR="00436F1B" w:rsidRPr="0067352E">
              <w:rPr>
                <w:rStyle w:val="Hyperlink"/>
                <w:noProof/>
              </w:rPr>
              <w:t>Changes in project</w:t>
            </w:r>
            <w:r w:rsidR="00436F1B">
              <w:rPr>
                <w:noProof/>
                <w:webHidden/>
              </w:rPr>
              <w:tab/>
            </w:r>
            <w:r w:rsidR="00436F1B">
              <w:rPr>
                <w:noProof/>
                <w:webHidden/>
              </w:rPr>
              <w:fldChar w:fldCharType="begin"/>
            </w:r>
            <w:r w:rsidR="00436F1B">
              <w:rPr>
                <w:noProof/>
                <w:webHidden/>
              </w:rPr>
              <w:instrText xml:space="preserve"> PAGEREF _Toc119061420 \h </w:instrText>
            </w:r>
            <w:r w:rsidR="00436F1B">
              <w:rPr>
                <w:noProof/>
                <w:webHidden/>
              </w:rPr>
            </w:r>
            <w:r w:rsidR="00436F1B">
              <w:rPr>
                <w:noProof/>
                <w:webHidden/>
              </w:rPr>
              <w:fldChar w:fldCharType="separate"/>
            </w:r>
            <w:r w:rsidR="00436F1B">
              <w:rPr>
                <w:noProof/>
                <w:webHidden/>
              </w:rPr>
              <w:t>3</w:t>
            </w:r>
            <w:r w:rsidR="00436F1B">
              <w:rPr>
                <w:noProof/>
                <w:webHidden/>
              </w:rPr>
              <w:fldChar w:fldCharType="end"/>
            </w:r>
          </w:hyperlink>
        </w:p>
        <w:p w14:paraId="6ED52F2B" w14:textId="5D3345D7" w:rsidR="00436F1B" w:rsidRDefault="00E257A7">
          <w:pPr>
            <w:pStyle w:val="TOC1"/>
            <w:tabs>
              <w:tab w:val="right" w:leader="dot" w:pos="9350"/>
            </w:tabs>
            <w:rPr>
              <w:rFonts w:asciiTheme="minorHAnsi" w:hAnsiTheme="minorHAnsi"/>
              <w:noProof/>
              <w:sz w:val="22"/>
            </w:rPr>
          </w:pPr>
          <w:hyperlink w:anchor="_Toc119061421" w:history="1">
            <w:r w:rsidR="00436F1B" w:rsidRPr="0067352E">
              <w:rPr>
                <w:rStyle w:val="Hyperlink"/>
                <w:noProof/>
              </w:rPr>
              <w:t>Success and Failure of the Project</w:t>
            </w:r>
            <w:r w:rsidR="00436F1B">
              <w:rPr>
                <w:noProof/>
                <w:webHidden/>
              </w:rPr>
              <w:tab/>
            </w:r>
            <w:r w:rsidR="00436F1B">
              <w:rPr>
                <w:noProof/>
                <w:webHidden/>
              </w:rPr>
              <w:fldChar w:fldCharType="begin"/>
            </w:r>
            <w:r w:rsidR="00436F1B">
              <w:rPr>
                <w:noProof/>
                <w:webHidden/>
              </w:rPr>
              <w:instrText xml:space="preserve"> PAGEREF _Toc119061421 \h </w:instrText>
            </w:r>
            <w:r w:rsidR="00436F1B">
              <w:rPr>
                <w:noProof/>
                <w:webHidden/>
              </w:rPr>
            </w:r>
            <w:r w:rsidR="00436F1B">
              <w:rPr>
                <w:noProof/>
                <w:webHidden/>
              </w:rPr>
              <w:fldChar w:fldCharType="separate"/>
            </w:r>
            <w:r w:rsidR="00436F1B">
              <w:rPr>
                <w:noProof/>
                <w:webHidden/>
              </w:rPr>
              <w:t>4</w:t>
            </w:r>
            <w:r w:rsidR="00436F1B">
              <w:rPr>
                <w:noProof/>
                <w:webHidden/>
              </w:rPr>
              <w:fldChar w:fldCharType="end"/>
            </w:r>
          </w:hyperlink>
        </w:p>
        <w:p w14:paraId="037F65CF" w14:textId="3CD6B974" w:rsidR="00436F1B" w:rsidRDefault="00E257A7">
          <w:pPr>
            <w:pStyle w:val="TOC1"/>
            <w:tabs>
              <w:tab w:val="right" w:leader="dot" w:pos="9350"/>
            </w:tabs>
            <w:rPr>
              <w:rFonts w:asciiTheme="minorHAnsi" w:hAnsiTheme="minorHAnsi"/>
              <w:noProof/>
              <w:sz w:val="22"/>
            </w:rPr>
          </w:pPr>
          <w:hyperlink w:anchor="_Toc119061422" w:history="1">
            <w:r w:rsidR="00436F1B" w:rsidRPr="0067352E">
              <w:rPr>
                <w:rStyle w:val="Hyperlink"/>
                <w:noProof/>
              </w:rPr>
              <w:t>Project Risk and Challenges</w:t>
            </w:r>
            <w:r w:rsidR="00436F1B">
              <w:rPr>
                <w:noProof/>
                <w:webHidden/>
              </w:rPr>
              <w:tab/>
            </w:r>
            <w:r w:rsidR="00436F1B">
              <w:rPr>
                <w:noProof/>
                <w:webHidden/>
              </w:rPr>
              <w:fldChar w:fldCharType="begin"/>
            </w:r>
            <w:r w:rsidR="00436F1B">
              <w:rPr>
                <w:noProof/>
                <w:webHidden/>
              </w:rPr>
              <w:instrText xml:space="preserve"> PAGEREF _Toc119061422 \h </w:instrText>
            </w:r>
            <w:r w:rsidR="00436F1B">
              <w:rPr>
                <w:noProof/>
                <w:webHidden/>
              </w:rPr>
            </w:r>
            <w:r w:rsidR="00436F1B">
              <w:rPr>
                <w:noProof/>
                <w:webHidden/>
              </w:rPr>
              <w:fldChar w:fldCharType="separate"/>
            </w:r>
            <w:r w:rsidR="00436F1B">
              <w:rPr>
                <w:noProof/>
                <w:webHidden/>
              </w:rPr>
              <w:t>4</w:t>
            </w:r>
            <w:r w:rsidR="00436F1B">
              <w:rPr>
                <w:noProof/>
                <w:webHidden/>
              </w:rPr>
              <w:fldChar w:fldCharType="end"/>
            </w:r>
          </w:hyperlink>
        </w:p>
        <w:p w14:paraId="497159F1" w14:textId="4D1C40B5" w:rsidR="00436F1B" w:rsidRDefault="00E257A7">
          <w:pPr>
            <w:pStyle w:val="TOC2"/>
            <w:tabs>
              <w:tab w:val="right" w:leader="dot" w:pos="9350"/>
            </w:tabs>
            <w:rPr>
              <w:noProof/>
            </w:rPr>
          </w:pPr>
          <w:hyperlink w:anchor="_Toc119061423" w:history="1">
            <w:r w:rsidR="00436F1B" w:rsidRPr="0067352E">
              <w:rPr>
                <w:rStyle w:val="Hyperlink"/>
                <w:noProof/>
              </w:rPr>
              <w:t>Risk Assessment</w:t>
            </w:r>
            <w:r w:rsidR="00436F1B">
              <w:rPr>
                <w:noProof/>
                <w:webHidden/>
              </w:rPr>
              <w:tab/>
            </w:r>
            <w:r w:rsidR="00436F1B">
              <w:rPr>
                <w:noProof/>
                <w:webHidden/>
              </w:rPr>
              <w:fldChar w:fldCharType="begin"/>
            </w:r>
            <w:r w:rsidR="00436F1B">
              <w:rPr>
                <w:noProof/>
                <w:webHidden/>
              </w:rPr>
              <w:instrText xml:space="preserve"> PAGEREF _Toc119061423 \h </w:instrText>
            </w:r>
            <w:r w:rsidR="00436F1B">
              <w:rPr>
                <w:noProof/>
                <w:webHidden/>
              </w:rPr>
            </w:r>
            <w:r w:rsidR="00436F1B">
              <w:rPr>
                <w:noProof/>
                <w:webHidden/>
              </w:rPr>
              <w:fldChar w:fldCharType="separate"/>
            </w:r>
            <w:r w:rsidR="00436F1B">
              <w:rPr>
                <w:noProof/>
                <w:webHidden/>
              </w:rPr>
              <w:t>4</w:t>
            </w:r>
            <w:r w:rsidR="00436F1B">
              <w:rPr>
                <w:noProof/>
                <w:webHidden/>
              </w:rPr>
              <w:fldChar w:fldCharType="end"/>
            </w:r>
          </w:hyperlink>
        </w:p>
        <w:p w14:paraId="1C943EAE" w14:textId="68C9DEFE" w:rsidR="00436F1B" w:rsidRDefault="00E257A7">
          <w:pPr>
            <w:pStyle w:val="TOC2"/>
            <w:tabs>
              <w:tab w:val="right" w:leader="dot" w:pos="9350"/>
            </w:tabs>
            <w:rPr>
              <w:noProof/>
            </w:rPr>
          </w:pPr>
          <w:hyperlink w:anchor="_Toc119061424" w:history="1">
            <w:r w:rsidR="00436F1B" w:rsidRPr="0067352E">
              <w:rPr>
                <w:rStyle w:val="Hyperlink"/>
                <w:noProof/>
              </w:rPr>
              <w:t>Unidentified Risk</w:t>
            </w:r>
            <w:r w:rsidR="00436F1B">
              <w:rPr>
                <w:noProof/>
                <w:webHidden/>
              </w:rPr>
              <w:tab/>
            </w:r>
            <w:r w:rsidR="00436F1B">
              <w:rPr>
                <w:noProof/>
                <w:webHidden/>
              </w:rPr>
              <w:fldChar w:fldCharType="begin"/>
            </w:r>
            <w:r w:rsidR="00436F1B">
              <w:rPr>
                <w:noProof/>
                <w:webHidden/>
              </w:rPr>
              <w:instrText xml:space="preserve"> PAGEREF _Toc119061424 \h </w:instrText>
            </w:r>
            <w:r w:rsidR="00436F1B">
              <w:rPr>
                <w:noProof/>
                <w:webHidden/>
              </w:rPr>
            </w:r>
            <w:r w:rsidR="00436F1B">
              <w:rPr>
                <w:noProof/>
                <w:webHidden/>
              </w:rPr>
              <w:fldChar w:fldCharType="separate"/>
            </w:r>
            <w:r w:rsidR="00436F1B">
              <w:rPr>
                <w:noProof/>
                <w:webHidden/>
              </w:rPr>
              <w:t>6</w:t>
            </w:r>
            <w:r w:rsidR="00436F1B">
              <w:rPr>
                <w:noProof/>
                <w:webHidden/>
              </w:rPr>
              <w:fldChar w:fldCharType="end"/>
            </w:r>
          </w:hyperlink>
        </w:p>
        <w:p w14:paraId="7E3561AA" w14:textId="3366F883" w:rsidR="00436F1B" w:rsidRDefault="00E257A7">
          <w:pPr>
            <w:pStyle w:val="TOC1"/>
            <w:tabs>
              <w:tab w:val="right" w:leader="dot" w:pos="9350"/>
            </w:tabs>
            <w:rPr>
              <w:rFonts w:asciiTheme="minorHAnsi" w:hAnsiTheme="minorHAnsi"/>
              <w:noProof/>
              <w:sz w:val="22"/>
            </w:rPr>
          </w:pPr>
          <w:hyperlink w:anchor="_Toc119061425" w:history="1">
            <w:r w:rsidR="00436F1B" w:rsidRPr="0067352E">
              <w:rPr>
                <w:rStyle w:val="Hyperlink"/>
                <w:noProof/>
              </w:rPr>
              <w:t>Conclusion</w:t>
            </w:r>
            <w:r w:rsidR="00436F1B">
              <w:rPr>
                <w:noProof/>
                <w:webHidden/>
              </w:rPr>
              <w:tab/>
            </w:r>
            <w:r w:rsidR="00436F1B">
              <w:rPr>
                <w:noProof/>
                <w:webHidden/>
              </w:rPr>
              <w:fldChar w:fldCharType="begin"/>
            </w:r>
            <w:r w:rsidR="00436F1B">
              <w:rPr>
                <w:noProof/>
                <w:webHidden/>
              </w:rPr>
              <w:instrText xml:space="preserve"> PAGEREF _Toc119061425 \h </w:instrText>
            </w:r>
            <w:r w:rsidR="00436F1B">
              <w:rPr>
                <w:noProof/>
                <w:webHidden/>
              </w:rPr>
            </w:r>
            <w:r w:rsidR="00436F1B">
              <w:rPr>
                <w:noProof/>
                <w:webHidden/>
              </w:rPr>
              <w:fldChar w:fldCharType="separate"/>
            </w:r>
            <w:r w:rsidR="00436F1B">
              <w:rPr>
                <w:noProof/>
                <w:webHidden/>
              </w:rPr>
              <w:t>7</w:t>
            </w:r>
            <w:r w:rsidR="00436F1B">
              <w:rPr>
                <w:noProof/>
                <w:webHidden/>
              </w:rPr>
              <w:fldChar w:fldCharType="end"/>
            </w:r>
          </w:hyperlink>
        </w:p>
        <w:p w14:paraId="60F0A965" w14:textId="19B1227F" w:rsidR="00436F1B" w:rsidRDefault="00E257A7">
          <w:pPr>
            <w:pStyle w:val="TOC1"/>
            <w:tabs>
              <w:tab w:val="right" w:leader="dot" w:pos="9350"/>
            </w:tabs>
            <w:rPr>
              <w:rFonts w:asciiTheme="minorHAnsi" w:hAnsiTheme="minorHAnsi"/>
              <w:noProof/>
              <w:sz w:val="22"/>
            </w:rPr>
          </w:pPr>
          <w:hyperlink w:anchor="_Toc119061426" w:history="1">
            <w:r w:rsidR="00436F1B" w:rsidRPr="0067352E">
              <w:rPr>
                <w:rStyle w:val="Hyperlink"/>
                <w:noProof/>
              </w:rPr>
              <w:t>References</w:t>
            </w:r>
            <w:r w:rsidR="00436F1B">
              <w:rPr>
                <w:noProof/>
                <w:webHidden/>
              </w:rPr>
              <w:tab/>
            </w:r>
            <w:r w:rsidR="00436F1B">
              <w:rPr>
                <w:noProof/>
                <w:webHidden/>
              </w:rPr>
              <w:fldChar w:fldCharType="begin"/>
            </w:r>
            <w:r w:rsidR="00436F1B">
              <w:rPr>
                <w:noProof/>
                <w:webHidden/>
              </w:rPr>
              <w:instrText xml:space="preserve"> PAGEREF _Toc119061426 \h </w:instrText>
            </w:r>
            <w:r w:rsidR="00436F1B">
              <w:rPr>
                <w:noProof/>
                <w:webHidden/>
              </w:rPr>
            </w:r>
            <w:r w:rsidR="00436F1B">
              <w:rPr>
                <w:noProof/>
                <w:webHidden/>
              </w:rPr>
              <w:fldChar w:fldCharType="separate"/>
            </w:r>
            <w:r w:rsidR="00436F1B">
              <w:rPr>
                <w:noProof/>
                <w:webHidden/>
              </w:rPr>
              <w:t>8</w:t>
            </w:r>
            <w:r w:rsidR="00436F1B">
              <w:rPr>
                <w:noProof/>
                <w:webHidden/>
              </w:rPr>
              <w:fldChar w:fldCharType="end"/>
            </w:r>
          </w:hyperlink>
        </w:p>
        <w:p w14:paraId="2F3BF9A5" w14:textId="0B9F849A" w:rsidR="0009616B" w:rsidRDefault="0009616B">
          <w:r>
            <w:rPr>
              <w:b/>
              <w:bCs/>
            </w:rPr>
            <w:fldChar w:fldCharType="end"/>
          </w:r>
        </w:p>
      </w:sdtContent>
    </w:sdt>
    <w:p w14:paraId="2BB65D4A" w14:textId="77777777" w:rsidR="0009616B" w:rsidRDefault="0009616B" w:rsidP="0081133B">
      <w:pPr>
        <w:spacing w:line="360" w:lineRule="auto"/>
        <w:jc w:val="both"/>
        <w:sectPr w:rsidR="0009616B" w:rsidSect="0009616B">
          <w:footerReference w:type="default" r:id="rId9"/>
          <w:pgSz w:w="12240" w:h="15840"/>
          <w:pgMar w:top="1440" w:right="1440" w:bottom="1440" w:left="1440" w:header="720" w:footer="720" w:gutter="0"/>
          <w:pgNumType w:fmt="lowerRoman"/>
          <w:cols w:space="720"/>
          <w:titlePg/>
          <w:docGrid w:linePitch="360"/>
        </w:sectPr>
      </w:pPr>
    </w:p>
    <w:p w14:paraId="14B4435A" w14:textId="5F4B0768" w:rsidR="00BD27D6" w:rsidRDefault="0009616B" w:rsidP="00B26F16">
      <w:pPr>
        <w:pStyle w:val="Heading1"/>
      </w:pPr>
      <w:bookmarkStart w:id="1" w:name="_Toc119061416"/>
      <w:r>
        <w:lastRenderedPageBreak/>
        <w:t>Introduction</w:t>
      </w:r>
      <w:bookmarkEnd w:id="1"/>
      <w:r>
        <w:t xml:space="preserve"> </w:t>
      </w:r>
    </w:p>
    <w:p w14:paraId="5C67F73F" w14:textId="406C4BAF" w:rsidR="0009616B" w:rsidRDefault="00A11DF4" w:rsidP="0081133B">
      <w:pPr>
        <w:spacing w:line="360" w:lineRule="auto"/>
        <w:jc w:val="both"/>
      </w:pPr>
      <w:r w:rsidRPr="00A11DF4">
        <w:t>The Cross Rail Project (Elizabeth Line) restoration project started off in March 20</w:t>
      </w:r>
      <w:r w:rsidR="00127B40">
        <w:t>09</w:t>
      </w:r>
      <w:r w:rsidRPr="00A11DF4">
        <w:t xml:space="preserve"> and lasted until October 2022 until it was finally finished. The execution of this plan over the course of seven years, which had an impact on a wide variety of people, cost $215 million. Despite this, the project was fraught with peril because of the extreme turbulence of the economy. This report details the objectives, advantages, and scope of the project, as well as the factors that ultimately led to the accomplishment of its goals.</w:t>
      </w:r>
      <w:r w:rsidR="00AC14EE">
        <w:t xml:space="preserve"> </w:t>
      </w:r>
    </w:p>
    <w:p w14:paraId="04267980" w14:textId="077EB66C" w:rsidR="00D85B3A" w:rsidRDefault="007439A2">
      <w:pPr>
        <w:rPr>
          <w:rFonts w:eastAsiaTheme="majorEastAsia" w:cstheme="majorBidi"/>
          <w:b/>
          <w:color w:val="2F5496" w:themeColor="accent1" w:themeShade="BF"/>
          <w:sz w:val="36"/>
          <w:szCs w:val="32"/>
          <w:lang w:val="en-US" w:eastAsia="en-US"/>
        </w:rPr>
      </w:pPr>
      <w:bookmarkStart w:id="2" w:name="_Toc119061417"/>
      <w:r>
        <w:t>Entrepreneurs</w:t>
      </w:r>
      <w:r w:rsidR="00D85B3A">
        <w:br w:type="page"/>
      </w:r>
    </w:p>
    <w:p w14:paraId="61B6BF8F" w14:textId="536FD40B" w:rsidR="00AC14EE" w:rsidRDefault="00AC14EE" w:rsidP="00B26F16">
      <w:pPr>
        <w:pStyle w:val="Heading1"/>
      </w:pPr>
      <w:r>
        <w:lastRenderedPageBreak/>
        <w:t>Project Objectives</w:t>
      </w:r>
      <w:bookmarkEnd w:id="2"/>
    </w:p>
    <w:p w14:paraId="0FF65F22" w14:textId="3C9B3A77" w:rsidR="00AC14EE" w:rsidRDefault="00A11DF4" w:rsidP="0081133B">
      <w:pPr>
        <w:spacing w:line="360" w:lineRule="auto"/>
        <w:jc w:val="both"/>
      </w:pPr>
      <w:r w:rsidRPr="00A11DF4">
        <w:t xml:space="preserve">The project's goals can serve as a basis for developing a strategy that will lead to the successful conclusion of the endeavour. Deliverables or milestones are two ways that the goals of a project can be divided into smaller pieces. In addition to this, the Cross Rail Project (Elizabeth Line) works toward the completion of a wide range of </w:t>
      </w:r>
      <w:proofErr w:type="gramStart"/>
      <w:r w:rsidRPr="00A11DF4">
        <w:t>particular objectives</w:t>
      </w:r>
      <w:proofErr w:type="gramEnd"/>
      <w:r w:rsidRPr="00A11DF4">
        <w:t>. The primary objective of the project was to devise the most effective design language, which included the incorporation of aesthetic components that were designed to reflect the traditions and tastes of the nation</w:t>
      </w:r>
      <w:r w:rsidR="00D85B3A">
        <w:t xml:space="preserve"> </w:t>
      </w:r>
      <w:r w:rsidR="00D85B3A" w:rsidRPr="00D85B3A">
        <w:t xml:space="preserve">(Yin, </w:t>
      </w:r>
      <w:proofErr w:type="spellStart"/>
      <w:r w:rsidR="00D85B3A" w:rsidRPr="00D85B3A">
        <w:t>Passano</w:t>
      </w:r>
      <w:proofErr w:type="spellEnd"/>
      <w:r w:rsidR="00D85B3A" w:rsidRPr="00D85B3A">
        <w:t xml:space="preserve"> and Larsen, 2017)</w:t>
      </w:r>
      <w:r w:rsidRPr="00A11DF4">
        <w:t xml:space="preserve">. The mission was successfully finished thanks to the aid provided by the hired British architects. The architects estimate that the construction of the rail project will take close to a year to finish. </w:t>
      </w:r>
      <w:proofErr w:type="gramStart"/>
      <w:r w:rsidRPr="00A11DF4">
        <w:t>In order to</w:t>
      </w:r>
      <w:proofErr w:type="gramEnd"/>
      <w:r w:rsidRPr="00A11DF4">
        <w:t xml:space="preserve"> accomplish the goals of the project, fifteen new train lines and five new stations were built after that time. The completion of the construction project was delegated to a total of seven different contractors. In addition, the technical facets of airport maintenance were brought up to speed with the worldwide standards of the contemporary rail transportation industry</w:t>
      </w:r>
      <w:r w:rsidR="00D85B3A">
        <w:t xml:space="preserve"> </w:t>
      </w:r>
      <w:r w:rsidR="00D85B3A" w:rsidRPr="00D85B3A">
        <w:t xml:space="preserve">(Wei, </w:t>
      </w:r>
      <w:proofErr w:type="gramStart"/>
      <w:r w:rsidR="00D85B3A" w:rsidRPr="00D85B3A">
        <w:t>Wei</w:t>
      </w:r>
      <w:proofErr w:type="gramEnd"/>
      <w:r w:rsidR="00D85B3A" w:rsidRPr="00D85B3A">
        <w:t xml:space="preserve"> and Jia, 2022)</w:t>
      </w:r>
      <w:r w:rsidRPr="00A11DF4">
        <w:t>. As a direct result of this, there was a 35% rise in the total number of passengers when compared to the previous year.</w:t>
      </w:r>
    </w:p>
    <w:p w14:paraId="4BCC20AF" w14:textId="16A7E69F" w:rsidR="00871D93" w:rsidRDefault="00871D93" w:rsidP="00B26F16">
      <w:pPr>
        <w:pStyle w:val="Heading1"/>
      </w:pPr>
      <w:bookmarkStart w:id="3" w:name="_Toc119061418"/>
      <w:r>
        <w:t>Benefits of the Project</w:t>
      </w:r>
      <w:bookmarkEnd w:id="3"/>
    </w:p>
    <w:p w14:paraId="27C841E7" w14:textId="0E1CEA73" w:rsidR="00D07A81" w:rsidRDefault="00A11DF4" w:rsidP="0081133B">
      <w:pPr>
        <w:spacing w:line="360" w:lineRule="auto"/>
        <w:jc w:val="both"/>
      </w:pPr>
      <w:r w:rsidRPr="00A11DF4">
        <w:t xml:space="preserve">One of the campaign's key goals was to increase the number of visitors that travelled to London, and it was able to accomplish this goal with great success. As soon as it started transporting people, the railroad shot to renown owing to its appealing look and high-quality service. This was largely </w:t>
      </w:r>
      <w:proofErr w:type="gramStart"/>
      <w:r w:rsidRPr="00A11DF4">
        <w:t>due to the fact that</w:t>
      </w:r>
      <w:proofErr w:type="gramEnd"/>
      <w:r w:rsidRPr="00A11DF4">
        <w:t xml:space="preserve"> it had been around for a long time. These two aspects were important contributors to the railroad's rise to prominence</w:t>
      </w:r>
      <w:r w:rsidR="00D85B3A">
        <w:t xml:space="preserve"> </w:t>
      </w:r>
      <w:r w:rsidR="00D85B3A" w:rsidRPr="00D85B3A">
        <w:t>(Yang et al., 2020)</w:t>
      </w:r>
      <w:r w:rsidRPr="00A11DF4">
        <w:t xml:space="preserve">. In addition, many individuals who are related in some way to the national transportation system of the United Kingdom have observed that the Cross Rail Project's (Elizabeth Line) train-handling abilities are noticeably superior to those of </w:t>
      </w:r>
      <w:proofErr w:type="gramStart"/>
      <w:r w:rsidRPr="00A11DF4">
        <w:t>the vast majority of</w:t>
      </w:r>
      <w:proofErr w:type="gramEnd"/>
      <w:r w:rsidRPr="00A11DF4">
        <w:t xml:space="preserve"> other federal railroads. Despite this, regular train service continued as usual without interruption. Despite this, a rise in the total number of scheduled trains has sped up train departures, which has sped up train departures, which has sped up train departures, which has impeded the completion of the Cross Rail Project (Elizabeth Line). This area has the potential to become a transportation hub for the entirety of England </w:t>
      </w:r>
      <w:proofErr w:type="gramStart"/>
      <w:r w:rsidRPr="00A11DF4">
        <w:t>as a result of</w:t>
      </w:r>
      <w:proofErr w:type="gramEnd"/>
      <w:r w:rsidRPr="00A11DF4">
        <w:t xml:space="preserve"> the </w:t>
      </w:r>
      <w:r w:rsidRPr="00A11DF4">
        <w:lastRenderedPageBreak/>
        <w:t xml:space="preserve">increased product flow that is necessary to accomplish the </w:t>
      </w:r>
      <w:r w:rsidR="00D85B3A">
        <w:t xml:space="preserve">project </w:t>
      </w:r>
      <w:r w:rsidR="00D85B3A" w:rsidRPr="00D85B3A">
        <w:t>(</w:t>
      </w:r>
      <w:proofErr w:type="spellStart"/>
      <w:r w:rsidR="00D85B3A" w:rsidRPr="00D85B3A">
        <w:t>Vickerstaff</w:t>
      </w:r>
      <w:proofErr w:type="spellEnd"/>
      <w:r w:rsidR="00D85B3A" w:rsidRPr="00D85B3A">
        <w:t xml:space="preserve">, Bevan and </w:t>
      </w:r>
      <w:proofErr w:type="spellStart"/>
      <w:r w:rsidR="00D85B3A" w:rsidRPr="00D85B3A">
        <w:t>Boyacioglu</w:t>
      </w:r>
      <w:proofErr w:type="spellEnd"/>
      <w:r w:rsidR="00D85B3A" w:rsidRPr="00D85B3A">
        <w:t>, 2019)</w:t>
      </w:r>
      <w:r w:rsidRPr="00A11DF4">
        <w:t xml:space="preserve">. In conclusion, the railroad is presently reaping not only the benefits that were forecasted but also the additional services that have been feasible </w:t>
      </w:r>
      <w:proofErr w:type="gramStart"/>
      <w:r w:rsidRPr="00A11DF4">
        <w:t>as a result of</w:t>
      </w:r>
      <w:proofErr w:type="gramEnd"/>
      <w:r w:rsidRPr="00A11DF4">
        <w:t xml:space="preserve"> the increasing size of the audience and the number of passengers.</w:t>
      </w:r>
      <w:r w:rsidR="00212863">
        <w:t xml:space="preserve"> </w:t>
      </w:r>
    </w:p>
    <w:p w14:paraId="7DF373DE" w14:textId="24D58D1A" w:rsidR="00D07A81" w:rsidRDefault="00D07A81" w:rsidP="00B26F16">
      <w:pPr>
        <w:pStyle w:val="Heading1"/>
      </w:pPr>
      <w:bookmarkStart w:id="4" w:name="_Toc119061419"/>
      <w:r>
        <w:t>Project Scope</w:t>
      </w:r>
      <w:bookmarkEnd w:id="4"/>
    </w:p>
    <w:p w14:paraId="2F92E3D5" w14:textId="1CF6DCCB" w:rsidR="00D07A81" w:rsidRDefault="00BE74CF" w:rsidP="0081133B">
      <w:pPr>
        <w:spacing w:line="360" w:lineRule="auto"/>
        <w:jc w:val="both"/>
      </w:pPr>
      <w:r w:rsidRPr="00BE74CF">
        <w:t xml:space="preserve">The unpleasant broadening of the scope of the project did not take place because </w:t>
      </w:r>
      <w:r>
        <w:t xml:space="preserve">the </w:t>
      </w:r>
      <w:r w:rsidRPr="00BE74CF">
        <w:t>significant effort was devoted to preparing and coordinating the requirements of a number of different stakeholder groups. Everything with the project turned out just how it was anticipated</w:t>
      </w:r>
      <w:r w:rsidR="00D85B3A">
        <w:t xml:space="preserve"> </w:t>
      </w:r>
      <w:r w:rsidR="00D85B3A" w:rsidRPr="00D85B3A">
        <w:t>(Nam, Huh and Lee, 2012)</w:t>
      </w:r>
      <w:r w:rsidRPr="00BE74CF">
        <w:t xml:space="preserve">. However, because some of the demands of the project sponsors </w:t>
      </w:r>
      <w:proofErr w:type="gramStart"/>
      <w:r w:rsidRPr="00BE74CF">
        <w:t>were in conflict with</w:t>
      </w:r>
      <w:proofErr w:type="gramEnd"/>
      <w:r w:rsidRPr="00BE74CF">
        <w:t xml:space="preserve"> one another, it took the </w:t>
      </w:r>
      <w:r w:rsidR="00D85B3A">
        <w:t>engineers</w:t>
      </w:r>
      <w:r w:rsidRPr="00BE74CF">
        <w:t xml:space="preserve"> of the </w:t>
      </w:r>
      <w:r w:rsidR="00E6045B">
        <w:t>railways</w:t>
      </w:r>
      <w:r w:rsidRPr="00BE74CF">
        <w:t xml:space="preserve"> a little bit more time than was allotted. After </w:t>
      </w:r>
      <w:r w:rsidR="00E6045B">
        <w:t>several</w:t>
      </w:r>
      <w:r w:rsidRPr="00BE74CF">
        <w:t xml:space="preserve"> discussions with the royal family and various other influential stakeholders, the designers were able to integrate the needs with the design criteria successfully. There were no problems whatsoever with the project's budget. The contractors were given a limited budget, which encouraged them to work as effectively as they could within those constraints</w:t>
      </w:r>
      <w:r w:rsidR="00D85B3A">
        <w:t xml:space="preserve"> </w:t>
      </w:r>
      <w:r w:rsidR="00D85B3A" w:rsidRPr="00D85B3A">
        <w:t>(</w:t>
      </w:r>
      <w:proofErr w:type="spellStart"/>
      <w:r w:rsidR="00D85B3A" w:rsidRPr="00D85B3A">
        <w:t>Jaroszweski</w:t>
      </w:r>
      <w:proofErr w:type="spellEnd"/>
      <w:r w:rsidR="00D85B3A" w:rsidRPr="00D85B3A">
        <w:t xml:space="preserve"> et al., 2014)</w:t>
      </w:r>
      <w:r w:rsidRPr="00BE74CF">
        <w:t xml:space="preserve">. In addition, the project manager utilised </w:t>
      </w:r>
      <w:r w:rsidR="00127B40">
        <w:t>computerized</w:t>
      </w:r>
      <w:r w:rsidRPr="00BE74CF">
        <w:t xml:space="preserve"> monitoring and tracking devices, which increased the level of pressure placed on the contractors to finish the job within the allotted amount of time</w:t>
      </w:r>
      <w:r w:rsidR="004F16D5">
        <w:t xml:space="preserve">. </w:t>
      </w:r>
    </w:p>
    <w:p w14:paraId="13F5EB74" w14:textId="31E72D44" w:rsidR="00DD09B8" w:rsidRDefault="00DD09B8" w:rsidP="00B26F16">
      <w:pPr>
        <w:pStyle w:val="Heading1"/>
      </w:pPr>
      <w:bookmarkStart w:id="5" w:name="_Toc119061420"/>
      <w:r>
        <w:t>Changes in the project</w:t>
      </w:r>
      <w:bookmarkEnd w:id="5"/>
    </w:p>
    <w:p w14:paraId="2814668F" w14:textId="5DB69F5D" w:rsidR="00127B40" w:rsidRDefault="00127B40" w:rsidP="00127B40">
      <w:pPr>
        <w:spacing w:line="360" w:lineRule="auto"/>
        <w:jc w:val="both"/>
      </w:pPr>
      <w:r>
        <w:t>The Elizabeth Line extension of the Cross Rail project has had a significant impact on the underground transportation network in London. Workers on this massive infrastructure project began in 2009 with the intention of increasing the region's rail capacity by 10%. This would make it possible to provide more quick and dependable service to vital hubs such as Reading and Shenfield</w:t>
      </w:r>
      <w:r w:rsidR="00D85B3A">
        <w:t xml:space="preserve"> </w:t>
      </w:r>
      <w:r w:rsidR="00D85B3A" w:rsidRPr="00D85B3A">
        <w:t>(Huang et al., 2022)</w:t>
      </w:r>
      <w:r>
        <w:t xml:space="preserve">. Because of the Cross Rail project, locations including as Heathrow Airport and the neighbourhoods of Abbey Wood and Shenfield will be more easily accessible. Cross Rail has enabled a significant number of Londoners to go to previously inaccessible areas of the city in far less time than ever before. As a result of the Cross Train Project, rail links between cities will be strengthened, and increased suburban rail capacity will be made available. This will </w:t>
      </w:r>
      <w:r>
        <w:lastRenderedPageBreak/>
        <w:t xml:space="preserve">enable a higher number of people to utilise the rail system. As a result of the completion of Cross Rail, </w:t>
      </w:r>
      <w:proofErr w:type="gramStart"/>
      <w:r>
        <w:t>a number of</w:t>
      </w:r>
      <w:proofErr w:type="gramEnd"/>
      <w:r>
        <w:t xml:space="preserve"> London neighbourhoods now have access to brand-new train stations that are equipped with cutting-edge technology and are planned with the needs of commuters in mind. The construction of Cross Rail has resulted in enhanced connections to Heathrow Airport and an increase in the frequency of service between various places within central London</w:t>
      </w:r>
      <w:r w:rsidR="009E65F4">
        <w:t xml:space="preserve"> </w:t>
      </w:r>
      <w:r w:rsidR="009E65F4" w:rsidRPr="009E65F4">
        <w:t>(</w:t>
      </w:r>
      <w:proofErr w:type="spellStart"/>
      <w:r w:rsidR="009E65F4" w:rsidRPr="009E65F4">
        <w:t>Vickerstaff</w:t>
      </w:r>
      <w:proofErr w:type="spellEnd"/>
      <w:r w:rsidR="009E65F4" w:rsidRPr="009E65F4">
        <w:t xml:space="preserve">, Bevan and </w:t>
      </w:r>
      <w:proofErr w:type="spellStart"/>
      <w:r w:rsidR="009E65F4" w:rsidRPr="009E65F4">
        <w:t>Boyacioglu</w:t>
      </w:r>
      <w:proofErr w:type="spellEnd"/>
      <w:r w:rsidR="009E65F4" w:rsidRPr="009E65F4">
        <w:t>, 2019)</w:t>
      </w:r>
      <w:r>
        <w:t>. The extension of the rail system that was made possible by Cross Train has made it simpler for commuters who live in the suburbs to access the rail system. The building of Cross Rail has already had a significant impact on the transportation network in London, and it is expected to continue to bring about improvements in the years to come.</w:t>
      </w:r>
    </w:p>
    <w:p w14:paraId="13D168B7" w14:textId="0636054B" w:rsidR="00DD09B8" w:rsidRDefault="00127B40" w:rsidP="00127B40">
      <w:pPr>
        <w:spacing w:line="360" w:lineRule="auto"/>
        <w:jc w:val="both"/>
      </w:pPr>
      <w:r>
        <w:t xml:space="preserve">The Cross Rail project is widely regarded as one of the most ambitious transportation endeavours now underway in London. In addition to enhancing the connection between the city's main nodes, the construction of Cross Rail has helped spur economic development and neighbourhood rehabilitation in </w:t>
      </w:r>
      <w:proofErr w:type="gramStart"/>
      <w:r>
        <w:t>a number of</w:t>
      </w:r>
      <w:proofErr w:type="gramEnd"/>
      <w:r>
        <w:t xml:space="preserve"> areas. Cross Rail services are now offered on the Central, Elizabeth, and Crossrail lines. This comes after further station renovations and an increase in accessibility for people with impairments</w:t>
      </w:r>
      <w:r w:rsidR="009E65F4">
        <w:t xml:space="preserve"> </w:t>
      </w:r>
      <w:r w:rsidR="009E65F4" w:rsidRPr="009E65F4">
        <w:t xml:space="preserve">(Wei, </w:t>
      </w:r>
      <w:proofErr w:type="gramStart"/>
      <w:r w:rsidR="009E65F4" w:rsidRPr="009E65F4">
        <w:t>Wei</w:t>
      </w:r>
      <w:proofErr w:type="gramEnd"/>
      <w:r w:rsidR="009E65F4" w:rsidRPr="009E65F4">
        <w:t xml:space="preserve"> and Jia, 2022)</w:t>
      </w:r>
      <w:r>
        <w:t>. The incorporation of Cross Train into London's existing rail network has led to observable enhancements in terms of journey times, service frequency, and connecting options. The building of Cross Train will, during the next many decades, bring about significant improvements to London's rail network that will have far-reaching implications.</w:t>
      </w:r>
      <w:r w:rsidR="008C6EBA">
        <w:t xml:space="preserve"> </w:t>
      </w:r>
    </w:p>
    <w:p w14:paraId="1B310DED" w14:textId="5AC6F9F5" w:rsidR="008C6EBA" w:rsidRDefault="008C6EBA" w:rsidP="00B26F16">
      <w:pPr>
        <w:pStyle w:val="Heading1"/>
      </w:pPr>
      <w:bookmarkStart w:id="6" w:name="_Toc119061421"/>
      <w:r>
        <w:t>Success and Failure of the Project</w:t>
      </w:r>
      <w:bookmarkEnd w:id="6"/>
    </w:p>
    <w:p w14:paraId="77E62054" w14:textId="10FAB38C" w:rsidR="00E756D5" w:rsidRDefault="00E756D5" w:rsidP="00E756D5">
      <w:pPr>
        <w:spacing w:line="360" w:lineRule="auto"/>
        <w:jc w:val="both"/>
      </w:pPr>
      <w:r>
        <w:t>The Elizabeth Route, sometimes known as Cross Rail, is a significant new railway route that debuted in London in 2018. The citizens of London have been patiently waiting for this, which is the most ambitious infrastructure project in all of Europe. Since it was first launched, the Cross Rail Project has been an enormous success in terms of reducing the amount of time needed for commuting and enhancing accessibility throughout all of London's neighbourhoods</w:t>
      </w:r>
      <w:r w:rsidR="009E65F4">
        <w:t xml:space="preserve"> </w:t>
      </w:r>
      <w:r w:rsidR="009E65F4" w:rsidRPr="009E65F4">
        <w:t xml:space="preserve">(Yin, </w:t>
      </w:r>
      <w:proofErr w:type="spellStart"/>
      <w:r w:rsidR="009E65F4" w:rsidRPr="009E65F4">
        <w:t>Passano</w:t>
      </w:r>
      <w:proofErr w:type="spellEnd"/>
      <w:r w:rsidR="009E65F4" w:rsidRPr="009E65F4">
        <w:t xml:space="preserve"> and Larsen, 2017)</w:t>
      </w:r>
      <w:r>
        <w:t xml:space="preserve">. The Cross Rail Project will connect more than 40 stations in and around London. These stations will range from Reading and Heathrow to Shenfield and Abbey Wood. Because it makes a stop at Heathrow Airport as part of its route, it makes it possible for passengers to travel to and from these locations at an unprecedented rate of speed. In addition to improving </w:t>
      </w:r>
      <w:r>
        <w:lastRenderedPageBreak/>
        <w:t xml:space="preserve">connectivity, the Cross Rail Project has helped to spur economic growth in </w:t>
      </w:r>
      <w:proofErr w:type="gramStart"/>
      <w:r>
        <w:t>a number of</w:t>
      </w:r>
      <w:proofErr w:type="gramEnd"/>
      <w:r>
        <w:t xml:space="preserve"> different areas. Since the project's beginning, it has been responsible for the production of roughly 55,000 new jobs in the United Kingdom and the generating of around £5.9 billion in economic benefits for the people of London</w:t>
      </w:r>
      <w:r w:rsidR="009E65F4">
        <w:t xml:space="preserve"> </w:t>
      </w:r>
      <w:r w:rsidR="009E65F4" w:rsidRPr="009E65F4">
        <w:t>(</w:t>
      </w:r>
      <w:proofErr w:type="spellStart"/>
      <w:r w:rsidR="009E65F4" w:rsidRPr="009E65F4">
        <w:t>Jaroszweski</w:t>
      </w:r>
      <w:proofErr w:type="spellEnd"/>
      <w:r w:rsidR="009E65F4" w:rsidRPr="009E65F4">
        <w:t xml:space="preserve"> et al., 2014)</w:t>
      </w:r>
      <w:r>
        <w:t>.</w:t>
      </w:r>
    </w:p>
    <w:p w14:paraId="0214B7DF" w14:textId="034E44CC" w:rsidR="00236F07" w:rsidRDefault="00E756D5" w:rsidP="00E756D5">
      <w:pPr>
        <w:spacing w:line="360" w:lineRule="auto"/>
        <w:jc w:val="both"/>
      </w:pPr>
      <w:r>
        <w:t xml:space="preserve">The Cross Rail Project has been successful in many respects, yet it has also been marred by </w:t>
      </w:r>
      <w:proofErr w:type="gramStart"/>
      <w:r>
        <w:t>a number of</w:t>
      </w:r>
      <w:proofErr w:type="gramEnd"/>
      <w:r>
        <w:t xml:space="preserve"> setbacks. Because to unforeseen challenges, the completion date that was originally set for 2017 has been pushed back by one year</w:t>
      </w:r>
      <w:r w:rsidR="009E65F4">
        <w:t xml:space="preserve"> </w:t>
      </w:r>
      <w:r w:rsidR="009E65F4" w:rsidRPr="009E65F4">
        <w:t>(Nam, Huh and Lee, 2012)</w:t>
      </w:r>
      <w:r>
        <w:t xml:space="preserve">. In 2022, a significant number of Cross Rail stations are not yet constructed, and the </w:t>
      </w:r>
      <w:r w:rsidR="009E65F4">
        <w:t>full-service</w:t>
      </w:r>
      <w:r>
        <w:t xml:space="preserve"> rollout has not yet commenced. The costs associated with the Cross Rail Project have skyrocketed from an initial estimate of £12.7 billion to the current total of £21 billion as a direct result of challenges such as high inflation and design complications posed by Cross Rail's contractors. The initial estimate was £12.7 billion</w:t>
      </w:r>
      <w:r w:rsidR="009E65F4">
        <w:t xml:space="preserve"> </w:t>
      </w:r>
      <w:r w:rsidR="009E65F4" w:rsidRPr="009E65F4">
        <w:t>(Huang et al., 2022)</w:t>
      </w:r>
      <w:r>
        <w:t>.</w:t>
      </w:r>
      <w:r w:rsidR="003D3C9A">
        <w:t xml:space="preserve"> </w:t>
      </w:r>
    </w:p>
    <w:p w14:paraId="2D546E22" w14:textId="4019C762" w:rsidR="001A072B" w:rsidRDefault="001A072B" w:rsidP="00B26F16">
      <w:pPr>
        <w:pStyle w:val="Heading1"/>
      </w:pPr>
      <w:bookmarkStart w:id="7" w:name="_Toc119061422"/>
      <w:r>
        <w:t>Project Risk</w:t>
      </w:r>
      <w:r w:rsidR="00B031AB">
        <w:t xml:space="preserve"> and Challenges</w:t>
      </w:r>
      <w:bookmarkEnd w:id="7"/>
    </w:p>
    <w:p w14:paraId="453958A6" w14:textId="147CAEC2" w:rsidR="00240B3D" w:rsidRDefault="00240B3D" w:rsidP="009E65F4">
      <w:pPr>
        <w:pStyle w:val="Heading2"/>
      </w:pPr>
      <w:bookmarkStart w:id="8" w:name="_Toc119061423"/>
      <w:r>
        <w:t>Risk Assessment</w:t>
      </w:r>
      <w:bookmarkEnd w:id="8"/>
    </w:p>
    <w:p w14:paraId="682E50A2" w14:textId="7E9997D4" w:rsidR="00B604C9" w:rsidRDefault="00B604C9" w:rsidP="00B604C9">
      <w:pPr>
        <w:spacing w:line="360" w:lineRule="auto"/>
        <w:jc w:val="both"/>
      </w:pPr>
      <w:r>
        <w:t xml:space="preserve">The London Cross Rail Project (Elizabeth Line) is a large infrastructural endeavour that has the potential to vastly improve the city's transportation system and significantly reduce travel times. There are significant risks that must be foreseen and managed, </w:t>
      </w:r>
      <w:proofErr w:type="gramStart"/>
      <w:r>
        <w:t>despite the fact that</w:t>
      </w:r>
      <w:proofErr w:type="gramEnd"/>
      <w:r>
        <w:t xml:space="preserve"> there will be very major benefits. The project's budget is £17 </w:t>
      </w:r>
      <w:proofErr w:type="gramStart"/>
      <w:r>
        <w:t>billion,</w:t>
      </w:r>
      <w:proofErr w:type="gramEnd"/>
      <w:r>
        <w:t xml:space="preserve"> therefore any cost overruns are extremely alarming</w:t>
      </w:r>
      <w:r w:rsidR="009E65F4">
        <w:t xml:space="preserve"> </w:t>
      </w:r>
      <w:r w:rsidR="009E65F4" w:rsidRPr="009E65F4">
        <w:t>(</w:t>
      </w:r>
      <w:proofErr w:type="spellStart"/>
      <w:r w:rsidR="009E65F4" w:rsidRPr="009E65F4">
        <w:t>Vickerstaff</w:t>
      </w:r>
      <w:proofErr w:type="spellEnd"/>
      <w:r w:rsidR="009E65F4" w:rsidRPr="009E65F4">
        <w:t xml:space="preserve">, Bevan and </w:t>
      </w:r>
      <w:proofErr w:type="spellStart"/>
      <w:r w:rsidR="009E65F4" w:rsidRPr="009E65F4">
        <w:t>Boyacioglu</w:t>
      </w:r>
      <w:proofErr w:type="spellEnd"/>
      <w:r w:rsidR="009E65F4" w:rsidRPr="009E65F4">
        <w:t>, 2019)</w:t>
      </w:r>
      <w:r>
        <w:t>. If any delays occur, the anticipated opening date of December 2019 is also at risk. The sheer size of the project also offers challenges, since 42 kilometres of new tunnels must be constructed beneath central London and nine lines must be connected to forty stops</w:t>
      </w:r>
      <w:r w:rsidR="009E65F4">
        <w:t xml:space="preserve"> </w:t>
      </w:r>
      <w:r w:rsidR="009E65F4" w:rsidRPr="009E65F4">
        <w:t>(</w:t>
      </w:r>
      <w:proofErr w:type="spellStart"/>
      <w:r w:rsidR="009E65F4" w:rsidRPr="009E65F4">
        <w:t>Jaroszweski</w:t>
      </w:r>
      <w:proofErr w:type="spellEnd"/>
      <w:r w:rsidR="009E65F4" w:rsidRPr="009E65F4">
        <w:t xml:space="preserve"> et al., 2014</w:t>
      </w:r>
      <w:proofErr w:type="gramStart"/>
      <w:r w:rsidR="009E65F4" w:rsidRPr="009E65F4">
        <w:t>)</w:t>
      </w:r>
      <w:r w:rsidR="009E65F4">
        <w:t xml:space="preserve"> </w:t>
      </w:r>
      <w:r>
        <w:t>.</w:t>
      </w:r>
      <w:proofErr w:type="gramEnd"/>
    </w:p>
    <w:p w14:paraId="1C12F10E" w14:textId="772AA37A" w:rsidR="00445648" w:rsidRDefault="00B604C9" w:rsidP="00B604C9">
      <w:pPr>
        <w:spacing w:line="360" w:lineRule="auto"/>
        <w:jc w:val="both"/>
      </w:pPr>
      <w:r>
        <w:t>The management of this project heavily relies on risk assessment to identify and resolve problems before they become severe. There are environmental risks, financial risks, and business issues. Using cost models, savings opportunities are identified and estimated. In addition, an effective risk management strategy is adopted to anticipate potential issues and devise solutions for promptly resolving them</w:t>
      </w:r>
      <w:r w:rsidR="009E65F4">
        <w:t xml:space="preserve"> </w:t>
      </w:r>
      <w:r w:rsidR="009E65F4" w:rsidRPr="009E65F4">
        <w:t>(Yang et al., 2020)</w:t>
      </w:r>
      <w:r>
        <w:t xml:space="preserve">. This entails labelling all relevant stakeholders, defining a strategy for communicating with them, and distributing duties inside the organisation to the proper </w:t>
      </w:r>
      <w:r>
        <w:lastRenderedPageBreak/>
        <w:t>individuals. If the London Cross Rail Project (Elizabeth Line) is to realise its objective of revolutionising transportation in the capital city, a thorough risk assessment will be required. Budget, timetable, and scope are crucial aspects to consider while establishing the project's viability and monitoring its progress</w:t>
      </w:r>
      <w:r w:rsidR="009E65F4">
        <w:t xml:space="preserve"> </w:t>
      </w:r>
      <w:r w:rsidR="009E65F4" w:rsidRPr="009E65F4">
        <w:t xml:space="preserve">(Yin, </w:t>
      </w:r>
      <w:proofErr w:type="spellStart"/>
      <w:r w:rsidR="009E65F4" w:rsidRPr="009E65F4">
        <w:t>Passano</w:t>
      </w:r>
      <w:proofErr w:type="spellEnd"/>
      <w:r w:rsidR="009E65F4" w:rsidRPr="009E65F4">
        <w:t xml:space="preserve"> and Larsen, 2017)</w:t>
      </w:r>
      <w:r>
        <w:t>. A well-thought-out plan for risk management can mitigate these dangers and keep the project on track through diligent management. Consequently, the Cross Rail Project (Elizabeth Line) in London presents its own unique set of dangers that must be controlled. The hazards associated with a project include, but are not limited to, financial and time overruns, as well as the project's sheer scale and complexity</w:t>
      </w:r>
      <w:r w:rsidR="009E65F4">
        <w:t xml:space="preserve"> </w:t>
      </w:r>
      <w:r w:rsidR="009E65F4" w:rsidRPr="009E65F4">
        <w:t xml:space="preserve">(Wei, </w:t>
      </w:r>
      <w:proofErr w:type="gramStart"/>
      <w:r w:rsidR="009E65F4" w:rsidRPr="009E65F4">
        <w:t>Wei</w:t>
      </w:r>
      <w:proofErr w:type="gramEnd"/>
      <w:r w:rsidR="009E65F4" w:rsidRPr="009E65F4">
        <w:t xml:space="preserve"> and Jia, 2022)</w:t>
      </w:r>
      <w:r>
        <w:t>. A comprehensive strategy to identifying stakeholders and assigning responsibility will go a long way toward ensuring that risks are detected promptly and managed effectively, and cost modelling and communication plans will assist identify areas where budget savings can be realised. The project's future is contingent on the project's leaders' ability to anticipate and prepare for potential threats. If this occurs, it might radically alter how people move around the UK capital</w:t>
      </w:r>
      <w:r w:rsidR="009E65F4">
        <w:t xml:space="preserve"> </w:t>
      </w:r>
      <w:r w:rsidR="009E65F4" w:rsidRPr="009E65F4">
        <w:t>(</w:t>
      </w:r>
      <w:proofErr w:type="spellStart"/>
      <w:r w:rsidR="009E65F4" w:rsidRPr="009E65F4">
        <w:t>Vickerstaff</w:t>
      </w:r>
      <w:proofErr w:type="spellEnd"/>
      <w:r w:rsidR="009E65F4" w:rsidRPr="009E65F4">
        <w:t xml:space="preserve">, Bevan and </w:t>
      </w:r>
      <w:proofErr w:type="spellStart"/>
      <w:r w:rsidR="009E65F4" w:rsidRPr="009E65F4">
        <w:t>Boyacioglu</w:t>
      </w:r>
      <w:proofErr w:type="spellEnd"/>
      <w:r w:rsidR="009E65F4" w:rsidRPr="009E65F4">
        <w:t>, 2019)</w:t>
      </w:r>
      <w:r>
        <w:t>.</w:t>
      </w:r>
    </w:p>
    <w:p w14:paraId="1DB659F0" w14:textId="4B25DD25" w:rsidR="00445648" w:rsidRDefault="00445648" w:rsidP="00445648">
      <w:pPr>
        <w:spacing w:line="360" w:lineRule="auto"/>
        <w:jc w:val="both"/>
      </w:pPr>
      <w:r w:rsidRPr="00AA3752">
        <w:rPr>
          <w:b/>
          <w:bCs/>
        </w:rPr>
        <w:t>Timetable</w:t>
      </w:r>
      <w:r>
        <w:t xml:space="preserve">: </w:t>
      </w:r>
      <w:r w:rsidR="00FC4A3B" w:rsidRPr="00FC4A3B">
        <w:t xml:space="preserve">The assessment of the influence that danger has on the passage of time lays the groundwork for improving other types of impact. When a project is delayed, it often results in higher expenses and fewer features being implemented. After the stations are complete, the construction of the culvert can begin. The completion of the entire </w:t>
      </w:r>
      <w:r w:rsidR="00FC4A3B">
        <w:t>cross-rail</w:t>
      </w:r>
      <w:r w:rsidR="00FC4A3B" w:rsidRPr="00FC4A3B">
        <w:t xml:space="preserve"> project will be delayed </w:t>
      </w:r>
      <w:proofErr w:type="gramStart"/>
      <w:r w:rsidR="00FC4A3B" w:rsidRPr="00FC4A3B">
        <w:t>as a result of</w:t>
      </w:r>
      <w:proofErr w:type="gramEnd"/>
      <w:r w:rsidR="00FC4A3B" w:rsidRPr="00FC4A3B">
        <w:t xml:space="preserve"> the delay in </w:t>
      </w:r>
      <w:r w:rsidR="00FC4A3B">
        <w:t xml:space="preserve">the </w:t>
      </w:r>
      <w:r w:rsidR="00FC4A3B" w:rsidRPr="00FC4A3B">
        <w:t>construction of the final three stations</w:t>
      </w:r>
      <w:r w:rsidR="009E65F4">
        <w:t xml:space="preserve"> </w:t>
      </w:r>
      <w:r w:rsidR="009E65F4" w:rsidRPr="009E65F4">
        <w:t>(Nam, Huh and Lee, 2012)</w:t>
      </w:r>
      <w:r w:rsidR="00FC4A3B" w:rsidRPr="00FC4A3B">
        <w:t>.</w:t>
      </w:r>
    </w:p>
    <w:p w14:paraId="4270C611" w14:textId="77777777" w:rsidR="003134ED" w:rsidRDefault="003134ED" w:rsidP="00445648">
      <w:pPr>
        <w:spacing w:line="360" w:lineRule="auto"/>
        <w:jc w:val="both"/>
        <w:rPr>
          <w:b/>
          <w:bCs/>
        </w:rPr>
      </w:pPr>
    </w:p>
    <w:p w14:paraId="0F2710D3" w14:textId="17F58EB7" w:rsidR="00E6045B" w:rsidRDefault="00445648" w:rsidP="00445648">
      <w:pPr>
        <w:spacing w:line="360" w:lineRule="auto"/>
        <w:jc w:val="both"/>
      </w:pPr>
      <w:r w:rsidRPr="00AA3752">
        <w:rPr>
          <w:b/>
          <w:bCs/>
        </w:rPr>
        <w:t>Quality</w:t>
      </w:r>
      <w:r>
        <w:t xml:space="preserve">: </w:t>
      </w:r>
      <w:r w:rsidR="00FC4A3B" w:rsidRPr="00FC4A3B">
        <w:t xml:space="preserve">Improvements to the project's declining quality need the support of the project's owner or contributor to prevent disappointing those involved in the endeavour. The danger registry ought to also contain this </w:t>
      </w:r>
      <w:proofErr w:type="gramStart"/>
      <w:r w:rsidR="00FC4A3B" w:rsidRPr="00FC4A3B">
        <w:t>particular piece</w:t>
      </w:r>
      <w:proofErr w:type="gramEnd"/>
      <w:r w:rsidR="00FC4A3B" w:rsidRPr="00FC4A3B">
        <w:t xml:space="preserve"> of information</w:t>
      </w:r>
      <w:r w:rsidR="009E65F4">
        <w:t xml:space="preserve"> </w:t>
      </w:r>
      <w:r w:rsidR="009E65F4" w:rsidRPr="009E65F4">
        <w:t>(Yang et al., 2020)</w:t>
      </w:r>
      <w:r w:rsidR="00FC4A3B" w:rsidRPr="00FC4A3B">
        <w:t>. During the first stages of project planning, a comprehensive risk assessment was performed. This letter is accompanied by a table that provides an assessment of the potential dangers listed below</w:t>
      </w:r>
      <w:r w:rsidR="00417A19">
        <w:t xml:space="preserve">. </w:t>
      </w:r>
    </w:p>
    <w:p w14:paraId="7F731BA3" w14:textId="7DF82E54" w:rsidR="009E65F4" w:rsidRDefault="009E65F4" w:rsidP="00445648">
      <w:pPr>
        <w:spacing w:line="360" w:lineRule="auto"/>
        <w:jc w:val="both"/>
      </w:pPr>
    </w:p>
    <w:p w14:paraId="35163EEF" w14:textId="31791863" w:rsidR="009E65F4" w:rsidRDefault="009E65F4" w:rsidP="00445648">
      <w:pPr>
        <w:spacing w:line="360" w:lineRule="auto"/>
        <w:jc w:val="both"/>
      </w:pPr>
    </w:p>
    <w:p w14:paraId="0DA96556" w14:textId="77777777" w:rsidR="009E65F4" w:rsidRDefault="009E65F4" w:rsidP="00445648">
      <w:pPr>
        <w:spacing w:line="360" w:lineRule="auto"/>
        <w:jc w:val="both"/>
      </w:pPr>
    </w:p>
    <w:tbl>
      <w:tblPr>
        <w:tblW w:w="9760" w:type="dxa"/>
        <w:tblInd w:w="113" w:type="dxa"/>
        <w:tblLook w:val="04A0" w:firstRow="1" w:lastRow="0" w:firstColumn="1" w:lastColumn="0" w:noHBand="0" w:noVBand="1"/>
      </w:tblPr>
      <w:tblGrid>
        <w:gridCol w:w="960"/>
        <w:gridCol w:w="4340"/>
        <w:gridCol w:w="2680"/>
        <w:gridCol w:w="1780"/>
      </w:tblGrid>
      <w:tr w:rsidR="00E6045B" w:rsidRPr="00E6045B" w14:paraId="4E9610AD" w14:textId="77777777" w:rsidTr="00E6045B">
        <w:trPr>
          <w:trHeight w:val="288"/>
        </w:trPr>
        <w:tc>
          <w:tcPr>
            <w:tcW w:w="960" w:type="dxa"/>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1962FD1E" w14:textId="77777777" w:rsidR="00E6045B" w:rsidRPr="00E6045B" w:rsidRDefault="00E6045B" w:rsidP="00E6045B">
            <w:pPr>
              <w:spacing w:after="0" w:line="240" w:lineRule="auto"/>
              <w:jc w:val="center"/>
              <w:rPr>
                <w:rFonts w:ascii="Calibri" w:eastAsia="Times New Roman" w:hAnsi="Calibri" w:cs="Calibri"/>
                <w:b/>
                <w:bCs/>
                <w:color w:val="000000"/>
                <w:lang w:val="en-US" w:eastAsia="en-US"/>
              </w:rPr>
            </w:pPr>
            <w:r w:rsidRPr="00E6045B">
              <w:rPr>
                <w:rFonts w:ascii="Calibri" w:eastAsia="Times New Roman" w:hAnsi="Calibri" w:cs="Calibri"/>
                <w:b/>
                <w:bCs/>
                <w:color w:val="000000"/>
                <w:sz w:val="22"/>
                <w:lang w:val="en-US" w:eastAsia="en-US"/>
              </w:rPr>
              <w:lastRenderedPageBreak/>
              <w:t>Rank</w:t>
            </w:r>
          </w:p>
        </w:tc>
        <w:tc>
          <w:tcPr>
            <w:tcW w:w="4340" w:type="dxa"/>
            <w:tcBorders>
              <w:top w:val="single" w:sz="4" w:space="0" w:color="auto"/>
              <w:left w:val="nil"/>
              <w:bottom w:val="single" w:sz="4" w:space="0" w:color="auto"/>
              <w:right w:val="single" w:sz="4" w:space="0" w:color="auto"/>
            </w:tcBorders>
            <w:shd w:val="clear" w:color="000000" w:fill="B4C6E7"/>
            <w:noWrap/>
            <w:vAlign w:val="bottom"/>
            <w:hideMark/>
          </w:tcPr>
          <w:p w14:paraId="05952BB6" w14:textId="77777777" w:rsidR="00E6045B" w:rsidRPr="00E6045B" w:rsidRDefault="00E6045B" w:rsidP="00E6045B">
            <w:pPr>
              <w:spacing w:after="0" w:line="240" w:lineRule="auto"/>
              <w:jc w:val="center"/>
              <w:rPr>
                <w:rFonts w:ascii="Calibri" w:eastAsia="Times New Roman" w:hAnsi="Calibri" w:cs="Calibri"/>
                <w:b/>
                <w:bCs/>
                <w:color w:val="000000"/>
                <w:lang w:val="en-US" w:eastAsia="en-US"/>
              </w:rPr>
            </w:pPr>
            <w:r w:rsidRPr="00E6045B">
              <w:rPr>
                <w:rFonts w:ascii="Calibri" w:eastAsia="Times New Roman" w:hAnsi="Calibri" w:cs="Calibri"/>
                <w:b/>
                <w:bCs/>
                <w:color w:val="000000"/>
                <w:sz w:val="22"/>
                <w:lang w:val="en-US" w:eastAsia="en-US"/>
              </w:rPr>
              <w:t>Risk</w:t>
            </w:r>
          </w:p>
        </w:tc>
        <w:tc>
          <w:tcPr>
            <w:tcW w:w="2680" w:type="dxa"/>
            <w:tcBorders>
              <w:top w:val="single" w:sz="4" w:space="0" w:color="auto"/>
              <w:left w:val="nil"/>
              <w:bottom w:val="single" w:sz="4" w:space="0" w:color="auto"/>
              <w:right w:val="single" w:sz="4" w:space="0" w:color="auto"/>
            </w:tcBorders>
            <w:shd w:val="clear" w:color="000000" w:fill="B4C6E7"/>
            <w:noWrap/>
            <w:vAlign w:val="bottom"/>
            <w:hideMark/>
          </w:tcPr>
          <w:p w14:paraId="46BAA75B" w14:textId="77777777" w:rsidR="00E6045B" w:rsidRPr="00E6045B" w:rsidRDefault="00E6045B" w:rsidP="00E6045B">
            <w:pPr>
              <w:spacing w:after="0" w:line="240" w:lineRule="auto"/>
              <w:jc w:val="center"/>
              <w:rPr>
                <w:rFonts w:ascii="Calibri" w:eastAsia="Times New Roman" w:hAnsi="Calibri" w:cs="Calibri"/>
                <w:b/>
                <w:bCs/>
                <w:color w:val="000000"/>
                <w:lang w:val="en-US" w:eastAsia="en-US"/>
              </w:rPr>
            </w:pPr>
            <w:r w:rsidRPr="00E6045B">
              <w:rPr>
                <w:rFonts w:ascii="Calibri" w:eastAsia="Times New Roman" w:hAnsi="Calibri" w:cs="Calibri"/>
                <w:b/>
                <w:bCs/>
                <w:color w:val="000000"/>
                <w:sz w:val="22"/>
                <w:lang w:val="en-US" w:eastAsia="en-US"/>
              </w:rPr>
              <w:t>Variables</w:t>
            </w:r>
          </w:p>
        </w:tc>
        <w:tc>
          <w:tcPr>
            <w:tcW w:w="1780" w:type="dxa"/>
            <w:tcBorders>
              <w:top w:val="single" w:sz="4" w:space="0" w:color="auto"/>
              <w:left w:val="nil"/>
              <w:bottom w:val="single" w:sz="4" w:space="0" w:color="auto"/>
              <w:right w:val="single" w:sz="4" w:space="0" w:color="auto"/>
            </w:tcBorders>
            <w:shd w:val="clear" w:color="000000" w:fill="B4C6E7"/>
            <w:noWrap/>
            <w:vAlign w:val="bottom"/>
            <w:hideMark/>
          </w:tcPr>
          <w:p w14:paraId="01B3176B" w14:textId="77777777" w:rsidR="00E6045B" w:rsidRPr="00E6045B" w:rsidRDefault="00E6045B" w:rsidP="00E6045B">
            <w:pPr>
              <w:spacing w:after="0" w:line="240" w:lineRule="auto"/>
              <w:jc w:val="center"/>
              <w:rPr>
                <w:rFonts w:ascii="Calibri" w:eastAsia="Times New Roman" w:hAnsi="Calibri" w:cs="Calibri"/>
                <w:b/>
                <w:bCs/>
                <w:color w:val="000000"/>
                <w:lang w:val="en-US" w:eastAsia="en-US"/>
              </w:rPr>
            </w:pPr>
            <w:r w:rsidRPr="00E6045B">
              <w:rPr>
                <w:rFonts w:ascii="Calibri" w:eastAsia="Times New Roman" w:hAnsi="Calibri" w:cs="Calibri"/>
                <w:b/>
                <w:bCs/>
                <w:color w:val="000000"/>
                <w:sz w:val="22"/>
                <w:lang w:val="en-US" w:eastAsia="en-US"/>
              </w:rPr>
              <w:t>Index</w:t>
            </w:r>
          </w:p>
        </w:tc>
      </w:tr>
      <w:tr w:rsidR="00E6045B" w:rsidRPr="00E6045B" w14:paraId="063043DF"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6E0AAE84"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1</w:t>
            </w:r>
          </w:p>
        </w:tc>
        <w:tc>
          <w:tcPr>
            <w:tcW w:w="4340" w:type="dxa"/>
            <w:tcBorders>
              <w:top w:val="nil"/>
              <w:left w:val="nil"/>
              <w:bottom w:val="single" w:sz="4" w:space="0" w:color="auto"/>
              <w:right w:val="single" w:sz="4" w:space="0" w:color="auto"/>
            </w:tcBorders>
            <w:shd w:val="clear" w:color="000000" w:fill="F2F2F2"/>
            <w:noWrap/>
            <w:vAlign w:val="bottom"/>
            <w:hideMark/>
          </w:tcPr>
          <w:p w14:paraId="2AD5DD7D"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Cost over capital</w:t>
            </w:r>
          </w:p>
        </w:tc>
        <w:tc>
          <w:tcPr>
            <w:tcW w:w="2680" w:type="dxa"/>
            <w:tcBorders>
              <w:top w:val="nil"/>
              <w:left w:val="nil"/>
              <w:bottom w:val="single" w:sz="4" w:space="0" w:color="auto"/>
              <w:right w:val="single" w:sz="4" w:space="0" w:color="auto"/>
            </w:tcBorders>
            <w:shd w:val="clear" w:color="000000" w:fill="F2F2F2"/>
            <w:noWrap/>
            <w:vAlign w:val="bottom"/>
            <w:hideMark/>
          </w:tcPr>
          <w:p w14:paraId="699ECEA9"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Financial Risk</w:t>
            </w:r>
          </w:p>
        </w:tc>
        <w:tc>
          <w:tcPr>
            <w:tcW w:w="1780" w:type="dxa"/>
            <w:tcBorders>
              <w:top w:val="nil"/>
              <w:left w:val="nil"/>
              <w:bottom w:val="single" w:sz="4" w:space="0" w:color="auto"/>
              <w:right w:val="single" w:sz="4" w:space="0" w:color="auto"/>
            </w:tcBorders>
            <w:shd w:val="clear" w:color="000000" w:fill="F2F2F2"/>
            <w:noWrap/>
            <w:vAlign w:val="bottom"/>
            <w:hideMark/>
          </w:tcPr>
          <w:p w14:paraId="0C6B29D3"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66.35%</w:t>
            </w:r>
          </w:p>
        </w:tc>
      </w:tr>
      <w:tr w:rsidR="00E6045B" w:rsidRPr="00E6045B" w14:paraId="6DD1A8A6"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04A868AE"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2</w:t>
            </w:r>
          </w:p>
        </w:tc>
        <w:tc>
          <w:tcPr>
            <w:tcW w:w="4340" w:type="dxa"/>
            <w:tcBorders>
              <w:top w:val="nil"/>
              <w:left w:val="nil"/>
              <w:bottom w:val="single" w:sz="4" w:space="0" w:color="auto"/>
              <w:right w:val="single" w:sz="4" w:space="0" w:color="auto"/>
            </w:tcBorders>
            <w:shd w:val="clear" w:color="000000" w:fill="F2F2F2"/>
            <w:noWrap/>
            <w:vAlign w:val="bottom"/>
            <w:hideMark/>
          </w:tcPr>
          <w:p w14:paraId="4BC48432"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 xml:space="preserve">Economic </w:t>
            </w:r>
            <w:proofErr w:type="spellStart"/>
            <w:r w:rsidRPr="00E6045B">
              <w:rPr>
                <w:rFonts w:ascii="Calibri" w:eastAsia="Times New Roman" w:hAnsi="Calibri" w:cs="Calibri"/>
                <w:color w:val="000000"/>
                <w:sz w:val="22"/>
                <w:lang w:val="en-US" w:eastAsia="en-US"/>
              </w:rPr>
              <w:t>desester</w:t>
            </w:r>
            <w:proofErr w:type="spellEnd"/>
          </w:p>
        </w:tc>
        <w:tc>
          <w:tcPr>
            <w:tcW w:w="2680" w:type="dxa"/>
            <w:tcBorders>
              <w:top w:val="nil"/>
              <w:left w:val="nil"/>
              <w:bottom w:val="single" w:sz="4" w:space="0" w:color="auto"/>
              <w:right w:val="single" w:sz="4" w:space="0" w:color="auto"/>
            </w:tcBorders>
            <w:shd w:val="clear" w:color="000000" w:fill="F2F2F2"/>
            <w:noWrap/>
            <w:vAlign w:val="bottom"/>
            <w:hideMark/>
          </w:tcPr>
          <w:p w14:paraId="4D1059B7"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Financial Risk</w:t>
            </w:r>
          </w:p>
        </w:tc>
        <w:tc>
          <w:tcPr>
            <w:tcW w:w="1780" w:type="dxa"/>
            <w:tcBorders>
              <w:top w:val="nil"/>
              <w:left w:val="nil"/>
              <w:bottom w:val="single" w:sz="4" w:space="0" w:color="auto"/>
              <w:right w:val="single" w:sz="4" w:space="0" w:color="auto"/>
            </w:tcBorders>
            <w:shd w:val="clear" w:color="000000" w:fill="F2F2F2"/>
            <w:noWrap/>
            <w:vAlign w:val="bottom"/>
            <w:hideMark/>
          </w:tcPr>
          <w:p w14:paraId="074E9C5F"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29.15%</w:t>
            </w:r>
          </w:p>
        </w:tc>
      </w:tr>
      <w:tr w:rsidR="00E6045B" w:rsidRPr="00E6045B" w14:paraId="08C1655D"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1F3FD4BA"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3</w:t>
            </w:r>
          </w:p>
        </w:tc>
        <w:tc>
          <w:tcPr>
            <w:tcW w:w="4340" w:type="dxa"/>
            <w:tcBorders>
              <w:top w:val="nil"/>
              <w:left w:val="nil"/>
              <w:bottom w:val="single" w:sz="4" w:space="0" w:color="auto"/>
              <w:right w:val="single" w:sz="4" w:space="0" w:color="auto"/>
            </w:tcBorders>
            <w:shd w:val="clear" w:color="000000" w:fill="F2F2F2"/>
            <w:noWrap/>
            <w:vAlign w:val="bottom"/>
            <w:hideMark/>
          </w:tcPr>
          <w:p w14:paraId="6ED0B71D"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Distinguish allocation of finds</w:t>
            </w:r>
          </w:p>
        </w:tc>
        <w:tc>
          <w:tcPr>
            <w:tcW w:w="2680" w:type="dxa"/>
            <w:tcBorders>
              <w:top w:val="nil"/>
              <w:left w:val="nil"/>
              <w:bottom w:val="single" w:sz="4" w:space="0" w:color="auto"/>
              <w:right w:val="single" w:sz="4" w:space="0" w:color="auto"/>
            </w:tcBorders>
            <w:shd w:val="clear" w:color="000000" w:fill="F2F2F2"/>
            <w:noWrap/>
            <w:vAlign w:val="bottom"/>
            <w:hideMark/>
          </w:tcPr>
          <w:p w14:paraId="580DC1AE"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Economic Risk</w:t>
            </w:r>
          </w:p>
        </w:tc>
        <w:tc>
          <w:tcPr>
            <w:tcW w:w="1780" w:type="dxa"/>
            <w:tcBorders>
              <w:top w:val="nil"/>
              <w:left w:val="nil"/>
              <w:bottom w:val="single" w:sz="4" w:space="0" w:color="auto"/>
              <w:right w:val="single" w:sz="4" w:space="0" w:color="auto"/>
            </w:tcBorders>
            <w:shd w:val="clear" w:color="000000" w:fill="F2F2F2"/>
            <w:noWrap/>
            <w:vAlign w:val="bottom"/>
            <w:hideMark/>
          </w:tcPr>
          <w:p w14:paraId="22CC0AA7"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43.22%</w:t>
            </w:r>
          </w:p>
        </w:tc>
      </w:tr>
      <w:tr w:rsidR="00E6045B" w:rsidRPr="00E6045B" w14:paraId="4754749F"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7E5A5934"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4</w:t>
            </w:r>
          </w:p>
        </w:tc>
        <w:tc>
          <w:tcPr>
            <w:tcW w:w="4340" w:type="dxa"/>
            <w:tcBorders>
              <w:top w:val="nil"/>
              <w:left w:val="nil"/>
              <w:bottom w:val="single" w:sz="4" w:space="0" w:color="auto"/>
              <w:right w:val="single" w:sz="4" w:space="0" w:color="auto"/>
            </w:tcBorders>
            <w:shd w:val="clear" w:color="000000" w:fill="F2F2F2"/>
            <w:noWrap/>
            <w:vAlign w:val="bottom"/>
            <w:hideMark/>
          </w:tcPr>
          <w:p w14:paraId="6B1D1779"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Lack of funds</w:t>
            </w:r>
          </w:p>
        </w:tc>
        <w:tc>
          <w:tcPr>
            <w:tcW w:w="2680" w:type="dxa"/>
            <w:tcBorders>
              <w:top w:val="nil"/>
              <w:left w:val="nil"/>
              <w:bottom w:val="single" w:sz="4" w:space="0" w:color="auto"/>
              <w:right w:val="single" w:sz="4" w:space="0" w:color="auto"/>
            </w:tcBorders>
            <w:shd w:val="clear" w:color="000000" w:fill="F2F2F2"/>
            <w:noWrap/>
            <w:vAlign w:val="bottom"/>
            <w:hideMark/>
          </w:tcPr>
          <w:p w14:paraId="561A7943"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Economic Risk</w:t>
            </w:r>
          </w:p>
        </w:tc>
        <w:tc>
          <w:tcPr>
            <w:tcW w:w="1780" w:type="dxa"/>
            <w:tcBorders>
              <w:top w:val="nil"/>
              <w:left w:val="nil"/>
              <w:bottom w:val="single" w:sz="4" w:space="0" w:color="auto"/>
              <w:right w:val="single" w:sz="4" w:space="0" w:color="auto"/>
            </w:tcBorders>
            <w:shd w:val="clear" w:color="000000" w:fill="F2F2F2"/>
            <w:noWrap/>
            <w:vAlign w:val="bottom"/>
            <w:hideMark/>
          </w:tcPr>
          <w:p w14:paraId="50AAE65E"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17.24%</w:t>
            </w:r>
          </w:p>
        </w:tc>
      </w:tr>
      <w:tr w:rsidR="00E6045B" w:rsidRPr="00E6045B" w14:paraId="7821B8EB"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0E0AD4C0"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5</w:t>
            </w:r>
          </w:p>
        </w:tc>
        <w:tc>
          <w:tcPr>
            <w:tcW w:w="4340" w:type="dxa"/>
            <w:tcBorders>
              <w:top w:val="nil"/>
              <w:left w:val="nil"/>
              <w:bottom w:val="single" w:sz="4" w:space="0" w:color="auto"/>
              <w:right w:val="single" w:sz="4" w:space="0" w:color="auto"/>
            </w:tcBorders>
            <w:shd w:val="clear" w:color="000000" w:fill="F2F2F2"/>
            <w:noWrap/>
            <w:vAlign w:val="bottom"/>
            <w:hideMark/>
          </w:tcPr>
          <w:p w14:paraId="50908D2F"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Insufficient sponsors</w:t>
            </w:r>
          </w:p>
        </w:tc>
        <w:tc>
          <w:tcPr>
            <w:tcW w:w="2680" w:type="dxa"/>
            <w:tcBorders>
              <w:top w:val="nil"/>
              <w:left w:val="nil"/>
              <w:bottom w:val="single" w:sz="4" w:space="0" w:color="auto"/>
              <w:right w:val="single" w:sz="4" w:space="0" w:color="auto"/>
            </w:tcBorders>
            <w:shd w:val="clear" w:color="000000" w:fill="F2F2F2"/>
            <w:noWrap/>
            <w:vAlign w:val="bottom"/>
            <w:hideMark/>
          </w:tcPr>
          <w:p w14:paraId="54853032"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Financial Risk</w:t>
            </w:r>
          </w:p>
        </w:tc>
        <w:tc>
          <w:tcPr>
            <w:tcW w:w="1780" w:type="dxa"/>
            <w:tcBorders>
              <w:top w:val="nil"/>
              <w:left w:val="nil"/>
              <w:bottom w:val="single" w:sz="4" w:space="0" w:color="auto"/>
              <w:right w:val="single" w:sz="4" w:space="0" w:color="auto"/>
            </w:tcBorders>
            <w:shd w:val="clear" w:color="000000" w:fill="F2F2F2"/>
            <w:noWrap/>
            <w:vAlign w:val="bottom"/>
            <w:hideMark/>
          </w:tcPr>
          <w:p w14:paraId="1496CC21"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31.83%</w:t>
            </w:r>
          </w:p>
        </w:tc>
      </w:tr>
      <w:tr w:rsidR="00E6045B" w:rsidRPr="00E6045B" w14:paraId="5707A8D6"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40C012A5"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6</w:t>
            </w:r>
          </w:p>
        </w:tc>
        <w:tc>
          <w:tcPr>
            <w:tcW w:w="4340" w:type="dxa"/>
            <w:tcBorders>
              <w:top w:val="nil"/>
              <w:left w:val="nil"/>
              <w:bottom w:val="single" w:sz="4" w:space="0" w:color="auto"/>
              <w:right w:val="single" w:sz="4" w:space="0" w:color="auto"/>
            </w:tcBorders>
            <w:shd w:val="clear" w:color="000000" w:fill="F2F2F2"/>
            <w:noWrap/>
            <w:vAlign w:val="bottom"/>
            <w:hideMark/>
          </w:tcPr>
          <w:p w14:paraId="239826C6"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Delay due to construction issues</w:t>
            </w:r>
          </w:p>
        </w:tc>
        <w:tc>
          <w:tcPr>
            <w:tcW w:w="2680" w:type="dxa"/>
            <w:tcBorders>
              <w:top w:val="nil"/>
              <w:left w:val="nil"/>
              <w:bottom w:val="single" w:sz="4" w:space="0" w:color="auto"/>
              <w:right w:val="single" w:sz="4" w:space="0" w:color="auto"/>
            </w:tcBorders>
            <w:shd w:val="clear" w:color="000000" w:fill="F2F2F2"/>
            <w:noWrap/>
            <w:vAlign w:val="bottom"/>
            <w:hideMark/>
          </w:tcPr>
          <w:p w14:paraId="1F1443D0"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Legal Risk</w:t>
            </w:r>
          </w:p>
        </w:tc>
        <w:tc>
          <w:tcPr>
            <w:tcW w:w="1780" w:type="dxa"/>
            <w:tcBorders>
              <w:top w:val="nil"/>
              <w:left w:val="nil"/>
              <w:bottom w:val="single" w:sz="4" w:space="0" w:color="auto"/>
              <w:right w:val="single" w:sz="4" w:space="0" w:color="auto"/>
            </w:tcBorders>
            <w:shd w:val="clear" w:color="000000" w:fill="F2F2F2"/>
            <w:noWrap/>
            <w:vAlign w:val="bottom"/>
            <w:hideMark/>
          </w:tcPr>
          <w:p w14:paraId="677A39C8"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61.26%</w:t>
            </w:r>
          </w:p>
        </w:tc>
      </w:tr>
      <w:tr w:rsidR="00E6045B" w:rsidRPr="00E6045B" w14:paraId="27ECD6D1"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5BE50B42"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7</w:t>
            </w:r>
          </w:p>
        </w:tc>
        <w:tc>
          <w:tcPr>
            <w:tcW w:w="4340" w:type="dxa"/>
            <w:tcBorders>
              <w:top w:val="nil"/>
              <w:left w:val="nil"/>
              <w:bottom w:val="single" w:sz="4" w:space="0" w:color="auto"/>
              <w:right w:val="single" w:sz="4" w:space="0" w:color="auto"/>
            </w:tcBorders>
            <w:shd w:val="clear" w:color="000000" w:fill="F2F2F2"/>
            <w:noWrap/>
            <w:vAlign w:val="bottom"/>
            <w:hideMark/>
          </w:tcPr>
          <w:p w14:paraId="7CEDC3EE"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Delay due to dispute issues</w:t>
            </w:r>
          </w:p>
        </w:tc>
        <w:tc>
          <w:tcPr>
            <w:tcW w:w="2680" w:type="dxa"/>
            <w:tcBorders>
              <w:top w:val="nil"/>
              <w:left w:val="nil"/>
              <w:bottom w:val="single" w:sz="4" w:space="0" w:color="auto"/>
              <w:right w:val="single" w:sz="4" w:space="0" w:color="auto"/>
            </w:tcBorders>
            <w:shd w:val="clear" w:color="000000" w:fill="F2F2F2"/>
            <w:noWrap/>
            <w:vAlign w:val="bottom"/>
            <w:hideMark/>
          </w:tcPr>
          <w:p w14:paraId="48828350"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Legal Risk</w:t>
            </w:r>
          </w:p>
        </w:tc>
        <w:tc>
          <w:tcPr>
            <w:tcW w:w="1780" w:type="dxa"/>
            <w:tcBorders>
              <w:top w:val="nil"/>
              <w:left w:val="nil"/>
              <w:bottom w:val="single" w:sz="4" w:space="0" w:color="auto"/>
              <w:right w:val="single" w:sz="4" w:space="0" w:color="auto"/>
            </w:tcBorders>
            <w:shd w:val="clear" w:color="000000" w:fill="F2F2F2"/>
            <w:noWrap/>
            <w:vAlign w:val="bottom"/>
            <w:hideMark/>
          </w:tcPr>
          <w:p w14:paraId="51F465A9"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42.74%</w:t>
            </w:r>
          </w:p>
        </w:tc>
      </w:tr>
      <w:tr w:rsidR="00E6045B" w:rsidRPr="00E6045B" w14:paraId="1015E2D1"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43F9E246"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8</w:t>
            </w:r>
          </w:p>
        </w:tc>
        <w:tc>
          <w:tcPr>
            <w:tcW w:w="4340" w:type="dxa"/>
            <w:tcBorders>
              <w:top w:val="nil"/>
              <w:left w:val="nil"/>
              <w:bottom w:val="single" w:sz="4" w:space="0" w:color="auto"/>
              <w:right w:val="single" w:sz="4" w:space="0" w:color="auto"/>
            </w:tcBorders>
            <w:shd w:val="clear" w:color="000000" w:fill="F2F2F2"/>
            <w:noWrap/>
            <w:vAlign w:val="bottom"/>
            <w:hideMark/>
          </w:tcPr>
          <w:p w14:paraId="646A62CE"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 xml:space="preserve">Delay due to conflicts </w:t>
            </w:r>
            <w:proofErr w:type="spellStart"/>
            <w:r w:rsidRPr="00E6045B">
              <w:rPr>
                <w:rFonts w:ascii="Calibri" w:eastAsia="Times New Roman" w:hAnsi="Calibri" w:cs="Calibri"/>
                <w:color w:val="000000"/>
                <w:sz w:val="22"/>
                <w:lang w:val="en-US" w:eastAsia="en-US"/>
              </w:rPr>
              <w:t>agaings</w:t>
            </w:r>
            <w:proofErr w:type="spellEnd"/>
            <w:r w:rsidRPr="00E6045B">
              <w:rPr>
                <w:rFonts w:ascii="Calibri" w:eastAsia="Times New Roman" w:hAnsi="Calibri" w:cs="Calibri"/>
                <w:color w:val="000000"/>
                <w:sz w:val="22"/>
                <w:lang w:val="en-US" w:eastAsia="en-US"/>
              </w:rPr>
              <w:t xml:space="preserve"> </w:t>
            </w:r>
            <w:proofErr w:type="spellStart"/>
            <w:r w:rsidRPr="00E6045B">
              <w:rPr>
                <w:rFonts w:ascii="Calibri" w:eastAsia="Times New Roman" w:hAnsi="Calibri" w:cs="Calibri"/>
                <w:color w:val="000000"/>
                <w:sz w:val="22"/>
                <w:lang w:val="en-US" w:eastAsia="en-US"/>
              </w:rPr>
              <w:t>wrokers</w:t>
            </w:r>
            <w:proofErr w:type="spellEnd"/>
          </w:p>
        </w:tc>
        <w:tc>
          <w:tcPr>
            <w:tcW w:w="2680" w:type="dxa"/>
            <w:tcBorders>
              <w:top w:val="nil"/>
              <w:left w:val="nil"/>
              <w:bottom w:val="single" w:sz="4" w:space="0" w:color="auto"/>
              <w:right w:val="single" w:sz="4" w:space="0" w:color="auto"/>
            </w:tcBorders>
            <w:shd w:val="clear" w:color="000000" w:fill="F2F2F2"/>
            <w:noWrap/>
            <w:vAlign w:val="bottom"/>
            <w:hideMark/>
          </w:tcPr>
          <w:p w14:paraId="605D6EB2"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Legal Risk</w:t>
            </w:r>
          </w:p>
        </w:tc>
        <w:tc>
          <w:tcPr>
            <w:tcW w:w="1780" w:type="dxa"/>
            <w:tcBorders>
              <w:top w:val="nil"/>
              <w:left w:val="nil"/>
              <w:bottom w:val="single" w:sz="4" w:space="0" w:color="auto"/>
              <w:right w:val="single" w:sz="4" w:space="0" w:color="auto"/>
            </w:tcBorders>
            <w:shd w:val="clear" w:color="000000" w:fill="F2F2F2"/>
            <w:noWrap/>
            <w:vAlign w:val="bottom"/>
            <w:hideMark/>
          </w:tcPr>
          <w:p w14:paraId="7B6C9826"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28.64%</w:t>
            </w:r>
          </w:p>
        </w:tc>
      </w:tr>
      <w:tr w:rsidR="00E6045B" w:rsidRPr="00E6045B" w14:paraId="4925B127"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32AB2CE4"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9</w:t>
            </w:r>
          </w:p>
        </w:tc>
        <w:tc>
          <w:tcPr>
            <w:tcW w:w="4340" w:type="dxa"/>
            <w:tcBorders>
              <w:top w:val="nil"/>
              <w:left w:val="nil"/>
              <w:bottom w:val="single" w:sz="4" w:space="0" w:color="auto"/>
              <w:right w:val="single" w:sz="4" w:space="0" w:color="auto"/>
            </w:tcBorders>
            <w:shd w:val="clear" w:color="000000" w:fill="F2F2F2"/>
            <w:noWrap/>
            <w:vAlign w:val="bottom"/>
            <w:hideMark/>
          </w:tcPr>
          <w:p w14:paraId="6BE5ECCF"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Change in prices</w:t>
            </w:r>
          </w:p>
        </w:tc>
        <w:tc>
          <w:tcPr>
            <w:tcW w:w="2680" w:type="dxa"/>
            <w:tcBorders>
              <w:top w:val="nil"/>
              <w:left w:val="nil"/>
              <w:bottom w:val="single" w:sz="4" w:space="0" w:color="auto"/>
              <w:right w:val="single" w:sz="4" w:space="0" w:color="auto"/>
            </w:tcBorders>
            <w:shd w:val="clear" w:color="000000" w:fill="F2F2F2"/>
            <w:noWrap/>
            <w:vAlign w:val="bottom"/>
            <w:hideMark/>
          </w:tcPr>
          <w:p w14:paraId="6EBAB410"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Financial Risk</w:t>
            </w:r>
          </w:p>
        </w:tc>
        <w:tc>
          <w:tcPr>
            <w:tcW w:w="1780" w:type="dxa"/>
            <w:tcBorders>
              <w:top w:val="nil"/>
              <w:left w:val="nil"/>
              <w:bottom w:val="single" w:sz="4" w:space="0" w:color="auto"/>
              <w:right w:val="single" w:sz="4" w:space="0" w:color="auto"/>
            </w:tcBorders>
            <w:shd w:val="clear" w:color="000000" w:fill="F2F2F2"/>
            <w:noWrap/>
            <w:vAlign w:val="bottom"/>
            <w:hideMark/>
          </w:tcPr>
          <w:p w14:paraId="0B9AB530"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71.56%</w:t>
            </w:r>
          </w:p>
        </w:tc>
      </w:tr>
      <w:tr w:rsidR="00E6045B" w:rsidRPr="00E6045B" w14:paraId="56059A9A" w14:textId="77777777" w:rsidTr="00E6045B">
        <w:trPr>
          <w:trHeight w:val="288"/>
        </w:trPr>
        <w:tc>
          <w:tcPr>
            <w:tcW w:w="960" w:type="dxa"/>
            <w:tcBorders>
              <w:top w:val="nil"/>
              <w:left w:val="single" w:sz="4" w:space="0" w:color="auto"/>
              <w:bottom w:val="single" w:sz="4" w:space="0" w:color="auto"/>
              <w:right w:val="single" w:sz="4" w:space="0" w:color="auto"/>
            </w:tcBorders>
            <w:shd w:val="clear" w:color="000000" w:fill="F2F2F2"/>
            <w:noWrap/>
            <w:vAlign w:val="bottom"/>
            <w:hideMark/>
          </w:tcPr>
          <w:p w14:paraId="460A0048"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10</w:t>
            </w:r>
          </w:p>
        </w:tc>
        <w:tc>
          <w:tcPr>
            <w:tcW w:w="4340" w:type="dxa"/>
            <w:tcBorders>
              <w:top w:val="nil"/>
              <w:left w:val="nil"/>
              <w:bottom w:val="single" w:sz="4" w:space="0" w:color="auto"/>
              <w:right w:val="single" w:sz="4" w:space="0" w:color="auto"/>
            </w:tcBorders>
            <w:shd w:val="clear" w:color="000000" w:fill="F2F2F2"/>
            <w:noWrap/>
            <w:vAlign w:val="bottom"/>
            <w:hideMark/>
          </w:tcPr>
          <w:p w14:paraId="08B99F34" w14:textId="77777777" w:rsidR="00E6045B" w:rsidRPr="00E6045B" w:rsidRDefault="00E6045B" w:rsidP="00E6045B">
            <w:pPr>
              <w:spacing w:after="0" w:line="240" w:lineRule="auto"/>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Change of suppliers</w:t>
            </w:r>
          </w:p>
        </w:tc>
        <w:tc>
          <w:tcPr>
            <w:tcW w:w="2680" w:type="dxa"/>
            <w:tcBorders>
              <w:top w:val="nil"/>
              <w:left w:val="nil"/>
              <w:bottom w:val="single" w:sz="4" w:space="0" w:color="auto"/>
              <w:right w:val="single" w:sz="4" w:space="0" w:color="auto"/>
            </w:tcBorders>
            <w:shd w:val="clear" w:color="000000" w:fill="F2F2F2"/>
            <w:noWrap/>
            <w:vAlign w:val="bottom"/>
            <w:hideMark/>
          </w:tcPr>
          <w:p w14:paraId="541D4796"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Economic Risk</w:t>
            </w:r>
          </w:p>
        </w:tc>
        <w:tc>
          <w:tcPr>
            <w:tcW w:w="1780" w:type="dxa"/>
            <w:tcBorders>
              <w:top w:val="nil"/>
              <w:left w:val="nil"/>
              <w:bottom w:val="single" w:sz="4" w:space="0" w:color="auto"/>
              <w:right w:val="single" w:sz="4" w:space="0" w:color="auto"/>
            </w:tcBorders>
            <w:shd w:val="clear" w:color="000000" w:fill="F2F2F2"/>
            <w:noWrap/>
            <w:vAlign w:val="bottom"/>
            <w:hideMark/>
          </w:tcPr>
          <w:p w14:paraId="02501A17" w14:textId="77777777" w:rsidR="00E6045B" w:rsidRPr="00E6045B" w:rsidRDefault="00E6045B" w:rsidP="00E6045B">
            <w:pPr>
              <w:spacing w:after="0" w:line="240" w:lineRule="auto"/>
              <w:jc w:val="center"/>
              <w:rPr>
                <w:rFonts w:ascii="Calibri" w:eastAsia="Times New Roman" w:hAnsi="Calibri" w:cs="Calibri"/>
                <w:color w:val="000000"/>
                <w:lang w:val="en-US" w:eastAsia="en-US"/>
              </w:rPr>
            </w:pPr>
            <w:r w:rsidRPr="00E6045B">
              <w:rPr>
                <w:rFonts w:ascii="Calibri" w:eastAsia="Times New Roman" w:hAnsi="Calibri" w:cs="Calibri"/>
                <w:color w:val="000000"/>
                <w:sz w:val="22"/>
                <w:lang w:val="en-US" w:eastAsia="en-US"/>
              </w:rPr>
              <w:t>57.36%</w:t>
            </w:r>
          </w:p>
        </w:tc>
      </w:tr>
    </w:tbl>
    <w:p w14:paraId="5F1CC2EC" w14:textId="57C844EE" w:rsidR="00B03BCD" w:rsidRDefault="00B03BCD" w:rsidP="00B03BCD">
      <w:pPr>
        <w:keepNext/>
        <w:spacing w:line="360" w:lineRule="auto"/>
        <w:jc w:val="center"/>
      </w:pPr>
    </w:p>
    <w:p w14:paraId="41B3F526" w14:textId="466A2CB3" w:rsidR="00417A19" w:rsidRDefault="00B03BCD" w:rsidP="00B03BCD">
      <w:pPr>
        <w:pStyle w:val="Caption"/>
      </w:pPr>
      <w:r>
        <w:t xml:space="preserve">Figure </w:t>
      </w:r>
      <w:fldSimple w:instr=" SEQ Figure \* ARABIC ">
        <w:r>
          <w:rPr>
            <w:noProof/>
          </w:rPr>
          <w:t>1</w:t>
        </w:r>
      </w:fldSimple>
      <w:r>
        <w:t>: Risk Index</w:t>
      </w:r>
      <w:r w:rsidR="009E65F4">
        <w:t xml:space="preserve"> </w:t>
      </w:r>
      <w:r w:rsidR="009E65F4" w:rsidRPr="009E65F4">
        <w:t>(</w:t>
      </w:r>
      <w:proofErr w:type="spellStart"/>
      <w:r w:rsidR="009E65F4" w:rsidRPr="009E65F4">
        <w:t>Jaroszweski</w:t>
      </w:r>
      <w:proofErr w:type="spellEnd"/>
      <w:r w:rsidR="009E65F4" w:rsidRPr="009E65F4">
        <w:t xml:space="preserve"> et al., 2014)</w:t>
      </w:r>
    </w:p>
    <w:p w14:paraId="5AE948E5" w14:textId="77777777" w:rsidR="0015216A" w:rsidRDefault="0015216A" w:rsidP="00236F07">
      <w:pPr>
        <w:spacing w:line="360" w:lineRule="auto"/>
        <w:jc w:val="both"/>
      </w:pPr>
    </w:p>
    <w:p w14:paraId="5B870B54" w14:textId="497106B3" w:rsidR="00583FA8" w:rsidRDefault="00B03BCD" w:rsidP="009E65F4">
      <w:pPr>
        <w:pStyle w:val="Heading2"/>
      </w:pPr>
      <w:bookmarkStart w:id="9" w:name="_Toc119061424"/>
      <w:r>
        <w:t>Unidentified Risk</w:t>
      </w:r>
      <w:bookmarkEnd w:id="9"/>
    </w:p>
    <w:p w14:paraId="0109AE52" w14:textId="4EFA0DDC" w:rsidR="00D70578" w:rsidRDefault="00FC4A3B" w:rsidP="0081133B">
      <w:pPr>
        <w:spacing w:line="360" w:lineRule="auto"/>
        <w:jc w:val="both"/>
      </w:pPr>
      <w:r w:rsidRPr="00FC4A3B">
        <w:t xml:space="preserve">Ever since the beginning of the Cross Rail Project, </w:t>
      </w:r>
      <w:proofErr w:type="gramStart"/>
      <w:r w:rsidRPr="00FC4A3B">
        <w:t>a number of</w:t>
      </w:r>
      <w:proofErr w:type="gramEnd"/>
      <w:r w:rsidRPr="00FC4A3B">
        <w:t xml:space="preserve"> people in London and elsewhere have expressed worry </w:t>
      </w:r>
      <w:r w:rsidR="00B26F16">
        <w:t>about</w:t>
      </w:r>
      <w:r w:rsidRPr="00FC4A3B">
        <w:t xml:space="preserve"> an </w:t>
      </w:r>
      <w:r>
        <w:t>unknown risk</w:t>
      </w:r>
      <w:r w:rsidRPr="00FC4A3B">
        <w:t xml:space="preserve"> connected with it (Elizabeth Line). When it comes to estimating the </w:t>
      </w:r>
      <w:r w:rsidR="00B26F16">
        <w:t>unknowns</w:t>
      </w:r>
      <w:r>
        <w:t xml:space="preserve"> </w:t>
      </w:r>
      <w:r w:rsidRPr="00FC4A3B">
        <w:t xml:space="preserve">that </w:t>
      </w:r>
      <w:proofErr w:type="gramStart"/>
      <w:r w:rsidRPr="00FC4A3B">
        <w:t>are connected with</w:t>
      </w:r>
      <w:proofErr w:type="gramEnd"/>
      <w:r w:rsidRPr="00FC4A3B">
        <w:t xml:space="preserve"> such vast and complicated projects, it can be difficult to do so due to the unpredictability of these factors. Inadequate public disclosure of information results in </w:t>
      </w:r>
      <w:proofErr w:type="gramStart"/>
      <w:r w:rsidRPr="00FC4A3B">
        <w:t>a number of</w:t>
      </w:r>
      <w:proofErr w:type="gramEnd"/>
      <w:r w:rsidRPr="00FC4A3B">
        <w:t xml:space="preserve"> unidentified threats, some of which include the possibility of cost overruns and delays in the execution of the project</w:t>
      </w:r>
      <w:r w:rsidR="009E65F4">
        <w:t xml:space="preserve"> </w:t>
      </w:r>
      <w:r w:rsidR="009E65F4" w:rsidRPr="009E65F4">
        <w:t>(Wei, Wei and Jia, 2022)</w:t>
      </w:r>
      <w:r w:rsidRPr="00FC4A3B">
        <w:t xml:space="preserve">. </w:t>
      </w:r>
      <w:r w:rsidR="00F958D4">
        <w:t>This</w:t>
      </w:r>
      <w:r w:rsidRPr="00FC4A3B">
        <w:t xml:space="preserve"> project could be derailed by something referred to as "</w:t>
      </w:r>
      <w:r w:rsidR="00F958D4">
        <w:t>unidentified risk</w:t>
      </w:r>
      <w:r w:rsidRPr="00FC4A3B">
        <w:t xml:space="preserve">" which includes unanticipated shifts in the state of the art, fluctuations in the cost of necessary materials, and changes in the legislation. It is necessary to thoroughly identify and manage </w:t>
      </w:r>
      <w:r w:rsidR="00F958D4">
        <w:t xml:space="preserve">those </w:t>
      </w:r>
      <w:r w:rsidR="009E65F4">
        <w:t>risks</w:t>
      </w:r>
      <w:r w:rsidRPr="00FC4A3B">
        <w:t xml:space="preserve"> linked with the Cross Rail Project (Elizabeth Line) in London. This is essential </w:t>
      </w:r>
      <w:proofErr w:type="gramStart"/>
      <w:r w:rsidRPr="00FC4A3B">
        <w:t>in order to</w:t>
      </w:r>
      <w:proofErr w:type="gramEnd"/>
      <w:r w:rsidRPr="00FC4A3B">
        <w:t xml:space="preserve"> guarantee the successful completion of the project and assure the smooth operation of the Elizabeth Line</w:t>
      </w:r>
      <w:r w:rsidR="009E65F4">
        <w:t xml:space="preserve"> </w:t>
      </w:r>
      <w:r w:rsidR="009E65F4" w:rsidRPr="009E65F4">
        <w:t>(</w:t>
      </w:r>
      <w:proofErr w:type="spellStart"/>
      <w:r w:rsidR="009E65F4" w:rsidRPr="009E65F4">
        <w:t>Vickerstaff</w:t>
      </w:r>
      <w:proofErr w:type="spellEnd"/>
      <w:r w:rsidR="009E65F4" w:rsidRPr="009E65F4">
        <w:t xml:space="preserve">, Bevan and </w:t>
      </w:r>
      <w:proofErr w:type="spellStart"/>
      <w:r w:rsidR="009E65F4" w:rsidRPr="009E65F4">
        <w:t>Boyacioglu</w:t>
      </w:r>
      <w:proofErr w:type="spellEnd"/>
      <w:r w:rsidR="009E65F4" w:rsidRPr="009E65F4">
        <w:t>, 2019)</w:t>
      </w:r>
      <w:r w:rsidRPr="00FC4A3B">
        <w:t xml:space="preserve">. </w:t>
      </w:r>
      <w:proofErr w:type="gramStart"/>
      <w:r w:rsidRPr="00FC4A3B">
        <w:t>In order to</w:t>
      </w:r>
      <w:proofErr w:type="gramEnd"/>
      <w:r w:rsidRPr="00FC4A3B">
        <w:t xml:space="preserve"> lessen the impact of </w:t>
      </w:r>
      <w:r w:rsidR="00F958D4">
        <w:t>these risks</w:t>
      </w:r>
      <w:r w:rsidRPr="00FC4A3B">
        <w:t xml:space="preserve">, it is possible to take preventative steps such as implementing risk management systems and best </w:t>
      </w:r>
      <w:r w:rsidR="00F958D4">
        <w:t>practices</w:t>
      </w:r>
      <w:r w:rsidRPr="00FC4A3B">
        <w:t xml:space="preserve">, engaging in cooperative planning activities, and maintaining effective communication channels. </w:t>
      </w:r>
    </w:p>
    <w:p w14:paraId="1E938A1A" w14:textId="418DD39E" w:rsidR="00F01BD4" w:rsidRDefault="00F01BD4" w:rsidP="00B26F16">
      <w:pPr>
        <w:pStyle w:val="Heading1"/>
      </w:pPr>
      <w:bookmarkStart w:id="10" w:name="_Toc119061425"/>
      <w:r>
        <w:lastRenderedPageBreak/>
        <w:t>Conclusion</w:t>
      </w:r>
      <w:bookmarkEnd w:id="10"/>
    </w:p>
    <w:p w14:paraId="56F8CC4D" w14:textId="075DFBF5" w:rsidR="00F01BD4" w:rsidRDefault="00F958D4" w:rsidP="0081133B">
      <w:pPr>
        <w:spacing w:line="360" w:lineRule="auto"/>
        <w:jc w:val="both"/>
      </w:pPr>
      <w:r w:rsidRPr="00F958D4">
        <w:t xml:space="preserve">The Elizabeth Line of the Cross Rail Project will eventually become an integral part of London's transportation network in the coming decades. The Elizabeth Line will improve the ability of London residents to go to work, school, and entertainment places by establishing new and improved transportation connections around the city. Existing highways and rail lines will see less congestion, resulting in a more ecologically friendly and productive transportation network. As a result of its expansion to eight additional stations, the Elizabeth Line will deliver public transportation to hitherto underserved parts of London. The Elizabeth Line of the Cross Rail Project is part of a larger effort to modernise London's public transportation system. Both tourists and locals in London have demonstrated strong support for this infrastructure enhancement. Keep this in </w:t>
      </w:r>
      <w:proofErr w:type="gramStart"/>
      <w:r w:rsidRPr="00F958D4">
        <w:t>mind, since</w:t>
      </w:r>
      <w:proofErr w:type="gramEnd"/>
      <w:r w:rsidRPr="00F958D4">
        <w:t xml:space="preserve"> it bodes well for the project's future possibilities. The Cross Rail Project is the best example of how a city's transportation network may benefit from infrastructure investment (Elizabeth Line). It is a massive undertaking with the potential to improve London's transportation infrastructure for decades. The completion of the Cross Rail Project (Elizabeth Line) is a pivotal milestone in London's development and will serve as a catalyst for the city's continued progress. This infrastructure project is expected to benefit both city residents and tourists by enhancing regional transportation. By increasing the city's transit options, the Elizabeth Line will benefit Londoners and tourists for decades to come.</w:t>
      </w:r>
    </w:p>
    <w:p w14:paraId="67EB3D19" w14:textId="77777777" w:rsidR="00BE74CF" w:rsidRDefault="00BE74CF" w:rsidP="0081133B">
      <w:pPr>
        <w:spacing w:line="360" w:lineRule="auto"/>
        <w:jc w:val="both"/>
      </w:pPr>
    </w:p>
    <w:p w14:paraId="5387ECBA" w14:textId="209176FC" w:rsidR="0009616B" w:rsidRDefault="0009616B">
      <w:r>
        <w:br w:type="page"/>
      </w:r>
    </w:p>
    <w:p w14:paraId="2BC5F846" w14:textId="0CB3C5F2" w:rsidR="00436F1B" w:rsidRDefault="0009616B" w:rsidP="00B26F16">
      <w:pPr>
        <w:pStyle w:val="Heading1"/>
      </w:pPr>
      <w:bookmarkStart w:id="11" w:name="_Toc119061426"/>
      <w:r>
        <w:lastRenderedPageBreak/>
        <w:t>References</w:t>
      </w:r>
      <w:bookmarkEnd w:id="11"/>
    </w:p>
    <w:p w14:paraId="39C5E537" w14:textId="1F298E5E" w:rsidR="00B26F16" w:rsidRDefault="00B26F16" w:rsidP="00B26F16">
      <w:pPr>
        <w:pStyle w:val="NormalWeb"/>
        <w:spacing w:before="0" w:beforeAutospacing="0" w:after="240" w:afterAutospacing="0" w:line="360" w:lineRule="auto"/>
        <w:jc w:val="both"/>
      </w:pPr>
      <w:r>
        <w:t xml:space="preserve">Huang, J., Bai, Y., Chen, Y., </w:t>
      </w:r>
      <w:proofErr w:type="spellStart"/>
      <w:r>
        <w:t>luo</w:t>
      </w:r>
      <w:proofErr w:type="spellEnd"/>
      <w:r>
        <w:t xml:space="preserve">, Q., Jia, W., Zhou, Q. and Mao, B. (2022). Urban Rail Transit </w:t>
      </w:r>
      <w:r>
        <w:tab/>
        <w:t xml:space="preserve">Network Train Timetable Optimization Considering </w:t>
      </w:r>
      <w:proofErr w:type="gramStart"/>
      <w:r>
        <w:t>Cross-Line</w:t>
      </w:r>
      <w:proofErr w:type="gramEnd"/>
      <w:r>
        <w:t xml:space="preserve"> Operation. </w:t>
      </w:r>
      <w:r>
        <w:rPr>
          <w:i/>
          <w:iCs/>
        </w:rPr>
        <w:t xml:space="preserve">SSRN </w:t>
      </w:r>
      <w:r>
        <w:rPr>
          <w:i/>
          <w:iCs/>
        </w:rPr>
        <w:tab/>
        <w:t>Electronic Journal</w:t>
      </w:r>
      <w:r>
        <w:t>.</w:t>
      </w:r>
    </w:p>
    <w:p w14:paraId="77F74B84" w14:textId="08512A97" w:rsidR="00B26F16" w:rsidRDefault="00B26F16" w:rsidP="00B26F16">
      <w:pPr>
        <w:pStyle w:val="NormalWeb"/>
        <w:spacing w:before="0" w:beforeAutospacing="0" w:after="240" w:afterAutospacing="0" w:line="360" w:lineRule="auto"/>
        <w:jc w:val="both"/>
      </w:pPr>
      <w:proofErr w:type="spellStart"/>
      <w:r>
        <w:t>Jaroszweski</w:t>
      </w:r>
      <w:proofErr w:type="spellEnd"/>
      <w:r>
        <w:t xml:space="preserve">, D., Hooper, E., Baker, C., Chapman, L. and Quinn, A. (2014). The impacts of the </w:t>
      </w:r>
      <w:r>
        <w:tab/>
        <w:t xml:space="preserve">28 June 2012 storms on UK road and rail transport. </w:t>
      </w:r>
      <w:r>
        <w:rPr>
          <w:i/>
          <w:iCs/>
        </w:rPr>
        <w:t>Meteorological Applications</w:t>
      </w:r>
      <w:r>
        <w:t xml:space="preserve">, 22(3), </w:t>
      </w:r>
      <w:r>
        <w:tab/>
        <w:t>pp.470–476.</w:t>
      </w:r>
    </w:p>
    <w:p w14:paraId="6518ED4E" w14:textId="2CDB92E3" w:rsidR="00B26F16" w:rsidRDefault="00B26F16" w:rsidP="00B26F16">
      <w:pPr>
        <w:pStyle w:val="NormalWeb"/>
        <w:spacing w:before="0" w:beforeAutospacing="0" w:after="240" w:afterAutospacing="0" w:line="360" w:lineRule="auto"/>
        <w:jc w:val="both"/>
      </w:pPr>
      <w:r>
        <w:t>Nam, D.-H., Huh, H.-M. and Lee, J.-S. (2012). Environmental Benefit Analysis for Railroad-</w:t>
      </w:r>
      <w:r>
        <w:tab/>
        <w:t xml:space="preserve">related Projects. </w:t>
      </w:r>
      <w:r>
        <w:rPr>
          <w:i/>
          <w:iCs/>
        </w:rPr>
        <w:t>Journal of the Korean society for railway</w:t>
      </w:r>
      <w:r>
        <w:t>, 15(2), pp.179–184.</w:t>
      </w:r>
    </w:p>
    <w:p w14:paraId="0854A7F9" w14:textId="1CA7824A" w:rsidR="00B26F16" w:rsidRDefault="00B26F16" w:rsidP="00B26F16">
      <w:pPr>
        <w:pStyle w:val="NormalWeb"/>
        <w:spacing w:before="0" w:beforeAutospacing="0" w:after="240" w:afterAutospacing="0" w:line="360" w:lineRule="auto"/>
        <w:jc w:val="both"/>
      </w:pPr>
      <w:proofErr w:type="spellStart"/>
      <w:r>
        <w:t>Vickerstaff</w:t>
      </w:r>
      <w:proofErr w:type="spellEnd"/>
      <w:r>
        <w:t xml:space="preserve">, A., Bevan, A. and </w:t>
      </w:r>
      <w:proofErr w:type="spellStart"/>
      <w:r>
        <w:t>Boyacioglu</w:t>
      </w:r>
      <w:proofErr w:type="spellEnd"/>
      <w:r>
        <w:t xml:space="preserve">, P. (2019). Predictive wheel–rail management in </w:t>
      </w:r>
      <w:r>
        <w:tab/>
        <w:t xml:space="preserve">London Underground: Validation and verification. </w:t>
      </w:r>
      <w:r>
        <w:rPr>
          <w:i/>
          <w:iCs/>
        </w:rPr>
        <w:t xml:space="preserve">Proceedings of the Institution of </w:t>
      </w:r>
      <w:r>
        <w:rPr>
          <w:i/>
          <w:iCs/>
        </w:rPr>
        <w:tab/>
        <w:t>Mechanical Engineers, Part F: Journal of Rail and Rapid Transit</w:t>
      </w:r>
      <w:r>
        <w:t>, 234(4), pp.393–404.</w:t>
      </w:r>
    </w:p>
    <w:p w14:paraId="32BCBEBE" w14:textId="613E0016" w:rsidR="00B26F16" w:rsidRDefault="00B26F16" w:rsidP="00B26F16">
      <w:pPr>
        <w:pStyle w:val="NormalWeb"/>
        <w:spacing w:before="0" w:beforeAutospacing="0" w:after="240" w:afterAutospacing="0" w:line="360" w:lineRule="auto"/>
        <w:jc w:val="both"/>
      </w:pPr>
      <w:r>
        <w:t xml:space="preserve">Wei, D., Wei, X. and Jia, L. (2022). Automatic Defect Description of Railway Track Line Image </w:t>
      </w:r>
      <w:r>
        <w:tab/>
        <w:t xml:space="preserve">Based on Dense Captioning. </w:t>
      </w:r>
      <w:r>
        <w:rPr>
          <w:i/>
          <w:iCs/>
        </w:rPr>
        <w:t>Sensors</w:t>
      </w:r>
      <w:r>
        <w:t>, 22(17), p.6419.</w:t>
      </w:r>
    </w:p>
    <w:p w14:paraId="0DEE5D36" w14:textId="77B45156" w:rsidR="00B26F16" w:rsidRDefault="00B26F16" w:rsidP="00B26F16">
      <w:pPr>
        <w:pStyle w:val="NormalWeb"/>
        <w:spacing w:before="0" w:beforeAutospacing="0" w:after="240" w:afterAutospacing="0" w:line="360" w:lineRule="auto"/>
        <w:jc w:val="both"/>
      </w:pPr>
      <w:r>
        <w:t xml:space="preserve">Yang, A., Wang, B., Huang, J. and Li, C. (2020). Service replanning in urban rail transit </w:t>
      </w:r>
      <w:r>
        <w:tab/>
        <w:t xml:space="preserve">networks: </w:t>
      </w:r>
      <w:proofErr w:type="gramStart"/>
      <w:r>
        <w:t>Cross-line</w:t>
      </w:r>
      <w:proofErr w:type="gramEnd"/>
      <w:r>
        <w:t xml:space="preserve"> express trains for reducing the number of passenger transfers and </w:t>
      </w:r>
      <w:r>
        <w:tab/>
        <w:t xml:space="preserve">travel time. </w:t>
      </w:r>
      <w:r>
        <w:rPr>
          <w:i/>
          <w:iCs/>
        </w:rPr>
        <w:t>Transportation Research Part C: Emerging Technologies</w:t>
      </w:r>
      <w:r>
        <w:t>, 115, p.102629.</w:t>
      </w:r>
    </w:p>
    <w:p w14:paraId="0C7AA076" w14:textId="5766EDD9" w:rsidR="00B26F16" w:rsidRDefault="00B26F16" w:rsidP="00B26F16">
      <w:pPr>
        <w:pStyle w:val="NormalWeb"/>
        <w:spacing w:before="0" w:beforeAutospacing="0" w:after="240" w:afterAutospacing="0" w:line="360" w:lineRule="auto"/>
        <w:jc w:val="both"/>
      </w:pPr>
      <w:r>
        <w:t xml:space="preserve">Yin, D., </w:t>
      </w:r>
      <w:proofErr w:type="spellStart"/>
      <w:r>
        <w:t>Passano</w:t>
      </w:r>
      <w:proofErr w:type="spellEnd"/>
      <w:r>
        <w:t xml:space="preserve">, E. and Larsen, C.M. (2017). Improved In-Line Vortex-Induced Vibrations </w:t>
      </w:r>
      <w:r>
        <w:tab/>
        <w:t xml:space="preserve">Prediction for Combined In-Line and </w:t>
      </w:r>
      <w:proofErr w:type="gramStart"/>
      <w:r>
        <w:t>Cross-Flow</w:t>
      </w:r>
      <w:proofErr w:type="gramEnd"/>
      <w:r>
        <w:t xml:space="preserve"> Vortex-Induced Vibrations Responses. </w:t>
      </w:r>
      <w:r>
        <w:tab/>
      </w:r>
      <w:r>
        <w:rPr>
          <w:i/>
          <w:iCs/>
        </w:rPr>
        <w:t>Journal of Offshore Mechanics and Arctic Engineering</w:t>
      </w:r>
      <w:r>
        <w:t>, 140(3).</w:t>
      </w:r>
    </w:p>
    <w:p w14:paraId="4AE7F5D9" w14:textId="3CDBC054" w:rsidR="00E15CD7" w:rsidRDefault="00E15CD7" w:rsidP="00E15CD7">
      <w:pPr>
        <w:spacing w:line="360" w:lineRule="auto"/>
        <w:jc w:val="both"/>
        <w:rPr>
          <w:lang w:val="en-US" w:eastAsia="en-US"/>
        </w:rPr>
      </w:pPr>
    </w:p>
    <w:sectPr w:rsidR="00E15CD7" w:rsidSect="0009616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811CA" w14:textId="77777777" w:rsidR="00E257A7" w:rsidRDefault="00E257A7" w:rsidP="0009616B">
      <w:pPr>
        <w:spacing w:after="0" w:line="240" w:lineRule="auto"/>
      </w:pPr>
      <w:r>
        <w:separator/>
      </w:r>
    </w:p>
  </w:endnote>
  <w:endnote w:type="continuationSeparator" w:id="0">
    <w:p w14:paraId="6F7006EB" w14:textId="77777777" w:rsidR="00E257A7" w:rsidRDefault="00E257A7" w:rsidP="00096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6548804"/>
      <w:docPartObj>
        <w:docPartGallery w:val="Page Numbers (Bottom of Page)"/>
        <w:docPartUnique/>
      </w:docPartObj>
    </w:sdtPr>
    <w:sdtEndPr/>
    <w:sdtContent>
      <w:p w14:paraId="482F9D9F" w14:textId="5E7BDA1E" w:rsidR="0009616B" w:rsidRDefault="0009616B">
        <w:pPr>
          <w:pStyle w:val="Footer"/>
          <w:jc w:val="right"/>
        </w:pPr>
        <w:r>
          <w:fldChar w:fldCharType="begin"/>
        </w:r>
        <w:r>
          <w:instrText>PAGE   \* MERGEFORMAT</w:instrText>
        </w:r>
        <w:r>
          <w:fldChar w:fldCharType="separate"/>
        </w:r>
        <w:r>
          <w:t>2</w:t>
        </w:r>
        <w:r>
          <w:fldChar w:fldCharType="end"/>
        </w:r>
      </w:p>
    </w:sdtContent>
  </w:sdt>
  <w:p w14:paraId="70F7333A" w14:textId="77777777" w:rsidR="0009616B" w:rsidRDefault="0009616B" w:rsidP="0009616B">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841A4" w14:textId="77777777" w:rsidR="00E257A7" w:rsidRDefault="00E257A7" w:rsidP="0009616B">
      <w:pPr>
        <w:spacing w:after="0" w:line="240" w:lineRule="auto"/>
      </w:pPr>
      <w:r>
        <w:separator/>
      </w:r>
    </w:p>
  </w:footnote>
  <w:footnote w:type="continuationSeparator" w:id="0">
    <w:p w14:paraId="10CFDBF5" w14:textId="77777777" w:rsidR="00E257A7" w:rsidRDefault="00E257A7" w:rsidP="000961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06079"/>
    <w:multiLevelType w:val="hybridMultilevel"/>
    <w:tmpl w:val="4970CA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wtTA1tTAwsjAzNjFV0lEKTi0uzszPAykwrQUA0n21+SwAAAA="/>
    <w:docVar w:name="EN.InstantFormat" w:val="&lt;ENInstantFormat&gt;&lt;Enabled&gt;1&lt;/Enabled&gt;&lt;ScanUnformatted&gt;1&lt;/ScanUnformatted&gt;&lt;ScanChanges&gt;1&lt;/ScanChanges&gt;&lt;Suspended&gt;0&lt;/Suspended&gt;&lt;/ENInstantFormat&gt;"/>
    <w:docVar w:name="EN.Layout" w:val="&lt;ENLayout&gt;&lt;Style&gt;APA 7th&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vdw0vv545xxx3e9peevzxa1pvvatteawfpx&quot;&gt;Ref&lt;record-ids&gt;&lt;item&gt;26&lt;/item&gt;&lt;item&gt;27&lt;/item&gt;&lt;item&gt;28&lt;/item&gt;&lt;item&gt;29&lt;/item&gt;&lt;item&gt;30&lt;/item&gt;&lt;item&gt;31&lt;/item&gt;&lt;item&gt;32&lt;/item&gt;&lt;/record-ids&gt;&lt;/item&gt;&lt;/Libraries&gt;"/>
  </w:docVars>
  <w:rsids>
    <w:rsidRoot w:val="00D93E99"/>
    <w:rsid w:val="00014CC8"/>
    <w:rsid w:val="0001540F"/>
    <w:rsid w:val="00015880"/>
    <w:rsid w:val="00034865"/>
    <w:rsid w:val="000409D3"/>
    <w:rsid w:val="00047960"/>
    <w:rsid w:val="0009616B"/>
    <w:rsid w:val="000A592D"/>
    <w:rsid w:val="000B25E3"/>
    <w:rsid w:val="00106E22"/>
    <w:rsid w:val="00127B40"/>
    <w:rsid w:val="0015216A"/>
    <w:rsid w:val="001553DF"/>
    <w:rsid w:val="0016208F"/>
    <w:rsid w:val="00167189"/>
    <w:rsid w:val="0017342F"/>
    <w:rsid w:val="001A072B"/>
    <w:rsid w:val="001C37AD"/>
    <w:rsid w:val="001D31F7"/>
    <w:rsid w:val="00205EC8"/>
    <w:rsid w:val="00212863"/>
    <w:rsid w:val="002138EB"/>
    <w:rsid w:val="0022488C"/>
    <w:rsid w:val="00236F07"/>
    <w:rsid w:val="00240B3D"/>
    <w:rsid w:val="00260611"/>
    <w:rsid w:val="00281C88"/>
    <w:rsid w:val="00283142"/>
    <w:rsid w:val="00290759"/>
    <w:rsid w:val="00292D99"/>
    <w:rsid w:val="002E7D95"/>
    <w:rsid w:val="002F0E79"/>
    <w:rsid w:val="002F77BA"/>
    <w:rsid w:val="003134ED"/>
    <w:rsid w:val="0033483C"/>
    <w:rsid w:val="003510C3"/>
    <w:rsid w:val="00357301"/>
    <w:rsid w:val="00373500"/>
    <w:rsid w:val="003B36F2"/>
    <w:rsid w:val="003D02AC"/>
    <w:rsid w:val="003D3C9A"/>
    <w:rsid w:val="003F0275"/>
    <w:rsid w:val="0040359F"/>
    <w:rsid w:val="00417A19"/>
    <w:rsid w:val="00420762"/>
    <w:rsid w:val="00436025"/>
    <w:rsid w:val="00436F1B"/>
    <w:rsid w:val="00445648"/>
    <w:rsid w:val="00457B5A"/>
    <w:rsid w:val="00464BF1"/>
    <w:rsid w:val="00493099"/>
    <w:rsid w:val="004B7990"/>
    <w:rsid w:val="004F16D5"/>
    <w:rsid w:val="00503C15"/>
    <w:rsid w:val="00583FA8"/>
    <w:rsid w:val="005A76F0"/>
    <w:rsid w:val="005D7AE7"/>
    <w:rsid w:val="005E422C"/>
    <w:rsid w:val="005E78DF"/>
    <w:rsid w:val="006316DC"/>
    <w:rsid w:val="00683E21"/>
    <w:rsid w:val="006D02A7"/>
    <w:rsid w:val="007424B1"/>
    <w:rsid w:val="007439A2"/>
    <w:rsid w:val="0074485A"/>
    <w:rsid w:val="00745E1D"/>
    <w:rsid w:val="00762A13"/>
    <w:rsid w:val="007B33BF"/>
    <w:rsid w:val="007B5899"/>
    <w:rsid w:val="0081133B"/>
    <w:rsid w:val="00817DF8"/>
    <w:rsid w:val="008254AB"/>
    <w:rsid w:val="00832193"/>
    <w:rsid w:val="008658F3"/>
    <w:rsid w:val="00871D93"/>
    <w:rsid w:val="00887240"/>
    <w:rsid w:val="008C6EBA"/>
    <w:rsid w:val="008E68A1"/>
    <w:rsid w:val="008F26D5"/>
    <w:rsid w:val="008F3859"/>
    <w:rsid w:val="00904EF4"/>
    <w:rsid w:val="0094656C"/>
    <w:rsid w:val="009563FD"/>
    <w:rsid w:val="009967BB"/>
    <w:rsid w:val="009C2A3A"/>
    <w:rsid w:val="009E1E3D"/>
    <w:rsid w:val="009E65F4"/>
    <w:rsid w:val="00A11DF4"/>
    <w:rsid w:val="00A40A91"/>
    <w:rsid w:val="00A65281"/>
    <w:rsid w:val="00A749D2"/>
    <w:rsid w:val="00A82AED"/>
    <w:rsid w:val="00AA3752"/>
    <w:rsid w:val="00AC14EE"/>
    <w:rsid w:val="00AF2361"/>
    <w:rsid w:val="00AF4E80"/>
    <w:rsid w:val="00B031AB"/>
    <w:rsid w:val="00B03BCD"/>
    <w:rsid w:val="00B26F16"/>
    <w:rsid w:val="00B47B56"/>
    <w:rsid w:val="00B604C9"/>
    <w:rsid w:val="00B614F9"/>
    <w:rsid w:val="00BC0EFA"/>
    <w:rsid w:val="00BD27D6"/>
    <w:rsid w:val="00BE74CF"/>
    <w:rsid w:val="00C404FF"/>
    <w:rsid w:val="00C57CEC"/>
    <w:rsid w:val="00CA1227"/>
    <w:rsid w:val="00CC657F"/>
    <w:rsid w:val="00D013D5"/>
    <w:rsid w:val="00D07A81"/>
    <w:rsid w:val="00D66BAC"/>
    <w:rsid w:val="00D70578"/>
    <w:rsid w:val="00D85B3A"/>
    <w:rsid w:val="00D93E99"/>
    <w:rsid w:val="00DC7C8B"/>
    <w:rsid w:val="00DC7CA1"/>
    <w:rsid w:val="00DD09B8"/>
    <w:rsid w:val="00DF1E45"/>
    <w:rsid w:val="00DF26AB"/>
    <w:rsid w:val="00DF7A92"/>
    <w:rsid w:val="00E15CD7"/>
    <w:rsid w:val="00E257A7"/>
    <w:rsid w:val="00E3106E"/>
    <w:rsid w:val="00E34F04"/>
    <w:rsid w:val="00E6045B"/>
    <w:rsid w:val="00E62428"/>
    <w:rsid w:val="00E756D5"/>
    <w:rsid w:val="00E8345B"/>
    <w:rsid w:val="00EB26DB"/>
    <w:rsid w:val="00EC1C34"/>
    <w:rsid w:val="00ED0753"/>
    <w:rsid w:val="00EF2467"/>
    <w:rsid w:val="00F01BD4"/>
    <w:rsid w:val="00F1207A"/>
    <w:rsid w:val="00F36BA3"/>
    <w:rsid w:val="00F41277"/>
    <w:rsid w:val="00F82562"/>
    <w:rsid w:val="00F958D4"/>
    <w:rsid w:val="00FA4F47"/>
    <w:rsid w:val="00FB411C"/>
    <w:rsid w:val="00FB6688"/>
    <w:rsid w:val="00FC4A3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8F86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CA1"/>
    <w:rPr>
      <w:rFonts w:ascii="Times New Roman" w:eastAsiaTheme="minorEastAsia" w:hAnsi="Times New Roman"/>
      <w:sz w:val="24"/>
      <w:lang w:eastAsia="en-GB"/>
    </w:rPr>
  </w:style>
  <w:style w:type="paragraph" w:styleId="Heading1">
    <w:name w:val="heading 1"/>
    <w:basedOn w:val="Normal"/>
    <w:next w:val="Normal"/>
    <w:link w:val="Heading1Char"/>
    <w:autoRedefine/>
    <w:uiPriority w:val="9"/>
    <w:qFormat/>
    <w:rsid w:val="00B26F16"/>
    <w:pPr>
      <w:keepNext/>
      <w:keepLines/>
      <w:spacing w:before="480" w:after="240" w:line="360" w:lineRule="auto"/>
      <w:jc w:val="both"/>
      <w:outlineLvl w:val="0"/>
    </w:pPr>
    <w:rPr>
      <w:rFonts w:eastAsiaTheme="majorEastAsia" w:cstheme="majorBidi"/>
      <w:b/>
      <w:color w:val="2F5496" w:themeColor="accent1" w:themeShade="BF"/>
      <w:sz w:val="36"/>
      <w:szCs w:val="32"/>
      <w:lang w:val="en-US" w:eastAsia="en-US"/>
    </w:rPr>
  </w:style>
  <w:style w:type="paragraph" w:styleId="Heading2">
    <w:name w:val="heading 2"/>
    <w:basedOn w:val="Normal"/>
    <w:next w:val="Normal"/>
    <w:link w:val="Heading2Char"/>
    <w:autoRedefine/>
    <w:uiPriority w:val="9"/>
    <w:unhideWhenUsed/>
    <w:qFormat/>
    <w:rsid w:val="009E65F4"/>
    <w:pPr>
      <w:keepNext/>
      <w:keepLines/>
      <w:spacing w:before="160" w:after="120" w:line="360" w:lineRule="auto"/>
      <w:jc w:val="both"/>
      <w:outlineLvl w:val="1"/>
    </w:pPr>
    <w:rPr>
      <w:rFonts w:eastAsiaTheme="majorEastAsia" w:cstheme="majorBidi"/>
      <w:b/>
      <w:color w:val="4472C4" w:themeColor="accent1"/>
      <w:sz w:val="32"/>
      <w:szCs w:val="26"/>
      <w:lang w:val="en-US" w:eastAsia="en-US"/>
    </w:rPr>
  </w:style>
  <w:style w:type="paragraph" w:styleId="Heading3">
    <w:name w:val="heading 3"/>
    <w:basedOn w:val="Normal"/>
    <w:next w:val="Normal"/>
    <w:link w:val="Heading3Char"/>
    <w:autoRedefine/>
    <w:uiPriority w:val="9"/>
    <w:unhideWhenUsed/>
    <w:qFormat/>
    <w:rsid w:val="00E62428"/>
    <w:pPr>
      <w:keepNext/>
      <w:keepLines/>
      <w:spacing w:before="160" w:after="120"/>
      <w:jc w:val="both"/>
      <w:outlineLvl w:val="2"/>
    </w:pPr>
    <w:rPr>
      <w:rFonts w:eastAsiaTheme="majorEastAsia" w:cstheme="majorBidi"/>
      <w:b/>
      <w:szCs w:val="24"/>
      <w:lang w:val="en-US" w:eastAsia="en-US"/>
    </w:rPr>
  </w:style>
  <w:style w:type="paragraph" w:styleId="Heading4">
    <w:name w:val="heading 4"/>
    <w:basedOn w:val="Normal"/>
    <w:next w:val="Normal"/>
    <w:link w:val="Heading4Char"/>
    <w:autoRedefine/>
    <w:uiPriority w:val="9"/>
    <w:unhideWhenUsed/>
    <w:qFormat/>
    <w:rsid w:val="00E62428"/>
    <w:pPr>
      <w:keepNext/>
      <w:keepLines/>
      <w:spacing w:before="40" w:after="0"/>
      <w:jc w:val="both"/>
      <w:outlineLvl w:val="3"/>
    </w:pPr>
    <w:rPr>
      <w:rFonts w:eastAsiaTheme="majorEastAsia" w:cstheme="majorBidi"/>
      <w:iCs/>
      <w:sz w:val="22"/>
      <w:lang w:val="en-US" w:eastAsia="en-US"/>
    </w:rPr>
  </w:style>
  <w:style w:type="paragraph" w:styleId="Heading5">
    <w:name w:val="heading 5"/>
    <w:basedOn w:val="Normal"/>
    <w:next w:val="Normal"/>
    <w:link w:val="Heading5Char"/>
    <w:autoRedefine/>
    <w:uiPriority w:val="9"/>
    <w:semiHidden/>
    <w:unhideWhenUsed/>
    <w:qFormat/>
    <w:rsid w:val="00E62428"/>
    <w:pPr>
      <w:keepNext/>
      <w:keepLines/>
      <w:spacing w:before="40" w:after="0"/>
      <w:jc w:val="both"/>
      <w:outlineLvl w:val="4"/>
    </w:pPr>
    <w:rPr>
      <w:rFonts w:eastAsiaTheme="majorEastAsia" w:cstheme="majorBidi"/>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F16"/>
    <w:rPr>
      <w:rFonts w:ascii="Times New Roman" w:eastAsiaTheme="majorEastAsia" w:hAnsi="Times New Roman" w:cstheme="majorBidi"/>
      <w:b/>
      <w:color w:val="2F5496" w:themeColor="accent1" w:themeShade="BF"/>
      <w:sz w:val="36"/>
      <w:szCs w:val="32"/>
      <w:lang w:val="en-US"/>
    </w:rPr>
  </w:style>
  <w:style w:type="character" w:customStyle="1" w:styleId="Heading2Char">
    <w:name w:val="Heading 2 Char"/>
    <w:basedOn w:val="DefaultParagraphFont"/>
    <w:link w:val="Heading2"/>
    <w:uiPriority w:val="9"/>
    <w:rsid w:val="009E65F4"/>
    <w:rPr>
      <w:rFonts w:ascii="Times New Roman" w:eastAsiaTheme="majorEastAsia" w:hAnsi="Times New Roman" w:cstheme="majorBidi"/>
      <w:b/>
      <w:color w:val="4472C4" w:themeColor="accent1"/>
      <w:sz w:val="32"/>
      <w:szCs w:val="26"/>
      <w:lang w:val="en-US"/>
    </w:rPr>
  </w:style>
  <w:style w:type="paragraph" w:customStyle="1" w:styleId="subheading">
    <w:name w:val="sub heading"/>
    <w:basedOn w:val="Normal"/>
    <w:link w:val="subheadingChar"/>
    <w:autoRedefine/>
    <w:qFormat/>
    <w:rsid w:val="000409D3"/>
    <w:pPr>
      <w:spacing w:before="120" w:line="240" w:lineRule="auto"/>
      <w:jc w:val="both"/>
    </w:pPr>
    <w:rPr>
      <w:color w:val="262626" w:themeColor="text1" w:themeTint="D9"/>
      <w:sz w:val="28"/>
      <w:lang w:val="en-US"/>
    </w:rPr>
  </w:style>
  <w:style w:type="character" w:customStyle="1" w:styleId="subheadingChar">
    <w:name w:val="sub heading Char"/>
    <w:basedOn w:val="DefaultParagraphFont"/>
    <w:link w:val="subheading"/>
    <w:rsid w:val="000409D3"/>
    <w:rPr>
      <w:rFonts w:ascii="Times New Roman" w:eastAsiaTheme="minorEastAsia" w:hAnsi="Times New Roman"/>
      <w:color w:val="262626" w:themeColor="text1" w:themeTint="D9"/>
      <w:sz w:val="28"/>
      <w:lang w:val="en-US" w:eastAsia="en-GB"/>
    </w:rPr>
  </w:style>
  <w:style w:type="paragraph" w:styleId="NoSpacing">
    <w:name w:val="No Spacing"/>
    <w:autoRedefine/>
    <w:uiPriority w:val="1"/>
    <w:qFormat/>
    <w:rsid w:val="00AF4E80"/>
    <w:pPr>
      <w:spacing w:after="0" w:line="240" w:lineRule="auto"/>
      <w:jc w:val="both"/>
    </w:pPr>
    <w:rPr>
      <w:rFonts w:ascii="Times New Roman" w:hAnsi="Times New Roman"/>
      <w:sz w:val="24"/>
    </w:rPr>
  </w:style>
  <w:style w:type="character" w:customStyle="1" w:styleId="Heading3Char">
    <w:name w:val="Heading 3 Char"/>
    <w:basedOn w:val="DefaultParagraphFont"/>
    <w:link w:val="Heading3"/>
    <w:uiPriority w:val="9"/>
    <w:rsid w:val="00E62428"/>
    <w:rPr>
      <w:rFonts w:ascii="Times New Roman" w:eastAsiaTheme="majorEastAsia" w:hAnsi="Times New Roman" w:cstheme="majorBidi"/>
      <w:b/>
      <w:sz w:val="24"/>
      <w:szCs w:val="24"/>
      <w:lang w:val="en-US"/>
    </w:rPr>
  </w:style>
  <w:style w:type="character" w:customStyle="1" w:styleId="Heading4Char">
    <w:name w:val="Heading 4 Char"/>
    <w:basedOn w:val="DefaultParagraphFont"/>
    <w:link w:val="Heading4"/>
    <w:uiPriority w:val="9"/>
    <w:rsid w:val="00E62428"/>
    <w:rPr>
      <w:rFonts w:ascii="Times New Roman" w:eastAsiaTheme="majorEastAsia" w:hAnsi="Times New Roman" w:cstheme="majorBidi"/>
      <w:iCs/>
      <w:lang w:val="en-US"/>
    </w:rPr>
  </w:style>
  <w:style w:type="character" w:customStyle="1" w:styleId="Heading5Char">
    <w:name w:val="Heading 5 Char"/>
    <w:basedOn w:val="DefaultParagraphFont"/>
    <w:link w:val="Heading5"/>
    <w:uiPriority w:val="9"/>
    <w:semiHidden/>
    <w:rsid w:val="00E62428"/>
    <w:rPr>
      <w:rFonts w:ascii="Times New Roman" w:eastAsiaTheme="majorEastAsia" w:hAnsi="Times New Roman" w:cstheme="majorBidi"/>
      <w:sz w:val="24"/>
      <w:lang w:val="en-US"/>
    </w:rPr>
  </w:style>
  <w:style w:type="paragraph" w:styleId="Title">
    <w:name w:val="Title"/>
    <w:basedOn w:val="Normal"/>
    <w:next w:val="Normal"/>
    <w:link w:val="TitleChar"/>
    <w:autoRedefine/>
    <w:uiPriority w:val="10"/>
    <w:qFormat/>
    <w:rsid w:val="00AF4E80"/>
    <w:pPr>
      <w:spacing w:after="0" w:line="240" w:lineRule="auto"/>
      <w:contextualSpacing/>
      <w:jc w:val="center"/>
    </w:pPr>
    <w:rPr>
      <w:rFonts w:eastAsiaTheme="majorEastAsia" w:cstheme="majorBidi"/>
      <w:spacing w:val="-10"/>
      <w:kern w:val="28"/>
      <w:sz w:val="40"/>
      <w:szCs w:val="56"/>
      <w:lang w:val="en-US"/>
    </w:rPr>
  </w:style>
  <w:style w:type="character" w:customStyle="1" w:styleId="TitleChar">
    <w:name w:val="Title Char"/>
    <w:basedOn w:val="DefaultParagraphFont"/>
    <w:link w:val="Title"/>
    <w:uiPriority w:val="10"/>
    <w:rsid w:val="00AF4E80"/>
    <w:rPr>
      <w:rFonts w:ascii="Times New Roman" w:eastAsiaTheme="majorEastAsia" w:hAnsi="Times New Roman" w:cstheme="majorBidi"/>
      <w:spacing w:val="-10"/>
      <w:kern w:val="28"/>
      <w:sz w:val="40"/>
      <w:szCs w:val="56"/>
    </w:rPr>
  </w:style>
  <w:style w:type="paragraph" w:styleId="Subtitle">
    <w:name w:val="Subtitle"/>
    <w:basedOn w:val="Normal"/>
    <w:next w:val="Normal"/>
    <w:link w:val="SubtitleChar"/>
    <w:autoRedefine/>
    <w:uiPriority w:val="11"/>
    <w:qFormat/>
    <w:rsid w:val="00E3106E"/>
    <w:pPr>
      <w:numPr>
        <w:ilvl w:val="1"/>
      </w:numPr>
      <w:jc w:val="center"/>
    </w:pPr>
    <w:rPr>
      <w:color w:val="5A5A5A" w:themeColor="text1" w:themeTint="A5"/>
      <w:spacing w:val="15"/>
      <w:sz w:val="28"/>
      <w:lang w:val="en-US"/>
    </w:rPr>
  </w:style>
  <w:style w:type="character" w:customStyle="1" w:styleId="SubtitleChar">
    <w:name w:val="Subtitle Char"/>
    <w:basedOn w:val="DefaultParagraphFont"/>
    <w:link w:val="Subtitle"/>
    <w:uiPriority w:val="11"/>
    <w:rsid w:val="00E3106E"/>
    <w:rPr>
      <w:rFonts w:ascii="Times New Roman" w:eastAsiaTheme="minorEastAsia" w:hAnsi="Times New Roman"/>
      <w:color w:val="5A5A5A" w:themeColor="text1" w:themeTint="A5"/>
      <w:spacing w:val="15"/>
      <w:sz w:val="28"/>
    </w:rPr>
  </w:style>
  <w:style w:type="paragraph" w:styleId="TOCHeading">
    <w:name w:val="TOC Heading"/>
    <w:basedOn w:val="Heading1"/>
    <w:next w:val="Normal"/>
    <w:autoRedefine/>
    <w:uiPriority w:val="39"/>
    <w:unhideWhenUsed/>
    <w:qFormat/>
    <w:rsid w:val="00E8345B"/>
    <w:pPr>
      <w:outlineLvl w:val="9"/>
    </w:pPr>
  </w:style>
  <w:style w:type="paragraph" w:styleId="Caption">
    <w:name w:val="caption"/>
    <w:basedOn w:val="Normal"/>
    <w:next w:val="Normal"/>
    <w:autoRedefine/>
    <w:uiPriority w:val="35"/>
    <w:unhideWhenUsed/>
    <w:qFormat/>
    <w:rsid w:val="00B03BCD"/>
    <w:pPr>
      <w:spacing w:after="80" w:line="240" w:lineRule="auto"/>
      <w:jc w:val="center"/>
    </w:pPr>
    <w:rPr>
      <w:iCs/>
      <w:color w:val="44546A" w:themeColor="text2"/>
      <w:sz w:val="18"/>
      <w:szCs w:val="18"/>
    </w:rPr>
  </w:style>
  <w:style w:type="character" w:styleId="SubtleEmphasis">
    <w:name w:val="Subtle Emphasis"/>
    <w:basedOn w:val="DefaultParagraphFont"/>
    <w:uiPriority w:val="19"/>
    <w:qFormat/>
    <w:rsid w:val="00290759"/>
    <w:rPr>
      <w:rFonts w:ascii="Times New Roman" w:hAnsi="Times New Roman"/>
      <w:i/>
      <w:iCs/>
      <w:color w:val="404040" w:themeColor="text1" w:themeTint="BF"/>
      <w:sz w:val="28"/>
    </w:rPr>
  </w:style>
  <w:style w:type="paragraph" w:styleId="TOC1">
    <w:name w:val="toc 1"/>
    <w:basedOn w:val="Normal"/>
    <w:next w:val="Normal"/>
    <w:autoRedefine/>
    <w:uiPriority w:val="39"/>
    <w:unhideWhenUsed/>
    <w:rsid w:val="0009616B"/>
    <w:pPr>
      <w:spacing w:after="100"/>
    </w:pPr>
  </w:style>
  <w:style w:type="character" w:styleId="Hyperlink">
    <w:name w:val="Hyperlink"/>
    <w:basedOn w:val="DefaultParagraphFont"/>
    <w:uiPriority w:val="99"/>
    <w:unhideWhenUsed/>
    <w:rsid w:val="0009616B"/>
    <w:rPr>
      <w:color w:val="0563C1" w:themeColor="hyperlink"/>
      <w:u w:val="single"/>
    </w:rPr>
  </w:style>
  <w:style w:type="paragraph" w:styleId="Header">
    <w:name w:val="header"/>
    <w:basedOn w:val="Normal"/>
    <w:link w:val="HeaderChar"/>
    <w:uiPriority w:val="99"/>
    <w:unhideWhenUsed/>
    <w:rsid w:val="00096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616B"/>
    <w:rPr>
      <w:rFonts w:ascii="Times New Roman" w:eastAsiaTheme="minorEastAsia" w:hAnsi="Times New Roman"/>
      <w:sz w:val="24"/>
      <w:lang w:eastAsia="en-GB"/>
    </w:rPr>
  </w:style>
  <w:style w:type="paragraph" w:styleId="Footer">
    <w:name w:val="footer"/>
    <w:basedOn w:val="Normal"/>
    <w:link w:val="FooterChar"/>
    <w:uiPriority w:val="99"/>
    <w:unhideWhenUsed/>
    <w:rsid w:val="00096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616B"/>
    <w:rPr>
      <w:rFonts w:ascii="Times New Roman" w:eastAsiaTheme="minorEastAsia" w:hAnsi="Times New Roman"/>
      <w:sz w:val="24"/>
      <w:lang w:eastAsia="en-GB"/>
    </w:rPr>
  </w:style>
  <w:style w:type="paragraph" w:styleId="ListParagraph">
    <w:name w:val="List Paragraph"/>
    <w:basedOn w:val="Normal"/>
    <w:uiPriority w:val="34"/>
    <w:qFormat/>
    <w:rsid w:val="00EB26DB"/>
    <w:pPr>
      <w:ind w:left="720"/>
      <w:contextualSpacing/>
    </w:pPr>
  </w:style>
  <w:style w:type="paragraph" w:customStyle="1" w:styleId="EndNoteBibliographyTitle">
    <w:name w:val="EndNote Bibliography Title"/>
    <w:basedOn w:val="Normal"/>
    <w:link w:val="EndNoteBibliographyTitleChar"/>
    <w:rsid w:val="00436F1B"/>
    <w:pPr>
      <w:spacing w:after="0"/>
      <w:jc w:val="center"/>
    </w:pPr>
    <w:rPr>
      <w:rFonts w:cs="Times New Roman"/>
      <w:noProof/>
    </w:rPr>
  </w:style>
  <w:style w:type="character" w:customStyle="1" w:styleId="EndNoteBibliographyTitleChar">
    <w:name w:val="EndNote Bibliography Title Char"/>
    <w:basedOn w:val="DefaultParagraphFont"/>
    <w:link w:val="EndNoteBibliographyTitle"/>
    <w:rsid w:val="00436F1B"/>
    <w:rPr>
      <w:rFonts w:ascii="Times New Roman" w:eastAsiaTheme="minorEastAsia" w:hAnsi="Times New Roman" w:cs="Times New Roman"/>
      <w:noProof/>
      <w:sz w:val="24"/>
      <w:lang w:eastAsia="en-GB"/>
    </w:rPr>
  </w:style>
  <w:style w:type="paragraph" w:customStyle="1" w:styleId="EndNoteBibliography">
    <w:name w:val="EndNote Bibliography"/>
    <w:basedOn w:val="Normal"/>
    <w:link w:val="EndNoteBibliographyChar"/>
    <w:rsid w:val="00436F1B"/>
    <w:pPr>
      <w:spacing w:line="240" w:lineRule="auto"/>
      <w:jc w:val="both"/>
    </w:pPr>
    <w:rPr>
      <w:rFonts w:cs="Times New Roman"/>
      <w:noProof/>
    </w:rPr>
  </w:style>
  <w:style w:type="character" w:customStyle="1" w:styleId="EndNoteBibliographyChar">
    <w:name w:val="EndNote Bibliography Char"/>
    <w:basedOn w:val="DefaultParagraphFont"/>
    <w:link w:val="EndNoteBibliography"/>
    <w:rsid w:val="00436F1B"/>
    <w:rPr>
      <w:rFonts w:ascii="Times New Roman" w:eastAsiaTheme="minorEastAsia" w:hAnsi="Times New Roman" w:cs="Times New Roman"/>
      <w:noProof/>
      <w:sz w:val="24"/>
      <w:lang w:eastAsia="en-GB"/>
    </w:rPr>
  </w:style>
  <w:style w:type="paragraph" w:styleId="TOC2">
    <w:name w:val="toc 2"/>
    <w:basedOn w:val="Normal"/>
    <w:next w:val="Normal"/>
    <w:autoRedefine/>
    <w:uiPriority w:val="39"/>
    <w:unhideWhenUsed/>
    <w:rsid w:val="00436F1B"/>
    <w:pPr>
      <w:spacing w:after="100"/>
      <w:ind w:left="240"/>
    </w:pPr>
  </w:style>
  <w:style w:type="paragraph" w:styleId="NormalWeb">
    <w:name w:val="Normal (Web)"/>
    <w:basedOn w:val="Normal"/>
    <w:uiPriority w:val="99"/>
    <w:semiHidden/>
    <w:unhideWhenUsed/>
    <w:rsid w:val="00B26F16"/>
    <w:pPr>
      <w:spacing w:before="100" w:beforeAutospacing="1" w:after="100" w:afterAutospacing="1" w:line="240" w:lineRule="auto"/>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4422329">
      <w:bodyDiv w:val="1"/>
      <w:marLeft w:val="0"/>
      <w:marRight w:val="0"/>
      <w:marTop w:val="0"/>
      <w:marBottom w:val="0"/>
      <w:divBdr>
        <w:top w:val="none" w:sz="0" w:space="0" w:color="auto"/>
        <w:left w:val="none" w:sz="0" w:space="0" w:color="auto"/>
        <w:bottom w:val="none" w:sz="0" w:space="0" w:color="auto"/>
        <w:right w:val="none" w:sz="0" w:space="0" w:color="auto"/>
      </w:divBdr>
    </w:div>
    <w:div w:id="2118789371">
      <w:bodyDiv w:val="1"/>
      <w:marLeft w:val="0"/>
      <w:marRight w:val="0"/>
      <w:marTop w:val="0"/>
      <w:marBottom w:val="0"/>
      <w:divBdr>
        <w:top w:val="none" w:sz="0" w:space="0" w:color="auto"/>
        <w:left w:val="none" w:sz="0" w:space="0" w:color="auto"/>
        <w:bottom w:val="none" w:sz="0" w:space="0" w:color="auto"/>
        <w:right w:val="none" w:sz="0" w:space="0" w:color="auto"/>
      </w:divBdr>
      <w:divsChild>
        <w:div w:id="411238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D3472-94D3-45C0-8945-C12FC11F2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2819</Words>
  <Characters>16074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2022-12-03T14:11:00Z</dcterms:created>
  <dcterms:modified xsi:type="dcterms:W3CDTF">2022-12-03T14:33:00Z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9f8fa83beea05329a06a069f490798e488a4d8e2a235e8dace1a2d8894ef21f1</vt:lpwstr>
  </property>
</Properties>
</file>