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3.png" ContentType="image/png"/>
  <Override PartName="/word/media/image1.jpeg" ContentType="image/jpeg"/>
  <Override PartName="/word/media/image2.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eastAsia="Calibri" w:cs="Arial"/>
          <w:b/>
          <w:b/>
          <w:bCs/>
          <w:szCs w:val="24"/>
        </w:rPr>
      </w:pPr>
      <w:r>
        <w:rPr/>
        <w:drawing>
          <wp:inline distT="0" distB="0" distL="0" distR="0">
            <wp:extent cx="4365625" cy="1747520"/>
            <wp:effectExtent l="0" t="0" r="0" b="0"/>
            <wp:docPr id="1" name="Picture 1" descr="Description: C:\Users\Asus\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C:\Users\Asus\Desktop\UWTSD-Logo.jpg"/>
                    <pic:cNvPicPr>
                      <a:picLocks noChangeAspect="1" noChangeArrowheads="1"/>
                    </pic:cNvPicPr>
                  </pic:nvPicPr>
                  <pic:blipFill>
                    <a:blip r:embed="rId2"/>
                    <a:stretch>
                      <a:fillRect/>
                    </a:stretch>
                  </pic:blipFill>
                  <pic:spPr bwMode="auto">
                    <a:xfrm>
                      <a:off x="0" y="0"/>
                      <a:ext cx="4365625" cy="1747520"/>
                    </a:xfrm>
                    <a:prstGeom prst="rect">
                      <a:avLst/>
                    </a:prstGeom>
                  </pic:spPr>
                </pic:pic>
              </a:graphicData>
            </a:graphic>
          </wp:inline>
        </w:drawing>
      </w:r>
    </w:p>
    <w:p>
      <w:pPr>
        <w:pStyle w:val="Normal"/>
        <w:jc w:val="center"/>
        <w:rPr>
          <w:rFonts w:eastAsia="Calibri" w:cs="Arial"/>
          <w:b/>
          <w:b/>
          <w:bCs/>
          <w:szCs w:val="24"/>
        </w:rPr>
      </w:pPr>
      <w:r>
        <w:rPr>
          <w:rFonts w:eastAsia="Calibri" w:cs="Arial"/>
          <w:b/>
          <w:bCs/>
          <w:szCs w:val="24"/>
        </w:rPr>
      </w:r>
    </w:p>
    <w:p>
      <w:pPr>
        <w:pStyle w:val="Normal"/>
        <w:jc w:val="center"/>
        <w:rPr>
          <w:rFonts w:eastAsia="Calibri" w:cs="Arial"/>
          <w:b/>
          <w:b/>
          <w:bCs/>
          <w:sz w:val="40"/>
          <w:szCs w:val="24"/>
        </w:rPr>
      </w:pPr>
      <w:r>
        <w:rPr>
          <w:rFonts w:eastAsia="Calibri" w:cs="Arial"/>
          <w:b/>
          <w:bCs/>
          <w:sz w:val="40"/>
          <w:szCs w:val="24"/>
        </w:rPr>
        <w:t>LCBB5001: Entrepreneurship</w:t>
      </w:r>
    </w:p>
    <w:p>
      <w:pPr>
        <w:pStyle w:val="Normal"/>
        <w:jc w:val="center"/>
        <w:rPr>
          <w:rFonts w:eastAsia="Calibri" w:cs="Arial"/>
          <w:b/>
          <w:b/>
          <w:bCs/>
          <w:sz w:val="32"/>
          <w:szCs w:val="24"/>
        </w:rPr>
      </w:pPr>
      <w:r>
        <w:rPr>
          <w:rFonts w:eastAsia="Calibri" w:cs="Arial"/>
          <w:b/>
          <w:bCs/>
          <w:sz w:val="32"/>
          <w:szCs w:val="24"/>
        </w:rPr>
        <w:t>(Assessment 2: Business Plan)</w:t>
      </w:r>
    </w:p>
    <w:p>
      <w:pPr>
        <w:pStyle w:val="Normal"/>
        <w:jc w:val="center"/>
        <w:rPr>
          <w:rFonts w:eastAsia="Calibri" w:cs="Arial"/>
          <w:b/>
          <w:b/>
          <w:bCs/>
          <w:szCs w:val="24"/>
        </w:rPr>
      </w:pPr>
      <w:r>
        <w:rPr>
          <w:rFonts w:eastAsia="Calibri" w:cs="Arial"/>
          <w:b/>
          <w:bCs/>
          <w:szCs w:val="24"/>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center"/>
        <w:rPr>
          <w:rFonts w:cs="Arial"/>
          <w:szCs w:val="24"/>
        </w:rPr>
      </w:pPr>
      <w:r>
        <w:rPr/>
      </w:r>
    </w:p>
    <w:p>
      <w:pPr>
        <w:pStyle w:val="Normal"/>
        <w:jc w:val="right"/>
        <w:rPr>
          <w:rFonts w:cs="Arial"/>
          <w:szCs w:val="24"/>
        </w:rPr>
      </w:pPr>
      <w:r>
        <w:rPr>
          <w:rFonts w:cs="Arial"/>
          <w:szCs w:val="24"/>
        </w:rPr>
        <w:t>Tutor: Dr John-Paul Okeke</w:t>
      </w:r>
    </w:p>
    <w:p>
      <w:pPr>
        <w:pStyle w:val="Normal"/>
        <w:jc w:val="right"/>
        <w:rPr>
          <w:rFonts w:cs="Arial"/>
          <w:szCs w:val="24"/>
        </w:rPr>
      </w:pPr>
      <w:r>
        <w:rPr>
          <w:rFonts w:cs="Arial"/>
          <w:szCs w:val="24"/>
        </w:rPr>
        <w:t>Student Name: Ana Baicu</w:t>
      </w:r>
    </w:p>
    <w:p>
      <w:pPr>
        <w:pStyle w:val="Normal"/>
        <w:jc w:val="right"/>
        <w:rPr/>
      </w:pPr>
      <w:r>
        <w:rPr>
          <w:rFonts w:cs="Arial"/>
          <w:szCs w:val="24"/>
        </w:rPr>
        <w:t>Student ID: 2012401</w:t>
      </w:r>
    </w:p>
    <w:p>
      <w:pPr>
        <w:pStyle w:val="Normal"/>
        <w:jc w:val="center"/>
        <w:rPr/>
      </w:pPr>
      <w:r>
        <w:rPr>
          <w:rFonts w:cs="Arial"/>
          <w:szCs w:val="24"/>
        </w:rPr>
        <w:t xml:space="preserve">Table </w:t>
      </w:r>
      <w:bookmarkStart w:id="0" w:name="_GoBack"/>
      <w:bookmarkEnd w:id="0"/>
      <w:r>
        <w:rPr>
          <w:rFonts w:cs="Arial"/>
          <w:szCs w:val="24"/>
        </w:rPr>
        <w:t>of Contents</w:t>
      </w:r>
    </w:p>
    <w:sdt>
      <w:sdtPr>
        <w:docPartObj>
          <w:docPartGallery w:val="Table of Contents"/>
          <w:docPartUnique w:val="true"/>
        </w:docPartObj>
      </w:sdtPr>
      <w:sdtContent>
        <w:p>
          <w:pPr>
            <w:pStyle w:val="Contents1"/>
            <w:tabs>
              <w:tab w:val="clear" w:pos="720"/>
              <w:tab w:val="right" w:pos="9350" w:leader="dot"/>
            </w:tabs>
            <w:rPr>
              <w:rFonts w:ascii="Calibri" w:hAnsi="Calibri" w:eastAsia="" w:asciiTheme="minorHAnsi" w:eastAsiaTheme="minorEastAsia" w:hAnsiTheme="minorHAnsi"/>
              <w:sz w:val="22"/>
            </w:rPr>
          </w:pPr>
          <w:r>
            <w:fldChar w:fldCharType="begin"/>
          </w:r>
          <w:r>
            <w:rPr>
              <w:webHidden/>
              <w:rStyle w:val="IndexLink"/>
              <w:vanish w:val="false"/>
              <w:rFonts w:cs="Arial"/>
            </w:rPr>
            <w:instrText> TOC \z \o "1-3" \u \h</w:instrText>
          </w:r>
          <w:r>
            <w:rPr>
              <w:webHidden/>
              <w:rStyle w:val="IndexLink"/>
              <w:vanish w:val="false"/>
              <w:rFonts w:cs="Arial"/>
            </w:rPr>
            <w:fldChar w:fldCharType="separate"/>
          </w:r>
          <w:hyperlink w:anchor="_Toc98715642">
            <w:r>
              <w:rPr>
                <w:webHidden/>
                <w:rStyle w:val="IndexLink"/>
                <w:rFonts w:cs="Arial"/>
                <w:vanish w:val="false"/>
              </w:rPr>
              <w:t>Introduction</w:t>
            </w:r>
            <w:r>
              <w:rPr>
                <w:webHidden/>
              </w:rPr>
              <w:fldChar w:fldCharType="begin"/>
            </w:r>
            <w:r>
              <w:rPr>
                <w:webHidden/>
              </w:rPr>
              <w:instrText>PAGEREF _Toc98715642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43">
            <w:r>
              <w:rPr>
                <w:webHidden/>
                <w:rStyle w:val="IndexLink"/>
                <w:rFonts w:cs="Arial"/>
                <w:vanish w:val="false"/>
              </w:rPr>
              <w:t>Business Opportunity</w:t>
            </w:r>
            <w:r>
              <w:rPr>
                <w:webHidden/>
              </w:rPr>
              <w:fldChar w:fldCharType="begin"/>
            </w:r>
            <w:r>
              <w:rPr>
                <w:webHidden/>
              </w:rPr>
              <w:instrText>PAGEREF _Toc98715643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44">
            <w:r>
              <w:rPr>
                <w:webHidden/>
                <w:rStyle w:val="IndexLink"/>
                <w:rFonts w:cs="Arial"/>
                <w:vanish w:val="false"/>
              </w:rPr>
              <w:t>Company Description</w:t>
            </w:r>
            <w:r>
              <w:rPr>
                <w:webHidden/>
              </w:rPr>
              <w:fldChar w:fldCharType="begin"/>
            </w:r>
            <w:r>
              <w:rPr>
                <w:webHidden/>
              </w:rPr>
              <w:instrText>PAGEREF _Toc98715644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45">
            <w:r>
              <w:rPr>
                <w:webHidden/>
                <w:rStyle w:val="IndexLink"/>
                <w:rFonts w:cs="Arial"/>
                <w:vanish w:val="false"/>
              </w:rPr>
              <w:t>Industry Analysis</w:t>
            </w:r>
            <w:r>
              <w:rPr>
                <w:webHidden/>
              </w:rPr>
              <w:fldChar w:fldCharType="begin"/>
            </w:r>
            <w:r>
              <w:rPr>
                <w:webHidden/>
              </w:rPr>
              <w:instrText>PAGEREF _Toc98715645 \h</w:instrText>
            </w:r>
            <w:r>
              <w:rPr>
                <w:webHidden/>
              </w:rPr>
              <w:fldChar w:fldCharType="separate"/>
            </w:r>
            <w:r>
              <w:rPr>
                <w:rStyle w:val="IndexLink"/>
                <w:vanish w:val="false"/>
              </w:rPr>
              <w:tab/>
              <w:t>2</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46">
            <w:r>
              <w:rPr>
                <w:webHidden/>
                <w:rStyle w:val="IndexLink"/>
                <w:rFonts w:cs="Arial"/>
                <w:vanish w:val="false"/>
              </w:rPr>
              <w:t>Operational Plan</w:t>
            </w:r>
            <w:r>
              <w:rPr>
                <w:webHidden/>
              </w:rPr>
              <w:fldChar w:fldCharType="begin"/>
            </w:r>
            <w:r>
              <w:rPr>
                <w:webHidden/>
              </w:rPr>
              <w:instrText>PAGEREF _Toc98715646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47">
            <w:r>
              <w:rPr>
                <w:webHidden/>
                <w:rStyle w:val="IndexLink"/>
                <w:rFonts w:cs="Arial"/>
                <w:vanish w:val="false"/>
              </w:rPr>
              <w:t>Marketing Plan</w:t>
            </w:r>
            <w:r>
              <w:rPr>
                <w:webHidden/>
              </w:rPr>
              <w:fldChar w:fldCharType="begin"/>
            </w:r>
            <w:r>
              <w:rPr>
                <w:webHidden/>
              </w:rPr>
              <w:instrText>PAGEREF _Toc98715647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48">
            <w:r>
              <w:rPr>
                <w:webHidden/>
                <w:rStyle w:val="IndexLink"/>
                <w:rFonts w:cs="Arial"/>
                <w:vanish w:val="false"/>
              </w:rPr>
              <w:t>Financial Plan</w:t>
            </w:r>
            <w:r>
              <w:rPr>
                <w:webHidden/>
              </w:rPr>
              <w:fldChar w:fldCharType="begin"/>
            </w:r>
            <w:r>
              <w:rPr>
                <w:webHidden/>
              </w:rPr>
              <w:instrText>PAGEREF _Toc98715648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49">
            <w:r>
              <w:rPr>
                <w:webHidden/>
                <w:rStyle w:val="IndexLink"/>
                <w:rFonts w:cs="Arial"/>
                <w:vanish w:val="false"/>
              </w:rPr>
              <w:t>Market Research</w:t>
            </w:r>
            <w:r>
              <w:rPr>
                <w:webHidden/>
              </w:rPr>
              <w:fldChar w:fldCharType="begin"/>
            </w:r>
            <w:r>
              <w:rPr>
                <w:webHidden/>
              </w:rPr>
              <w:instrText>PAGEREF _Toc98715649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50">
            <w:r>
              <w:rPr>
                <w:webHidden/>
                <w:rStyle w:val="IndexLink"/>
                <w:rFonts w:cs="Arial"/>
                <w:vanish w:val="false"/>
              </w:rPr>
              <w:t>Conclusion</w:t>
            </w:r>
            <w:r>
              <w:rPr>
                <w:webHidden/>
              </w:rPr>
              <w:fldChar w:fldCharType="begin"/>
            </w:r>
            <w:r>
              <w:rPr>
                <w:webHidden/>
              </w:rPr>
              <w:instrText>PAGEREF _Toc98715650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98715651">
            <w:r>
              <w:rPr>
                <w:webHidden/>
                <w:rStyle w:val="IndexLink"/>
                <w:rFonts w:cs="Arial"/>
                <w:vanish w:val="false"/>
              </w:rPr>
              <w:t>References</w:t>
            </w:r>
            <w:r>
              <w:rPr>
                <w:webHidden/>
              </w:rPr>
              <w:fldChar w:fldCharType="begin"/>
            </w:r>
            <w:r>
              <w:rPr>
                <w:webHidden/>
              </w:rPr>
              <w:instrText>PAGEREF _Toc98715651 \h</w:instrText>
            </w:r>
            <w:r>
              <w:rPr>
                <w:webHidden/>
              </w:rPr>
              <w:fldChar w:fldCharType="separate"/>
            </w:r>
            <w:r>
              <w:rPr>
                <w:rStyle w:val="IndexLink"/>
                <w:vanish w:val="false"/>
              </w:rPr>
              <w:tab/>
              <w:t>9</w:t>
            </w:r>
            <w:r>
              <w:rPr>
                <w:webHidden/>
              </w:rPr>
              <w:fldChar w:fldCharType="end"/>
            </w:r>
          </w:hyperlink>
        </w:p>
        <w:p>
          <w:pPr>
            <w:pStyle w:val="Normal"/>
            <w:rPr>
              <w:rFonts w:cs="Arial"/>
              <w:szCs w:val="24"/>
            </w:rPr>
          </w:pPr>
          <w:r>
            <w:rPr>
              <w:rFonts w:cs="Arial"/>
              <w:szCs w:val="24"/>
            </w:rPr>
          </w:r>
          <w:r>
            <w:rPr>
              <w:szCs w:val="24"/>
              <w:rFonts w:cs="Arial"/>
            </w:rPr>
            <w:fldChar w:fldCharType="end"/>
          </w:r>
        </w:p>
      </w:sdtContent>
    </w:sdt>
    <w:p>
      <w:pPr>
        <w:pStyle w:val="Heading1"/>
        <w:rPr>
          <w:rFonts w:cs="Arial"/>
        </w:rPr>
      </w:pPr>
      <w:bookmarkStart w:id="1" w:name="_Toc98715642"/>
      <w:r>
        <w:rPr>
          <w:rFonts w:cs="Arial"/>
        </w:rPr>
        <w:t>Introduction</w:t>
      </w:r>
      <w:bookmarkEnd w:id="1"/>
    </w:p>
    <w:p>
      <w:pPr>
        <w:pStyle w:val="Normal"/>
        <w:rPr>
          <w:rFonts w:cs="Arial"/>
          <w:szCs w:val="24"/>
        </w:rPr>
      </w:pPr>
      <w:r>
        <w:rPr>
          <w:rFonts w:cs="Arial"/>
          <w:szCs w:val="24"/>
        </w:rPr>
        <w:t>From the beginning of our student life, we always want to start our own business to contribute to society. We were looking for innovative ideas to disrupt the existing market and create an impact on society. We have spent lots of our time brainstorming ideas. In the last two years, around 20 million people got infected by Covid-19 and around 164,000 people died by Covid-19. Covid-19 becomes critical to the people who have been suffering from diabetes, blood pressure, cardiovascular disease, etc. which are the direct side effects of soft drink consumption. Then we started looking for a healthy substitute for the existing soft drink. After multiple pieces of research, we found an idea to sell coconut juice in cans and bottles. We have a diversified team to start and make the business successful.</w:t>
      </w:r>
    </w:p>
    <w:p>
      <w:pPr>
        <w:pStyle w:val="Heading1"/>
        <w:rPr>
          <w:rFonts w:cs="Arial"/>
        </w:rPr>
      </w:pPr>
      <w:bookmarkStart w:id="2" w:name="_Toc98715643"/>
      <w:r>
        <w:rPr>
          <w:rFonts w:cs="Arial"/>
        </w:rPr>
        <w:t>Business Opportunity</w:t>
      </w:r>
      <w:bookmarkEnd w:id="2"/>
    </w:p>
    <w:p>
      <w:pPr>
        <w:pStyle w:val="Normal"/>
        <w:rPr>
          <w:rFonts w:cs="Arial"/>
          <w:szCs w:val="24"/>
        </w:rPr>
      </w:pPr>
      <w:r>
        <w:rPr>
          <w:rFonts w:cs="Arial"/>
          <w:szCs w:val="24"/>
        </w:rPr>
        <w:t>According to Statista (2022), per capita, soft drink consumption in the United Kingdom is around 73.8 litres in 2021. Although there is no nutritional value, regular drinking of Sugar-based soft drinks causes high blood pressure, obesity, dental caries, type 2 diabetes, cardiovascular disease, and many other health complexities. People with the underlying problem of high blood pressure, diabetes, heart disease, etc. are at great risk of serious illness when they are affected by COVID 19. So if we can bring a healthy substitute for a sugar-based soft drink, it will disrupt the existing soft drink market in the post-covid-19 world.</w:t>
      </w:r>
    </w:p>
    <w:p>
      <w:pPr>
        <w:pStyle w:val="Heading1"/>
        <w:rPr>
          <w:rFonts w:cs="Arial"/>
        </w:rPr>
      </w:pPr>
      <w:bookmarkStart w:id="3" w:name="_Toc98715644"/>
      <w:r>
        <w:rPr>
          <w:rFonts w:cs="Arial"/>
        </w:rPr>
        <w:t>Company Description</w:t>
      </w:r>
      <w:bookmarkEnd w:id="3"/>
    </w:p>
    <w:p>
      <w:pPr>
        <w:pStyle w:val="Normal"/>
        <w:ind w:right="27" w:hanging="0"/>
        <w:rPr>
          <w:rFonts w:cs="Arial"/>
          <w:szCs w:val="24"/>
        </w:rPr>
      </w:pPr>
      <w:r>
        <w:rPr>
          <w:rFonts w:cs="Arial"/>
          <w:szCs w:val="24"/>
        </w:rPr>
        <w:t xml:space="preserve">The name of our company is CocoJuice. Our Head office will be in Cardiff, Wales. Our main business is to process and sell fresh tender coconut water into cans and bottles. </w:t>
      </w:r>
    </w:p>
    <w:p>
      <w:pPr>
        <w:pStyle w:val="Normal"/>
        <w:ind w:right="27" w:hanging="0"/>
        <w:rPr>
          <w:rFonts w:cs="Arial"/>
          <w:b/>
          <w:b/>
          <w:szCs w:val="24"/>
        </w:rPr>
      </w:pPr>
      <w:r>
        <w:rPr>
          <w:rFonts w:cs="Arial"/>
          <w:b/>
          <w:szCs w:val="24"/>
        </w:rPr>
        <w:t>Mission:</w:t>
      </w:r>
      <w:r>
        <w:rPr>
          <w:rFonts w:cs="Arial"/>
          <w:szCs w:val="24"/>
        </w:rPr>
        <w:t xml:space="preserve"> Fresh and healthy drink for every sip. </w:t>
      </w:r>
    </w:p>
    <w:p>
      <w:pPr>
        <w:pStyle w:val="Normal"/>
        <w:rPr>
          <w:rFonts w:cs="Arial"/>
          <w:szCs w:val="24"/>
        </w:rPr>
      </w:pPr>
      <w:r>
        <w:rPr>
          <w:rFonts w:cs="Arial"/>
          <w:b/>
          <w:szCs w:val="24"/>
        </w:rPr>
        <w:t>Our Solution</w:t>
      </w:r>
      <w:r>
        <w:rPr>
          <w:rFonts w:cs="Arial"/>
          <w:szCs w:val="24"/>
        </w:rPr>
        <w:t>: We will process and sell tender coconut water in three different brands to meet the thirst of our consumers.</w:t>
      </w:r>
    </w:p>
    <w:tbl>
      <w:tblPr>
        <w:tblStyle w:val="TableGrid"/>
        <w:tblW w:w="9360" w:type="dxa"/>
        <w:jc w:val="left"/>
        <w:tblInd w:w="109" w:type="dxa"/>
        <w:tblCellMar>
          <w:top w:w="0" w:type="dxa"/>
          <w:left w:w="108" w:type="dxa"/>
          <w:bottom w:w="0" w:type="dxa"/>
          <w:right w:w="108" w:type="dxa"/>
        </w:tblCellMar>
        <w:tblLook w:firstRow="1" w:noVBand="1" w:lastRow="0" w:firstColumn="1" w:lastColumn="0" w:noHBand="0" w:val="04a0"/>
      </w:tblPr>
      <w:tblGrid>
        <w:gridCol w:w="664"/>
        <w:gridCol w:w="222"/>
        <w:gridCol w:w="1582"/>
        <w:gridCol w:w="5087"/>
        <w:gridCol w:w="1805"/>
      </w:tblGrid>
      <w:tr>
        <w:trPr>
          <w:trHeight w:val="261" w:hRule="atLeast"/>
        </w:trPr>
        <w:tc>
          <w:tcPr>
            <w:tcW w:w="664" w:type="dxa"/>
            <w:tcBorders/>
            <w:shd w:fill="auto" w:val="clear"/>
            <w:vAlign w:val="center"/>
          </w:tcPr>
          <w:p>
            <w:pPr>
              <w:pStyle w:val="Normal"/>
              <w:tabs>
                <w:tab w:val="clear" w:pos="720"/>
                <w:tab w:val="left" w:pos="6396" w:leader="none"/>
              </w:tabs>
              <w:spacing w:lineRule="auto" w:line="240" w:before="0" w:after="0"/>
              <w:rPr>
                <w:rFonts w:cs="Arial"/>
                <w:b/>
                <w:b/>
                <w:szCs w:val="24"/>
              </w:rPr>
            </w:pPr>
            <w:r>
              <w:rPr>
                <w:rFonts w:eastAsia="" w:cs="Arial" w:eastAsiaTheme="minorEastAsia"/>
                <w:b/>
                <w:szCs w:val="24"/>
              </w:rPr>
              <w:t>Sl. No.</w:t>
            </w:r>
          </w:p>
        </w:tc>
        <w:tc>
          <w:tcPr>
            <w:tcW w:w="222" w:type="dxa"/>
            <w:tcBorders/>
            <w:shd w:fill="auto" w:val="clear"/>
          </w:tcPr>
          <w:p>
            <w:pPr>
              <w:pStyle w:val="Normal"/>
              <w:tabs>
                <w:tab w:val="clear" w:pos="720"/>
                <w:tab w:val="left" w:pos="2450" w:leader="none"/>
              </w:tabs>
              <w:spacing w:lineRule="auto" w:line="240" w:before="0" w:after="0"/>
              <w:rPr>
                <w:rFonts w:eastAsia="" w:cs="Arial" w:eastAsiaTheme="minorEastAsia"/>
                <w:b/>
                <w:b/>
                <w:szCs w:val="24"/>
              </w:rPr>
            </w:pPr>
            <w:r>
              <w:rPr>
                <w:rFonts w:eastAsia="" w:cs="Arial" w:eastAsiaTheme="minorEastAsia"/>
                <w:b/>
                <w:szCs w:val="24"/>
              </w:rPr>
            </w:r>
          </w:p>
        </w:tc>
        <w:tc>
          <w:tcPr>
            <w:tcW w:w="1582" w:type="dxa"/>
            <w:tcBorders/>
            <w:shd w:fill="auto" w:val="clear"/>
            <w:vAlign w:val="center"/>
          </w:tcPr>
          <w:p>
            <w:pPr>
              <w:pStyle w:val="Normal"/>
              <w:tabs>
                <w:tab w:val="clear" w:pos="720"/>
                <w:tab w:val="left" w:pos="2450" w:leader="none"/>
              </w:tabs>
              <w:spacing w:lineRule="auto" w:line="240" w:before="0" w:after="0"/>
              <w:rPr>
                <w:rFonts w:cs="Arial"/>
                <w:b/>
                <w:b/>
                <w:szCs w:val="24"/>
              </w:rPr>
            </w:pPr>
            <w:r>
              <w:rPr>
                <w:rFonts w:eastAsia="" w:cs="Arial" w:eastAsiaTheme="minorEastAsia"/>
                <w:b/>
                <w:szCs w:val="24"/>
              </w:rPr>
              <w:t>Product Name</w:t>
            </w:r>
          </w:p>
        </w:tc>
        <w:tc>
          <w:tcPr>
            <w:tcW w:w="5087" w:type="dxa"/>
            <w:tcBorders/>
            <w:shd w:fill="auto" w:val="clear"/>
            <w:vAlign w:val="center"/>
          </w:tcPr>
          <w:p>
            <w:pPr>
              <w:pStyle w:val="Normal"/>
              <w:tabs>
                <w:tab w:val="clear" w:pos="720"/>
                <w:tab w:val="left" w:pos="6396" w:leader="none"/>
              </w:tabs>
              <w:spacing w:lineRule="auto" w:line="240" w:before="0" w:after="0"/>
              <w:rPr>
                <w:rFonts w:cs="Arial"/>
                <w:b/>
                <w:b/>
                <w:szCs w:val="24"/>
              </w:rPr>
            </w:pPr>
            <w:r>
              <w:rPr>
                <w:rFonts w:eastAsia="" w:cs="Arial" w:eastAsiaTheme="minorEastAsia"/>
                <w:b/>
                <w:szCs w:val="24"/>
              </w:rPr>
              <w:t>Ingredients</w:t>
            </w:r>
          </w:p>
        </w:tc>
        <w:tc>
          <w:tcPr>
            <w:tcW w:w="1805" w:type="dxa"/>
            <w:tcBorders/>
            <w:shd w:fill="auto" w:val="clear"/>
            <w:vAlign w:val="center"/>
          </w:tcPr>
          <w:p>
            <w:pPr>
              <w:pStyle w:val="Normal"/>
              <w:tabs>
                <w:tab w:val="clear" w:pos="720"/>
                <w:tab w:val="left" w:pos="6396" w:leader="none"/>
              </w:tabs>
              <w:spacing w:lineRule="auto" w:line="240" w:before="0" w:after="0"/>
              <w:rPr>
                <w:rFonts w:cs="Arial"/>
                <w:b/>
                <w:b/>
                <w:szCs w:val="24"/>
              </w:rPr>
            </w:pPr>
            <w:r>
              <w:rPr>
                <w:rFonts w:eastAsia="" w:cs="Arial" w:eastAsiaTheme="minorEastAsia"/>
                <w:b/>
                <w:szCs w:val="24"/>
              </w:rPr>
              <w:t>Available Sizes</w:t>
            </w:r>
          </w:p>
        </w:tc>
      </w:tr>
      <w:tr>
        <w:trPr>
          <w:trHeight w:val="261" w:hRule="atLeast"/>
        </w:trPr>
        <w:tc>
          <w:tcPr>
            <w:tcW w:w="664" w:type="dxa"/>
            <w:tcBorders/>
            <w:shd w:fill="auto" w:val="clear"/>
            <w:vAlign w:val="center"/>
          </w:tcPr>
          <w:p>
            <w:pPr>
              <w:pStyle w:val="ListParagraph"/>
              <w:numPr>
                <w:ilvl w:val="0"/>
                <w:numId w:val="1"/>
              </w:numPr>
              <w:tabs>
                <w:tab w:val="clear" w:pos="720"/>
                <w:tab w:val="left" w:pos="6396" w:leader="none"/>
              </w:tabs>
              <w:spacing w:lineRule="auto" w:line="360" w:before="0" w:after="0"/>
              <w:contextualSpacing/>
              <w:rPr>
                <w:rFonts w:ascii="Arial" w:hAnsi="Arial" w:eastAsia="" w:cs="Arial"/>
                <w:color w:val="auto"/>
                <w:szCs w:val="24"/>
              </w:rPr>
            </w:pPr>
            <w:r>
              <w:rPr>
                <w:rFonts w:eastAsia="" w:cs="Arial" w:ascii="Arial" w:hAnsi="Arial"/>
                <w:color w:val="auto"/>
                <w:szCs w:val="24"/>
              </w:rPr>
            </w:r>
          </w:p>
        </w:tc>
        <w:tc>
          <w:tcPr>
            <w:tcW w:w="222" w:type="dxa"/>
            <w:tcBorders/>
            <w:shd w:fill="auto" w:val="clear"/>
          </w:tcPr>
          <w:p>
            <w:pPr>
              <w:pStyle w:val="Normal"/>
              <w:tabs>
                <w:tab w:val="clear" w:pos="720"/>
                <w:tab w:val="left" w:pos="6396" w:leader="none"/>
              </w:tabs>
              <w:spacing w:lineRule="auto" w:line="240" w:before="0" w:after="0"/>
              <w:rPr>
                <w:rFonts w:eastAsia="" w:cs="Arial" w:eastAsiaTheme="minorEastAsia"/>
                <w:szCs w:val="24"/>
              </w:rPr>
            </w:pPr>
            <w:r>
              <w:rPr>
                <w:rFonts w:eastAsia="" w:cs="Arial" w:eastAsiaTheme="minorEastAsia"/>
                <w:szCs w:val="24"/>
              </w:rPr>
            </w:r>
          </w:p>
        </w:tc>
        <w:tc>
          <w:tcPr>
            <w:tcW w:w="1582"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 xml:space="preserve">Coco Natural </w:t>
            </w:r>
          </w:p>
        </w:tc>
        <w:tc>
          <w:tcPr>
            <w:tcW w:w="5087"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Natural coconut water and vitamin C</w:t>
            </w:r>
          </w:p>
        </w:tc>
        <w:tc>
          <w:tcPr>
            <w:tcW w:w="1805"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200 ml, 400 ml &amp; 800 ml</w:t>
            </w:r>
          </w:p>
        </w:tc>
      </w:tr>
      <w:tr>
        <w:trPr>
          <w:trHeight w:val="699" w:hRule="atLeast"/>
        </w:trPr>
        <w:tc>
          <w:tcPr>
            <w:tcW w:w="664" w:type="dxa"/>
            <w:tcBorders/>
            <w:shd w:fill="auto" w:val="clear"/>
            <w:vAlign w:val="center"/>
          </w:tcPr>
          <w:p>
            <w:pPr>
              <w:pStyle w:val="ListParagraph"/>
              <w:numPr>
                <w:ilvl w:val="0"/>
                <w:numId w:val="1"/>
              </w:numPr>
              <w:tabs>
                <w:tab w:val="clear" w:pos="720"/>
                <w:tab w:val="left" w:pos="6396" w:leader="none"/>
              </w:tabs>
              <w:spacing w:lineRule="auto" w:line="360" w:before="0" w:after="0"/>
              <w:contextualSpacing/>
              <w:rPr>
                <w:rFonts w:ascii="Arial" w:hAnsi="Arial" w:eastAsia="" w:cs="Arial"/>
                <w:color w:val="auto"/>
                <w:szCs w:val="24"/>
              </w:rPr>
            </w:pPr>
            <w:r>
              <w:rPr>
                <w:rFonts w:eastAsia="" w:cs="Arial" w:ascii="Arial" w:hAnsi="Arial"/>
                <w:color w:val="auto"/>
                <w:szCs w:val="24"/>
              </w:rPr>
            </w:r>
          </w:p>
        </w:tc>
        <w:tc>
          <w:tcPr>
            <w:tcW w:w="222" w:type="dxa"/>
            <w:tcBorders/>
            <w:shd w:fill="auto" w:val="clear"/>
          </w:tcPr>
          <w:p>
            <w:pPr>
              <w:pStyle w:val="Normal"/>
              <w:tabs>
                <w:tab w:val="clear" w:pos="720"/>
                <w:tab w:val="left" w:pos="6396" w:leader="none"/>
              </w:tabs>
              <w:spacing w:lineRule="auto" w:line="240" w:before="0" w:after="0"/>
              <w:rPr>
                <w:rFonts w:eastAsia="" w:cs="Arial" w:eastAsiaTheme="minorEastAsia"/>
                <w:szCs w:val="24"/>
              </w:rPr>
            </w:pPr>
            <w:r>
              <w:rPr>
                <w:rFonts w:eastAsia="" w:cs="Arial" w:eastAsiaTheme="minorEastAsia"/>
                <w:szCs w:val="24"/>
              </w:rPr>
            </w:r>
          </w:p>
        </w:tc>
        <w:tc>
          <w:tcPr>
            <w:tcW w:w="1582"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 xml:space="preserve">Coco Fruits </w:t>
            </w:r>
          </w:p>
        </w:tc>
        <w:tc>
          <w:tcPr>
            <w:tcW w:w="5087"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 xml:space="preserve">Coconut Water, Natural Fruit (Mango, orange, strawberry), vitamin C and chocolate. </w:t>
            </w:r>
          </w:p>
        </w:tc>
        <w:tc>
          <w:tcPr>
            <w:tcW w:w="1805"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200 ml, 400 ml &amp; 800 ml</w:t>
            </w:r>
          </w:p>
        </w:tc>
      </w:tr>
      <w:tr>
        <w:trPr>
          <w:trHeight w:val="529" w:hRule="atLeast"/>
        </w:trPr>
        <w:tc>
          <w:tcPr>
            <w:tcW w:w="664" w:type="dxa"/>
            <w:tcBorders/>
            <w:shd w:fill="auto" w:val="clear"/>
            <w:vAlign w:val="center"/>
          </w:tcPr>
          <w:p>
            <w:pPr>
              <w:pStyle w:val="ListParagraph"/>
              <w:numPr>
                <w:ilvl w:val="0"/>
                <w:numId w:val="1"/>
              </w:numPr>
              <w:tabs>
                <w:tab w:val="clear" w:pos="720"/>
                <w:tab w:val="left" w:pos="6396" w:leader="none"/>
              </w:tabs>
              <w:spacing w:lineRule="auto" w:line="360" w:before="0" w:after="0"/>
              <w:contextualSpacing/>
              <w:rPr>
                <w:rFonts w:ascii="Arial" w:hAnsi="Arial" w:eastAsia="" w:cs="Arial"/>
                <w:color w:val="auto"/>
                <w:szCs w:val="24"/>
              </w:rPr>
            </w:pPr>
            <w:r>
              <w:rPr>
                <w:rFonts w:eastAsia="" w:cs="Arial" w:ascii="Arial" w:hAnsi="Arial"/>
                <w:color w:val="auto"/>
                <w:szCs w:val="24"/>
              </w:rPr>
            </w:r>
          </w:p>
        </w:tc>
        <w:tc>
          <w:tcPr>
            <w:tcW w:w="222" w:type="dxa"/>
            <w:tcBorders/>
            <w:shd w:fill="auto" w:val="clear"/>
          </w:tcPr>
          <w:p>
            <w:pPr>
              <w:pStyle w:val="Normal"/>
              <w:tabs>
                <w:tab w:val="clear" w:pos="720"/>
                <w:tab w:val="left" w:pos="6396" w:leader="none"/>
              </w:tabs>
              <w:spacing w:lineRule="auto" w:line="240" w:before="0" w:after="0"/>
              <w:rPr>
                <w:rFonts w:eastAsia="" w:cs="Arial" w:eastAsiaTheme="minorEastAsia"/>
                <w:szCs w:val="24"/>
              </w:rPr>
            </w:pPr>
            <w:r>
              <w:rPr>
                <w:rFonts w:eastAsia="" w:cs="Arial" w:eastAsiaTheme="minorEastAsia"/>
                <w:szCs w:val="24"/>
              </w:rPr>
            </w:r>
          </w:p>
        </w:tc>
        <w:tc>
          <w:tcPr>
            <w:tcW w:w="1582"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 xml:space="preserve">Coco Junior </w:t>
            </w:r>
          </w:p>
        </w:tc>
        <w:tc>
          <w:tcPr>
            <w:tcW w:w="5087"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Coconut water, milkshake, vanilla, chocolate</w:t>
            </w:r>
          </w:p>
        </w:tc>
        <w:tc>
          <w:tcPr>
            <w:tcW w:w="1805" w:type="dxa"/>
            <w:tcBorders/>
            <w:shd w:fill="auto" w:val="clear"/>
            <w:vAlign w:val="center"/>
          </w:tcPr>
          <w:p>
            <w:pPr>
              <w:pStyle w:val="Normal"/>
              <w:tabs>
                <w:tab w:val="clear" w:pos="720"/>
                <w:tab w:val="left" w:pos="6396" w:leader="none"/>
              </w:tabs>
              <w:spacing w:lineRule="auto" w:line="240" w:before="0" w:after="0"/>
              <w:rPr>
                <w:rFonts w:cs="Arial"/>
                <w:szCs w:val="24"/>
              </w:rPr>
            </w:pPr>
            <w:r>
              <w:rPr>
                <w:rFonts w:eastAsia="" w:cs="Arial" w:eastAsiaTheme="minorEastAsia"/>
                <w:szCs w:val="24"/>
              </w:rPr>
              <w:t>150 ml</w:t>
            </w:r>
          </w:p>
        </w:tc>
      </w:tr>
    </w:tbl>
    <w:p>
      <w:pPr>
        <w:pStyle w:val="Heading1"/>
        <w:rPr>
          <w:rFonts w:cs="Arial"/>
        </w:rPr>
      </w:pPr>
      <w:bookmarkStart w:id="4" w:name="_Toc98715645"/>
      <w:r>
        <w:rPr>
          <w:rFonts w:cs="Arial"/>
        </w:rPr>
        <w:t>Industry Analysis</w:t>
      </w:r>
      <w:bookmarkEnd w:id="4"/>
    </w:p>
    <w:p>
      <w:pPr>
        <w:pStyle w:val="Normal"/>
        <w:ind w:left="-5" w:right="27" w:hanging="0"/>
        <w:rPr>
          <w:rFonts w:cs="Arial"/>
          <w:szCs w:val="24"/>
          <w:highlight w:val="white"/>
        </w:rPr>
      </w:pPr>
      <w:r>
        <w:rPr>
          <w:rFonts w:cs="Arial"/>
          <w:szCs w:val="24"/>
          <w:shd w:fill="FFFFFF" w:val="clear"/>
        </w:rPr>
        <w:t xml:space="preserve">The industry of </w:t>
      </w:r>
      <w:r>
        <w:rPr>
          <w:rFonts w:cs="Arial"/>
        </w:rPr>
        <w:t>healthy tender coconut water is in its inception phase in the United Kingdom. There is no existing coconut water processing company in this market (Altobella, 2018). Cocojuice is</w:t>
      </w:r>
      <w:r>
        <w:rPr>
          <w:rFonts w:cs="Arial"/>
          <w:szCs w:val="24"/>
          <w:shd w:fill="FFFFFF" w:val="clear"/>
        </w:rPr>
        <w:t xml:space="preserve"> an organic coconut water juice </w:t>
      </w:r>
      <w:r>
        <w:rPr>
          <w:rFonts w:cs="Arial"/>
        </w:rPr>
        <w:t>that is very much healthy with no side effects. Now consumers prefer healthy to existing sugar-based soft drinks. This trend will expand the industry robustly (Beneke and Rozum, 2018). CocoJuice is designed for children, young people, middle-aged people, and aged people.</w:t>
      </w:r>
      <w:r>
        <w:rPr>
          <w:rFonts w:cs="Arial"/>
          <w:szCs w:val="24"/>
          <w:shd w:fill="FFFFFF" w:val="clear"/>
        </w:rPr>
        <w:t xml:space="preserve"> </w:t>
      </w:r>
    </w:p>
    <w:p>
      <w:pPr>
        <w:pStyle w:val="Normal"/>
        <w:ind w:right="27" w:hanging="0"/>
        <w:rPr>
          <w:rFonts w:cs="Arial"/>
          <w:szCs w:val="24"/>
          <w:highlight w:val="white"/>
        </w:rPr>
      </w:pPr>
      <w:r>
        <w:rPr>
          <w:rFonts w:cs="Arial"/>
          <w:szCs w:val="24"/>
          <w:shd w:fill="FFFFFF" w:val="clear"/>
        </w:rPr>
        <w:t>Approximately 67 million people live in the United Kingdom and per capita consumption of soft drinks is around 73.8 litres. According to Statista (2022), the total market value is GBP 17.4 billion, and the expected market growth rate is 3.60% per year (CAGR 2022- 26). If we can capture 5% of the market our sales will be around GBP 0.87 billion. CocoJuice is designed for children, young people, middle-aged, and aged people.</w:t>
      </w:r>
    </w:p>
    <w:p>
      <w:pPr>
        <w:pStyle w:val="Normal"/>
        <w:ind w:left="-5" w:right="27" w:hanging="0"/>
        <w:rPr>
          <w:rFonts w:cs="Arial"/>
          <w:szCs w:val="24"/>
        </w:rPr>
      </w:pPr>
      <w:r>
        <w:rPr>
          <w:rFonts w:cs="Arial"/>
          <w:b/>
          <w:szCs w:val="24"/>
        </w:rPr>
        <w:t xml:space="preserve">Sales Forecast: </w:t>
      </w:r>
      <w:r>
        <w:rPr>
          <w:rFonts w:cs="Arial"/>
          <w:szCs w:val="24"/>
        </w:rPr>
        <w:t>As per our analysis, the sales forecast of our business for the first five years is given below:</w:t>
      </w:r>
    </w:p>
    <w:tbl>
      <w:tblPr>
        <w:tblW w:w="9360" w:type="dxa"/>
        <w:jc w:val="left"/>
        <w:tblInd w:w="109" w:type="dxa"/>
        <w:tblCellMar>
          <w:top w:w="0" w:type="dxa"/>
          <w:left w:w="108" w:type="dxa"/>
          <w:bottom w:w="0" w:type="dxa"/>
          <w:right w:w="108" w:type="dxa"/>
        </w:tblCellMar>
        <w:tblLook w:firstRow="1" w:noVBand="1" w:lastRow="0" w:firstColumn="1" w:lastColumn="0" w:noHBand="0" w:val="04a0"/>
      </w:tblPr>
      <w:tblGrid>
        <w:gridCol w:w="2610"/>
        <w:gridCol w:w="1335"/>
        <w:gridCol w:w="1334"/>
        <w:gridCol w:w="1334"/>
        <w:gridCol w:w="1335"/>
        <w:gridCol w:w="1411"/>
      </w:tblGrid>
      <w:tr>
        <w:trPr>
          <w:trHeight w:val="209" w:hRule="atLeast"/>
        </w:trPr>
        <w:tc>
          <w:tcPr>
            <w:tcW w:w="2610" w:type="dxa"/>
            <w:tcBorders>
              <w:top w:val="single" w:sz="4" w:space="0" w:color="000000"/>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Cs/>
                <w:szCs w:val="24"/>
              </w:rPr>
            </w:pPr>
            <w:r>
              <w:rPr>
                <w:rFonts w:eastAsia="Times New Roman" w:cs="Arial"/>
                <w:bCs/>
                <w:szCs w:val="24"/>
              </w:rPr>
              <w:t>Year</w:t>
            </w:r>
          </w:p>
        </w:tc>
        <w:tc>
          <w:tcPr>
            <w:tcW w:w="1335"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bCs/>
                <w:szCs w:val="24"/>
              </w:rPr>
            </w:pPr>
            <w:r>
              <w:rPr>
                <w:rFonts w:eastAsia="Times New Roman" w:cs="Arial"/>
                <w:bCs/>
                <w:szCs w:val="24"/>
              </w:rPr>
              <w:t>Year-1</w:t>
            </w:r>
          </w:p>
        </w:tc>
        <w:tc>
          <w:tcPr>
            <w:tcW w:w="1334"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bCs/>
                <w:szCs w:val="24"/>
              </w:rPr>
            </w:pPr>
            <w:r>
              <w:rPr>
                <w:rFonts w:eastAsia="Times New Roman" w:cs="Arial"/>
                <w:bCs/>
                <w:szCs w:val="24"/>
              </w:rPr>
              <w:t>Year-2</w:t>
            </w:r>
          </w:p>
        </w:tc>
        <w:tc>
          <w:tcPr>
            <w:tcW w:w="1334"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bCs/>
                <w:szCs w:val="24"/>
              </w:rPr>
            </w:pPr>
            <w:r>
              <w:rPr>
                <w:rFonts w:eastAsia="Times New Roman" w:cs="Arial"/>
                <w:bCs/>
                <w:szCs w:val="24"/>
              </w:rPr>
              <w:t>Year-3</w:t>
            </w:r>
          </w:p>
        </w:tc>
        <w:tc>
          <w:tcPr>
            <w:tcW w:w="1335"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bCs/>
                <w:szCs w:val="24"/>
              </w:rPr>
            </w:pPr>
            <w:r>
              <w:rPr>
                <w:rFonts w:eastAsia="Times New Roman" w:cs="Arial"/>
                <w:bCs/>
                <w:szCs w:val="24"/>
              </w:rPr>
              <w:t>Year-4</w:t>
            </w:r>
          </w:p>
        </w:tc>
        <w:tc>
          <w:tcPr>
            <w:tcW w:w="1411"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bCs/>
                <w:szCs w:val="24"/>
              </w:rPr>
            </w:pPr>
            <w:r>
              <w:rPr>
                <w:rFonts w:eastAsia="Times New Roman" w:cs="Arial"/>
                <w:bCs/>
                <w:szCs w:val="24"/>
              </w:rPr>
              <w:t>Year-5</w:t>
            </w:r>
          </w:p>
        </w:tc>
      </w:tr>
      <w:tr>
        <w:trPr>
          <w:trHeight w:val="209" w:hRule="atLeast"/>
        </w:trPr>
        <w:tc>
          <w:tcPr>
            <w:tcW w:w="2610"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Sales in GBP Million</w:t>
            </w:r>
          </w:p>
        </w:tc>
        <w:tc>
          <w:tcPr>
            <w:tcW w:w="1335" w:type="dxa"/>
            <w:tcBorders>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szCs w:val="24"/>
              </w:rPr>
            </w:pPr>
            <w:r>
              <w:rPr>
                <w:rFonts w:eastAsia="Times New Roman" w:cs="Arial"/>
                <w:szCs w:val="24"/>
              </w:rPr>
              <w:t>0.75</w:t>
            </w:r>
          </w:p>
        </w:tc>
        <w:tc>
          <w:tcPr>
            <w:tcW w:w="1334" w:type="dxa"/>
            <w:tcBorders>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szCs w:val="24"/>
              </w:rPr>
            </w:pPr>
            <w:r>
              <w:rPr>
                <w:rFonts w:eastAsia="Times New Roman" w:cs="Arial"/>
                <w:szCs w:val="24"/>
              </w:rPr>
              <w:t>1.5</w:t>
            </w:r>
          </w:p>
        </w:tc>
        <w:tc>
          <w:tcPr>
            <w:tcW w:w="1334" w:type="dxa"/>
            <w:tcBorders>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szCs w:val="24"/>
              </w:rPr>
            </w:pPr>
            <w:r>
              <w:rPr>
                <w:rFonts w:eastAsia="Times New Roman" w:cs="Arial"/>
                <w:szCs w:val="24"/>
              </w:rPr>
              <w:t>4</w:t>
            </w:r>
          </w:p>
        </w:tc>
        <w:tc>
          <w:tcPr>
            <w:tcW w:w="1335" w:type="dxa"/>
            <w:tcBorders>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szCs w:val="24"/>
              </w:rPr>
            </w:pPr>
            <w:r>
              <w:rPr>
                <w:rFonts w:eastAsia="Times New Roman" w:cs="Arial"/>
                <w:szCs w:val="24"/>
              </w:rPr>
              <w:t>5</w:t>
            </w:r>
          </w:p>
        </w:tc>
        <w:tc>
          <w:tcPr>
            <w:tcW w:w="1411" w:type="dxa"/>
            <w:tcBorders>
              <w:bottom w:val="single" w:sz="4" w:space="0" w:color="000000"/>
              <w:right w:val="single" w:sz="4" w:space="0" w:color="000000"/>
            </w:tcBorders>
            <w:shd w:color="auto" w:fill="auto" w:val="clear"/>
            <w:vAlign w:val="bottom"/>
          </w:tcPr>
          <w:p>
            <w:pPr>
              <w:pStyle w:val="Normal"/>
              <w:spacing w:before="240" w:after="0"/>
              <w:jc w:val="center"/>
              <w:rPr>
                <w:rFonts w:eastAsia="Times New Roman" w:cs="Arial"/>
                <w:szCs w:val="24"/>
              </w:rPr>
            </w:pPr>
            <w:r>
              <w:rPr>
                <w:rFonts w:eastAsia="Times New Roman" w:cs="Arial"/>
                <w:szCs w:val="24"/>
              </w:rPr>
              <w:t>7</w:t>
            </w:r>
          </w:p>
        </w:tc>
      </w:tr>
    </w:tbl>
    <w:p>
      <w:pPr>
        <w:pStyle w:val="Normal"/>
        <w:ind w:left="-5" w:right="27" w:hanging="0"/>
        <w:rPr>
          <w:rFonts w:cs="Arial"/>
          <w:b/>
          <w:b/>
          <w:szCs w:val="24"/>
        </w:rPr>
      </w:pPr>
      <w:r>
        <w:rPr>
          <w:rFonts w:cs="Arial"/>
          <w:b/>
          <w:szCs w:val="24"/>
        </w:rPr>
      </w:r>
    </w:p>
    <w:p>
      <w:pPr>
        <w:pStyle w:val="Normal"/>
        <w:ind w:right="27" w:hanging="0"/>
        <w:rPr>
          <w:rFonts w:cs="Arial"/>
          <w:szCs w:val="24"/>
        </w:rPr>
      </w:pPr>
      <w:r>
        <w:rPr>
          <w:rFonts w:cs="Arial"/>
          <w:b/>
          <w:szCs w:val="24"/>
        </w:rPr>
        <w:t>Porters Five Forces Model</w:t>
      </w:r>
      <w:r>
        <w:rPr>
          <w:rFonts w:cs="Arial"/>
          <w:szCs w:val="24"/>
        </w:rPr>
        <w:t>:</w:t>
      </w:r>
    </w:p>
    <w:p>
      <w:pPr>
        <w:pStyle w:val="Normal"/>
        <w:rPr>
          <w:rFonts w:cs="Arial"/>
        </w:rPr>
      </w:pPr>
      <w:r>
        <w:rPr>
          <w:rStyle w:val="Strong"/>
          <w:rFonts w:cs="Arial"/>
          <w:szCs w:val="24"/>
        </w:rPr>
        <w:t>The threat of new entrants:</w:t>
      </w:r>
      <w:r>
        <w:rPr>
          <w:rFonts w:cs="Arial"/>
        </w:rPr>
        <w:t> The entry barrier is low because startup cost isn’t so high and the technology is widely available. </w:t>
      </w:r>
    </w:p>
    <w:p>
      <w:pPr>
        <w:pStyle w:val="Normal"/>
        <w:rPr>
          <w:rFonts w:cs="Arial"/>
          <w:b/>
          <w:b/>
        </w:rPr>
      </w:pPr>
      <w:r>
        <w:rPr>
          <w:rStyle w:val="Strong"/>
          <w:rFonts w:cs="Arial"/>
          <w:szCs w:val="24"/>
        </w:rPr>
        <w:t xml:space="preserve">Rivalry among existing farms: </w:t>
      </w:r>
      <w:r>
        <w:rPr>
          <w:rStyle w:val="Strong"/>
          <w:rFonts w:cs="Arial"/>
          <w:b w:val="false"/>
          <w:szCs w:val="24"/>
        </w:rPr>
        <w:t>Rivalry among existing farms is low because there is no existing farm offering this product. </w:t>
      </w:r>
    </w:p>
    <w:p>
      <w:pPr>
        <w:pStyle w:val="Normal"/>
        <w:rPr>
          <w:rFonts w:cs="Arial"/>
        </w:rPr>
      </w:pPr>
      <w:r>
        <w:rPr>
          <w:rStyle w:val="Strong"/>
          <w:rFonts w:cs="Arial"/>
          <w:szCs w:val="24"/>
        </w:rPr>
        <w:t>The threat of Substitutes:</w:t>
      </w:r>
      <w:r>
        <w:rPr>
          <w:rFonts w:cs="Arial"/>
        </w:rPr>
        <w:t> In the post-Covid-19 world, people are getting health conscious and looking for a balanced diet. So any healthy beverage might replace the current drinking behaviour of soft drinks. So the threat of substitutes is medium.</w:t>
      </w:r>
    </w:p>
    <w:p>
      <w:pPr>
        <w:pStyle w:val="Normal"/>
        <w:rPr>
          <w:rFonts w:cs="Arial"/>
          <w:szCs w:val="24"/>
        </w:rPr>
      </w:pPr>
      <w:r>
        <w:rPr>
          <w:rStyle w:val="Strong"/>
          <w:rFonts w:cs="Arial"/>
          <w:szCs w:val="24"/>
        </w:rPr>
        <w:t>Bargaining power of Buyer:</w:t>
      </w:r>
      <w:r>
        <w:rPr>
          <w:rFonts w:cs="Arial"/>
          <w:szCs w:val="24"/>
        </w:rPr>
        <w:t xml:space="preserve"> As there </w:t>
      </w:r>
      <w:r>
        <w:rPr>
          <w:rFonts w:cs="Arial"/>
        </w:rPr>
        <w:t>is no better substitute, the bargaining power of the buyer is very low (Chanson and Rougès, 2015).</w:t>
      </w:r>
    </w:p>
    <w:p>
      <w:pPr>
        <w:pStyle w:val="NormalWeb"/>
        <w:spacing w:lineRule="auto" w:line="360" w:beforeAutospacing="0" w:before="0" w:afterAutospacing="0" w:after="0"/>
        <w:rPr>
          <w:rFonts w:ascii="Arial" w:hAnsi="Arial" w:cs="Arial"/>
        </w:rPr>
      </w:pPr>
      <w:r>
        <w:rPr>
          <w:rStyle w:val="Strong"/>
          <w:rFonts w:cs="Arial" w:ascii="Arial" w:hAnsi="Arial"/>
        </w:rPr>
        <w:t>Bargaining power of suppliers: </w:t>
      </w:r>
      <w:r>
        <w:rPr>
          <w:rFonts w:cs="Arial" w:ascii="Arial" w:hAnsi="Arial"/>
        </w:rPr>
        <w:t>Coconuts are cultivated in the UK and these are importable products. So bargaining power of the supplier is very low</w:t>
      </w:r>
    </w:p>
    <w:p>
      <w:pPr>
        <w:pStyle w:val="Heading1"/>
        <w:rPr>
          <w:rFonts w:cs="Arial"/>
        </w:rPr>
      </w:pPr>
      <w:bookmarkStart w:id="5" w:name="_Toc98715646"/>
      <w:r>
        <w:rPr>
          <w:rFonts w:cs="Arial"/>
        </w:rPr>
        <w:t>Operational Plan</w:t>
      </w:r>
      <w:bookmarkEnd w:id="5"/>
    </w:p>
    <w:p>
      <w:pPr>
        <w:pStyle w:val="Normal"/>
        <w:ind w:right="27" w:hanging="0"/>
        <w:rPr>
          <w:rFonts w:cs="Arial"/>
          <w:szCs w:val="24"/>
        </w:rPr>
      </w:pPr>
      <w:r>
        <w:rPr>
          <w:rFonts w:cs="Arial"/>
          <w:szCs w:val="24"/>
        </w:rPr>
        <w:t>Primarily we will collect tender coconut from the local coconut garden in the United Kingdom. We will import from the Philippines, Indonesia, and Thailand to meet extra demand. We will build our farm to cultivate coconut in the second year of operation. Then we will pull out the coconut water in our factory. Then we will process, refine and add ingredients to the water. Then the processed drink is packed in cans and bottles of different sizes. We will source cans and bottles from local manufacturers. Then we will store the juice in our cold storage. Then we will distribute the products to the distributor, retailer, and sales partner through freezing vans. The summary of our operational flow chart is depicted below:</w:t>
      </w:r>
    </w:p>
    <w:p>
      <w:pPr>
        <w:pStyle w:val="Normal"/>
        <w:ind w:right="27" w:hanging="0"/>
        <w:jc w:val="center"/>
        <w:rPr>
          <w:rFonts w:cs="Arial"/>
          <w:szCs w:val="24"/>
        </w:rPr>
      </w:pPr>
      <w:r>
        <w:rPr/>
        <w:drawing>
          <wp:inline distT="0" distB="0" distL="0" distR="0">
            <wp:extent cx="5385435" cy="203771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5385435" cy="2037715"/>
                    </a:xfrm>
                    <a:prstGeom prst="rect">
                      <a:avLst/>
                    </a:prstGeom>
                  </pic:spPr>
                </pic:pic>
              </a:graphicData>
            </a:graphic>
          </wp:inline>
        </w:drawing>
      </w:r>
    </w:p>
    <w:p>
      <w:pPr>
        <w:pStyle w:val="Normal"/>
        <w:jc w:val="center"/>
        <w:rPr>
          <w:rFonts w:cs="Arial"/>
          <w:szCs w:val="24"/>
        </w:rPr>
      </w:pPr>
      <w:r>
        <w:rPr>
          <w:rFonts w:cs="Arial"/>
          <w:b/>
          <w:sz w:val="20"/>
          <w:szCs w:val="24"/>
        </w:rPr>
        <w:t>Figure 1: Value Chain (Author)</w:t>
      </w:r>
    </w:p>
    <w:p>
      <w:pPr>
        <w:pStyle w:val="Normal"/>
        <w:ind w:left="-5" w:right="27" w:hanging="0"/>
        <w:rPr>
          <w:rFonts w:cs="Arial"/>
          <w:b/>
          <w:b/>
          <w:szCs w:val="24"/>
        </w:rPr>
      </w:pPr>
      <w:r>
        <w:rPr>
          <w:rFonts w:cs="Arial"/>
          <w:b/>
          <w:szCs w:val="24"/>
        </w:rPr>
        <w:t xml:space="preserve">Legal Structure of the company: </w:t>
      </w:r>
      <w:r>
        <w:rPr>
          <w:rFonts w:eastAsia="Times New Roman" w:cs="Arial"/>
          <w:szCs w:val="24"/>
        </w:rPr>
        <w:t>The legal structure of our company will be a Limited Liability Company. We have chosen this legal structure mainly for three reasons:</w:t>
      </w:r>
    </w:p>
    <w:p>
      <w:pPr>
        <w:pStyle w:val="Normal"/>
        <w:numPr>
          <w:ilvl w:val="0"/>
          <w:numId w:val="2"/>
        </w:numPr>
        <w:spacing w:before="240" w:after="0"/>
        <w:rPr>
          <w:rFonts w:eastAsia="Times New Roman" w:cs="Arial"/>
          <w:szCs w:val="24"/>
        </w:rPr>
      </w:pPr>
      <w:r>
        <w:rPr>
          <w:rFonts w:eastAsia="Times New Roman" w:cs="Arial"/>
          <w:szCs w:val="24"/>
        </w:rPr>
        <w:t>We have the flexibility to structure the company.</w:t>
      </w:r>
    </w:p>
    <w:p>
      <w:pPr>
        <w:pStyle w:val="Normal"/>
        <w:numPr>
          <w:ilvl w:val="0"/>
          <w:numId w:val="2"/>
        </w:numPr>
        <w:spacing w:before="240" w:after="0"/>
        <w:rPr>
          <w:rFonts w:eastAsia="Times New Roman" w:cs="Arial"/>
          <w:szCs w:val="24"/>
        </w:rPr>
      </w:pPr>
      <w:r>
        <w:rPr>
          <w:rFonts w:eastAsia="Times New Roman" w:cs="Arial"/>
          <w:szCs w:val="24"/>
        </w:rPr>
        <w:t>We aren’t personally liable for the business liability. </w:t>
      </w:r>
    </w:p>
    <w:p>
      <w:pPr>
        <w:pStyle w:val="Normal"/>
        <w:numPr>
          <w:ilvl w:val="0"/>
          <w:numId w:val="2"/>
        </w:numPr>
        <w:spacing w:before="240" w:after="0"/>
        <w:rPr>
          <w:rFonts w:eastAsia="Times New Roman" w:cs="Arial"/>
          <w:szCs w:val="24"/>
        </w:rPr>
      </w:pPr>
      <w:r>
        <w:rPr>
          <w:rFonts w:eastAsia="Times New Roman" w:cs="Arial"/>
          <w:szCs w:val="24"/>
        </w:rPr>
        <w:t>Tax benefit. </w:t>
      </w:r>
    </w:p>
    <w:p>
      <w:pPr>
        <w:pStyle w:val="Normal"/>
        <w:ind w:right="27" w:hanging="0"/>
        <w:rPr>
          <w:rFonts w:cs="Arial"/>
          <w:b/>
          <w:b/>
          <w:szCs w:val="24"/>
        </w:rPr>
      </w:pPr>
      <w:r>
        <w:rPr>
          <w:rFonts w:cs="Arial"/>
          <w:b/>
          <w:szCs w:val="24"/>
        </w:rPr>
        <w:t>Comparison among different legal structures</w:t>
      </w:r>
    </w:p>
    <w:tbl>
      <w:tblPr>
        <w:tblStyle w:val="TableGrid"/>
        <w:tblW w:w="9350" w:type="dxa"/>
        <w:jc w:val="left"/>
        <w:tblInd w:w="0" w:type="dxa"/>
        <w:tblCellMar>
          <w:top w:w="0" w:type="dxa"/>
          <w:left w:w="108" w:type="dxa"/>
          <w:bottom w:w="0" w:type="dxa"/>
          <w:right w:w="108" w:type="dxa"/>
        </w:tblCellMar>
        <w:tblLook w:firstRow="1" w:noVBand="1" w:lastRow="0" w:firstColumn="1" w:lastColumn="0" w:noHBand="0" w:val="04a0"/>
      </w:tblPr>
      <w:tblGrid>
        <w:gridCol w:w="2337"/>
        <w:gridCol w:w="2337"/>
        <w:gridCol w:w="2334"/>
        <w:gridCol w:w="2341"/>
      </w:tblGrid>
      <w:tr>
        <w:trPr/>
        <w:tc>
          <w:tcPr>
            <w:tcW w:w="2337" w:type="dxa"/>
            <w:tcBorders/>
            <w:shd w:fill="auto" w:val="clear"/>
          </w:tcPr>
          <w:p>
            <w:pPr>
              <w:pStyle w:val="Normal"/>
              <w:spacing w:lineRule="auto" w:line="240" w:before="0" w:after="0"/>
              <w:ind w:right="27" w:hanging="0"/>
              <w:rPr>
                <w:rFonts w:cs="Arial"/>
                <w:b/>
                <w:b/>
                <w:szCs w:val="24"/>
              </w:rPr>
            </w:pPr>
            <w:r>
              <w:rPr>
                <w:rFonts w:eastAsia="" w:cs="Arial" w:eastAsiaTheme="minorEastAsia"/>
                <w:b/>
                <w:szCs w:val="24"/>
              </w:rPr>
              <w:t>Point of Comparison</w:t>
            </w:r>
          </w:p>
        </w:tc>
        <w:tc>
          <w:tcPr>
            <w:tcW w:w="2337" w:type="dxa"/>
            <w:tcBorders/>
            <w:shd w:fill="auto" w:val="clear"/>
          </w:tcPr>
          <w:p>
            <w:pPr>
              <w:pStyle w:val="Normal"/>
              <w:spacing w:lineRule="auto" w:line="240" w:before="0" w:after="0"/>
              <w:ind w:right="27" w:hanging="0"/>
              <w:rPr>
                <w:rFonts w:cs="Arial"/>
                <w:b/>
                <w:b/>
                <w:szCs w:val="24"/>
              </w:rPr>
            </w:pPr>
            <w:r>
              <w:rPr>
                <w:rFonts w:eastAsia="" w:cs="Arial" w:eastAsiaTheme="minorEastAsia"/>
                <w:b/>
                <w:szCs w:val="24"/>
              </w:rPr>
              <w:t>Limited Liability company</w:t>
            </w:r>
          </w:p>
        </w:tc>
        <w:tc>
          <w:tcPr>
            <w:tcW w:w="2334" w:type="dxa"/>
            <w:tcBorders/>
            <w:shd w:fill="auto" w:val="clear"/>
          </w:tcPr>
          <w:p>
            <w:pPr>
              <w:pStyle w:val="Normal"/>
              <w:spacing w:lineRule="auto" w:line="240" w:before="0" w:after="0"/>
              <w:ind w:right="27" w:hanging="0"/>
              <w:rPr>
                <w:rFonts w:cs="Arial"/>
                <w:b/>
                <w:b/>
                <w:szCs w:val="24"/>
              </w:rPr>
            </w:pPr>
            <w:r>
              <w:rPr>
                <w:rFonts w:eastAsia="" w:cs="Arial" w:eastAsiaTheme="minorEastAsia"/>
                <w:b/>
                <w:szCs w:val="24"/>
              </w:rPr>
              <w:t>Partnership</w:t>
            </w:r>
          </w:p>
        </w:tc>
        <w:tc>
          <w:tcPr>
            <w:tcW w:w="2341" w:type="dxa"/>
            <w:tcBorders/>
            <w:shd w:fill="auto" w:val="clear"/>
          </w:tcPr>
          <w:p>
            <w:pPr>
              <w:pStyle w:val="Normal"/>
              <w:spacing w:lineRule="auto" w:line="240" w:before="0" w:after="0"/>
              <w:ind w:right="27" w:hanging="0"/>
              <w:rPr>
                <w:rFonts w:cs="Arial"/>
                <w:b/>
                <w:b/>
                <w:szCs w:val="24"/>
              </w:rPr>
            </w:pPr>
            <w:r>
              <w:rPr>
                <w:rFonts w:eastAsia="" w:cs="Arial" w:eastAsiaTheme="minorEastAsia"/>
                <w:b/>
                <w:szCs w:val="24"/>
              </w:rPr>
              <w:t>Incorporation</w:t>
            </w:r>
          </w:p>
        </w:tc>
      </w:tr>
      <w:tr>
        <w:trPr/>
        <w:tc>
          <w:tcPr>
            <w:tcW w:w="2337"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 xml:space="preserve">Separate entity </w:t>
            </w:r>
          </w:p>
        </w:tc>
        <w:tc>
          <w:tcPr>
            <w:tcW w:w="2337"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Yes</w:t>
            </w:r>
          </w:p>
        </w:tc>
        <w:tc>
          <w:tcPr>
            <w:tcW w:w="2334"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No</w:t>
            </w:r>
          </w:p>
        </w:tc>
        <w:tc>
          <w:tcPr>
            <w:tcW w:w="2341"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Yes</w:t>
            </w:r>
          </w:p>
        </w:tc>
      </w:tr>
      <w:tr>
        <w:trPr/>
        <w:tc>
          <w:tcPr>
            <w:tcW w:w="2337"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 xml:space="preserve">Liability </w:t>
            </w:r>
          </w:p>
        </w:tc>
        <w:tc>
          <w:tcPr>
            <w:tcW w:w="2337"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Limited</w:t>
            </w:r>
          </w:p>
        </w:tc>
        <w:tc>
          <w:tcPr>
            <w:tcW w:w="2334"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Limited/ Unlimited</w:t>
            </w:r>
          </w:p>
        </w:tc>
        <w:tc>
          <w:tcPr>
            <w:tcW w:w="2341"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Limited</w:t>
            </w:r>
          </w:p>
        </w:tc>
      </w:tr>
      <w:tr>
        <w:trPr/>
        <w:tc>
          <w:tcPr>
            <w:tcW w:w="2337"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Formation complexity</w:t>
            </w:r>
          </w:p>
        </w:tc>
        <w:tc>
          <w:tcPr>
            <w:tcW w:w="2337"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Medium</w:t>
            </w:r>
          </w:p>
        </w:tc>
        <w:tc>
          <w:tcPr>
            <w:tcW w:w="2334"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Low</w:t>
            </w:r>
          </w:p>
        </w:tc>
        <w:tc>
          <w:tcPr>
            <w:tcW w:w="2341" w:type="dxa"/>
            <w:tcBorders/>
            <w:shd w:fill="auto" w:val="clear"/>
          </w:tcPr>
          <w:p>
            <w:pPr>
              <w:pStyle w:val="Normal"/>
              <w:spacing w:lineRule="auto" w:line="240" w:before="0" w:after="0"/>
              <w:ind w:right="27" w:hanging="0"/>
              <w:rPr>
                <w:rFonts w:cs="Arial"/>
                <w:szCs w:val="24"/>
              </w:rPr>
            </w:pPr>
            <w:r>
              <w:rPr>
                <w:rFonts w:eastAsia="" w:cs="Arial" w:eastAsiaTheme="minorEastAsia"/>
                <w:szCs w:val="24"/>
              </w:rPr>
              <w:t>High</w:t>
            </w:r>
          </w:p>
        </w:tc>
      </w:tr>
    </w:tbl>
    <w:p>
      <w:pPr>
        <w:pStyle w:val="Normal"/>
        <w:ind w:right="27" w:hanging="0"/>
        <w:rPr>
          <w:rFonts w:cs="Arial"/>
          <w:szCs w:val="24"/>
        </w:rPr>
      </w:pPr>
      <w:r>
        <w:rPr>
          <w:rFonts w:cs="Arial"/>
          <w:szCs w:val="24"/>
        </w:rPr>
      </w:r>
    </w:p>
    <w:p>
      <w:pPr>
        <w:pStyle w:val="Normal"/>
        <w:rPr>
          <w:rFonts w:cs="Arial"/>
          <w:b/>
          <w:b/>
        </w:rPr>
      </w:pPr>
      <w:r>
        <w:rPr>
          <w:rFonts w:cs="Arial"/>
          <w:b/>
        </w:rPr>
        <w:t xml:space="preserve">Management: </w:t>
      </w:r>
      <w:r>
        <w:rPr>
          <w:rFonts w:cs="Arial"/>
        </w:rPr>
        <w:t>CocoJuice is founded by 4 young enthusiastic individuals. The team has diversified experience in the beverage industry to make the business successful. </w:t>
      </w:r>
    </w:p>
    <w:p>
      <w:pPr>
        <w:pStyle w:val="Normal"/>
        <w:rPr>
          <w:rFonts w:cs="Arial"/>
        </w:rPr>
      </w:pPr>
      <w:r>
        <w:rPr>
          <w:rStyle w:val="Strong"/>
          <w:rFonts w:cs="Arial"/>
          <w:szCs w:val="24"/>
        </w:rPr>
        <w:t>George Kane</w:t>
      </w:r>
      <w:r>
        <w:rPr>
          <w:rFonts w:cs="Arial"/>
        </w:rPr>
        <w:t xml:space="preserve">: George is the co-founder and, MD &amp; CEO of the company. He has completed his BBA and MBA from the reputed university of the United Kingdom. He has 5 years of experience in the beverage industry.   </w:t>
      </w:r>
    </w:p>
    <w:p>
      <w:pPr>
        <w:pStyle w:val="Normal"/>
        <w:rPr>
          <w:rFonts w:cs="Arial"/>
        </w:rPr>
      </w:pPr>
      <w:r>
        <w:rPr>
          <w:rStyle w:val="Strong"/>
          <w:rFonts w:cs="Arial"/>
          <w:szCs w:val="24"/>
        </w:rPr>
        <w:t>Leo Oliver:</w:t>
      </w:r>
      <w:r>
        <w:rPr>
          <w:rFonts w:cs="Arial"/>
        </w:rPr>
        <w:t> Leo is the co-founder and head of operation of the company. Leo has completed his graduation and post-graduation in Engineering from the reputed university of the United Kingdom. He served 10 years as operational manager of a multinational beverage company. </w:t>
      </w:r>
    </w:p>
    <w:p>
      <w:pPr>
        <w:pStyle w:val="Normal"/>
        <w:rPr>
          <w:rFonts w:cs="Arial"/>
        </w:rPr>
      </w:pPr>
      <w:r>
        <w:rPr>
          <w:rStyle w:val="Strong"/>
          <w:rFonts w:cs="Arial"/>
          <w:szCs w:val="24"/>
        </w:rPr>
        <w:t>Stuart Morgan: </w:t>
      </w:r>
      <w:r>
        <w:rPr>
          <w:rFonts w:cs="Arial"/>
        </w:rPr>
        <w:t>Stuart Morgan is the co-founder and Chief Financial Officer of the company. He is a CFA. He has 7 years of experience working at a manufacturing company. </w:t>
      </w:r>
    </w:p>
    <w:p>
      <w:pPr>
        <w:pStyle w:val="Normal"/>
        <w:rPr>
          <w:rFonts w:cs="Arial"/>
        </w:rPr>
      </w:pPr>
      <w:r>
        <w:rPr>
          <w:rStyle w:val="Strong"/>
          <w:rFonts w:cs="Arial"/>
          <w:szCs w:val="24"/>
        </w:rPr>
        <w:t>James Anderson: </w:t>
      </w:r>
      <w:r>
        <w:rPr>
          <w:rFonts w:cs="Arial"/>
        </w:rPr>
        <w:t>James Anderson is the founder and head of sales and marketing of the company. He has completed his BBA and MBA from the reputed university of the United Kingdom. He has 9 years of experience working as regional manager of a reputed multinational beverage company.</w:t>
      </w:r>
    </w:p>
    <w:p>
      <w:pPr>
        <w:pStyle w:val="Heading1"/>
        <w:rPr>
          <w:rFonts w:cs="Arial"/>
        </w:rPr>
      </w:pPr>
      <w:bookmarkStart w:id="6" w:name="_Toc98715647"/>
      <w:r>
        <w:rPr>
          <w:rFonts w:cs="Arial"/>
        </w:rPr>
        <w:t>Marketing Plan</w:t>
      </w:r>
      <w:bookmarkEnd w:id="6"/>
    </w:p>
    <w:p>
      <w:pPr>
        <w:pStyle w:val="Normal"/>
        <w:rPr>
          <w:rFonts w:cs="Arial"/>
        </w:rPr>
      </w:pPr>
      <w:r>
        <w:rPr>
          <w:rFonts w:cs="Arial"/>
        </w:rPr>
        <w:t>The central purpose of our marketing strategy is to aware people of nutrition and explains the good side of our products to potential customers. 4P analysis of our product is given below:</w:t>
      </w:r>
    </w:p>
    <w:p>
      <w:pPr>
        <w:pStyle w:val="Normal"/>
        <w:rPr>
          <w:rFonts w:cs="Arial"/>
        </w:rPr>
      </w:pPr>
      <w:r>
        <w:rPr>
          <w:rStyle w:val="Strong"/>
          <w:rFonts w:cs="Arial"/>
          <w:szCs w:val="24"/>
        </w:rPr>
        <w:t>Place:</w:t>
      </w:r>
      <w:r>
        <w:rPr>
          <w:rFonts w:cs="Arial"/>
        </w:rPr>
        <w:t> We plan to sell CocoJuice at departmental shops, grocery shops, pharmacies, retail outlets, etc. Our product will also be available at different eCommerce sites in the United Kingdom.</w:t>
      </w:r>
    </w:p>
    <w:p>
      <w:pPr>
        <w:pStyle w:val="Normal"/>
        <w:rPr>
          <w:rFonts w:cs="Arial"/>
        </w:rPr>
      </w:pPr>
      <w:r>
        <w:rPr>
          <w:rStyle w:val="Strong"/>
          <w:rFonts w:cs="Arial"/>
          <w:szCs w:val="24"/>
        </w:rPr>
        <w:t>Price:</w:t>
      </w:r>
      <w:r>
        <w:rPr>
          <w:rFonts w:cs="Arial"/>
        </w:rPr>
        <w:t xml:space="preserve"> We will sell fresh coconut water at an affordable cost for our consumers. Per unit revenue collection plan of Cocojuice is given below: </w:t>
      </w:r>
    </w:p>
    <w:tbl>
      <w:tblPr>
        <w:tblStyle w:val="TableGrid0"/>
        <w:tblW w:w="4526" w:type="dxa"/>
        <w:jc w:val="center"/>
        <w:tblInd w:w="0" w:type="dxa"/>
        <w:tblCellMar>
          <w:top w:w="54" w:type="dxa"/>
          <w:left w:w="108" w:type="dxa"/>
          <w:bottom w:w="13" w:type="dxa"/>
          <w:right w:w="115" w:type="dxa"/>
        </w:tblCellMar>
        <w:tblLook w:firstRow="1" w:noVBand="1" w:lastRow="0" w:firstColumn="1" w:lastColumn="0" w:noHBand="0" w:val="04a0"/>
      </w:tblPr>
      <w:tblGrid>
        <w:gridCol w:w="1849"/>
        <w:gridCol w:w="951"/>
        <w:gridCol w:w="1726"/>
      </w:tblGrid>
      <w:tr>
        <w:trPr>
          <w:trHeight w:val="170" w:hRule="atLeast"/>
        </w:trPr>
        <w:tc>
          <w:tcPr>
            <w:tcW w:w="1849"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cs="Arial"/>
                <w:b/>
                <w:b/>
                <w:szCs w:val="24"/>
              </w:rPr>
            </w:pPr>
            <w:r>
              <w:rPr>
                <w:rFonts w:eastAsia="" w:cs="Arial" w:eastAsiaTheme="minorEastAsia"/>
                <w:b/>
                <w:szCs w:val="24"/>
              </w:rPr>
              <w:t>Product Name</w:t>
            </w:r>
          </w:p>
        </w:tc>
        <w:tc>
          <w:tcPr>
            <w:tcW w:w="951"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ind w:left="7" w:hanging="0"/>
              <w:rPr>
                <w:rFonts w:cs="Arial"/>
                <w:b/>
                <w:b/>
                <w:szCs w:val="24"/>
              </w:rPr>
            </w:pPr>
            <w:r>
              <w:rPr>
                <w:rFonts w:eastAsia="" w:cs="Arial" w:eastAsiaTheme="minorEastAsia"/>
                <w:b/>
                <w:szCs w:val="24"/>
              </w:rPr>
              <w:t>Size</w:t>
            </w:r>
          </w:p>
        </w:tc>
        <w:tc>
          <w:tcPr>
            <w:tcW w:w="1726"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
              <w:spacing w:lineRule="auto" w:line="240" w:before="0" w:after="0"/>
              <w:ind w:left="7" w:hanging="0"/>
              <w:rPr>
                <w:rFonts w:cs="Arial"/>
                <w:b/>
                <w:b/>
                <w:szCs w:val="24"/>
              </w:rPr>
            </w:pPr>
            <w:r>
              <w:rPr>
                <w:rFonts w:eastAsia="" w:cs="Arial" w:eastAsiaTheme="minorEastAsia"/>
                <w:b/>
                <w:szCs w:val="24"/>
              </w:rPr>
              <w:t>GBP per Unit</w:t>
            </w:r>
          </w:p>
        </w:tc>
      </w:tr>
      <w:tr>
        <w:trPr>
          <w:trHeight w:val="197" w:hRule="atLeast"/>
        </w:trPr>
        <w:tc>
          <w:tcPr>
            <w:tcW w:w="1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
              <w:spacing w:lineRule="auto" w:line="240" w:before="0" w:after="0"/>
              <w:rPr>
                <w:rFonts w:cs="Arial"/>
                <w:szCs w:val="24"/>
              </w:rPr>
            </w:pPr>
            <w:r>
              <w:rPr>
                <w:rFonts w:eastAsia="" w:cs="Arial" w:eastAsiaTheme="minorEastAsia"/>
                <w:szCs w:val="24"/>
              </w:rPr>
              <w:t>Coco Natural</w:t>
            </w:r>
          </w:p>
        </w:tc>
        <w:tc>
          <w:tcPr>
            <w:tcW w:w="951"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ind w:left="7" w:hanging="0"/>
              <w:rPr>
                <w:rFonts w:cs="Arial"/>
                <w:szCs w:val="24"/>
              </w:rPr>
            </w:pPr>
            <w:r>
              <w:rPr>
                <w:rFonts w:eastAsia="" w:cs="Arial" w:eastAsiaTheme="minorEastAsia"/>
                <w:szCs w:val="24"/>
              </w:rPr>
              <w:t>200 ml</w:t>
            </w:r>
          </w:p>
        </w:tc>
        <w:tc>
          <w:tcPr>
            <w:tcW w:w="1726"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
              <w:spacing w:lineRule="auto" w:line="240" w:before="0" w:after="0"/>
              <w:ind w:left="7" w:hanging="0"/>
              <w:rPr>
                <w:rFonts w:cs="Arial"/>
                <w:szCs w:val="24"/>
              </w:rPr>
            </w:pPr>
            <w:r>
              <w:rPr>
                <w:rFonts w:eastAsia="" w:cs="Arial" w:eastAsiaTheme="minorEastAsia"/>
                <w:szCs w:val="24"/>
              </w:rPr>
              <w:t>0.20</w:t>
            </w:r>
          </w:p>
        </w:tc>
      </w:tr>
      <w:tr>
        <w:trPr>
          <w:trHeight w:val="174" w:hRule="atLeast"/>
        </w:trPr>
        <w:tc>
          <w:tcPr>
            <w:tcW w:w="1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
              <w:spacing w:lineRule="auto" w:line="240" w:before="0" w:after="0"/>
              <w:rPr>
                <w:rFonts w:cs="Arial"/>
                <w:szCs w:val="24"/>
              </w:rPr>
            </w:pPr>
            <w:r>
              <w:rPr>
                <w:rFonts w:eastAsia="" w:cs="Arial" w:eastAsiaTheme="minorEastAsia"/>
                <w:szCs w:val="24"/>
              </w:rPr>
              <w:t>Coco Fruits</w:t>
            </w:r>
          </w:p>
        </w:tc>
        <w:tc>
          <w:tcPr>
            <w:tcW w:w="951"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ind w:left="7" w:hanging="0"/>
              <w:rPr>
                <w:rFonts w:cs="Arial"/>
                <w:szCs w:val="24"/>
              </w:rPr>
            </w:pPr>
            <w:r>
              <w:rPr>
                <w:rFonts w:eastAsia="" w:cs="Arial" w:eastAsiaTheme="minorEastAsia"/>
                <w:szCs w:val="24"/>
              </w:rPr>
              <w:t>200 ml</w:t>
            </w:r>
          </w:p>
        </w:tc>
        <w:tc>
          <w:tcPr>
            <w:tcW w:w="1726"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
              <w:spacing w:lineRule="auto" w:line="240" w:before="0" w:after="0"/>
              <w:ind w:left="7" w:hanging="0"/>
              <w:rPr>
                <w:rFonts w:cs="Arial"/>
                <w:szCs w:val="24"/>
              </w:rPr>
            </w:pPr>
            <w:r>
              <w:rPr>
                <w:rFonts w:eastAsia="" w:cs="Arial" w:eastAsiaTheme="minorEastAsia"/>
                <w:szCs w:val="24"/>
              </w:rPr>
              <w:t>0.20</w:t>
            </w:r>
          </w:p>
        </w:tc>
      </w:tr>
      <w:tr>
        <w:trPr>
          <w:trHeight w:val="174" w:hRule="atLeast"/>
        </w:trPr>
        <w:tc>
          <w:tcPr>
            <w:tcW w:w="1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
              <w:spacing w:lineRule="auto" w:line="240" w:before="0" w:after="0"/>
              <w:rPr>
                <w:rFonts w:cs="Arial"/>
                <w:szCs w:val="24"/>
              </w:rPr>
            </w:pPr>
            <w:r>
              <w:rPr>
                <w:rFonts w:eastAsia="" w:cs="Arial" w:eastAsiaTheme="minorEastAsia"/>
                <w:szCs w:val="24"/>
              </w:rPr>
              <w:t>Coco Junior</w:t>
            </w:r>
          </w:p>
        </w:tc>
        <w:tc>
          <w:tcPr>
            <w:tcW w:w="951"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ind w:left="7" w:hanging="0"/>
              <w:rPr>
                <w:rFonts w:cs="Arial"/>
                <w:szCs w:val="24"/>
              </w:rPr>
            </w:pPr>
            <w:r>
              <w:rPr>
                <w:rFonts w:eastAsia="" w:cs="Arial" w:eastAsiaTheme="minorEastAsia"/>
                <w:szCs w:val="24"/>
              </w:rPr>
              <w:t>150 ml</w:t>
            </w:r>
          </w:p>
        </w:tc>
        <w:tc>
          <w:tcPr>
            <w:tcW w:w="1726"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
              <w:spacing w:lineRule="auto" w:line="240" w:before="0" w:after="0"/>
              <w:rPr>
                <w:rFonts w:cs="Arial"/>
                <w:szCs w:val="24"/>
              </w:rPr>
            </w:pPr>
            <w:r>
              <w:rPr>
                <w:rFonts w:eastAsia="" w:cs="Arial" w:eastAsiaTheme="minorEastAsia"/>
                <w:szCs w:val="24"/>
              </w:rPr>
              <w:t>0.15</w:t>
            </w:r>
          </w:p>
        </w:tc>
      </w:tr>
    </w:tbl>
    <w:p>
      <w:pPr>
        <w:pStyle w:val="Normal"/>
        <w:ind w:left="-5" w:right="27" w:hanging="0"/>
        <w:rPr>
          <w:rFonts w:cs="Arial"/>
          <w:szCs w:val="24"/>
        </w:rPr>
      </w:pPr>
      <w:r>
        <w:rPr>
          <w:rFonts w:cs="Arial"/>
          <w:szCs w:val="24"/>
        </w:rPr>
      </w:r>
    </w:p>
    <w:p>
      <w:pPr>
        <w:pStyle w:val="NormalWeb"/>
        <w:spacing w:lineRule="auto" w:line="360" w:beforeAutospacing="0" w:before="0" w:afterAutospacing="0" w:after="0"/>
        <w:rPr>
          <w:rFonts w:ascii="Arial" w:hAnsi="Arial" w:cs="Arial"/>
        </w:rPr>
      </w:pPr>
      <w:r>
        <w:rPr>
          <w:rStyle w:val="Strong"/>
          <w:rFonts w:cs="Arial" w:ascii="Arial" w:hAnsi="Arial"/>
        </w:rPr>
        <w:t>Product: </w:t>
      </w:r>
      <w:r>
        <w:rPr>
          <w:rFonts w:cs="Arial" w:ascii="Arial" w:hAnsi="Arial"/>
        </w:rPr>
        <w:t>We are offering three brands i.e Coco Natural, coco Fruits, and Coco Junior, of our product.</w:t>
      </w:r>
      <w:r>
        <w:rPr>
          <w:rStyle w:val="Strong"/>
          <w:rFonts w:cs="Arial" w:ascii="Arial" w:hAnsi="Arial"/>
        </w:rPr>
        <w:t> </w:t>
      </w:r>
    </w:p>
    <w:p>
      <w:pPr>
        <w:pStyle w:val="NormalWeb"/>
        <w:spacing w:lineRule="auto" w:line="360" w:beforeAutospacing="0" w:before="0" w:afterAutospacing="0" w:after="0"/>
        <w:rPr>
          <w:rFonts w:ascii="Arial" w:hAnsi="Arial" w:cs="Arial"/>
        </w:rPr>
      </w:pPr>
      <w:r>
        <w:rPr>
          <w:rStyle w:val="Strong"/>
          <w:rFonts w:cs="Arial" w:ascii="Arial" w:hAnsi="Arial"/>
        </w:rPr>
        <w:t>Promotion: </w:t>
      </w:r>
      <w:r>
        <w:rPr>
          <w:rFonts w:cs="Arial" w:ascii="Arial" w:hAnsi="Arial"/>
        </w:rPr>
        <w:t>Creating awareness about the health benefits of coconut water is one of the main purposes of our promotional campaigns. CocoJuice will promote its product through the following ways: </w:t>
      </w:r>
    </w:p>
    <w:p>
      <w:pPr>
        <w:pStyle w:val="NormalWeb"/>
        <w:spacing w:lineRule="auto" w:line="360" w:beforeAutospacing="0" w:before="0" w:afterAutospacing="0" w:after="0"/>
        <w:rPr>
          <w:rStyle w:val="Strong"/>
          <w:rFonts w:ascii="Arial" w:hAnsi="Arial" w:cs="Arial"/>
        </w:rPr>
      </w:pPr>
      <w:r>
        <w:rPr>
          <w:rStyle w:val="Strong"/>
          <w:rFonts w:cs="Arial" w:ascii="Arial" w:hAnsi="Arial"/>
        </w:rPr>
        <w:t>Health Awareness Campaign</w:t>
      </w:r>
    </w:p>
    <w:p>
      <w:pPr>
        <w:pStyle w:val="NormalWeb"/>
        <w:spacing w:lineRule="auto" w:line="360" w:beforeAutospacing="0" w:before="0" w:afterAutospacing="0" w:after="0"/>
        <w:rPr>
          <w:rFonts w:ascii="Arial" w:hAnsi="Arial" w:cs="Arial"/>
        </w:rPr>
      </w:pPr>
      <w:r>
        <w:rPr>
          <w:rFonts w:cs="Arial" w:ascii="Arial" w:hAnsi="Arial"/>
        </w:rPr>
        <w:t>We will organise a fitness awareness campaign both in rural and urban areas of the United Kingdom to raise awareness among people. The main purpose of the campaign is to create market demand for our product by raising awareness among people.</w:t>
      </w:r>
    </w:p>
    <w:p>
      <w:pPr>
        <w:pStyle w:val="NormalWeb"/>
        <w:spacing w:lineRule="auto" w:line="360" w:beforeAutospacing="0" w:before="0" w:afterAutospacing="0" w:after="0"/>
        <w:rPr>
          <w:rFonts w:ascii="Arial" w:hAnsi="Arial" w:cs="Arial"/>
        </w:rPr>
      </w:pPr>
      <w:r>
        <w:rPr>
          <w:rStyle w:val="Strong"/>
          <w:rFonts w:cs="Arial" w:ascii="Arial" w:hAnsi="Arial"/>
        </w:rPr>
        <w:t>Community Radio, TVCs, and Newspaper Ads</w:t>
      </w:r>
    </w:p>
    <w:p>
      <w:pPr>
        <w:pStyle w:val="NormalWeb"/>
        <w:spacing w:lineRule="auto" w:line="360" w:beforeAutospacing="0" w:before="0" w:afterAutospacing="0" w:after="0"/>
        <w:rPr>
          <w:rFonts w:ascii="Arial" w:hAnsi="Arial" w:cs="Arial"/>
        </w:rPr>
      </w:pPr>
      <w:r>
        <w:rPr>
          <w:rFonts w:cs="Arial" w:ascii="Arial" w:hAnsi="Arial"/>
        </w:rPr>
        <w:t>We will use community radio, TVCs, and newspapers to advertise our product by creating nutrition awareness among people. </w:t>
      </w:r>
    </w:p>
    <w:p>
      <w:pPr>
        <w:pStyle w:val="NormalWeb"/>
        <w:spacing w:lineRule="auto" w:line="360" w:beforeAutospacing="0" w:before="0" w:afterAutospacing="0" w:after="0"/>
        <w:rPr>
          <w:rFonts w:ascii="Arial" w:hAnsi="Arial" w:cs="Arial"/>
        </w:rPr>
      </w:pPr>
      <w:r>
        <w:rPr>
          <w:rStyle w:val="Strong"/>
          <w:rFonts w:cs="Arial" w:ascii="Arial" w:hAnsi="Arial"/>
        </w:rPr>
        <w:t>Sponsoring public events</w:t>
      </w:r>
    </w:p>
    <w:p>
      <w:pPr>
        <w:pStyle w:val="NormalWeb"/>
        <w:spacing w:lineRule="auto" w:line="360" w:beforeAutospacing="0" w:before="0" w:afterAutospacing="0" w:after="0"/>
        <w:rPr>
          <w:rFonts w:ascii="Arial" w:hAnsi="Arial" w:cs="Arial"/>
        </w:rPr>
      </w:pPr>
      <w:r>
        <w:rPr>
          <w:rFonts w:cs="Arial" w:ascii="Arial" w:hAnsi="Arial"/>
        </w:rPr>
        <w:t>We will promote our products at the hospital, diagnostic centre, school, college and sports event, etc. which our target market belongs to. </w:t>
      </w:r>
    </w:p>
    <w:p>
      <w:pPr>
        <w:pStyle w:val="NormalWeb"/>
        <w:spacing w:lineRule="auto" w:line="360" w:beforeAutospacing="0" w:before="0" w:afterAutospacing="0" w:after="0"/>
        <w:rPr>
          <w:rFonts w:ascii="Arial" w:hAnsi="Arial" w:cs="Arial"/>
        </w:rPr>
      </w:pPr>
      <w:r>
        <w:rPr>
          <w:rStyle w:val="Strong"/>
          <w:rFonts w:cs="Arial" w:ascii="Arial" w:hAnsi="Arial"/>
        </w:rPr>
        <w:t>Primary Target Market:</w:t>
      </w:r>
      <w:r>
        <w:rPr>
          <w:rFonts w:cs="Arial" w:ascii="Arial" w:hAnsi="Arial"/>
        </w:rPr>
        <w:t> In the first year, CocoJuice primarily targets to operate in Wales where more than three million people live. We have chosen wales because it is more accessible and acceptable for our products to reach our health-conscious targeted customers. We target to cover the whole United Kingdom within three years of operation. </w:t>
      </w:r>
    </w:p>
    <w:p>
      <w:pPr>
        <w:pStyle w:val="Normal"/>
        <w:spacing w:before="240" w:after="0"/>
        <w:rPr>
          <w:rFonts w:cs="Arial"/>
          <w:szCs w:val="24"/>
        </w:rPr>
      </w:pPr>
      <w:r>
        <w:rPr>
          <w:rFonts w:cs="Arial"/>
          <w:b/>
          <w:szCs w:val="24"/>
        </w:rPr>
        <w:t>Distribution Channels</w:t>
      </w:r>
      <w:r>
        <w:drawing>
          <wp:anchor behindDoc="0" distT="0" distB="0" distL="114300" distR="114300" simplePos="0" locked="0" layoutInCell="1" allowOverlap="1" relativeHeight="2">
            <wp:simplePos x="0" y="0"/>
            <wp:positionH relativeFrom="margin">
              <wp:align>center</wp:align>
            </wp:positionH>
            <wp:positionV relativeFrom="paragraph">
              <wp:posOffset>294005</wp:posOffset>
            </wp:positionV>
            <wp:extent cx="5156835" cy="851535"/>
            <wp:effectExtent l="0" t="0" r="0" b="0"/>
            <wp:wrapSquare wrapText="bothSides"/>
            <wp:docPr id="3" name="Picture 20" descr="C:\Users\Tanver\Desktop\New Microsoft PowerPoi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0" descr="C:\Users\Tanver\Desktop\New Microsoft PowerPoint.png"/>
                    <pic:cNvPicPr>
                      <a:picLocks noChangeAspect="1" noChangeArrowheads="1"/>
                    </pic:cNvPicPr>
                  </pic:nvPicPr>
                  <pic:blipFill>
                    <a:blip r:embed="rId4"/>
                    <a:stretch>
                      <a:fillRect/>
                    </a:stretch>
                  </pic:blipFill>
                  <pic:spPr bwMode="auto">
                    <a:xfrm>
                      <a:off x="0" y="0"/>
                      <a:ext cx="5156835" cy="851535"/>
                    </a:xfrm>
                    <a:prstGeom prst="rect">
                      <a:avLst/>
                    </a:prstGeom>
                  </pic:spPr>
                </pic:pic>
              </a:graphicData>
            </a:graphic>
          </wp:anchor>
        </w:drawing>
      </w:r>
      <w:r>
        <w:rPr>
          <w:rFonts w:cs="Arial"/>
          <w:b/>
          <w:szCs w:val="24"/>
        </w:rPr>
        <w:t>:</w:t>
      </w:r>
      <w:r>
        <w:rPr>
          <w:rFonts w:cs="Arial"/>
          <w:b/>
          <w:szCs w:val="24"/>
        </w:rPr>
        <w:t xml:space="preserve"> </w:t>
      </w:r>
      <w:r>
        <w:rPr>
          <w:rFonts w:cs="Arial"/>
          <w:szCs w:val="24"/>
        </w:rPr>
        <w:t>The distribution channel of the company is depicted below:</w:t>
      </w:r>
    </w:p>
    <w:p>
      <w:pPr>
        <w:pStyle w:val="Normal"/>
        <w:ind w:left="-5" w:right="27" w:hanging="0"/>
        <w:rPr>
          <w:rFonts w:cs="Arial"/>
          <w:szCs w:val="24"/>
        </w:rPr>
      </w:pPr>
      <w:r>
        <w:rPr>
          <w:rFonts w:cs="Arial"/>
          <w:szCs w:val="24"/>
        </w:rPr>
      </w:r>
    </w:p>
    <w:p>
      <w:pPr>
        <w:pStyle w:val="Normal"/>
        <w:ind w:left="-5" w:right="27" w:hanging="0"/>
        <w:rPr>
          <w:rFonts w:cs="Arial"/>
          <w:szCs w:val="24"/>
        </w:rPr>
      </w:pPr>
      <w:r>
        <w:rPr>
          <w:rFonts w:cs="Arial"/>
          <w:szCs w:val="24"/>
        </w:rPr>
      </w:r>
    </w:p>
    <w:p>
      <w:pPr>
        <w:pStyle w:val="Normal"/>
        <w:ind w:left="-5" w:right="27" w:hanging="0"/>
        <w:rPr>
          <w:rFonts w:cs="Arial"/>
          <w:szCs w:val="24"/>
        </w:rPr>
      </w:pPr>
      <w:r>
        <w:rPr>
          <w:rFonts w:cs="Arial"/>
          <w:szCs w:val="24"/>
        </w:rPr>
      </w:r>
    </w:p>
    <w:p>
      <w:pPr>
        <w:pStyle w:val="Normal"/>
        <w:ind w:left="2155" w:right="27" w:firstLine="725"/>
        <w:rPr>
          <w:rFonts w:cs="Arial"/>
          <w:b/>
          <w:b/>
          <w:sz w:val="20"/>
          <w:szCs w:val="24"/>
        </w:rPr>
      </w:pPr>
      <w:r>
        <w:rPr>
          <w:rFonts w:cs="Arial"/>
          <w:b/>
          <w:sz w:val="20"/>
          <w:szCs w:val="24"/>
        </w:rPr>
        <w:t>Figure 2: Distribution channel (Author)</w:t>
      </w:r>
    </w:p>
    <w:p>
      <w:pPr>
        <w:pStyle w:val="Heading1"/>
        <w:rPr>
          <w:rFonts w:cs="Arial"/>
        </w:rPr>
      </w:pPr>
      <w:bookmarkStart w:id="7" w:name="_Toc98715648"/>
      <w:r>
        <w:rPr>
          <w:rFonts w:cs="Arial"/>
        </w:rPr>
        <w:t>Financial Plan</w:t>
      </w:r>
      <w:bookmarkEnd w:id="7"/>
    </w:p>
    <w:p>
      <w:pPr>
        <w:pStyle w:val="Normal"/>
        <w:ind w:right="27" w:hanging="0"/>
        <w:rPr>
          <w:rFonts w:cs="Arial"/>
          <w:szCs w:val="24"/>
        </w:rPr>
      </w:pPr>
      <w:r>
        <w:rPr>
          <w:rFonts w:cs="Arial"/>
          <w:szCs w:val="24"/>
        </w:rPr>
        <w:t xml:space="preserve">We, four founders, will inject 70% of the total start-up cost. We will raise the rest 30% of the fund either from angel investors and/or from venture capital. We have chosen angel investors and/or venture capital because they can act as partners and advisors. Their advisory role will help us to make the business successful. For this reason, we aren’t looking another source of funding i.e friends &amp; family, crowdfunding, peer funding, etc. Initially, we aren’t planning to take any start-up loan because it might increase the business and financial risk of our company. </w:t>
      </w:r>
    </w:p>
    <w:p>
      <w:pPr>
        <w:pStyle w:val="Normal"/>
        <w:ind w:right="27" w:hanging="0"/>
        <w:rPr>
          <w:rFonts w:cs="Arial"/>
          <w:b/>
          <w:b/>
          <w:szCs w:val="24"/>
        </w:rPr>
      </w:pPr>
      <w:r>
        <w:rPr>
          <w:rFonts w:cs="Arial"/>
          <w:b/>
          <w:szCs w:val="24"/>
        </w:rPr>
        <w:t xml:space="preserve">Start-up cost breakup: </w:t>
      </w:r>
      <w:r>
        <w:rPr>
          <w:rFonts w:cs="Arial"/>
          <w:szCs w:val="24"/>
        </w:rPr>
        <w:t>Source and utilization of fund is given below:</w:t>
      </w:r>
    </w:p>
    <w:tbl>
      <w:tblPr>
        <w:tblW w:w="9360" w:type="dxa"/>
        <w:jc w:val="left"/>
        <w:tblInd w:w="109" w:type="dxa"/>
        <w:tblCellMar>
          <w:top w:w="0" w:type="dxa"/>
          <w:left w:w="108" w:type="dxa"/>
          <w:bottom w:w="0" w:type="dxa"/>
          <w:right w:w="108" w:type="dxa"/>
        </w:tblCellMar>
        <w:tblLook w:firstRow="1" w:noVBand="1" w:lastRow="0" w:firstColumn="1" w:lastColumn="0" w:noHBand="0" w:val="04a0"/>
      </w:tblPr>
      <w:tblGrid>
        <w:gridCol w:w="2586"/>
        <w:gridCol w:w="2224"/>
        <w:gridCol w:w="2149"/>
        <w:gridCol w:w="2400"/>
      </w:tblGrid>
      <w:tr>
        <w:trPr>
          <w:trHeight w:val="256" w:hRule="atLeast"/>
        </w:trPr>
        <w:tc>
          <w:tcPr>
            <w:tcW w:w="2586" w:type="dxa"/>
            <w:tcBorders>
              <w:top w:val="single" w:sz="4" w:space="0" w:color="000000"/>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Break up</w:t>
            </w:r>
          </w:p>
        </w:tc>
        <w:tc>
          <w:tcPr>
            <w:tcW w:w="2224"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Amount in GBP</w:t>
            </w:r>
          </w:p>
        </w:tc>
        <w:tc>
          <w:tcPr>
            <w:tcW w:w="2149"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Equity Financing</w:t>
            </w:r>
          </w:p>
        </w:tc>
        <w:tc>
          <w:tcPr>
            <w:tcW w:w="2400"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External Financing</w:t>
            </w:r>
          </w:p>
        </w:tc>
      </w:tr>
      <w:tr>
        <w:trPr>
          <w:trHeight w:val="256" w:hRule="atLeast"/>
        </w:trPr>
        <w:tc>
          <w:tcPr>
            <w:tcW w:w="258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Land and Building</w:t>
            </w:r>
          </w:p>
        </w:tc>
        <w:tc>
          <w:tcPr>
            <w:tcW w:w="2224"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70,000.00</w:t>
            </w:r>
          </w:p>
        </w:tc>
        <w:tc>
          <w:tcPr>
            <w:tcW w:w="214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49,000.00</w:t>
            </w:r>
          </w:p>
        </w:tc>
        <w:tc>
          <w:tcPr>
            <w:tcW w:w="240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21,000.00</w:t>
            </w:r>
          </w:p>
        </w:tc>
      </w:tr>
      <w:tr>
        <w:trPr>
          <w:trHeight w:val="256" w:hRule="atLeast"/>
        </w:trPr>
        <w:tc>
          <w:tcPr>
            <w:tcW w:w="258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Machineries</w:t>
            </w:r>
          </w:p>
        </w:tc>
        <w:tc>
          <w:tcPr>
            <w:tcW w:w="2224"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15,000.00</w:t>
            </w:r>
          </w:p>
        </w:tc>
        <w:tc>
          <w:tcPr>
            <w:tcW w:w="214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10,500.00</w:t>
            </w:r>
          </w:p>
        </w:tc>
        <w:tc>
          <w:tcPr>
            <w:tcW w:w="240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4,500.00</w:t>
            </w:r>
          </w:p>
        </w:tc>
      </w:tr>
      <w:tr>
        <w:trPr>
          <w:trHeight w:val="256" w:hRule="atLeast"/>
        </w:trPr>
        <w:tc>
          <w:tcPr>
            <w:tcW w:w="258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Other Fixed Assets</w:t>
            </w:r>
          </w:p>
        </w:tc>
        <w:tc>
          <w:tcPr>
            <w:tcW w:w="2224"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35,000.00</w:t>
            </w:r>
          </w:p>
        </w:tc>
        <w:tc>
          <w:tcPr>
            <w:tcW w:w="214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24,500.00</w:t>
            </w:r>
          </w:p>
        </w:tc>
        <w:tc>
          <w:tcPr>
            <w:tcW w:w="240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10,500.00</w:t>
            </w:r>
          </w:p>
        </w:tc>
      </w:tr>
      <w:tr>
        <w:trPr>
          <w:trHeight w:val="256" w:hRule="atLeast"/>
        </w:trPr>
        <w:tc>
          <w:tcPr>
            <w:tcW w:w="258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Preliminary Expense</w:t>
            </w:r>
          </w:p>
        </w:tc>
        <w:tc>
          <w:tcPr>
            <w:tcW w:w="2224"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10,000.00</w:t>
            </w:r>
          </w:p>
        </w:tc>
        <w:tc>
          <w:tcPr>
            <w:tcW w:w="214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7,000.00</w:t>
            </w:r>
          </w:p>
        </w:tc>
        <w:tc>
          <w:tcPr>
            <w:tcW w:w="240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3,000.00</w:t>
            </w:r>
          </w:p>
        </w:tc>
      </w:tr>
      <w:tr>
        <w:trPr>
          <w:trHeight w:val="256" w:hRule="atLeast"/>
        </w:trPr>
        <w:tc>
          <w:tcPr>
            <w:tcW w:w="258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Working capital</w:t>
            </w:r>
          </w:p>
        </w:tc>
        <w:tc>
          <w:tcPr>
            <w:tcW w:w="2224"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15,000.00</w:t>
            </w:r>
          </w:p>
        </w:tc>
        <w:tc>
          <w:tcPr>
            <w:tcW w:w="214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10,500.00</w:t>
            </w:r>
          </w:p>
        </w:tc>
        <w:tc>
          <w:tcPr>
            <w:tcW w:w="240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4,500.00</w:t>
            </w:r>
          </w:p>
        </w:tc>
      </w:tr>
      <w:tr>
        <w:trPr>
          <w:trHeight w:val="256" w:hRule="atLeast"/>
        </w:trPr>
        <w:tc>
          <w:tcPr>
            <w:tcW w:w="258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Total</w:t>
            </w:r>
          </w:p>
        </w:tc>
        <w:tc>
          <w:tcPr>
            <w:tcW w:w="2224"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145,000.00</w:t>
            </w:r>
          </w:p>
        </w:tc>
        <w:tc>
          <w:tcPr>
            <w:tcW w:w="214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101,500.00</w:t>
            </w:r>
          </w:p>
        </w:tc>
        <w:tc>
          <w:tcPr>
            <w:tcW w:w="240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43,500.00</w:t>
            </w:r>
          </w:p>
        </w:tc>
      </w:tr>
    </w:tbl>
    <w:p>
      <w:pPr>
        <w:pStyle w:val="Normal"/>
        <w:ind w:right="27" w:hanging="0"/>
        <w:rPr>
          <w:rFonts w:cs="Arial"/>
          <w:b/>
          <w:b/>
          <w:szCs w:val="24"/>
        </w:rPr>
      </w:pPr>
      <w:r>
        <w:rPr>
          <w:rFonts w:cs="Arial"/>
          <w:b/>
          <w:szCs w:val="24"/>
        </w:rPr>
      </w:r>
    </w:p>
    <w:p>
      <w:pPr>
        <w:pStyle w:val="Normal"/>
        <w:ind w:right="27" w:hanging="0"/>
        <w:rPr>
          <w:rFonts w:cs="Arial"/>
          <w:b/>
          <w:b/>
          <w:szCs w:val="24"/>
        </w:rPr>
      </w:pPr>
      <w:r>
        <w:rPr>
          <w:rFonts w:cs="Arial"/>
          <w:b/>
          <w:szCs w:val="24"/>
        </w:rPr>
      </w:r>
    </w:p>
    <w:p>
      <w:pPr>
        <w:pStyle w:val="Normal"/>
        <w:ind w:right="27" w:hanging="0"/>
        <w:rPr>
          <w:rFonts w:cs="Arial"/>
          <w:b/>
          <w:b/>
          <w:szCs w:val="24"/>
        </w:rPr>
      </w:pPr>
      <w:r>
        <w:rPr>
          <w:rFonts w:cs="Arial"/>
          <w:b/>
          <w:szCs w:val="24"/>
        </w:rPr>
        <w:t>Cash Budget</w:t>
      </w:r>
    </w:p>
    <w:tbl>
      <w:tblPr>
        <w:tblW w:w="9473" w:type="dxa"/>
        <w:jc w:val="left"/>
        <w:tblInd w:w="-5" w:type="dxa"/>
        <w:tblCellMar>
          <w:top w:w="0" w:type="dxa"/>
          <w:left w:w="108" w:type="dxa"/>
          <w:bottom w:w="0" w:type="dxa"/>
          <w:right w:w="108" w:type="dxa"/>
        </w:tblCellMar>
        <w:tblLook w:firstRow="1" w:noVBand="1" w:lastRow="0" w:firstColumn="1" w:lastColumn="0" w:noHBand="0" w:val="04a0"/>
      </w:tblPr>
      <w:tblGrid>
        <w:gridCol w:w="4342"/>
        <w:gridCol w:w="1710"/>
        <w:gridCol w:w="1710"/>
        <w:gridCol w:w="1710"/>
      </w:tblGrid>
      <w:tr>
        <w:trPr>
          <w:trHeight w:val="256" w:hRule="atLeast"/>
        </w:trPr>
        <w:tc>
          <w:tcPr>
            <w:tcW w:w="4342" w:type="dxa"/>
            <w:tcBorders>
              <w:top w:val="single" w:sz="4" w:space="0" w:color="000000"/>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Particular (Amount in GBP)</w:t>
            </w:r>
          </w:p>
        </w:tc>
        <w:tc>
          <w:tcPr>
            <w:tcW w:w="1710"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Month-1</w:t>
            </w:r>
          </w:p>
        </w:tc>
        <w:tc>
          <w:tcPr>
            <w:tcW w:w="1710"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Month-2</w:t>
            </w:r>
          </w:p>
        </w:tc>
        <w:tc>
          <w:tcPr>
            <w:tcW w:w="1710"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Month-3</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Cash Balance</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15,000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9,150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6,350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Cash Sale</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5,000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12,000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17,000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Collection from Account Receivable</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9,000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15,000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Total Receipt</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20,000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30,150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38,350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Cash Expense</w:t>
            </w:r>
          </w:p>
        </w:tc>
        <w:tc>
          <w:tcPr>
            <w:tcW w:w="5130" w:type="dxa"/>
            <w:gridSpan w:val="3"/>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Raw Material Cost</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8,000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19,200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27,200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Payroll</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850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1,100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Selling Expense</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1,800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2,550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Administrative Expense</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1,250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1,500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1,700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Other Expense</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650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Total Expense</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10,850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23,800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33,200</w:t>
            </w:r>
          </w:p>
        </w:tc>
      </w:tr>
      <w:tr>
        <w:trPr>
          <w:trHeight w:val="256" w:hRule="atLeast"/>
        </w:trPr>
        <w:tc>
          <w:tcPr>
            <w:tcW w:w="4342"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 xml:space="preserve">Closing Cash Balance </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9,150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6,350</w:t>
            </w:r>
          </w:p>
        </w:tc>
        <w:tc>
          <w:tcPr>
            <w:tcW w:w="171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5,150</w:t>
            </w:r>
          </w:p>
        </w:tc>
      </w:tr>
    </w:tbl>
    <w:p>
      <w:pPr>
        <w:pStyle w:val="Normal"/>
        <w:ind w:right="27" w:hanging="0"/>
        <w:rPr>
          <w:rFonts w:cs="Arial"/>
          <w:b/>
          <w:b/>
          <w:szCs w:val="24"/>
        </w:rPr>
      </w:pPr>
      <w:r>
        <w:rPr>
          <w:rFonts w:cs="Arial"/>
          <w:b/>
          <w:szCs w:val="24"/>
        </w:rPr>
      </w:r>
    </w:p>
    <w:p>
      <w:pPr>
        <w:pStyle w:val="Normal"/>
        <w:ind w:right="27" w:hanging="0"/>
        <w:rPr>
          <w:rFonts w:cs="Arial"/>
          <w:b/>
          <w:b/>
          <w:szCs w:val="24"/>
        </w:rPr>
      </w:pPr>
      <w:r>
        <w:rPr>
          <w:rFonts w:cs="Arial"/>
          <w:b/>
          <w:szCs w:val="24"/>
        </w:rPr>
        <w:t>Projected Income Statement</w:t>
      </w:r>
    </w:p>
    <w:tbl>
      <w:tblPr>
        <w:tblW w:w="9473" w:type="dxa"/>
        <w:jc w:val="left"/>
        <w:tblInd w:w="-5" w:type="dxa"/>
        <w:tblCellMar>
          <w:top w:w="0" w:type="dxa"/>
          <w:left w:w="108" w:type="dxa"/>
          <w:bottom w:w="0" w:type="dxa"/>
          <w:right w:w="108" w:type="dxa"/>
        </w:tblCellMar>
        <w:tblLook w:firstRow="1" w:noVBand="1" w:lastRow="0" w:firstColumn="1" w:lastColumn="0" w:noHBand="0" w:val="04a0"/>
      </w:tblPr>
      <w:tblGrid>
        <w:gridCol w:w="2766"/>
        <w:gridCol w:w="1247"/>
        <w:gridCol w:w="1468"/>
        <w:gridCol w:w="1339"/>
        <w:gridCol w:w="1340"/>
        <w:gridCol w:w="1312"/>
      </w:tblGrid>
      <w:tr>
        <w:trPr>
          <w:trHeight w:val="291" w:hRule="atLeast"/>
        </w:trPr>
        <w:tc>
          <w:tcPr>
            <w:tcW w:w="2766" w:type="dxa"/>
            <w:tcBorders>
              <w:top w:val="single" w:sz="4" w:space="0" w:color="000000"/>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rPr>
            </w:pPr>
            <w:r>
              <w:rPr>
                <w:rFonts w:eastAsia="Times New Roman" w:cs="Arial"/>
                <w:b/>
                <w:szCs w:val="24"/>
              </w:rPr>
              <w:t>Description</w:t>
            </w:r>
          </w:p>
        </w:tc>
        <w:tc>
          <w:tcPr>
            <w:tcW w:w="1247"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rPr>
            </w:pPr>
            <w:r>
              <w:rPr>
                <w:rFonts w:eastAsia="Times New Roman" w:cs="Arial"/>
                <w:b/>
                <w:szCs w:val="24"/>
              </w:rPr>
              <w:t>Year-1</w:t>
            </w:r>
          </w:p>
        </w:tc>
        <w:tc>
          <w:tcPr>
            <w:tcW w:w="1468"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rPr>
            </w:pPr>
            <w:r>
              <w:rPr>
                <w:rFonts w:eastAsia="Times New Roman" w:cs="Arial"/>
                <w:b/>
                <w:szCs w:val="24"/>
              </w:rPr>
              <w:t>Year-2</w:t>
            </w:r>
          </w:p>
        </w:tc>
        <w:tc>
          <w:tcPr>
            <w:tcW w:w="1339"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rPr>
            </w:pPr>
            <w:r>
              <w:rPr>
                <w:rFonts w:eastAsia="Times New Roman" w:cs="Arial"/>
                <w:b/>
                <w:szCs w:val="24"/>
              </w:rPr>
              <w:t>Year-3</w:t>
            </w:r>
          </w:p>
        </w:tc>
        <w:tc>
          <w:tcPr>
            <w:tcW w:w="1340"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rPr>
            </w:pPr>
            <w:r>
              <w:rPr>
                <w:rFonts w:eastAsia="Times New Roman" w:cs="Arial"/>
                <w:b/>
                <w:szCs w:val="24"/>
              </w:rPr>
              <w:t>Year-4</w:t>
            </w:r>
          </w:p>
        </w:tc>
        <w:tc>
          <w:tcPr>
            <w:tcW w:w="1312" w:type="dxa"/>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rPr>
            </w:pPr>
            <w:r>
              <w:rPr>
                <w:rFonts w:eastAsia="Times New Roman" w:cs="Arial"/>
                <w:b/>
                <w:szCs w:val="24"/>
              </w:rPr>
              <w:t>Year-5</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Sales</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750,000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1,500,000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4,000,000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5,000,000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7,000,000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Variable Cost</w:t>
            </w:r>
          </w:p>
        </w:tc>
        <w:tc>
          <w:tcPr>
            <w:tcW w:w="6706" w:type="dxa"/>
            <w:gridSpan w:val="5"/>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Cost of goods sold</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525,000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1,050,000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2,800,000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3,400,000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4,760,000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Sales commission</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7,500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15,000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200,000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250,000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350,000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Transportation</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3,750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7,500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25,000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35,000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Total Variable cost</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536,250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1,072,500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3,020,000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3,675,000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5,145,000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Contribution Margin</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213,750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427,500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980,000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1,325,000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1,855,000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Fixed Cost</w:t>
            </w:r>
          </w:p>
        </w:tc>
        <w:tc>
          <w:tcPr>
            <w:tcW w:w="6706" w:type="dxa"/>
            <w:gridSpan w:val="5"/>
            <w:tcBorders>
              <w:top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Payroll</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14,000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15,400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16,940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33,880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35,574</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Administrative expense</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52,500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105,000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200,000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350,000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490,000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Depreciation</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37,500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75,000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90,000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108,000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129,600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Fixed selling cost</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37,500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75,000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200,000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250,000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350,000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Other Fixed cost</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67,500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135,000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360,000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396,000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455,400</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Total Fixed cost</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209,000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405,400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866,940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1,137,880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bCs/>
                <w:szCs w:val="24"/>
              </w:rPr>
            </w:pPr>
            <w:r>
              <w:rPr>
                <w:rFonts w:eastAsia="Times New Roman" w:cs="Arial"/>
                <w:b/>
                <w:bCs/>
                <w:szCs w:val="24"/>
              </w:rPr>
              <w:t>1,460,574</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Earning before tax</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4,750</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22,100</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113,060</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187,120</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394,426</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 xml:space="preserve">Tax </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903</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4,199</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21,481</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35,553</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szCs w:val="24"/>
              </w:rPr>
            </w:pPr>
            <w:r>
              <w:rPr>
                <w:rFonts w:eastAsia="Times New Roman" w:cs="Arial"/>
                <w:szCs w:val="24"/>
              </w:rPr>
              <w:t>74,941</w:t>
            </w:r>
          </w:p>
        </w:tc>
      </w:tr>
      <w:tr>
        <w:trPr>
          <w:trHeight w:val="291" w:hRule="atLeast"/>
        </w:trPr>
        <w:tc>
          <w:tcPr>
            <w:tcW w:w="2766" w:type="dxa"/>
            <w:tcBorders>
              <w:left w:val="single" w:sz="4" w:space="0" w:color="000000"/>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rPr>
            </w:pPr>
            <w:r>
              <w:rPr>
                <w:rFonts w:eastAsia="Times New Roman" w:cs="Arial"/>
                <w:b/>
                <w:szCs w:val="24"/>
              </w:rPr>
              <w:t>Net profit</w:t>
            </w:r>
          </w:p>
        </w:tc>
        <w:tc>
          <w:tcPr>
            <w:tcW w:w="1247"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u w:val="double"/>
              </w:rPr>
            </w:pPr>
            <w:r>
              <w:rPr>
                <w:rFonts w:eastAsia="Times New Roman" w:cs="Arial"/>
                <w:b/>
                <w:szCs w:val="24"/>
                <w:u w:val="double"/>
              </w:rPr>
              <w:t>3,848</w:t>
            </w:r>
          </w:p>
        </w:tc>
        <w:tc>
          <w:tcPr>
            <w:tcW w:w="1468"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u w:val="double"/>
              </w:rPr>
            </w:pPr>
            <w:r>
              <w:rPr>
                <w:rFonts w:eastAsia="Times New Roman" w:cs="Arial"/>
                <w:b/>
                <w:szCs w:val="24"/>
                <w:u w:val="double"/>
              </w:rPr>
              <w:t>17,901</w:t>
            </w:r>
          </w:p>
        </w:tc>
        <w:tc>
          <w:tcPr>
            <w:tcW w:w="1339"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u w:val="double"/>
              </w:rPr>
            </w:pPr>
            <w:r>
              <w:rPr>
                <w:rFonts w:eastAsia="Times New Roman" w:cs="Arial"/>
                <w:b/>
                <w:szCs w:val="24"/>
                <w:u w:val="double"/>
              </w:rPr>
              <w:t>91,579</w:t>
            </w:r>
          </w:p>
        </w:tc>
        <w:tc>
          <w:tcPr>
            <w:tcW w:w="1340"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u w:val="double"/>
              </w:rPr>
            </w:pPr>
            <w:r>
              <w:rPr>
                <w:rFonts w:eastAsia="Times New Roman" w:cs="Arial"/>
                <w:b/>
                <w:szCs w:val="24"/>
                <w:u w:val="double"/>
              </w:rPr>
              <w:t>151,567</w:t>
            </w:r>
          </w:p>
        </w:tc>
        <w:tc>
          <w:tcPr>
            <w:tcW w:w="1312" w:type="dxa"/>
            <w:tcBorders>
              <w:bottom w:val="single" w:sz="4" w:space="0" w:color="000000"/>
              <w:right w:val="single" w:sz="4" w:space="0" w:color="000000"/>
            </w:tcBorders>
            <w:shd w:color="auto" w:fill="auto" w:val="clear"/>
            <w:vAlign w:val="bottom"/>
          </w:tcPr>
          <w:p>
            <w:pPr>
              <w:pStyle w:val="Normal"/>
              <w:spacing w:before="240" w:after="0"/>
              <w:rPr>
                <w:rFonts w:eastAsia="Times New Roman" w:cs="Arial"/>
                <w:b/>
                <w:b/>
                <w:szCs w:val="24"/>
                <w:u w:val="double"/>
              </w:rPr>
            </w:pPr>
            <w:r>
              <w:rPr>
                <w:rFonts w:eastAsia="Times New Roman" w:cs="Arial"/>
                <w:b/>
                <w:szCs w:val="24"/>
                <w:u w:val="double"/>
              </w:rPr>
              <w:t>319,485</w:t>
            </w:r>
          </w:p>
        </w:tc>
      </w:tr>
    </w:tbl>
    <w:p>
      <w:pPr>
        <w:pStyle w:val="Normal"/>
        <w:ind w:right="27" w:hanging="0"/>
        <w:rPr>
          <w:rFonts w:cs="Arial"/>
          <w:b/>
          <w:b/>
          <w:szCs w:val="24"/>
        </w:rPr>
      </w:pPr>
      <w:r>
        <w:rPr>
          <w:rFonts w:cs="Arial"/>
          <w:b/>
          <w:szCs w:val="24"/>
        </w:rPr>
      </w:r>
    </w:p>
    <w:p>
      <w:pPr>
        <w:pStyle w:val="Heading1"/>
        <w:rPr>
          <w:rFonts w:cs="Arial"/>
        </w:rPr>
      </w:pPr>
      <w:bookmarkStart w:id="8" w:name="_Toc98715649"/>
      <w:r>
        <w:rPr>
          <w:rFonts w:cs="Arial"/>
        </w:rPr>
        <w:t>Market Research</w:t>
      </w:r>
      <w:bookmarkEnd w:id="8"/>
    </w:p>
    <w:p>
      <w:pPr>
        <w:pStyle w:val="Normal"/>
        <w:ind w:right="27" w:hanging="0"/>
        <w:rPr>
          <w:rFonts w:cs="Arial"/>
          <w:szCs w:val="24"/>
        </w:rPr>
      </w:pPr>
      <w:r>
        <w:rPr>
          <w:rFonts w:cs="Arial"/>
          <w:szCs w:val="24"/>
        </w:rPr>
        <w:t xml:space="preserve">According to recent research by Mintel, consumers are reluctant to buy high sugar content beverages. 48% of the people who have been asked question wants to buy healthy fruit juice if it is available at an affordable cost (Leech, 2019). Even Coca-Cola is selling healthy fruit drinks as the </w:t>
      </w:r>
      <w:r>
        <w:rPr>
          <w:rFonts w:cs="Arial"/>
        </w:rPr>
        <w:t>new generation is changing their drink behaviour from sugar-based drinks to healthy drinks (Mitchell, 2018). The message is clear to the producer that consumers prefer healthy drinks to carbonated drinks. This indicates the potential market demand for our product</w:t>
      </w:r>
      <w:r>
        <w:rPr>
          <w:rFonts w:cs="Arial"/>
          <w:szCs w:val="24"/>
        </w:rPr>
        <w:t xml:space="preserve"> as we are offering 100% fresh coconut water which has numerous health benefits. We have conducted a survey among 300 people living in Wales. 55% of the young people aged below 35, 55% of the sportsmen, and 71% of the middle-aged people have given nod to taste our products if available in the market.  29% of them have asked to mix flavour i.e. apple, orange, chocolate, etc. The political, economic, social, technological, environmental, and legal factors are favourable to our business. As this is a healthy drink, there is no sanction to conduct our business in the United Kingdom.</w:t>
      </w:r>
    </w:p>
    <w:p>
      <w:pPr>
        <w:pStyle w:val="Heading1"/>
        <w:rPr>
          <w:rFonts w:cs="Arial"/>
        </w:rPr>
      </w:pPr>
      <w:bookmarkStart w:id="9" w:name="_Toc98715650"/>
      <w:r>
        <w:rPr>
          <w:rFonts w:cs="Arial"/>
        </w:rPr>
        <w:t>Conclusion</w:t>
      </w:r>
      <w:bookmarkEnd w:id="9"/>
    </w:p>
    <w:p>
      <w:pPr>
        <w:pStyle w:val="Normal"/>
        <w:ind w:left="-5" w:right="27" w:hanging="0"/>
        <w:rPr>
          <w:rFonts w:cs="Arial"/>
          <w:szCs w:val="24"/>
        </w:rPr>
      </w:pPr>
      <w:r>
        <w:rPr>
          <w:rFonts w:cs="Arial"/>
          <w:szCs w:val="24"/>
        </w:rPr>
        <w:t xml:space="preserve">Now consumers are becoming much more health-conscious so this is a great opportunity for us to capture the market with our product </w:t>
      </w:r>
      <w:r>
        <w:rPr>
          <w:rFonts w:cs="Arial"/>
        </w:rPr>
        <w:t>(Altobella, 2018)</w:t>
      </w:r>
      <w:r>
        <w:rPr>
          <w:rFonts w:cs="Arial"/>
          <w:szCs w:val="24"/>
        </w:rPr>
        <w:t>. Our management team, operational strategy, and marketing strategy are our main strengths to raise awareness among people about the benefit of nutrition and execute the business successfully. So we believe to make our business sustainable by creating a meaningful impact on our society.</w:t>
      </w:r>
    </w:p>
    <w:p>
      <w:pPr>
        <w:pStyle w:val="Normal"/>
        <w:ind w:left="-5" w:right="27" w:hanging="0"/>
        <w:rPr>
          <w:rFonts w:cs="Arial"/>
          <w:b/>
          <w:b/>
          <w:szCs w:val="24"/>
        </w:rPr>
      </w:pPr>
      <w:r>
        <w:rPr>
          <w:rFonts w:cs="Arial"/>
          <w:b/>
          <w:szCs w:val="24"/>
        </w:rPr>
      </w:r>
    </w:p>
    <w:p>
      <w:pPr>
        <w:pStyle w:val="Heading1"/>
        <w:rPr>
          <w:rFonts w:cs="Arial"/>
        </w:rPr>
      </w:pPr>
      <w:bookmarkStart w:id="10" w:name="_Toc98715651"/>
      <w:r>
        <w:rPr>
          <w:rFonts w:cs="Arial"/>
        </w:rPr>
        <w:t>References</w:t>
      </w:r>
      <w:bookmarkEnd w:id="10"/>
    </w:p>
    <w:p>
      <w:pPr>
        <w:pStyle w:val="Normal"/>
        <w:rPr>
          <w:rFonts w:cs="Arial"/>
          <w:highlight w:val="white"/>
        </w:rPr>
      </w:pPr>
      <w:r>
        <w:rPr>
          <w:rFonts w:cs="Arial"/>
          <w:shd w:fill="FFFFFF" w:val="clear"/>
        </w:rPr>
        <w:t>Altobella, G. (2018) You’ve Got Skills—to Write a Business Plan. </w:t>
      </w:r>
      <w:r>
        <w:rPr>
          <w:rFonts w:cs="Arial"/>
          <w:i/>
          <w:iCs/>
          <w:shd w:fill="FFFFFF" w:val="clear"/>
        </w:rPr>
        <w:t>The ASHA Leader</w:t>
      </w:r>
      <w:r>
        <w:rPr>
          <w:rFonts w:cs="Arial"/>
          <w:shd w:fill="FFFFFF" w:val="clear"/>
        </w:rPr>
        <w:t>, 23(1), pp.40-41.</w:t>
      </w:r>
    </w:p>
    <w:p>
      <w:pPr>
        <w:pStyle w:val="Normal"/>
        <w:rPr>
          <w:rFonts w:cs="Arial"/>
          <w:highlight w:val="white"/>
        </w:rPr>
      </w:pPr>
      <w:r>
        <w:rPr>
          <w:rFonts w:cs="Arial"/>
          <w:shd w:fill="FFFFFF" w:val="clear"/>
        </w:rPr>
        <w:t>Beneke, J. and Rozum, K. (2018) Brand perception across cultures: A comparative study of Skoda’s brand characteristics in Poland and the United Kingdom. </w:t>
      </w:r>
      <w:r>
        <w:rPr>
          <w:rFonts w:cs="Arial"/>
          <w:i/>
          <w:iCs/>
          <w:shd w:fill="FFFFFF" w:val="clear"/>
        </w:rPr>
        <w:t>Journal of Business &amp; Retail Management Research</w:t>
      </w:r>
      <w:r>
        <w:rPr>
          <w:rFonts w:cs="Arial"/>
          <w:shd w:fill="FFFFFF" w:val="clear"/>
        </w:rPr>
        <w:t>, 12(02).</w:t>
      </w:r>
    </w:p>
    <w:p>
      <w:pPr>
        <w:pStyle w:val="Normal"/>
        <w:rPr>
          <w:rFonts w:cs="Arial"/>
        </w:rPr>
      </w:pPr>
      <w:r>
        <w:rPr>
          <w:rFonts w:cs="Arial"/>
          <w:shd w:fill="FFFFFF" w:val="clear"/>
        </w:rPr>
        <w:t>Chanson, G. And Rougès, V. (2015) Business plan. </w:t>
      </w:r>
      <w:r>
        <w:rPr>
          <w:rFonts w:cs="Arial"/>
          <w:i/>
          <w:iCs/>
          <w:shd w:fill="FFFFFF" w:val="clear"/>
        </w:rPr>
        <w:t>Management industriel</w:t>
      </w:r>
      <w:r>
        <w:rPr>
          <w:rFonts w:cs="Arial"/>
          <w:i/>
          <w:shd w:fill="FFFFFF" w:val="clear"/>
        </w:rPr>
        <w:t>, 2</w:t>
      </w:r>
      <w:r>
        <w:rPr>
          <w:rFonts w:cs="Arial"/>
          <w:shd w:fill="FFFFFF" w:val="clear"/>
        </w:rPr>
        <w:t>(3), pp.173-180.</w:t>
      </w:r>
    </w:p>
    <w:p>
      <w:pPr>
        <w:pStyle w:val="Normal"/>
        <w:rPr>
          <w:rFonts w:cs="Arial"/>
          <w:szCs w:val="24"/>
        </w:rPr>
      </w:pPr>
      <w:r>
        <w:rPr>
          <w:rFonts w:cs="Arial"/>
          <w:szCs w:val="24"/>
        </w:rPr>
        <w:t>‌</w:t>
      </w:r>
      <w:r>
        <w:rPr>
          <w:rFonts w:cs="Arial"/>
          <w:szCs w:val="24"/>
        </w:rPr>
        <w:t>Hockney, D., Barringer, T. and Al, E. (2012) </w:t>
      </w:r>
      <w:r>
        <w:rPr>
          <w:rFonts w:cs="Arial"/>
          <w:i/>
          <w:iCs/>
        </w:rPr>
        <w:t>David Hockney</w:t>
      </w:r>
      <w:r>
        <w:rPr>
          <w:rFonts w:cs="Arial"/>
          <w:i/>
          <w:iCs/>
          <w:szCs w:val="24"/>
        </w:rPr>
        <w:t>: a bigger picture</w:t>
      </w:r>
      <w:r>
        <w:rPr>
          <w:rFonts w:cs="Arial"/>
          <w:szCs w:val="24"/>
        </w:rPr>
        <w:t>. London: Thames &amp; Hudson.</w:t>
      </w:r>
    </w:p>
    <w:p>
      <w:pPr>
        <w:pStyle w:val="Normal"/>
        <w:rPr>
          <w:rFonts w:cs="Arial"/>
        </w:rPr>
      </w:pPr>
      <w:r>
        <w:rPr>
          <w:rFonts w:cs="Arial"/>
          <w:szCs w:val="24"/>
        </w:rPr>
        <w:t>Leech, J. (2019) </w:t>
      </w:r>
      <w:r>
        <w:rPr>
          <w:rFonts w:cs="Arial"/>
          <w:i/>
          <w:iCs/>
          <w:szCs w:val="24"/>
        </w:rPr>
        <w:t>13 Ways That Sugary Soda Is Bad for Your Health</w:t>
      </w:r>
      <w:r>
        <w:rPr>
          <w:rFonts w:cs="Arial"/>
          <w:szCs w:val="24"/>
        </w:rPr>
        <w:t xml:space="preserve">. [online] Healthline. Available at: </w:t>
      </w:r>
      <w:hyperlink r:id="rId5">
        <w:r>
          <w:rPr>
            <w:rStyle w:val="InternetLink"/>
            <w:rFonts w:cs="Arial"/>
            <w:color w:val="auto"/>
          </w:rPr>
          <w:t>https://www.healthline.com/nutrition/13-ways-sugary-soda-is-bad-for-you</w:t>
        </w:r>
      </w:hyperlink>
      <w:r>
        <w:rPr>
          <w:rFonts w:cs="Arial"/>
          <w:szCs w:val="24"/>
        </w:rPr>
        <w:t>.</w:t>
      </w:r>
    </w:p>
    <w:p>
      <w:pPr>
        <w:pStyle w:val="Normal"/>
        <w:rPr>
          <w:rFonts w:cs="Arial"/>
        </w:rPr>
      </w:pPr>
      <w:r>
        <w:rPr>
          <w:rFonts w:cs="Arial"/>
          <w:shd w:fill="FFFFFF" w:val="clear"/>
        </w:rPr>
        <w:t>Mitchell, C. (2018) BEVA report: making the business enjoyable. </w:t>
      </w:r>
      <w:r>
        <w:rPr>
          <w:rFonts w:cs="Arial"/>
          <w:i/>
          <w:iCs/>
          <w:shd w:fill="FFFFFF" w:val="clear"/>
        </w:rPr>
        <w:t>UK-Vet Equine</w:t>
      </w:r>
      <w:r>
        <w:rPr>
          <w:rFonts w:cs="Arial"/>
          <w:shd w:fill="FFFFFF" w:val="clear"/>
        </w:rPr>
        <w:t>, 2(6), pp.166-166.</w:t>
      </w:r>
    </w:p>
    <w:p>
      <w:pPr>
        <w:pStyle w:val="Normal"/>
        <w:rPr>
          <w:rFonts w:cs="Arial"/>
          <w:szCs w:val="24"/>
        </w:rPr>
      </w:pPr>
      <w:r>
        <w:rPr>
          <w:rFonts w:cs="Arial"/>
        </w:rPr>
        <w:t>Statista. (2022</w:t>
      </w:r>
      <w:r>
        <w:rPr>
          <w:rFonts w:cs="Arial"/>
          <w:szCs w:val="24"/>
        </w:rPr>
        <w:t>) </w:t>
      </w:r>
      <w:r>
        <w:rPr>
          <w:rFonts w:cs="Arial"/>
          <w:i/>
          <w:iCs/>
          <w:szCs w:val="24"/>
        </w:rPr>
        <w:t>Soft Drinks - United Kingdom | Statista Market Forecast</w:t>
      </w:r>
      <w:r>
        <w:rPr>
          <w:rFonts w:cs="Arial"/>
          <w:szCs w:val="24"/>
        </w:rPr>
        <w:t xml:space="preserve">. [online] Available at: </w:t>
      </w:r>
      <w:hyperlink r:id="rId6">
        <w:r>
          <w:rPr>
            <w:rStyle w:val="InternetLink"/>
            <w:rFonts w:cs="Arial"/>
            <w:color w:val="auto"/>
            <w:szCs w:val="24"/>
          </w:rPr>
          <w:t>https://www.statista.com/outlook/cmo/non-alcoholic-drinks/soft-drinks/united-kingdom</w:t>
        </w:r>
      </w:hyperlink>
      <w:r>
        <w:rPr>
          <w:rFonts w:cs="Arial"/>
          <w:szCs w:val="24"/>
        </w:rPr>
        <w:t>.</w:t>
      </w:r>
    </w:p>
    <w:p>
      <w:pPr>
        <w:pStyle w:val="Normal"/>
        <w:rPr>
          <w:rFonts w:cs="Arial"/>
          <w:szCs w:val="24"/>
        </w:rPr>
      </w:pPr>
      <w:r>
        <w:rPr>
          <w:rFonts w:cs="Arial"/>
          <w:szCs w:val="24"/>
        </w:rPr>
        <w:t>SagitterOne. (2016) </w:t>
      </w:r>
      <w:r>
        <w:rPr>
          <w:rFonts w:cs="Arial"/>
          <w:i/>
          <w:iCs/>
          <w:szCs w:val="24"/>
        </w:rPr>
        <w:t>The Soft Drinks market in UK: Keep calm and drink healthy!</w:t>
      </w:r>
      <w:r>
        <w:rPr>
          <w:rFonts w:cs="Arial"/>
          <w:szCs w:val="24"/>
        </w:rPr>
        <w:t> [online] Available at: http://sagitterone.co.uk/soft-drinks-market-uk-healthy.</w:t>
      </w:r>
    </w:p>
    <w:p>
      <w:pPr>
        <w:pStyle w:val="NormalWeb"/>
        <w:spacing w:lineRule="auto" w:line="360" w:before="280" w:after="280"/>
        <w:ind w:left="360" w:hanging="0"/>
        <w:rPr>
          <w:rFonts w:ascii="Arial" w:hAnsi="Arial" w:cs="Arial"/>
        </w:rPr>
      </w:pPr>
      <w:r>
        <w:rPr>
          <w:rFonts w:cs="Arial" w:ascii="Arial" w:hAnsi="Arial"/>
        </w:rPr>
      </w:r>
    </w:p>
    <w:p>
      <w:pPr>
        <w:pStyle w:val="NormalWeb"/>
        <w:spacing w:lineRule="auto" w:line="360" w:before="280" w:after="280"/>
        <w:rPr>
          <w:rFonts w:ascii="Arial" w:hAnsi="Arial" w:cs="Arial"/>
        </w:rPr>
      </w:pPr>
      <w:r>
        <w:rPr>
          <w:rFonts w:cs="Arial" w:ascii="Arial" w:hAnsi="Arial"/>
        </w:rPr>
        <w:t>‌</w:t>
      </w:r>
    </w:p>
    <w:p>
      <w:pPr>
        <w:pStyle w:val="NormalWeb"/>
        <w:spacing w:lineRule="auto" w:line="360" w:beforeAutospacing="0" w:before="0" w:afterAutospacing="0" w:after="0"/>
        <w:ind w:left="720" w:hanging="0"/>
        <w:rPr>
          <w:rFonts w:ascii="Arial" w:hAnsi="Arial" w:cs="Arial"/>
        </w:rPr>
      </w:pPr>
      <w:r>
        <w:rPr>
          <w:rFonts w:cs="Arial" w:ascii="Arial" w:hAnsi="Arial"/>
        </w:rPr>
      </w:r>
    </w:p>
    <w:p>
      <w:pPr>
        <w:pStyle w:val="NormalWeb"/>
        <w:spacing w:lineRule="auto" w:line="360" w:before="280" w:after="280"/>
        <w:rPr>
          <w:rFonts w:ascii="Arial" w:hAnsi="Arial" w:cs="Arial"/>
        </w:rPr>
      </w:pPr>
      <w:r>
        <w:rPr>
          <w:rFonts w:cs="Arial" w:ascii="Arial" w:hAnsi="Arial"/>
        </w:rPr>
        <w:t>‌</w:t>
      </w:r>
    </w:p>
    <w:p>
      <w:pPr>
        <w:pStyle w:val="Normal"/>
        <w:spacing w:before="0" w:after="160"/>
        <w:ind w:left="-5" w:right="27" w:hanging="0"/>
        <w:rPr/>
      </w:pPr>
      <w:r>
        <w:rPr>
          <w:rFonts w:cs="Arial"/>
          <w:szCs w:val="24"/>
        </w:rPr>
        <w:t xml:space="preserve">  </w:t>
      </w:r>
    </w:p>
    <w:sectPr>
      <w:footerReference w:type="default" r:id="rId7"/>
      <w:type w:val="nextPage"/>
      <w:pgSz w:w="12240" w:h="15840"/>
      <w:pgMar w:left="1440" w:right="1440" w:header="0" w:top="1440" w:footer="720" w:bottom="1440" w:gutter="0"/>
      <w:pgNumType w:fmt="lowerRoman"/>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Segoe U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768557202"/>
    </w:sdtPr>
    <w:sdtContent>
      <w:p>
        <w:pPr>
          <w:pStyle w:val="Footer"/>
          <w:jc w:val="center"/>
          <w:rPr/>
        </w:pPr>
        <w:r>
          <w:rPr/>
          <w:fldChar w:fldCharType="begin"/>
        </w:r>
        <w:r>
          <w:rPr/>
          <w:instrText> PAGE </w:instrText>
        </w:r>
        <w:r>
          <w:rPr/>
          <w:fldChar w:fldCharType="separate"/>
        </w:r>
        <w:r>
          <w:rPr/>
          <w:t>ii</w:t>
        </w:r>
        <w:r>
          <w:rPr/>
          <w:fldChar w:fldCharType="end"/>
        </w:r>
      </w:p>
      <w:p>
        <w:pPr>
          <w:pStyle w:val="Footer"/>
          <w:rPr/>
        </w:pPr>
        <w:r>
          <w:rPr/>
        </w:r>
      </w:p>
    </w:sdtContent>
  </w:sdt>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57"/>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d34b9"/>
    <w:pPr>
      <w:widowControl/>
      <w:bidi w:val="0"/>
      <w:spacing w:lineRule="auto" w:line="360" w:before="0" w:after="160"/>
      <w:jc w:val="both"/>
    </w:pPr>
    <w:rPr>
      <w:rFonts w:ascii="Arial" w:hAnsi="Arial" w:eastAsia="Calibri" w:cs="" w:cstheme="minorBidi" w:eastAsiaTheme="minorHAnsi"/>
      <w:color w:val="auto"/>
      <w:kern w:val="0"/>
      <w:sz w:val="24"/>
      <w:szCs w:val="22"/>
      <w:lang w:val="en-US" w:eastAsia="en-US" w:bidi="ar-SA"/>
    </w:rPr>
  </w:style>
  <w:style w:type="paragraph" w:styleId="Heading1">
    <w:name w:val="Heading 1"/>
    <w:basedOn w:val="Normal"/>
    <w:next w:val="Normal"/>
    <w:link w:val="Heading1Char"/>
    <w:uiPriority w:val="9"/>
    <w:qFormat/>
    <w:rsid w:val="00fc5a61"/>
    <w:pPr>
      <w:keepNext w:val="true"/>
      <w:keepLines/>
      <w:spacing w:before="240" w:after="0"/>
      <w:outlineLvl w:val="0"/>
    </w:pPr>
    <w:rPr>
      <w:rFonts w:eastAsia="" w:cs="" w:cstheme="majorBidi" w:eastAsiaTheme="majorEastAsia"/>
      <w:b/>
      <w:bCs/>
      <w:sz w:val="28"/>
      <w:szCs w:val="28"/>
    </w:rPr>
  </w:style>
  <w:style w:type="character" w:styleId="DefaultParagraphFont" w:default="1">
    <w:name w:val="Default Paragraph Font"/>
    <w:uiPriority w:val="1"/>
    <w:semiHidden/>
    <w:unhideWhenUsed/>
    <w:qFormat/>
    <w:rPr/>
  </w:style>
  <w:style w:type="character" w:styleId="Hgkelc" w:customStyle="1">
    <w:name w:val="hgkelc"/>
    <w:basedOn w:val="DefaultParagraphFont"/>
    <w:qFormat/>
    <w:rsid w:val="00146332"/>
    <w:rPr/>
  </w:style>
  <w:style w:type="character" w:styleId="Strong">
    <w:name w:val="Strong"/>
    <w:basedOn w:val="DefaultParagraphFont"/>
    <w:uiPriority w:val="22"/>
    <w:qFormat/>
    <w:rsid w:val="001d1aac"/>
    <w:rPr>
      <w:b/>
      <w:bCs/>
    </w:rPr>
  </w:style>
  <w:style w:type="character" w:styleId="InternetLink">
    <w:name w:val="Internet Link"/>
    <w:basedOn w:val="DefaultParagraphFont"/>
    <w:uiPriority w:val="99"/>
    <w:unhideWhenUsed/>
    <w:rsid w:val="0011362c"/>
    <w:rPr>
      <w:color w:val="0563C1" w:themeColor="hyperlink"/>
      <w:u w:val="single"/>
    </w:rPr>
  </w:style>
  <w:style w:type="character" w:styleId="PlaceholderText">
    <w:name w:val="Placeholder Text"/>
    <w:basedOn w:val="DefaultParagraphFont"/>
    <w:uiPriority w:val="99"/>
    <w:semiHidden/>
    <w:qFormat/>
    <w:rsid w:val="00e36cf5"/>
    <w:rPr>
      <w:color w:val="808080"/>
    </w:rPr>
  </w:style>
  <w:style w:type="character" w:styleId="BalloonTextChar" w:customStyle="1">
    <w:name w:val="Balloon Text Char"/>
    <w:basedOn w:val="DefaultParagraphFont"/>
    <w:link w:val="BalloonText"/>
    <w:uiPriority w:val="99"/>
    <w:semiHidden/>
    <w:qFormat/>
    <w:rsid w:val="00f010a8"/>
    <w:rPr>
      <w:rFonts w:ascii="Segoe UI" w:hAnsi="Segoe UI" w:cs="Segoe UI"/>
      <w:sz w:val="18"/>
      <w:szCs w:val="18"/>
    </w:rPr>
  </w:style>
  <w:style w:type="character" w:styleId="Heading1Char" w:customStyle="1">
    <w:name w:val="Heading 1 Char"/>
    <w:basedOn w:val="DefaultParagraphFont"/>
    <w:link w:val="Heading1"/>
    <w:uiPriority w:val="9"/>
    <w:qFormat/>
    <w:rsid w:val="00fc5a61"/>
    <w:rPr>
      <w:rFonts w:ascii="Arial" w:hAnsi="Arial" w:eastAsia="" w:cs="" w:cstheme="majorBidi" w:eastAsiaTheme="majorEastAsia"/>
      <w:b/>
      <w:bCs/>
      <w:sz w:val="28"/>
      <w:szCs w:val="28"/>
    </w:rPr>
  </w:style>
  <w:style w:type="character" w:styleId="HeaderChar" w:customStyle="1">
    <w:name w:val="Header Char"/>
    <w:basedOn w:val="DefaultParagraphFont"/>
    <w:link w:val="Header"/>
    <w:uiPriority w:val="99"/>
    <w:qFormat/>
    <w:rsid w:val="001074d9"/>
    <w:rPr>
      <w:rFonts w:ascii="Arial" w:hAnsi="Arial"/>
      <w:sz w:val="24"/>
    </w:rPr>
  </w:style>
  <w:style w:type="character" w:styleId="FooterChar" w:customStyle="1">
    <w:name w:val="Footer Char"/>
    <w:basedOn w:val="DefaultParagraphFont"/>
    <w:link w:val="Footer"/>
    <w:uiPriority w:val="99"/>
    <w:qFormat/>
    <w:rsid w:val="001074d9"/>
    <w:rPr>
      <w:rFonts w:ascii="Arial" w:hAnsi="Arial"/>
      <w:sz w:val="24"/>
    </w:rPr>
  </w:style>
  <w:style w:type="character" w:styleId="ListLabel1">
    <w:name w:val="ListLabel 1"/>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2">
    <w:name w:val="ListLabel 2"/>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3">
    <w:name w:val="ListLabel 3"/>
    <w:qFormat/>
    <w:rPr>
      <w:rFonts w:eastAsia="Arial" w:cs="Arial"/>
      <w:b w:val="false"/>
      <w:i w:val="false"/>
      <w:strike w:val="false"/>
      <w:dstrike w:val="false"/>
      <w:color w:val="000000"/>
      <w:position w:val="0"/>
      <w:sz w:val="20"/>
      <w:sz w:val="20"/>
      <w:szCs w:val="20"/>
      <w:u w:val="none" w:color="000000"/>
      <w:vertAlign w:val="baseline"/>
    </w:rPr>
  </w:style>
  <w:style w:type="character" w:styleId="ListLabel4">
    <w:name w:val="ListLabel 4"/>
    <w:qFormat/>
    <w:rPr>
      <w:rFonts w:eastAsia="Arial" w:cs="Arial"/>
      <w:b w:val="false"/>
      <w:i w:val="false"/>
      <w:strike w:val="false"/>
      <w:dstrike w:val="false"/>
      <w:color w:val="000000"/>
      <w:position w:val="0"/>
      <w:sz w:val="20"/>
      <w:sz w:val="20"/>
      <w:szCs w:val="20"/>
      <w:u w:val="none" w:color="000000"/>
      <w:vertAlign w:val="baseline"/>
    </w:rPr>
  </w:style>
  <w:style w:type="character" w:styleId="ListLabel5">
    <w:name w:val="ListLabel 5"/>
    <w:qFormat/>
    <w:rPr>
      <w:rFonts w:eastAsia="Segoe UI Symbol" w:cs="Segoe UI Symbol"/>
      <w:b w:val="false"/>
      <w:i w:val="false"/>
      <w:strike w:val="false"/>
      <w:dstrike w:val="false"/>
      <w:color w:val="000000"/>
      <w:position w:val="0"/>
      <w:sz w:val="20"/>
      <w:sz w:val="20"/>
      <w:szCs w:val="20"/>
      <w:u w:val="none" w:color="000000"/>
      <w:vertAlign w:val="baseline"/>
    </w:rPr>
  </w:style>
  <w:style w:type="character" w:styleId="ListLabel6">
    <w:name w:val="ListLabel 6"/>
    <w:qFormat/>
    <w:rPr>
      <w:rFonts w:eastAsia="Segoe UI Symbol" w:cs="Segoe UI Symbol"/>
      <w:b w:val="false"/>
      <w:i w:val="false"/>
      <w:strike w:val="false"/>
      <w:dstrike w:val="false"/>
      <w:color w:val="000000"/>
      <w:position w:val="0"/>
      <w:sz w:val="20"/>
      <w:sz w:val="20"/>
      <w:szCs w:val="20"/>
      <w:u w:val="none" w:color="000000"/>
      <w:vertAlign w:val="baseline"/>
    </w:rPr>
  </w:style>
  <w:style w:type="character" w:styleId="ListLabel7">
    <w:name w:val="ListLabel 7"/>
    <w:qFormat/>
    <w:rPr>
      <w:rFonts w:eastAsia="Arial" w:cs="Arial"/>
      <w:b w:val="false"/>
      <w:i w:val="false"/>
      <w:strike w:val="false"/>
      <w:dstrike w:val="false"/>
      <w:color w:val="000000"/>
      <w:position w:val="0"/>
      <w:sz w:val="20"/>
      <w:sz w:val="20"/>
      <w:szCs w:val="20"/>
      <w:u w:val="none" w:color="000000"/>
      <w:vertAlign w:val="baseline"/>
    </w:rPr>
  </w:style>
  <w:style w:type="character" w:styleId="ListLabel8">
    <w:name w:val="ListLabel 8"/>
    <w:qFormat/>
    <w:rPr>
      <w:rFonts w:eastAsia="Segoe UI Symbol" w:cs="Segoe UI Symbol"/>
      <w:b w:val="false"/>
      <w:i w:val="false"/>
      <w:strike w:val="false"/>
      <w:dstrike w:val="false"/>
      <w:color w:val="000000"/>
      <w:position w:val="0"/>
      <w:sz w:val="20"/>
      <w:sz w:val="20"/>
      <w:szCs w:val="20"/>
      <w:u w:val="none" w:color="000000"/>
      <w:vertAlign w:val="baseline"/>
    </w:rPr>
  </w:style>
  <w:style w:type="character" w:styleId="ListLabel9">
    <w:name w:val="ListLabel 9"/>
    <w:qFormat/>
    <w:rPr>
      <w:rFonts w:eastAsia="Segoe UI Symbol" w:cs="Segoe UI Symbol"/>
      <w:b w:val="false"/>
      <w:i w:val="false"/>
      <w:strike w:val="false"/>
      <w:dstrike w:val="false"/>
      <w:color w:val="000000"/>
      <w:position w:val="0"/>
      <w:sz w:val="20"/>
      <w:sz w:val="20"/>
      <w:szCs w:val="20"/>
      <w:u w:val="none" w:color="000000"/>
      <w:vertAlign w:val="baseline"/>
    </w:rPr>
  </w:style>
  <w:style w:type="character" w:styleId="ListLabel10">
    <w:name w:val="ListLabel 10"/>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1">
    <w:name w:val="ListLabel 11"/>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2">
    <w:name w:val="ListLabel 12"/>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3">
    <w:name w:val="ListLabel 13"/>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4">
    <w:name w:val="ListLabel 14"/>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5">
    <w:name w:val="ListLabel 15"/>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6">
    <w:name w:val="ListLabel 16"/>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7">
    <w:name w:val="ListLabel 17"/>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8">
    <w:name w:val="ListLabel 18"/>
    <w:qFormat/>
    <w:rPr>
      <w:rFonts w:eastAsia="Times New Roman" w:cs="Times New Roman"/>
      <w:b/>
      <w:bCs/>
      <w:i w:val="false"/>
      <w:strike w:val="false"/>
      <w:dstrike w:val="false"/>
      <w:color w:val="000000"/>
      <w:position w:val="0"/>
      <w:sz w:val="24"/>
      <w:sz w:val="24"/>
      <w:szCs w:val="24"/>
      <w:u w:val="none" w:color="000000"/>
      <w:vertAlign w:val="baseline"/>
    </w:rPr>
  </w:style>
  <w:style w:type="character" w:styleId="ListLabel19">
    <w:name w:val="ListLabel 19"/>
    <w:qFormat/>
    <w:rPr>
      <w:b/>
    </w:rPr>
  </w:style>
  <w:style w:type="character" w:styleId="ListLabel20">
    <w:name w:val="ListLabel 20"/>
    <w:qFormat/>
    <w:rPr>
      <w:b/>
    </w:rPr>
  </w:style>
  <w:style w:type="character" w:styleId="ListLabel21">
    <w:name w:val="ListLabel 21"/>
    <w:qFormat/>
    <w:rPr>
      <w:b/>
    </w:rPr>
  </w:style>
  <w:style w:type="character" w:styleId="ListLabel22">
    <w:name w:val="ListLabel 22"/>
    <w:qFormat/>
    <w:rPr>
      <w:b/>
    </w:rPr>
  </w:style>
  <w:style w:type="character" w:styleId="ListLabel23">
    <w:name w:val="ListLabel 23"/>
    <w:qFormat/>
    <w:rPr>
      <w:b/>
    </w:rPr>
  </w:style>
  <w:style w:type="character" w:styleId="ListLabel24">
    <w:name w:val="ListLabel 24"/>
    <w:qFormat/>
    <w:rPr>
      <w:b/>
    </w:rPr>
  </w:style>
  <w:style w:type="character" w:styleId="ListLabel25">
    <w:name w:val="ListLabel 25"/>
    <w:qFormat/>
    <w:rPr>
      <w:b/>
    </w:rPr>
  </w:style>
  <w:style w:type="character" w:styleId="ListLabel26">
    <w:name w:val="ListLabel 26"/>
    <w:qFormat/>
    <w:rPr>
      <w:b/>
    </w:rPr>
  </w:style>
  <w:style w:type="character" w:styleId="ListLabel27">
    <w:name w:val="ListLabel 27"/>
    <w:qFormat/>
    <w:rPr>
      <w:b/>
    </w:rPr>
  </w:style>
  <w:style w:type="character" w:styleId="ListLabel28">
    <w:name w:val="ListLabel 28"/>
    <w:qFormat/>
    <w:rPr>
      <w:rFonts w:cs="Arial"/>
      <w:color w:val="auto"/>
    </w:rPr>
  </w:style>
  <w:style w:type="character" w:styleId="ListLabel29">
    <w:name w:val="ListLabel 29"/>
    <w:qFormat/>
    <w:rPr>
      <w:rFonts w:cs="Arial"/>
      <w:color w:val="auto"/>
      <w:szCs w:val="24"/>
    </w:rPr>
  </w:style>
  <w:style w:type="character" w:styleId="IndexLink">
    <w:name w:val="Index Link"/>
    <w:qFormat/>
    <w:rPr/>
  </w:style>
  <w:style w:type="character" w:styleId="ListLabel30">
    <w:name w:val="ListLabel 30"/>
    <w:qFormat/>
    <w:rPr>
      <w:rFonts w:cs="Arial"/>
      <w:color w:val="auto"/>
    </w:rPr>
  </w:style>
  <w:style w:type="character" w:styleId="ListLabel31">
    <w:name w:val="ListLabel 31"/>
    <w:qFormat/>
    <w:rPr>
      <w:rFonts w:cs="Arial"/>
      <w:color w:val="auto"/>
      <w:szCs w:val="24"/>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b16ba1"/>
    <w:pPr>
      <w:spacing w:lineRule="auto" w:line="247" w:before="0" w:after="0"/>
      <w:ind w:left="720" w:hanging="10"/>
      <w:contextualSpacing/>
    </w:pPr>
    <w:rPr>
      <w:rFonts w:ascii="Times New Roman" w:hAnsi="Times New Roman" w:eastAsia="Times New Roman" w:cs="Times New Roman"/>
      <w:color w:val="000000"/>
    </w:rPr>
  </w:style>
  <w:style w:type="paragraph" w:styleId="NormalWeb">
    <w:name w:val="Normal (Web)"/>
    <w:basedOn w:val="Normal"/>
    <w:uiPriority w:val="99"/>
    <w:unhideWhenUsed/>
    <w:qFormat/>
    <w:rsid w:val="001d1aac"/>
    <w:pPr>
      <w:spacing w:lineRule="auto" w:line="240" w:beforeAutospacing="1" w:afterAutospacing="1"/>
    </w:pPr>
    <w:rPr>
      <w:rFonts w:ascii="Times New Roman" w:hAnsi="Times New Roman" w:eastAsia="Times New Roman" w:cs="Times New Roman"/>
      <w:szCs w:val="24"/>
    </w:rPr>
  </w:style>
  <w:style w:type="paragraph" w:styleId="BalloonText">
    <w:name w:val="Balloon Text"/>
    <w:basedOn w:val="Normal"/>
    <w:link w:val="BalloonTextChar"/>
    <w:uiPriority w:val="99"/>
    <w:semiHidden/>
    <w:unhideWhenUsed/>
    <w:qFormat/>
    <w:rsid w:val="00f010a8"/>
    <w:pPr>
      <w:spacing w:lineRule="auto" w:line="240" w:before="0" w:after="0"/>
    </w:pPr>
    <w:rPr>
      <w:rFonts w:ascii="Segoe UI" w:hAnsi="Segoe UI" w:cs="Segoe UI"/>
      <w:sz w:val="18"/>
      <w:szCs w:val="18"/>
    </w:rPr>
  </w:style>
  <w:style w:type="paragraph" w:styleId="TOCHeading">
    <w:name w:val="TOC Heading"/>
    <w:basedOn w:val="Heading1"/>
    <w:next w:val="Normal"/>
    <w:uiPriority w:val="39"/>
    <w:semiHidden/>
    <w:unhideWhenUsed/>
    <w:qFormat/>
    <w:rsid w:val="00ed34b9"/>
    <w:pPr>
      <w:spacing w:lineRule="auto" w:line="276"/>
    </w:pPr>
    <w:rPr>
      <w:lang w:eastAsia="ja-JP"/>
    </w:rPr>
  </w:style>
  <w:style w:type="paragraph" w:styleId="Contents1">
    <w:name w:val="TOC 1"/>
    <w:basedOn w:val="Normal"/>
    <w:next w:val="Normal"/>
    <w:autoRedefine/>
    <w:uiPriority w:val="39"/>
    <w:unhideWhenUsed/>
    <w:rsid w:val="00ed34b9"/>
    <w:pPr>
      <w:spacing w:before="0" w:after="100"/>
    </w:pPr>
    <w:rPr/>
  </w:style>
  <w:style w:type="paragraph" w:styleId="Header">
    <w:name w:val="Header"/>
    <w:basedOn w:val="Normal"/>
    <w:link w:val="HeaderChar"/>
    <w:uiPriority w:val="99"/>
    <w:unhideWhenUsed/>
    <w:rsid w:val="001074d9"/>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1074d9"/>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b16ba1"/>
    <w:pPr>
      <w:spacing w:after="0" w:line="240" w:lineRule="auto"/>
    </w:pPr>
    <w:rPr>
      <w:rFonts w:eastAsiaTheme="minorEastAsia"/>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customStyle="1" w:styleId="TableGrid0">
    <w:name w:val="TableGrid"/>
    <w:rsid w:val="004449e2"/>
    <w:pPr>
      <w:spacing w:after="0" w:line="240" w:lineRule="auto"/>
    </w:pPr>
    <w:rPr>
      <w:rFonts w:eastAsiaTheme="minorEastAsia"/>
    </w:rPr>
    <w:tblPr>
      <w:tblCellMar>
        <w:top w:w="0" w:type="dxa"/>
        <w:left w:w="0" w:type="dxa"/>
        <w:bottom w:w="0" w:type="dxa"/>
        <w:right w:w="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hyperlink" Target="https://www.healthline.com/nutrition/13-ways-sugary-soda-is-bad-for-you" TargetMode="External"/><Relationship Id="rId6" Type="http://schemas.openxmlformats.org/officeDocument/2006/relationships/hyperlink" Target="https://www.statista.com/outlook/cmo/non-alcoholic-drinks/soft-drinks/united-kingdom" TargetMode="Externa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1E672F-C81F-42F9-9F93-2C00E7E38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Trio_Office/6.2.8.2$Windows_x86 LibreOffice_project/</Application>
  <Pages>12</Pages>
  <Words>2155</Words>
  <Characters>11743</Characters>
  <CharactersWithSpaces>13609</CharactersWithSpaces>
  <Paragraphs>318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2022-03-20T18:39:00Z</dcterms:created>
  <dc:creator>USER</dc:creator>
  <dc:description/>
  <dc:language>en-GB</dc:language>
  <cp:lastModifiedBy/>
  <cp:lastPrinted>2022-03-13T09:10:00Z</cp:lastPrinted>
  <dcterms:modified xsi:type="dcterms:W3CDTF">2022-04-27T21:21:45Z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