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3A525" w14:textId="77777777" w:rsidR="00F64867" w:rsidRDefault="00F64867"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 xml:space="preserve">Student </w:t>
      </w:r>
      <w:proofErr w:type="gramStart"/>
      <w:r>
        <w:rPr>
          <w:rFonts w:ascii="Times New Roman" w:eastAsia="Times New Roman" w:hAnsi="Times New Roman" w:cs="Times New Roman"/>
          <w:b/>
          <w:bCs/>
          <w:kern w:val="36"/>
          <w:sz w:val="48"/>
          <w:szCs w:val="48"/>
          <w:lang w:eastAsia="en-GB"/>
          <w14:ligatures w14:val="none"/>
        </w:rPr>
        <w:t>Name :</w:t>
      </w:r>
      <w:proofErr w:type="gramEnd"/>
      <w:r>
        <w:rPr>
          <w:rFonts w:ascii="Times New Roman" w:eastAsia="Times New Roman" w:hAnsi="Times New Roman" w:cs="Times New Roman"/>
          <w:b/>
          <w:bCs/>
          <w:kern w:val="36"/>
          <w:sz w:val="48"/>
          <w:szCs w:val="48"/>
          <w:lang w:eastAsia="en-GB"/>
          <w14:ligatures w14:val="none"/>
        </w:rPr>
        <w:t xml:space="preserve"> </w:t>
      </w:r>
      <w:proofErr w:type="spellStart"/>
      <w:r>
        <w:rPr>
          <w:rFonts w:ascii="Times New Roman" w:eastAsia="Times New Roman" w:hAnsi="Times New Roman" w:cs="Times New Roman"/>
          <w:b/>
          <w:bCs/>
          <w:kern w:val="36"/>
          <w:sz w:val="48"/>
          <w:szCs w:val="48"/>
          <w:lang w:eastAsia="en-GB"/>
          <w14:ligatures w14:val="none"/>
        </w:rPr>
        <w:t>Tiemoko</w:t>
      </w:r>
      <w:proofErr w:type="spellEnd"/>
      <w:r>
        <w:rPr>
          <w:rFonts w:ascii="Times New Roman" w:eastAsia="Times New Roman" w:hAnsi="Times New Roman" w:cs="Times New Roman"/>
          <w:b/>
          <w:bCs/>
          <w:kern w:val="36"/>
          <w:sz w:val="48"/>
          <w:szCs w:val="48"/>
          <w:lang w:eastAsia="en-GB"/>
          <w14:ligatures w14:val="none"/>
        </w:rPr>
        <w:t xml:space="preserve"> </w:t>
      </w:r>
      <w:proofErr w:type="spellStart"/>
      <w:r>
        <w:rPr>
          <w:rFonts w:ascii="Times New Roman" w:eastAsia="Times New Roman" w:hAnsi="Times New Roman" w:cs="Times New Roman"/>
          <w:b/>
          <w:bCs/>
          <w:kern w:val="36"/>
          <w:sz w:val="48"/>
          <w:szCs w:val="48"/>
          <w:lang w:eastAsia="en-GB"/>
          <w14:ligatures w14:val="none"/>
        </w:rPr>
        <w:t>Dagnogo</w:t>
      </w:r>
      <w:proofErr w:type="spellEnd"/>
    </w:p>
    <w:p w14:paraId="64F59966" w14:textId="04DF71FA" w:rsidR="00F64867" w:rsidRDefault="00F64867"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Student Number: 2441745</w:t>
      </w:r>
    </w:p>
    <w:p w14:paraId="55ECC9FA" w14:textId="0643AD87" w:rsidR="00A30E4F" w:rsidRDefault="00A30E4F"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 xml:space="preserve">Module Code and </w:t>
      </w:r>
      <w:proofErr w:type="gramStart"/>
      <w:r>
        <w:rPr>
          <w:rFonts w:ascii="Times New Roman" w:eastAsia="Times New Roman" w:hAnsi="Times New Roman" w:cs="Times New Roman"/>
          <w:b/>
          <w:bCs/>
          <w:kern w:val="36"/>
          <w:sz w:val="48"/>
          <w:szCs w:val="48"/>
          <w:lang w:eastAsia="en-GB"/>
          <w14:ligatures w14:val="none"/>
        </w:rPr>
        <w:t>Title :LCLM</w:t>
      </w:r>
      <w:proofErr w:type="gramEnd"/>
      <w:r>
        <w:rPr>
          <w:rFonts w:ascii="Times New Roman" w:eastAsia="Times New Roman" w:hAnsi="Times New Roman" w:cs="Times New Roman"/>
          <w:b/>
          <w:bCs/>
          <w:kern w:val="36"/>
          <w:sz w:val="48"/>
          <w:szCs w:val="48"/>
          <w:lang w:eastAsia="en-GB"/>
          <w14:ligatures w14:val="none"/>
        </w:rPr>
        <w:t>5001 Understanding and Engaging Stakeholders</w:t>
      </w:r>
    </w:p>
    <w:p w14:paraId="205BB377" w14:textId="29AA30B8" w:rsidR="00A30E4F" w:rsidRDefault="00A30E4F"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roofErr w:type="gramStart"/>
      <w:r>
        <w:rPr>
          <w:rFonts w:ascii="Times New Roman" w:eastAsia="Times New Roman" w:hAnsi="Times New Roman" w:cs="Times New Roman"/>
          <w:b/>
          <w:bCs/>
          <w:kern w:val="36"/>
          <w:sz w:val="48"/>
          <w:szCs w:val="48"/>
          <w:lang w:eastAsia="en-GB"/>
          <w14:ligatures w14:val="none"/>
        </w:rPr>
        <w:t>Lecturer :</w:t>
      </w:r>
      <w:proofErr w:type="gramEnd"/>
      <w:r>
        <w:rPr>
          <w:rFonts w:ascii="Times New Roman" w:eastAsia="Times New Roman" w:hAnsi="Times New Roman" w:cs="Times New Roman"/>
          <w:b/>
          <w:bCs/>
          <w:kern w:val="36"/>
          <w:sz w:val="48"/>
          <w:szCs w:val="48"/>
          <w:lang w:eastAsia="en-GB"/>
          <w14:ligatures w14:val="none"/>
        </w:rPr>
        <w:t xml:space="preserve"> Dr </w:t>
      </w:r>
      <w:proofErr w:type="spellStart"/>
      <w:r>
        <w:rPr>
          <w:rFonts w:ascii="Times New Roman" w:eastAsia="Times New Roman" w:hAnsi="Times New Roman" w:cs="Times New Roman"/>
          <w:b/>
          <w:bCs/>
          <w:kern w:val="36"/>
          <w:sz w:val="48"/>
          <w:szCs w:val="48"/>
          <w:lang w:eastAsia="en-GB"/>
          <w14:ligatures w14:val="none"/>
        </w:rPr>
        <w:t>Aso</w:t>
      </w:r>
      <w:proofErr w:type="spellEnd"/>
      <w:r>
        <w:rPr>
          <w:rFonts w:ascii="Times New Roman" w:eastAsia="Times New Roman" w:hAnsi="Times New Roman" w:cs="Times New Roman"/>
          <w:b/>
          <w:bCs/>
          <w:kern w:val="36"/>
          <w:sz w:val="48"/>
          <w:szCs w:val="48"/>
          <w:lang w:eastAsia="en-GB"/>
          <w14:ligatures w14:val="none"/>
        </w:rPr>
        <w:t xml:space="preserve"> Abdullah</w:t>
      </w:r>
    </w:p>
    <w:p w14:paraId="149029F1" w14:textId="79A5B31A" w:rsidR="00A30E4F" w:rsidRDefault="00A30E4F"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Submission date : 20 July 2026</w:t>
      </w:r>
    </w:p>
    <w:p w14:paraId="0668E896" w14:textId="4E99FB89" w:rsidR="00065604" w:rsidRPr="00065604" w:rsidRDefault="00065604"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65604">
        <w:rPr>
          <w:rFonts w:ascii="Times New Roman" w:eastAsia="Times New Roman" w:hAnsi="Times New Roman" w:cs="Times New Roman"/>
          <w:b/>
          <w:bCs/>
          <w:kern w:val="36"/>
          <w:sz w:val="48"/>
          <w:szCs w:val="48"/>
          <w:lang w:eastAsia="en-GB"/>
          <w14:ligatures w14:val="none"/>
        </w:rPr>
        <w:t xml:space="preserve">Stakeholder Engagement Strategy for the Global Launch of </w:t>
      </w:r>
      <w:proofErr w:type="spellStart"/>
      <w:r w:rsidRPr="00065604">
        <w:rPr>
          <w:rFonts w:ascii="Times New Roman" w:eastAsia="Times New Roman" w:hAnsi="Times New Roman" w:cs="Times New Roman"/>
          <w:b/>
          <w:bCs/>
          <w:kern w:val="36"/>
          <w:sz w:val="48"/>
          <w:szCs w:val="48"/>
          <w:lang w:eastAsia="en-GB"/>
          <w14:ligatures w14:val="none"/>
        </w:rPr>
        <w:t>ConnectPlus</w:t>
      </w:r>
      <w:proofErr w:type="spellEnd"/>
      <w:r w:rsidRPr="00065604">
        <w:rPr>
          <w:rFonts w:ascii="Times New Roman" w:eastAsia="Times New Roman" w:hAnsi="Times New Roman" w:cs="Times New Roman"/>
          <w:b/>
          <w:bCs/>
          <w:kern w:val="36"/>
          <w:sz w:val="48"/>
          <w:szCs w:val="48"/>
          <w:lang w:eastAsia="en-GB"/>
          <w14:ligatures w14:val="none"/>
        </w:rPr>
        <w:t>: Tesco PLC</w:t>
      </w:r>
    </w:p>
    <w:p w14:paraId="01AF699C"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pict w14:anchorId="15A56D90">
          <v:rect id="_x0000_i1025" style="width:0;height:1.5pt" o:hralign="center" o:hrstd="t" o:hr="t" fillcolor="#a0a0a0" stroked="f"/>
        </w:pict>
      </w:r>
    </w:p>
    <w:p w14:paraId="4173321B" w14:textId="77777777" w:rsidR="00065604" w:rsidRPr="00065604" w:rsidRDefault="00065604"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65604">
        <w:rPr>
          <w:rFonts w:ascii="Times New Roman" w:eastAsia="Times New Roman" w:hAnsi="Times New Roman" w:cs="Times New Roman"/>
          <w:b/>
          <w:bCs/>
          <w:kern w:val="36"/>
          <w:sz w:val="48"/>
          <w:szCs w:val="48"/>
          <w:lang w:eastAsia="en-GB"/>
          <w14:ligatures w14:val="none"/>
        </w:rPr>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94"/>
        <w:gridCol w:w="569"/>
      </w:tblGrid>
      <w:tr w:rsidR="00065604" w:rsidRPr="00065604" w14:paraId="51D20EBA" w14:textId="77777777" w:rsidTr="00065604">
        <w:trPr>
          <w:tblHeader/>
          <w:tblCellSpacing w:w="15" w:type="dxa"/>
        </w:trPr>
        <w:tc>
          <w:tcPr>
            <w:tcW w:w="0" w:type="auto"/>
            <w:vAlign w:val="center"/>
            <w:hideMark/>
          </w:tcPr>
          <w:p w14:paraId="7B5604A2" w14:textId="77777777" w:rsidR="00065604" w:rsidRPr="00065604" w:rsidRDefault="00065604" w:rsidP="00065604">
            <w:pPr>
              <w:spacing w:after="0" w:line="240" w:lineRule="auto"/>
              <w:jc w:val="center"/>
              <w:rPr>
                <w:rFonts w:ascii="Times New Roman" w:eastAsia="Times New Roman" w:hAnsi="Times New Roman" w:cs="Times New Roman"/>
                <w:b/>
                <w:bCs/>
                <w:kern w:val="0"/>
                <w:lang w:eastAsia="en-GB"/>
                <w14:ligatures w14:val="none"/>
              </w:rPr>
            </w:pPr>
            <w:r w:rsidRPr="00065604">
              <w:rPr>
                <w:rFonts w:ascii="Times New Roman" w:eastAsia="Times New Roman" w:hAnsi="Times New Roman" w:cs="Times New Roman"/>
                <w:b/>
                <w:bCs/>
                <w:kern w:val="0"/>
                <w:lang w:eastAsia="en-GB"/>
                <w14:ligatures w14:val="none"/>
              </w:rPr>
              <w:t>Contents</w:t>
            </w:r>
          </w:p>
        </w:tc>
        <w:tc>
          <w:tcPr>
            <w:tcW w:w="0" w:type="auto"/>
            <w:vAlign w:val="center"/>
            <w:hideMark/>
          </w:tcPr>
          <w:p w14:paraId="2DFCAEFE" w14:textId="77777777" w:rsidR="00065604" w:rsidRPr="00065604" w:rsidRDefault="00065604" w:rsidP="00065604">
            <w:pPr>
              <w:spacing w:after="0" w:line="240" w:lineRule="auto"/>
              <w:jc w:val="center"/>
              <w:rPr>
                <w:rFonts w:ascii="Times New Roman" w:eastAsia="Times New Roman" w:hAnsi="Times New Roman" w:cs="Times New Roman"/>
                <w:b/>
                <w:bCs/>
                <w:kern w:val="0"/>
                <w:lang w:eastAsia="en-GB"/>
                <w14:ligatures w14:val="none"/>
              </w:rPr>
            </w:pPr>
            <w:r w:rsidRPr="00065604">
              <w:rPr>
                <w:rFonts w:ascii="Times New Roman" w:eastAsia="Times New Roman" w:hAnsi="Times New Roman" w:cs="Times New Roman"/>
                <w:b/>
                <w:bCs/>
                <w:kern w:val="0"/>
                <w:lang w:eastAsia="en-GB"/>
                <w14:ligatures w14:val="none"/>
              </w:rPr>
              <w:t>Page</w:t>
            </w:r>
          </w:p>
        </w:tc>
      </w:tr>
      <w:tr w:rsidR="00065604" w:rsidRPr="00065604" w14:paraId="6F1CD520" w14:textId="77777777" w:rsidTr="00065604">
        <w:trPr>
          <w:tblCellSpacing w:w="15" w:type="dxa"/>
        </w:trPr>
        <w:tc>
          <w:tcPr>
            <w:tcW w:w="0" w:type="auto"/>
            <w:vAlign w:val="center"/>
            <w:hideMark/>
          </w:tcPr>
          <w:p w14:paraId="028BE837"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Executive Summary</w:t>
            </w:r>
          </w:p>
        </w:tc>
        <w:tc>
          <w:tcPr>
            <w:tcW w:w="0" w:type="auto"/>
            <w:vAlign w:val="center"/>
            <w:hideMark/>
          </w:tcPr>
          <w:p w14:paraId="4C583602"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1</w:t>
            </w:r>
          </w:p>
        </w:tc>
      </w:tr>
      <w:tr w:rsidR="00065604" w:rsidRPr="00065604" w14:paraId="6229536B" w14:textId="77777777" w:rsidTr="00065604">
        <w:trPr>
          <w:tblCellSpacing w:w="15" w:type="dxa"/>
        </w:trPr>
        <w:tc>
          <w:tcPr>
            <w:tcW w:w="0" w:type="auto"/>
            <w:vAlign w:val="center"/>
            <w:hideMark/>
          </w:tcPr>
          <w:p w14:paraId="40291AC5"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1. Introduction</w:t>
            </w:r>
          </w:p>
        </w:tc>
        <w:tc>
          <w:tcPr>
            <w:tcW w:w="0" w:type="auto"/>
            <w:vAlign w:val="center"/>
            <w:hideMark/>
          </w:tcPr>
          <w:p w14:paraId="03F4D202"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2</w:t>
            </w:r>
          </w:p>
        </w:tc>
      </w:tr>
      <w:tr w:rsidR="00065604" w:rsidRPr="00065604" w14:paraId="317AD78F" w14:textId="77777777" w:rsidTr="00065604">
        <w:trPr>
          <w:tblCellSpacing w:w="15" w:type="dxa"/>
        </w:trPr>
        <w:tc>
          <w:tcPr>
            <w:tcW w:w="0" w:type="auto"/>
            <w:vAlign w:val="center"/>
            <w:hideMark/>
          </w:tcPr>
          <w:p w14:paraId="66720EA7"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2. SMART Objectives</w:t>
            </w:r>
          </w:p>
        </w:tc>
        <w:tc>
          <w:tcPr>
            <w:tcW w:w="0" w:type="auto"/>
            <w:vAlign w:val="center"/>
            <w:hideMark/>
          </w:tcPr>
          <w:p w14:paraId="40A91441"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4</w:t>
            </w:r>
          </w:p>
        </w:tc>
      </w:tr>
      <w:tr w:rsidR="00065604" w:rsidRPr="00065604" w14:paraId="6E21DA52" w14:textId="77777777" w:rsidTr="00065604">
        <w:trPr>
          <w:tblCellSpacing w:w="15" w:type="dxa"/>
        </w:trPr>
        <w:tc>
          <w:tcPr>
            <w:tcW w:w="0" w:type="auto"/>
            <w:vAlign w:val="center"/>
            <w:hideMark/>
          </w:tcPr>
          <w:p w14:paraId="50AC4989"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3. Identification and Categorisation of Stakeholders</w:t>
            </w:r>
          </w:p>
        </w:tc>
        <w:tc>
          <w:tcPr>
            <w:tcW w:w="0" w:type="auto"/>
            <w:vAlign w:val="center"/>
            <w:hideMark/>
          </w:tcPr>
          <w:p w14:paraId="7C8DFCA2"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5</w:t>
            </w:r>
          </w:p>
        </w:tc>
      </w:tr>
      <w:tr w:rsidR="00065604" w:rsidRPr="00065604" w14:paraId="46308E6A" w14:textId="77777777" w:rsidTr="00065604">
        <w:trPr>
          <w:tblCellSpacing w:w="15" w:type="dxa"/>
        </w:trPr>
        <w:tc>
          <w:tcPr>
            <w:tcW w:w="0" w:type="auto"/>
            <w:vAlign w:val="center"/>
            <w:hideMark/>
          </w:tcPr>
          <w:p w14:paraId="23C16537"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3.1 Internal Stakeholders</w:t>
            </w:r>
          </w:p>
        </w:tc>
        <w:tc>
          <w:tcPr>
            <w:tcW w:w="0" w:type="auto"/>
            <w:vAlign w:val="center"/>
            <w:hideMark/>
          </w:tcPr>
          <w:p w14:paraId="4D54B856"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6</w:t>
            </w:r>
          </w:p>
        </w:tc>
      </w:tr>
      <w:tr w:rsidR="00065604" w:rsidRPr="00065604" w14:paraId="605FAAF6" w14:textId="77777777" w:rsidTr="00065604">
        <w:trPr>
          <w:tblCellSpacing w:w="15" w:type="dxa"/>
        </w:trPr>
        <w:tc>
          <w:tcPr>
            <w:tcW w:w="0" w:type="auto"/>
            <w:vAlign w:val="center"/>
            <w:hideMark/>
          </w:tcPr>
          <w:p w14:paraId="4FD443CF"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3.2 External Stakeholders</w:t>
            </w:r>
          </w:p>
        </w:tc>
        <w:tc>
          <w:tcPr>
            <w:tcW w:w="0" w:type="auto"/>
            <w:vAlign w:val="center"/>
            <w:hideMark/>
          </w:tcPr>
          <w:p w14:paraId="1D3A4B18"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8</w:t>
            </w:r>
          </w:p>
        </w:tc>
      </w:tr>
      <w:tr w:rsidR="00065604" w:rsidRPr="00065604" w14:paraId="6564D98C" w14:textId="77777777" w:rsidTr="00065604">
        <w:trPr>
          <w:tblCellSpacing w:w="15" w:type="dxa"/>
        </w:trPr>
        <w:tc>
          <w:tcPr>
            <w:tcW w:w="0" w:type="auto"/>
            <w:vAlign w:val="center"/>
            <w:hideMark/>
          </w:tcPr>
          <w:p w14:paraId="512E9800"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3.3 Power–Interest Matrix</w:t>
            </w:r>
          </w:p>
        </w:tc>
        <w:tc>
          <w:tcPr>
            <w:tcW w:w="0" w:type="auto"/>
            <w:vAlign w:val="center"/>
            <w:hideMark/>
          </w:tcPr>
          <w:p w14:paraId="038A22C7"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10</w:t>
            </w:r>
          </w:p>
        </w:tc>
      </w:tr>
      <w:tr w:rsidR="00065604" w:rsidRPr="00065604" w14:paraId="3998819E" w14:textId="77777777" w:rsidTr="00065604">
        <w:trPr>
          <w:tblCellSpacing w:w="15" w:type="dxa"/>
        </w:trPr>
        <w:tc>
          <w:tcPr>
            <w:tcW w:w="0" w:type="auto"/>
            <w:vAlign w:val="center"/>
            <w:hideMark/>
          </w:tcPr>
          <w:p w14:paraId="68FAC4F8"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3.4 Salience Model</w:t>
            </w:r>
          </w:p>
        </w:tc>
        <w:tc>
          <w:tcPr>
            <w:tcW w:w="0" w:type="auto"/>
            <w:vAlign w:val="center"/>
            <w:hideMark/>
          </w:tcPr>
          <w:p w14:paraId="77635A9F"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12</w:t>
            </w:r>
          </w:p>
        </w:tc>
      </w:tr>
      <w:tr w:rsidR="00065604" w:rsidRPr="00065604" w14:paraId="4C620F8E" w14:textId="77777777" w:rsidTr="00065604">
        <w:trPr>
          <w:tblCellSpacing w:w="15" w:type="dxa"/>
        </w:trPr>
        <w:tc>
          <w:tcPr>
            <w:tcW w:w="0" w:type="auto"/>
            <w:vAlign w:val="center"/>
            <w:hideMark/>
          </w:tcPr>
          <w:p w14:paraId="2AB16DFB"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4. Roles, Responsibilities, Benefits and Challenges</w:t>
            </w:r>
          </w:p>
        </w:tc>
        <w:tc>
          <w:tcPr>
            <w:tcW w:w="0" w:type="auto"/>
            <w:vAlign w:val="center"/>
            <w:hideMark/>
          </w:tcPr>
          <w:p w14:paraId="73D4F904"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15</w:t>
            </w:r>
          </w:p>
        </w:tc>
      </w:tr>
      <w:tr w:rsidR="00065604" w:rsidRPr="00065604" w14:paraId="79DCF134" w14:textId="77777777" w:rsidTr="00065604">
        <w:trPr>
          <w:tblCellSpacing w:w="15" w:type="dxa"/>
        </w:trPr>
        <w:tc>
          <w:tcPr>
            <w:tcW w:w="0" w:type="auto"/>
            <w:vAlign w:val="center"/>
            <w:hideMark/>
          </w:tcPr>
          <w:p w14:paraId="68FB9339"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5. Stakeholder Engagement Strategy</w:t>
            </w:r>
          </w:p>
        </w:tc>
        <w:tc>
          <w:tcPr>
            <w:tcW w:w="0" w:type="auto"/>
            <w:vAlign w:val="center"/>
            <w:hideMark/>
          </w:tcPr>
          <w:p w14:paraId="164BED57"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19</w:t>
            </w:r>
          </w:p>
        </w:tc>
      </w:tr>
      <w:tr w:rsidR="00065604" w:rsidRPr="00065604" w14:paraId="57F63B69" w14:textId="77777777" w:rsidTr="00065604">
        <w:trPr>
          <w:tblCellSpacing w:w="15" w:type="dxa"/>
        </w:trPr>
        <w:tc>
          <w:tcPr>
            <w:tcW w:w="0" w:type="auto"/>
            <w:vAlign w:val="center"/>
            <w:hideMark/>
          </w:tcPr>
          <w:p w14:paraId="2C1E467C"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5.1 Stakeholder Theory</w:t>
            </w:r>
          </w:p>
        </w:tc>
        <w:tc>
          <w:tcPr>
            <w:tcW w:w="0" w:type="auto"/>
            <w:vAlign w:val="center"/>
            <w:hideMark/>
          </w:tcPr>
          <w:p w14:paraId="2082E0C9"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19</w:t>
            </w:r>
          </w:p>
        </w:tc>
      </w:tr>
      <w:tr w:rsidR="00065604" w:rsidRPr="00065604" w14:paraId="0095B837" w14:textId="77777777" w:rsidTr="00065604">
        <w:trPr>
          <w:tblCellSpacing w:w="15" w:type="dxa"/>
        </w:trPr>
        <w:tc>
          <w:tcPr>
            <w:tcW w:w="0" w:type="auto"/>
            <w:vAlign w:val="center"/>
            <w:hideMark/>
          </w:tcPr>
          <w:p w14:paraId="1C52146C"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5.2 Engagement Process</w:t>
            </w:r>
          </w:p>
        </w:tc>
        <w:tc>
          <w:tcPr>
            <w:tcW w:w="0" w:type="auto"/>
            <w:vAlign w:val="center"/>
            <w:hideMark/>
          </w:tcPr>
          <w:p w14:paraId="13E62E95"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21</w:t>
            </w:r>
          </w:p>
        </w:tc>
      </w:tr>
      <w:tr w:rsidR="00065604" w:rsidRPr="00065604" w14:paraId="72858487" w14:textId="77777777" w:rsidTr="00065604">
        <w:trPr>
          <w:tblCellSpacing w:w="15" w:type="dxa"/>
        </w:trPr>
        <w:tc>
          <w:tcPr>
            <w:tcW w:w="0" w:type="auto"/>
            <w:vAlign w:val="center"/>
            <w:hideMark/>
          </w:tcPr>
          <w:p w14:paraId="0AC8BE4C"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5.3 Communication and RACI Matrix</w:t>
            </w:r>
          </w:p>
        </w:tc>
        <w:tc>
          <w:tcPr>
            <w:tcW w:w="0" w:type="auto"/>
            <w:vAlign w:val="center"/>
            <w:hideMark/>
          </w:tcPr>
          <w:p w14:paraId="52391272"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24</w:t>
            </w:r>
          </w:p>
        </w:tc>
      </w:tr>
      <w:tr w:rsidR="00065604" w:rsidRPr="00065604" w14:paraId="4F56132E" w14:textId="77777777" w:rsidTr="00065604">
        <w:trPr>
          <w:tblCellSpacing w:w="15" w:type="dxa"/>
        </w:trPr>
        <w:tc>
          <w:tcPr>
            <w:tcW w:w="0" w:type="auto"/>
            <w:vAlign w:val="center"/>
            <w:hideMark/>
          </w:tcPr>
          <w:p w14:paraId="073A20CA"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5.4 Conflict Management</w:t>
            </w:r>
          </w:p>
        </w:tc>
        <w:tc>
          <w:tcPr>
            <w:tcW w:w="0" w:type="auto"/>
            <w:vAlign w:val="center"/>
            <w:hideMark/>
          </w:tcPr>
          <w:p w14:paraId="5C088EAB"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27</w:t>
            </w:r>
          </w:p>
        </w:tc>
      </w:tr>
      <w:tr w:rsidR="00065604" w:rsidRPr="00065604" w14:paraId="5CE7341F" w14:textId="77777777" w:rsidTr="00065604">
        <w:trPr>
          <w:tblCellSpacing w:w="15" w:type="dxa"/>
        </w:trPr>
        <w:tc>
          <w:tcPr>
            <w:tcW w:w="0" w:type="auto"/>
            <w:vAlign w:val="center"/>
            <w:hideMark/>
          </w:tcPr>
          <w:p w14:paraId="342ABC7B"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6. Sustainable Stakeholder Engagement and Business Performance</w:t>
            </w:r>
          </w:p>
        </w:tc>
        <w:tc>
          <w:tcPr>
            <w:tcW w:w="0" w:type="auto"/>
            <w:vAlign w:val="center"/>
            <w:hideMark/>
          </w:tcPr>
          <w:p w14:paraId="668D7C52"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31</w:t>
            </w:r>
          </w:p>
        </w:tc>
      </w:tr>
      <w:tr w:rsidR="00065604" w:rsidRPr="00065604" w14:paraId="577CBDE9" w14:textId="77777777" w:rsidTr="00065604">
        <w:trPr>
          <w:tblCellSpacing w:w="15" w:type="dxa"/>
        </w:trPr>
        <w:tc>
          <w:tcPr>
            <w:tcW w:w="0" w:type="auto"/>
            <w:vAlign w:val="center"/>
            <w:hideMark/>
          </w:tcPr>
          <w:p w14:paraId="2CC77D67"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7. Recommendations</w:t>
            </w:r>
          </w:p>
        </w:tc>
        <w:tc>
          <w:tcPr>
            <w:tcW w:w="0" w:type="auto"/>
            <w:vAlign w:val="center"/>
            <w:hideMark/>
          </w:tcPr>
          <w:p w14:paraId="7C22A0B8"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37</w:t>
            </w:r>
          </w:p>
        </w:tc>
      </w:tr>
      <w:tr w:rsidR="00065604" w:rsidRPr="00065604" w14:paraId="789B883C" w14:textId="77777777" w:rsidTr="00065604">
        <w:trPr>
          <w:tblCellSpacing w:w="15" w:type="dxa"/>
        </w:trPr>
        <w:tc>
          <w:tcPr>
            <w:tcW w:w="0" w:type="auto"/>
            <w:vAlign w:val="center"/>
            <w:hideMark/>
          </w:tcPr>
          <w:p w14:paraId="678E7247"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8. Conclusion</w:t>
            </w:r>
          </w:p>
        </w:tc>
        <w:tc>
          <w:tcPr>
            <w:tcW w:w="0" w:type="auto"/>
            <w:vAlign w:val="center"/>
            <w:hideMark/>
          </w:tcPr>
          <w:p w14:paraId="5EC2F771"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39</w:t>
            </w:r>
          </w:p>
        </w:tc>
      </w:tr>
      <w:tr w:rsidR="00065604" w:rsidRPr="00065604" w14:paraId="54771AD1" w14:textId="77777777" w:rsidTr="00065604">
        <w:trPr>
          <w:tblCellSpacing w:w="15" w:type="dxa"/>
        </w:trPr>
        <w:tc>
          <w:tcPr>
            <w:tcW w:w="0" w:type="auto"/>
            <w:vAlign w:val="center"/>
            <w:hideMark/>
          </w:tcPr>
          <w:p w14:paraId="01C64C01"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References</w:t>
            </w:r>
          </w:p>
        </w:tc>
        <w:tc>
          <w:tcPr>
            <w:tcW w:w="0" w:type="auto"/>
            <w:vAlign w:val="center"/>
            <w:hideMark/>
          </w:tcPr>
          <w:p w14:paraId="2F5E6C8D" w14:textId="77777777" w:rsidR="00065604" w:rsidRPr="00065604" w:rsidRDefault="00065604" w:rsidP="00065604">
            <w:pPr>
              <w:spacing w:after="0" w:line="240" w:lineRule="auto"/>
              <w:rPr>
                <w:rFonts w:ascii="Times New Roman" w:eastAsia="Times New Roman" w:hAnsi="Times New Roman" w:cs="Times New Roman"/>
                <w:kern w:val="0"/>
                <w:sz w:val="20"/>
                <w:szCs w:val="20"/>
                <w:lang w:eastAsia="en-GB"/>
                <w14:ligatures w14:val="none"/>
              </w:rPr>
            </w:pPr>
          </w:p>
        </w:tc>
      </w:tr>
    </w:tbl>
    <w:p w14:paraId="20052769" w14:textId="77777777" w:rsidR="00065604" w:rsidRPr="00065604" w:rsidRDefault="00065604"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65604">
        <w:rPr>
          <w:rFonts w:ascii="Times New Roman" w:eastAsia="Times New Roman" w:hAnsi="Times New Roman" w:cs="Times New Roman"/>
          <w:b/>
          <w:bCs/>
          <w:kern w:val="36"/>
          <w:sz w:val="48"/>
          <w:szCs w:val="48"/>
          <w:lang w:eastAsia="en-GB"/>
          <w14:ligatures w14:val="none"/>
        </w:rPr>
        <w:lastRenderedPageBreak/>
        <w:t>Executive Summary</w:t>
      </w:r>
    </w:p>
    <w:p w14:paraId="00C5B17A"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This report evaluates the stakeholder engagement strategy required for the successful launch of </w:t>
      </w:r>
      <w:proofErr w:type="spellStart"/>
      <w:r w:rsidRPr="00065604">
        <w:rPr>
          <w:rFonts w:ascii="Times New Roman" w:eastAsia="Times New Roman" w:hAnsi="Times New Roman" w:cs="Times New Roman"/>
          <w:b/>
          <w:bCs/>
          <w:kern w:val="0"/>
          <w:lang w:eastAsia="en-GB"/>
          <w14:ligatures w14:val="none"/>
        </w:rPr>
        <w:t>ConnectPlus</w:t>
      </w:r>
      <w:proofErr w:type="spellEnd"/>
      <w:r w:rsidRPr="00065604">
        <w:rPr>
          <w:rFonts w:ascii="Times New Roman" w:eastAsia="Times New Roman" w:hAnsi="Times New Roman" w:cs="Times New Roman"/>
          <w:kern w:val="0"/>
          <w:lang w:eastAsia="en-GB"/>
          <w14:ligatures w14:val="none"/>
        </w:rPr>
        <w:t xml:space="preserve">, a new AI-enabled customer loyalty and engagement platform proposed for Tesco PLC. The platform has been designed to strengthen customer relationships by combining personalised product recommendations, mobile-based rewards, and advanced customer analytics. In addition to improving customer retention and enhancing the overall shopping experience, </w:t>
      </w:r>
      <w:proofErr w:type="spellStart"/>
      <w:r w:rsidRPr="00065604">
        <w:rPr>
          <w:rFonts w:ascii="Times New Roman" w:eastAsia="Times New Roman" w:hAnsi="Times New Roman" w:cs="Times New Roman"/>
          <w:kern w:val="0"/>
          <w:lang w:eastAsia="en-GB"/>
          <w14:ligatures w14:val="none"/>
        </w:rPr>
        <w:t>ConnectPlus</w:t>
      </w:r>
      <w:proofErr w:type="spellEnd"/>
      <w:r w:rsidRPr="00065604">
        <w:rPr>
          <w:rFonts w:ascii="Times New Roman" w:eastAsia="Times New Roman" w:hAnsi="Times New Roman" w:cs="Times New Roman"/>
          <w:kern w:val="0"/>
          <w:lang w:eastAsia="en-GB"/>
          <w14:ligatures w14:val="none"/>
        </w:rPr>
        <w:t xml:space="preserve"> is expected to provide valuable business intelligence that supports strategic decision-making across Tesco's UK and international operations.</w:t>
      </w:r>
    </w:p>
    <w:p w14:paraId="3B364FFD"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The report adopts stakeholder theory as the foundation for analysing the individuals and groups that will influence, or be influenced by, the project. Internal stakeholders, including senior management, IT specialists, marketing teams, store managers, customer service employees and data analysts, are examined alongside external stakeholders such as customers, suppliers, technology partners, regulators, investors and local communities. Their respective interests, levels of influence and potential contribution to the project are evaluated using Mendelow's Power–Interest Matrix and the Stakeholder Salience Model.</w:t>
      </w:r>
    </w:p>
    <w:p w14:paraId="2DA77F5E"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The report further explores the roles and responsibilities of these stakeholders, together with the opportunities and challenges associated with managing a large-scale digital transformation project across multiple international markets. Particular attention is given to stakeholder engagement strategies that promote collaboration, trust and commitment. To support effective project delivery, practical management tools including the RACI Matrix, stakeholder communication planning, the 4Cs model (Communication, Consultation, Collaboration and Commitment), and recognised conflict management approaches are critically applied.</w:t>
      </w:r>
    </w:p>
    <w:p w14:paraId="0DCE1204"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The report also evaluates the ethical implications of implementing AI-powered customer engagement technologies. Issues relating to data privacy, algorithmic bias, transparency, cybersecurity and compliance with the General Data Protection Regulation (GDPR) are considered, highlighting the importance of balancing commercial objectives with responsible business practices. These considerations are particularly significant given the diverse legal and cultural environments in which Tesco operates.</w:t>
      </w:r>
    </w:p>
    <w:p w14:paraId="3595E744"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The report concludes that sustainable stakeholder engagement is not simply a project management activity but a strategic capability that contributes to long-term organisational performance. By maintaining transparent communication, involving stakeholders throughout the project lifecycle and fostering collaborative relationships, Tesco can reduce implementation risks, improve employee and customer acceptance, strengthen stakeholder trust and increase the likelihood of a successful global rollout of </w:t>
      </w:r>
      <w:proofErr w:type="spellStart"/>
      <w:r w:rsidRPr="00065604">
        <w:rPr>
          <w:rFonts w:ascii="Times New Roman" w:eastAsia="Times New Roman" w:hAnsi="Times New Roman" w:cs="Times New Roman"/>
          <w:kern w:val="0"/>
          <w:lang w:eastAsia="en-GB"/>
          <w14:ligatures w14:val="none"/>
        </w:rPr>
        <w:t>ConnectPlus</w:t>
      </w:r>
      <w:proofErr w:type="spellEnd"/>
      <w:r w:rsidRPr="00065604">
        <w:rPr>
          <w:rFonts w:ascii="Times New Roman" w:eastAsia="Times New Roman" w:hAnsi="Times New Roman" w:cs="Times New Roman"/>
          <w:kern w:val="0"/>
          <w:lang w:eastAsia="en-GB"/>
          <w14:ligatures w14:val="none"/>
        </w:rPr>
        <w:t>. Ultimately, effective stakeholder engagement will enhance business resilience, support innovation and reinforce Tesco's competitive position within the rapidly evolving international retail and e-commerce sector.</w:t>
      </w:r>
    </w:p>
    <w:p w14:paraId="1CDBCC75" w14:textId="77777777" w:rsidR="00065604" w:rsidRPr="00065604" w:rsidRDefault="00065604"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65604">
        <w:rPr>
          <w:rFonts w:ascii="Times New Roman" w:eastAsia="Times New Roman" w:hAnsi="Times New Roman" w:cs="Times New Roman"/>
          <w:b/>
          <w:bCs/>
          <w:kern w:val="36"/>
          <w:sz w:val="48"/>
          <w:szCs w:val="48"/>
          <w:lang w:eastAsia="en-GB"/>
          <w14:ligatures w14:val="none"/>
        </w:rPr>
        <w:t>1. Introduction</w:t>
      </w:r>
    </w:p>
    <w:p w14:paraId="373F7786"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Tesco PLC is one of the United Kingdom's largest multinational retail and e-commerce organisations, serving millions of customers through a network of supermarkets, convenience </w:t>
      </w:r>
      <w:r w:rsidRPr="00065604">
        <w:rPr>
          <w:rFonts w:ascii="Times New Roman" w:eastAsia="Times New Roman" w:hAnsi="Times New Roman" w:cs="Times New Roman"/>
          <w:kern w:val="0"/>
          <w:lang w:eastAsia="en-GB"/>
          <w14:ligatures w14:val="none"/>
        </w:rPr>
        <w:lastRenderedPageBreak/>
        <w:t>stores, online shopping platforms and digital services. Since its establishment in 1919, Tesco has expanded its operations into several international markets and has consistently invested in innovation to respond to changing customer expectations. As digital technologies continue to reshape the retail sector, organisations are increasingly using artificial intelligence (AI), big data analytics and mobile applications to deliver personalised shopping experiences and strengthen customer loyalty. Remaining competitive therefore requires continuous investment in digital transformation and customer-focused innovation.</w:t>
      </w:r>
    </w:p>
    <w:p w14:paraId="18D93369"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To support its long-term strategic objectives, Tesco is preparing to introduce </w:t>
      </w:r>
      <w:proofErr w:type="spellStart"/>
      <w:r w:rsidRPr="00065604">
        <w:rPr>
          <w:rFonts w:ascii="Times New Roman" w:eastAsia="Times New Roman" w:hAnsi="Times New Roman" w:cs="Times New Roman"/>
          <w:b/>
          <w:bCs/>
          <w:kern w:val="0"/>
          <w:lang w:eastAsia="en-GB"/>
          <w14:ligatures w14:val="none"/>
        </w:rPr>
        <w:t>ConnectPlus</w:t>
      </w:r>
      <w:proofErr w:type="spellEnd"/>
      <w:r w:rsidRPr="00065604">
        <w:rPr>
          <w:rFonts w:ascii="Times New Roman" w:eastAsia="Times New Roman" w:hAnsi="Times New Roman" w:cs="Times New Roman"/>
          <w:kern w:val="0"/>
          <w:lang w:eastAsia="en-GB"/>
          <w14:ligatures w14:val="none"/>
        </w:rPr>
        <w:t>, a digitally enhanced customer loyalty and engagement platform that combines AI-driven personalised product recommendations, mobile-based rewards, and advanced customer insight capabilities. The platform aims to improve customer retention, enhance the shopping experience, and provide managers with real-time data that supports informed decision-making. The proposed rollout will begin in selected UK and international markets over a six-month period before being extended across the wider business.</w:t>
      </w:r>
    </w:p>
    <w:p w14:paraId="5F9613EA"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Although the technology behind </w:t>
      </w:r>
      <w:proofErr w:type="spellStart"/>
      <w:r w:rsidRPr="00065604">
        <w:rPr>
          <w:rFonts w:ascii="Times New Roman" w:eastAsia="Times New Roman" w:hAnsi="Times New Roman" w:cs="Times New Roman"/>
          <w:kern w:val="0"/>
          <w:lang w:eastAsia="en-GB"/>
          <w14:ligatures w14:val="none"/>
        </w:rPr>
        <w:t>ConnectPlus</w:t>
      </w:r>
      <w:proofErr w:type="spellEnd"/>
      <w:r w:rsidRPr="00065604">
        <w:rPr>
          <w:rFonts w:ascii="Times New Roman" w:eastAsia="Times New Roman" w:hAnsi="Times New Roman" w:cs="Times New Roman"/>
          <w:kern w:val="0"/>
          <w:lang w:eastAsia="en-GB"/>
          <w14:ligatures w14:val="none"/>
        </w:rPr>
        <w:t xml:space="preserve"> offers significant commercial opportunities, the success of the project will depend largely on how effectively stakeholders are identified, managed and engaged throughout the project lifecycle. Stakeholders possess different levels of influence, interest and expectations, all of which can affect project outcomes positively or negatively. Employees must be willing to adopt new systems, customers need confidence in how their personal information is used, regulators expect compliance with legal requirements, while suppliers and technology partners must collaborate to ensure seamless implementation across multiple markets.</w:t>
      </w:r>
    </w:p>
    <w:p w14:paraId="1B86F0DF" w14:textId="77777777" w:rsid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This report critically examines the stakeholder management strategy required for the successful launch of </w:t>
      </w:r>
      <w:proofErr w:type="spellStart"/>
      <w:r w:rsidRPr="00065604">
        <w:rPr>
          <w:rFonts w:ascii="Times New Roman" w:eastAsia="Times New Roman" w:hAnsi="Times New Roman" w:cs="Times New Roman"/>
          <w:kern w:val="0"/>
          <w:lang w:eastAsia="en-GB"/>
          <w14:ligatures w14:val="none"/>
        </w:rPr>
        <w:t>ConnectPlus</w:t>
      </w:r>
      <w:proofErr w:type="spellEnd"/>
      <w:r w:rsidRPr="00065604">
        <w:rPr>
          <w:rFonts w:ascii="Times New Roman" w:eastAsia="Times New Roman" w:hAnsi="Times New Roman" w:cs="Times New Roman"/>
          <w:kern w:val="0"/>
          <w:lang w:eastAsia="en-GB"/>
          <w14:ligatures w14:val="none"/>
        </w:rPr>
        <w:t>. Drawing upon stakeholder theory and strategic management literature, the report identifies and categorises the project's key internal and external stakeholders before evaluating their roles, responsibilities, benefits and potential challenges. It applies recognised stakeholder engagement frameworks, including Mendelow's Power–Interest Matrix, the Stakeholder Salience Model, the RACI Matrix and the 4Cs model, to develop an effective engagement strategy. Finally, the report evaluates how sustainable stakeholder engagement can improve organisational performance, support ethical business practice and contribute to Tesco's long-term competitive advantage within the global retail and e-commerce industry.</w:t>
      </w:r>
    </w:p>
    <w:p w14:paraId="202FD128" w14:textId="77777777" w:rsidR="00065604" w:rsidRPr="00065604" w:rsidRDefault="00065604" w:rsidP="000656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65604">
        <w:rPr>
          <w:rFonts w:ascii="Times New Roman" w:eastAsia="Times New Roman" w:hAnsi="Times New Roman" w:cs="Times New Roman"/>
          <w:b/>
          <w:bCs/>
          <w:kern w:val="36"/>
          <w:sz w:val="48"/>
          <w:szCs w:val="48"/>
          <w:lang w:eastAsia="en-GB"/>
          <w14:ligatures w14:val="none"/>
        </w:rPr>
        <w:t>2. SMART Objectives</w:t>
      </w:r>
    </w:p>
    <w:p w14:paraId="6577B170"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The </w:t>
      </w:r>
      <w:proofErr w:type="spellStart"/>
      <w:r w:rsidRPr="00065604">
        <w:rPr>
          <w:rFonts w:ascii="Times New Roman" w:eastAsia="Times New Roman" w:hAnsi="Times New Roman" w:cs="Times New Roman"/>
          <w:kern w:val="0"/>
          <w:lang w:eastAsia="en-GB"/>
          <w14:ligatures w14:val="none"/>
        </w:rPr>
        <w:t>ConnectPlus</w:t>
      </w:r>
      <w:proofErr w:type="spellEnd"/>
      <w:r w:rsidRPr="00065604">
        <w:rPr>
          <w:rFonts w:ascii="Times New Roman" w:eastAsia="Times New Roman" w:hAnsi="Times New Roman" w:cs="Times New Roman"/>
          <w:kern w:val="0"/>
          <w:lang w:eastAsia="en-GB"/>
          <w14:ligatures w14:val="none"/>
        </w:rPr>
        <w:t xml:space="preserve"> project has been designed to support Tesco PLC's digital transformation strategy while strengthening customer relationships and improving organisational performance. To ensure the project remains focused and measurable, the following SMART objectives have been established.</w:t>
      </w:r>
    </w:p>
    <w:p w14:paraId="3BDF0196"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b/>
          <w:bCs/>
          <w:kern w:val="0"/>
          <w:lang w:eastAsia="en-GB"/>
          <w14:ligatures w14:val="none"/>
        </w:rPr>
        <w:t xml:space="preserve">Table 2.1: SMART Objectives for the </w:t>
      </w:r>
      <w:proofErr w:type="spellStart"/>
      <w:r w:rsidRPr="00065604">
        <w:rPr>
          <w:rFonts w:ascii="Times New Roman" w:eastAsia="Times New Roman" w:hAnsi="Times New Roman" w:cs="Times New Roman"/>
          <w:b/>
          <w:bCs/>
          <w:kern w:val="0"/>
          <w:lang w:eastAsia="en-GB"/>
          <w14:ligatures w14:val="none"/>
        </w:rPr>
        <w:t>ConnectPlus</w:t>
      </w:r>
      <w:proofErr w:type="spellEnd"/>
      <w:r w:rsidRPr="00065604">
        <w:rPr>
          <w:rFonts w:ascii="Times New Roman" w:eastAsia="Times New Roman" w:hAnsi="Times New Roman" w:cs="Times New Roman"/>
          <w:b/>
          <w:bCs/>
          <w:kern w:val="0"/>
          <w:lang w:eastAsia="en-GB"/>
          <w14:ligatures w14:val="none"/>
        </w:rPr>
        <w:t xml:space="preserve"> Project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3"/>
        <w:gridCol w:w="7553"/>
      </w:tblGrid>
      <w:tr w:rsidR="00065604" w:rsidRPr="00065604" w14:paraId="07C5E242" w14:textId="77777777" w:rsidTr="00065604">
        <w:trPr>
          <w:tblHeader/>
          <w:tblCellSpacing w:w="15" w:type="dxa"/>
        </w:trPr>
        <w:tc>
          <w:tcPr>
            <w:tcW w:w="0" w:type="auto"/>
            <w:vAlign w:val="center"/>
            <w:hideMark/>
          </w:tcPr>
          <w:p w14:paraId="754CA08B" w14:textId="77777777" w:rsidR="00065604" w:rsidRPr="00065604" w:rsidRDefault="00065604" w:rsidP="00065604">
            <w:pPr>
              <w:spacing w:after="0" w:line="240" w:lineRule="auto"/>
              <w:jc w:val="center"/>
              <w:rPr>
                <w:rFonts w:ascii="Times New Roman" w:eastAsia="Times New Roman" w:hAnsi="Times New Roman" w:cs="Times New Roman"/>
                <w:b/>
                <w:bCs/>
                <w:kern w:val="0"/>
                <w:lang w:eastAsia="en-GB"/>
                <w14:ligatures w14:val="none"/>
              </w:rPr>
            </w:pPr>
            <w:r w:rsidRPr="00065604">
              <w:rPr>
                <w:rFonts w:ascii="Times New Roman" w:eastAsia="Times New Roman" w:hAnsi="Times New Roman" w:cs="Times New Roman"/>
                <w:b/>
                <w:bCs/>
                <w:kern w:val="0"/>
                <w:lang w:eastAsia="en-GB"/>
                <w14:ligatures w14:val="none"/>
              </w:rPr>
              <w:lastRenderedPageBreak/>
              <w:t>SMART Criteria</w:t>
            </w:r>
          </w:p>
        </w:tc>
        <w:tc>
          <w:tcPr>
            <w:tcW w:w="0" w:type="auto"/>
            <w:vAlign w:val="center"/>
            <w:hideMark/>
          </w:tcPr>
          <w:p w14:paraId="17B7F886" w14:textId="77777777" w:rsidR="00065604" w:rsidRPr="00065604" w:rsidRDefault="00065604" w:rsidP="00065604">
            <w:pPr>
              <w:spacing w:after="0" w:line="240" w:lineRule="auto"/>
              <w:jc w:val="center"/>
              <w:rPr>
                <w:rFonts w:ascii="Times New Roman" w:eastAsia="Times New Roman" w:hAnsi="Times New Roman" w:cs="Times New Roman"/>
                <w:b/>
                <w:bCs/>
                <w:kern w:val="0"/>
                <w:lang w:eastAsia="en-GB"/>
                <w14:ligatures w14:val="none"/>
              </w:rPr>
            </w:pPr>
            <w:r w:rsidRPr="00065604">
              <w:rPr>
                <w:rFonts w:ascii="Times New Roman" w:eastAsia="Times New Roman" w:hAnsi="Times New Roman" w:cs="Times New Roman"/>
                <w:b/>
                <w:bCs/>
                <w:kern w:val="0"/>
                <w:lang w:eastAsia="en-GB"/>
                <w14:ligatures w14:val="none"/>
              </w:rPr>
              <w:t>Objective</w:t>
            </w:r>
          </w:p>
        </w:tc>
      </w:tr>
      <w:tr w:rsidR="00065604" w:rsidRPr="00065604" w14:paraId="117AA210" w14:textId="77777777" w:rsidTr="00065604">
        <w:trPr>
          <w:tblCellSpacing w:w="15" w:type="dxa"/>
        </w:trPr>
        <w:tc>
          <w:tcPr>
            <w:tcW w:w="0" w:type="auto"/>
            <w:vAlign w:val="center"/>
            <w:hideMark/>
          </w:tcPr>
          <w:p w14:paraId="4D85AC95"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b/>
                <w:bCs/>
                <w:kern w:val="0"/>
                <w:lang w:eastAsia="en-GB"/>
                <w14:ligatures w14:val="none"/>
              </w:rPr>
              <w:t>Specific</w:t>
            </w:r>
          </w:p>
        </w:tc>
        <w:tc>
          <w:tcPr>
            <w:tcW w:w="0" w:type="auto"/>
            <w:vAlign w:val="center"/>
            <w:hideMark/>
          </w:tcPr>
          <w:p w14:paraId="1C3AA939"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Successfully design, test and launch the </w:t>
            </w:r>
            <w:proofErr w:type="spellStart"/>
            <w:r w:rsidRPr="00065604">
              <w:rPr>
                <w:rFonts w:ascii="Times New Roman" w:eastAsia="Times New Roman" w:hAnsi="Times New Roman" w:cs="Times New Roman"/>
                <w:kern w:val="0"/>
                <w:lang w:eastAsia="en-GB"/>
                <w14:ligatures w14:val="none"/>
              </w:rPr>
              <w:t>ConnectPlus</w:t>
            </w:r>
            <w:proofErr w:type="spellEnd"/>
            <w:r w:rsidRPr="00065604">
              <w:rPr>
                <w:rFonts w:ascii="Times New Roman" w:eastAsia="Times New Roman" w:hAnsi="Times New Roman" w:cs="Times New Roman"/>
                <w:kern w:val="0"/>
                <w:lang w:eastAsia="en-GB"/>
                <w14:ligatures w14:val="none"/>
              </w:rPr>
              <w:t xml:space="preserve"> digital loyalty and engagement platform across the UK and five selected international markets.</w:t>
            </w:r>
          </w:p>
        </w:tc>
      </w:tr>
      <w:tr w:rsidR="00065604" w:rsidRPr="00065604" w14:paraId="7F537079" w14:textId="77777777" w:rsidTr="00065604">
        <w:trPr>
          <w:tblCellSpacing w:w="15" w:type="dxa"/>
        </w:trPr>
        <w:tc>
          <w:tcPr>
            <w:tcW w:w="0" w:type="auto"/>
            <w:vAlign w:val="center"/>
            <w:hideMark/>
          </w:tcPr>
          <w:p w14:paraId="28A7F5B0"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b/>
                <w:bCs/>
                <w:kern w:val="0"/>
                <w:lang w:eastAsia="en-GB"/>
                <w14:ligatures w14:val="none"/>
              </w:rPr>
              <w:t>Measurable</w:t>
            </w:r>
          </w:p>
        </w:tc>
        <w:tc>
          <w:tcPr>
            <w:tcW w:w="0" w:type="auto"/>
            <w:vAlign w:val="center"/>
            <w:hideMark/>
          </w:tcPr>
          <w:p w14:paraId="4E892B6A"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Increase active loyalty programme membership by </w:t>
            </w:r>
            <w:r w:rsidRPr="00065604">
              <w:rPr>
                <w:rFonts w:ascii="Times New Roman" w:eastAsia="Times New Roman" w:hAnsi="Times New Roman" w:cs="Times New Roman"/>
                <w:b/>
                <w:bCs/>
                <w:kern w:val="0"/>
                <w:lang w:eastAsia="en-GB"/>
                <w14:ligatures w14:val="none"/>
              </w:rPr>
              <w:t>20%</w:t>
            </w:r>
            <w:r w:rsidRPr="00065604">
              <w:rPr>
                <w:rFonts w:ascii="Times New Roman" w:eastAsia="Times New Roman" w:hAnsi="Times New Roman" w:cs="Times New Roman"/>
                <w:kern w:val="0"/>
                <w:lang w:eastAsia="en-GB"/>
                <w14:ligatures w14:val="none"/>
              </w:rPr>
              <w:t xml:space="preserve">, improve customer retention by </w:t>
            </w:r>
            <w:r w:rsidRPr="00065604">
              <w:rPr>
                <w:rFonts w:ascii="Times New Roman" w:eastAsia="Times New Roman" w:hAnsi="Times New Roman" w:cs="Times New Roman"/>
                <w:b/>
                <w:bCs/>
                <w:kern w:val="0"/>
                <w:lang w:eastAsia="en-GB"/>
                <w14:ligatures w14:val="none"/>
              </w:rPr>
              <w:t>15%</w:t>
            </w:r>
            <w:r w:rsidRPr="00065604">
              <w:rPr>
                <w:rFonts w:ascii="Times New Roman" w:eastAsia="Times New Roman" w:hAnsi="Times New Roman" w:cs="Times New Roman"/>
                <w:kern w:val="0"/>
                <w:lang w:eastAsia="en-GB"/>
                <w14:ligatures w14:val="none"/>
              </w:rPr>
              <w:t xml:space="preserve">, and achieve a </w:t>
            </w:r>
            <w:r w:rsidRPr="00065604">
              <w:rPr>
                <w:rFonts w:ascii="Times New Roman" w:eastAsia="Times New Roman" w:hAnsi="Times New Roman" w:cs="Times New Roman"/>
                <w:b/>
                <w:bCs/>
                <w:kern w:val="0"/>
                <w:lang w:eastAsia="en-GB"/>
                <w14:ligatures w14:val="none"/>
              </w:rPr>
              <w:t>10%</w:t>
            </w:r>
            <w:r w:rsidRPr="00065604">
              <w:rPr>
                <w:rFonts w:ascii="Times New Roman" w:eastAsia="Times New Roman" w:hAnsi="Times New Roman" w:cs="Times New Roman"/>
                <w:kern w:val="0"/>
                <w:lang w:eastAsia="en-GB"/>
                <w14:ligatures w14:val="none"/>
              </w:rPr>
              <w:t xml:space="preserve"> increase in customer satisfaction scores within 12 months of implementation.</w:t>
            </w:r>
          </w:p>
        </w:tc>
      </w:tr>
      <w:tr w:rsidR="00065604" w:rsidRPr="00065604" w14:paraId="0A96E586" w14:textId="77777777" w:rsidTr="00065604">
        <w:trPr>
          <w:tblCellSpacing w:w="15" w:type="dxa"/>
        </w:trPr>
        <w:tc>
          <w:tcPr>
            <w:tcW w:w="0" w:type="auto"/>
            <w:vAlign w:val="center"/>
            <w:hideMark/>
          </w:tcPr>
          <w:p w14:paraId="3F0ED289"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b/>
                <w:bCs/>
                <w:kern w:val="0"/>
                <w:lang w:eastAsia="en-GB"/>
                <w14:ligatures w14:val="none"/>
              </w:rPr>
              <w:t>Achievable</w:t>
            </w:r>
          </w:p>
        </w:tc>
        <w:tc>
          <w:tcPr>
            <w:tcW w:w="0" w:type="auto"/>
            <w:vAlign w:val="center"/>
            <w:hideMark/>
          </w:tcPr>
          <w:p w14:paraId="36AF9FEC"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Leverage Tesco's existing digital infrastructure, Clubcard ecosystem, AI capabilities and strategic technology partnerships to support implementation.</w:t>
            </w:r>
          </w:p>
        </w:tc>
      </w:tr>
      <w:tr w:rsidR="00065604" w:rsidRPr="00065604" w14:paraId="4B47EF7E" w14:textId="77777777" w:rsidTr="00065604">
        <w:trPr>
          <w:tblCellSpacing w:w="15" w:type="dxa"/>
        </w:trPr>
        <w:tc>
          <w:tcPr>
            <w:tcW w:w="0" w:type="auto"/>
            <w:vAlign w:val="center"/>
            <w:hideMark/>
          </w:tcPr>
          <w:p w14:paraId="59EFEF6A"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b/>
                <w:bCs/>
                <w:kern w:val="0"/>
                <w:lang w:eastAsia="en-GB"/>
                <w14:ligatures w14:val="none"/>
              </w:rPr>
              <w:t>Relevant</w:t>
            </w:r>
          </w:p>
        </w:tc>
        <w:tc>
          <w:tcPr>
            <w:tcW w:w="0" w:type="auto"/>
            <w:vAlign w:val="center"/>
            <w:hideMark/>
          </w:tcPr>
          <w:p w14:paraId="64C09603"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Support Tesco's strategic objectives of improving customer engagement, strengthening competitive advantage, enhancing data-driven decision-making and increasing long-term profitability.</w:t>
            </w:r>
          </w:p>
        </w:tc>
      </w:tr>
      <w:tr w:rsidR="00065604" w:rsidRPr="00065604" w14:paraId="18C10534" w14:textId="77777777" w:rsidTr="00065604">
        <w:trPr>
          <w:tblCellSpacing w:w="15" w:type="dxa"/>
        </w:trPr>
        <w:tc>
          <w:tcPr>
            <w:tcW w:w="0" w:type="auto"/>
            <w:vAlign w:val="center"/>
            <w:hideMark/>
          </w:tcPr>
          <w:p w14:paraId="21BB9F06"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b/>
                <w:bCs/>
                <w:kern w:val="0"/>
                <w:lang w:eastAsia="en-GB"/>
                <w14:ligatures w14:val="none"/>
              </w:rPr>
              <w:t>Time-bound</w:t>
            </w:r>
          </w:p>
        </w:tc>
        <w:tc>
          <w:tcPr>
            <w:tcW w:w="0" w:type="auto"/>
            <w:vAlign w:val="center"/>
            <w:hideMark/>
          </w:tcPr>
          <w:p w14:paraId="35D07263" w14:textId="77777777" w:rsidR="00065604" w:rsidRPr="00065604" w:rsidRDefault="00065604" w:rsidP="00065604">
            <w:pPr>
              <w:spacing w:after="0"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Complete platform development, stakeholder engagement, employee training and phased implementation within </w:t>
            </w:r>
            <w:r w:rsidRPr="00065604">
              <w:rPr>
                <w:rFonts w:ascii="Times New Roman" w:eastAsia="Times New Roman" w:hAnsi="Times New Roman" w:cs="Times New Roman"/>
                <w:b/>
                <w:bCs/>
                <w:kern w:val="0"/>
                <w:lang w:eastAsia="en-GB"/>
                <w14:ligatures w14:val="none"/>
              </w:rPr>
              <w:t>six months</w:t>
            </w:r>
            <w:r w:rsidRPr="00065604">
              <w:rPr>
                <w:rFonts w:ascii="Times New Roman" w:eastAsia="Times New Roman" w:hAnsi="Times New Roman" w:cs="Times New Roman"/>
                <w:kern w:val="0"/>
                <w:lang w:eastAsia="en-GB"/>
                <w14:ligatures w14:val="none"/>
              </w:rPr>
              <w:t>, followed by performance monitoring during the first year of operation.</w:t>
            </w:r>
          </w:p>
        </w:tc>
      </w:tr>
    </w:tbl>
    <w:p w14:paraId="3FF14913" w14:textId="77777777" w:rsid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5604">
        <w:rPr>
          <w:rFonts w:ascii="Times New Roman" w:eastAsia="Times New Roman" w:hAnsi="Times New Roman" w:cs="Times New Roman"/>
          <w:kern w:val="0"/>
          <w:lang w:eastAsia="en-GB"/>
          <w14:ligatures w14:val="none"/>
        </w:rPr>
        <w:t xml:space="preserve">These objectives provide clear performance indicators against which project success can be assessed. They also ensure that all stakeholders understand the expected outcomes, enabling more effective planning, resource allocation and performance evaluation throughout the implementation of </w:t>
      </w:r>
      <w:proofErr w:type="spellStart"/>
      <w:r w:rsidRPr="00065604">
        <w:rPr>
          <w:rFonts w:ascii="Times New Roman" w:eastAsia="Times New Roman" w:hAnsi="Times New Roman" w:cs="Times New Roman"/>
          <w:kern w:val="0"/>
          <w:lang w:eastAsia="en-GB"/>
          <w14:ligatures w14:val="none"/>
        </w:rPr>
        <w:t>ConnectPlus</w:t>
      </w:r>
      <w:proofErr w:type="spellEnd"/>
      <w:r w:rsidRPr="00065604">
        <w:rPr>
          <w:rFonts w:ascii="Times New Roman" w:eastAsia="Times New Roman" w:hAnsi="Times New Roman" w:cs="Times New Roman"/>
          <w:kern w:val="0"/>
          <w:lang w:eastAsia="en-GB"/>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6"/>
        <w:gridCol w:w="3868"/>
      </w:tblGrid>
      <w:tr w:rsidR="00E62C14" w:rsidRPr="00E62C14" w14:paraId="4E5A6321" w14:textId="77777777" w:rsidTr="00E62C14">
        <w:trPr>
          <w:tblHeader/>
          <w:tblCellSpacing w:w="15" w:type="dxa"/>
        </w:trPr>
        <w:tc>
          <w:tcPr>
            <w:tcW w:w="0" w:type="auto"/>
            <w:vAlign w:val="center"/>
            <w:hideMark/>
          </w:tcPr>
          <w:p w14:paraId="3250902F" w14:textId="77777777" w:rsidR="00E62C14" w:rsidRPr="00E62C14" w:rsidRDefault="00E62C14" w:rsidP="00E62C14">
            <w:pPr>
              <w:spacing w:after="0" w:line="240" w:lineRule="auto"/>
              <w:jc w:val="center"/>
              <w:rPr>
                <w:rFonts w:ascii="Times New Roman" w:eastAsia="Times New Roman" w:hAnsi="Times New Roman" w:cs="Times New Roman"/>
                <w:b/>
                <w:bCs/>
                <w:kern w:val="0"/>
                <w:lang w:eastAsia="en-GB"/>
                <w14:ligatures w14:val="none"/>
              </w:rPr>
            </w:pPr>
            <w:r w:rsidRPr="00E62C14">
              <w:rPr>
                <w:rFonts w:ascii="Times New Roman" w:eastAsia="Times New Roman" w:hAnsi="Times New Roman" w:cs="Times New Roman"/>
                <w:b/>
                <w:bCs/>
                <w:kern w:val="0"/>
                <w:lang w:eastAsia="en-GB"/>
                <w14:ligatures w14:val="none"/>
              </w:rPr>
              <w:t>Month</w:t>
            </w:r>
          </w:p>
        </w:tc>
        <w:tc>
          <w:tcPr>
            <w:tcW w:w="0" w:type="auto"/>
            <w:vAlign w:val="center"/>
            <w:hideMark/>
          </w:tcPr>
          <w:p w14:paraId="57B8246E" w14:textId="77777777" w:rsidR="00E62C14" w:rsidRPr="00E62C14" w:rsidRDefault="00E62C14" w:rsidP="00E62C14">
            <w:pPr>
              <w:spacing w:after="0" w:line="240" w:lineRule="auto"/>
              <w:jc w:val="center"/>
              <w:rPr>
                <w:rFonts w:ascii="Times New Roman" w:eastAsia="Times New Roman" w:hAnsi="Times New Roman" w:cs="Times New Roman"/>
                <w:b/>
                <w:bCs/>
                <w:kern w:val="0"/>
                <w:lang w:eastAsia="en-GB"/>
                <w14:ligatures w14:val="none"/>
              </w:rPr>
            </w:pPr>
            <w:r w:rsidRPr="00E62C14">
              <w:rPr>
                <w:rFonts w:ascii="Times New Roman" w:eastAsia="Times New Roman" w:hAnsi="Times New Roman" w:cs="Times New Roman"/>
                <w:b/>
                <w:bCs/>
                <w:kern w:val="0"/>
                <w:lang w:eastAsia="en-GB"/>
                <w14:ligatures w14:val="none"/>
              </w:rPr>
              <w:t>Activity</w:t>
            </w:r>
          </w:p>
        </w:tc>
      </w:tr>
      <w:tr w:rsidR="00E62C14" w:rsidRPr="00E62C14" w14:paraId="2B08928F" w14:textId="77777777" w:rsidTr="00E62C14">
        <w:trPr>
          <w:tblCellSpacing w:w="15" w:type="dxa"/>
        </w:trPr>
        <w:tc>
          <w:tcPr>
            <w:tcW w:w="0" w:type="auto"/>
            <w:vAlign w:val="center"/>
            <w:hideMark/>
          </w:tcPr>
          <w:p w14:paraId="7C99DAA7"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Month 1</w:t>
            </w:r>
          </w:p>
        </w:tc>
        <w:tc>
          <w:tcPr>
            <w:tcW w:w="0" w:type="auto"/>
            <w:vAlign w:val="center"/>
            <w:hideMark/>
          </w:tcPr>
          <w:p w14:paraId="35662790"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Stakeholder identification and planning</w:t>
            </w:r>
          </w:p>
        </w:tc>
      </w:tr>
      <w:tr w:rsidR="00E62C14" w:rsidRPr="00E62C14" w14:paraId="51E81F85" w14:textId="77777777" w:rsidTr="00E62C14">
        <w:trPr>
          <w:tblCellSpacing w:w="15" w:type="dxa"/>
        </w:trPr>
        <w:tc>
          <w:tcPr>
            <w:tcW w:w="0" w:type="auto"/>
            <w:vAlign w:val="center"/>
            <w:hideMark/>
          </w:tcPr>
          <w:p w14:paraId="02EB4A39"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Month 2</w:t>
            </w:r>
          </w:p>
        </w:tc>
        <w:tc>
          <w:tcPr>
            <w:tcW w:w="0" w:type="auto"/>
            <w:vAlign w:val="center"/>
            <w:hideMark/>
          </w:tcPr>
          <w:p w14:paraId="178B311F"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Platform design and development</w:t>
            </w:r>
          </w:p>
        </w:tc>
      </w:tr>
      <w:tr w:rsidR="00E62C14" w:rsidRPr="00E62C14" w14:paraId="70AB9BE5" w14:textId="77777777" w:rsidTr="00E62C14">
        <w:trPr>
          <w:tblCellSpacing w:w="15" w:type="dxa"/>
        </w:trPr>
        <w:tc>
          <w:tcPr>
            <w:tcW w:w="0" w:type="auto"/>
            <w:vAlign w:val="center"/>
            <w:hideMark/>
          </w:tcPr>
          <w:p w14:paraId="510E1711"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Month 3</w:t>
            </w:r>
          </w:p>
        </w:tc>
        <w:tc>
          <w:tcPr>
            <w:tcW w:w="0" w:type="auto"/>
            <w:vAlign w:val="center"/>
            <w:hideMark/>
          </w:tcPr>
          <w:p w14:paraId="2497DAA4"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System testing and employee training</w:t>
            </w:r>
          </w:p>
        </w:tc>
      </w:tr>
      <w:tr w:rsidR="00E62C14" w:rsidRPr="00E62C14" w14:paraId="6C441708" w14:textId="77777777" w:rsidTr="00E62C14">
        <w:trPr>
          <w:tblCellSpacing w:w="15" w:type="dxa"/>
        </w:trPr>
        <w:tc>
          <w:tcPr>
            <w:tcW w:w="0" w:type="auto"/>
            <w:vAlign w:val="center"/>
            <w:hideMark/>
          </w:tcPr>
          <w:p w14:paraId="028883A0"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Month 4</w:t>
            </w:r>
          </w:p>
        </w:tc>
        <w:tc>
          <w:tcPr>
            <w:tcW w:w="0" w:type="auto"/>
            <w:vAlign w:val="center"/>
            <w:hideMark/>
          </w:tcPr>
          <w:p w14:paraId="4A2E4619"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Pilot launch in UK</w:t>
            </w:r>
          </w:p>
        </w:tc>
      </w:tr>
      <w:tr w:rsidR="00E62C14" w:rsidRPr="00E62C14" w14:paraId="60F6163C" w14:textId="77777777" w:rsidTr="00E62C14">
        <w:trPr>
          <w:tblCellSpacing w:w="15" w:type="dxa"/>
        </w:trPr>
        <w:tc>
          <w:tcPr>
            <w:tcW w:w="0" w:type="auto"/>
            <w:vAlign w:val="center"/>
            <w:hideMark/>
          </w:tcPr>
          <w:p w14:paraId="0B34789C"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Month 5</w:t>
            </w:r>
          </w:p>
        </w:tc>
        <w:tc>
          <w:tcPr>
            <w:tcW w:w="0" w:type="auto"/>
            <w:vAlign w:val="center"/>
            <w:hideMark/>
          </w:tcPr>
          <w:p w14:paraId="77039EF5"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Rollout to international markets</w:t>
            </w:r>
          </w:p>
        </w:tc>
      </w:tr>
      <w:tr w:rsidR="00E62C14" w:rsidRPr="00E62C14" w14:paraId="3A4FE68F" w14:textId="77777777" w:rsidTr="00E62C14">
        <w:trPr>
          <w:tblCellSpacing w:w="15" w:type="dxa"/>
        </w:trPr>
        <w:tc>
          <w:tcPr>
            <w:tcW w:w="0" w:type="auto"/>
            <w:vAlign w:val="center"/>
            <w:hideMark/>
          </w:tcPr>
          <w:p w14:paraId="5BBFF81A"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Month 6</w:t>
            </w:r>
          </w:p>
        </w:tc>
        <w:tc>
          <w:tcPr>
            <w:tcW w:w="0" w:type="auto"/>
            <w:vAlign w:val="center"/>
            <w:hideMark/>
          </w:tcPr>
          <w:p w14:paraId="6E9DE465" w14:textId="66E870A4"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Evaluation and project review</w:t>
            </w:r>
          </w:p>
        </w:tc>
      </w:tr>
    </w:tbl>
    <w:p w14:paraId="220B4F56" w14:textId="77777777" w:rsidR="00E62C14" w:rsidRPr="00E62C14" w:rsidRDefault="00E62C14" w:rsidP="00E62C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E62C14">
        <w:rPr>
          <w:rFonts w:ascii="Times New Roman" w:eastAsia="Times New Roman" w:hAnsi="Times New Roman" w:cs="Times New Roman"/>
          <w:b/>
          <w:bCs/>
          <w:kern w:val="36"/>
          <w:sz w:val="48"/>
          <w:szCs w:val="48"/>
          <w:lang w:eastAsia="en-GB"/>
          <w14:ligatures w14:val="none"/>
        </w:rPr>
        <w:t>3. Identification and Categorisation of Key Stakeholders</w:t>
      </w:r>
    </w:p>
    <w:p w14:paraId="26EF5BA1"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 xml:space="preserve">The successful implementation of </w:t>
      </w:r>
      <w:proofErr w:type="spellStart"/>
      <w:r w:rsidRPr="00E62C14">
        <w:rPr>
          <w:rFonts w:ascii="Times New Roman" w:eastAsia="Times New Roman" w:hAnsi="Times New Roman" w:cs="Times New Roman"/>
          <w:kern w:val="0"/>
          <w:lang w:eastAsia="en-GB"/>
          <w14:ligatures w14:val="none"/>
        </w:rPr>
        <w:t>ConnectPlus</w:t>
      </w:r>
      <w:proofErr w:type="spellEnd"/>
      <w:r w:rsidRPr="00E62C14">
        <w:rPr>
          <w:rFonts w:ascii="Times New Roman" w:eastAsia="Times New Roman" w:hAnsi="Times New Roman" w:cs="Times New Roman"/>
          <w:kern w:val="0"/>
          <w:lang w:eastAsia="en-GB"/>
          <w14:ligatures w14:val="none"/>
        </w:rPr>
        <w:t xml:space="preserve"> depends on the effective identification and management of stakeholders whose interests, expectations and influence may affect project outcomes. Freeman (1984) argues that organisations achieve sustainable success by creating value for a broad range of stakeholders rather than focusing solely on shareholders. Within a complex international retail environment, this perspective is particularly relevant because the introduction of a new AI-enabled loyalty platform will influence employees, customers, technology partners, regulators and investors across multiple markets.</w:t>
      </w:r>
    </w:p>
    <w:p w14:paraId="479AEA9B"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Stakeholder identification is an essential first step in project management because it enables project teams to understand who should be involved, what level of influence different groups possess and how engagement strategies should be tailored throughout the project lifecycle. Early stakeholder analysis also helps to reduce project risks by identifying potential sources of support, resistance and conflicting expectations before implementation begins.</w:t>
      </w:r>
    </w:p>
    <w:p w14:paraId="1D272237"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lastRenderedPageBreak/>
        <w:t xml:space="preserve">For the </w:t>
      </w:r>
      <w:proofErr w:type="spellStart"/>
      <w:r w:rsidRPr="00E62C14">
        <w:rPr>
          <w:rFonts w:ascii="Times New Roman" w:eastAsia="Times New Roman" w:hAnsi="Times New Roman" w:cs="Times New Roman"/>
          <w:kern w:val="0"/>
          <w:lang w:eastAsia="en-GB"/>
          <w14:ligatures w14:val="none"/>
        </w:rPr>
        <w:t>ConnectPlus</w:t>
      </w:r>
      <w:proofErr w:type="spellEnd"/>
      <w:r w:rsidRPr="00E62C14">
        <w:rPr>
          <w:rFonts w:ascii="Times New Roman" w:eastAsia="Times New Roman" w:hAnsi="Times New Roman" w:cs="Times New Roman"/>
          <w:kern w:val="0"/>
          <w:lang w:eastAsia="en-GB"/>
          <w14:ligatures w14:val="none"/>
        </w:rPr>
        <w:t xml:space="preserve"> project, stakeholders can be divided into two broad categories: internal stakeholders, who are directly involved in planning, developing and delivering the platform, and external stakeholders, who influence or are affected by the project's outcomes.</w:t>
      </w:r>
    </w:p>
    <w:p w14:paraId="01584CA9"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b/>
          <w:bCs/>
          <w:kern w:val="0"/>
          <w:lang w:eastAsia="en-GB"/>
          <w14:ligatures w14:val="none"/>
        </w:rPr>
        <w:t xml:space="preserve">Table 3.1: Key Stakeholders for the </w:t>
      </w:r>
      <w:proofErr w:type="spellStart"/>
      <w:r w:rsidRPr="00E62C14">
        <w:rPr>
          <w:rFonts w:ascii="Times New Roman" w:eastAsia="Times New Roman" w:hAnsi="Times New Roman" w:cs="Times New Roman"/>
          <w:b/>
          <w:bCs/>
          <w:kern w:val="0"/>
          <w:lang w:eastAsia="en-GB"/>
          <w14:ligatures w14:val="none"/>
        </w:rPr>
        <w:t>ConnectPlus</w:t>
      </w:r>
      <w:proofErr w:type="spellEnd"/>
      <w:r w:rsidRPr="00E62C14">
        <w:rPr>
          <w:rFonts w:ascii="Times New Roman" w:eastAsia="Times New Roman" w:hAnsi="Times New Roman" w:cs="Times New Roman"/>
          <w:b/>
          <w:bCs/>
          <w:kern w:val="0"/>
          <w:lang w:eastAsia="en-GB"/>
          <w14:ligatures w14:val="none"/>
        </w:rPr>
        <w:t xml:space="preserve"> Project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3"/>
        <w:gridCol w:w="2532"/>
        <w:gridCol w:w="1773"/>
        <w:gridCol w:w="2658"/>
      </w:tblGrid>
      <w:tr w:rsidR="00E62C14" w:rsidRPr="00E62C14" w14:paraId="17A66915" w14:textId="77777777" w:rsidTr="00E62C14">
        <w:trPr>
          <w:tblHeader/>
          <w:tblCellSpacing w:w="15" w:type="dxa"/>
        </w:trPr>
        <w:tc>
          <w:tcPr>
            <w:tcW w:w="0" w:type="auto"/>
            <w:vAlign w:val="center"/>
            <w:hideMark/>
          </w:tcPr>
          <w:p w14:paraId="3381971C" w14:textId="77777777" w:rsidR="00E62C14" w:rsidRPr="00E62C14" w:rsidRDefault="00E62C14" w:rsidP="00E62C14">
            <w:pPr>
              <w:spacing w:after="0" w:line="240" w:lineRule="auto"/>
              <w:jc w:val="center"/>
              <w:rPr>
                <w:rFonts w:ascii="Times New Roman" w:eastAsia="Times New Roman" w:hAnsi="Times New Roman" w:cs="Times New Roman"/>
                <w:b/>
                <w:bCs/>
                <w:kern w:val="0"/>
                <w:lang w:eastAsia="en-GB"/>
                <w14:ligatures w14:val="none"/>
              </w:rPr>
            </w:pPr>
            <w:r w:rsidRPr="00E62C14">
              <w:rPr>
                <w:rFonts w:ascii="Times New Roman" w:eastAsia="Times New Roman" w:hAnsi="Times New Roman" w:cs="Times New Roman"/>
                <w:b/>
                <w:bCs/>
                <w:kern w:val="0"/>
                <w:lang w:eastAsia="en-GB"/>
                <w14:ligatures w14:val="none"/>
              </w:rPr>
              <w:t>Internal Stakeholders</w:t>
            </w:r>
          </w:p>
        </w:tc>
        <w:tc>
          <w:tcPr>
            <w:tcW w:w="0" w:type="auto"/>
            <w:vAlign w:val="center"/>
            <w:hideMark/>
          </w:tcPr>
          <w:p w14:paraId="0D8ECAFE" w14:textId="77777777" w:rsidR="00E62C14" w:rsidRPr="00E62C14" w:rsidRDefault="00E62C14" w:rsidP="00E62C14">
            <w:pPr>
              <w:spacing w:after="0" w:line="240" w:lineRule="auto"/>
              <w:jc w:val="center"/>
              <w:rPr>
                <w:rFonts w:ascii="Times New Roman" w:eastAsia="Times New Roman" w:hAnsi="Times New Roman" w:cs="Times New Roman"/>
                <w:b/>
                <w:bCs/>
                <w:kern w:val="0"/>
                <w:lang w:eastAsia="en-GB"/>
                <w14:ligatures w14:val="none"/>
              </w:rPr>
            </w:pPr>
            <w:r w:rsidRPr="00E62C14">
              <w:rPr>
                <w:rFonts w:ascii="Times New Roman" w:eastAsia="Times New Roman" w:hAnsi="Times New Roman" w:cs="Times New Roman"/>
                <w:b/>
                <w:bCs/>
                <w:kern w:val="0"/>
                <w:lang w:eastAsia="en-GB"/>
                <w14:ligatures w14:val="none"/>
              </w:rPr>
              <w:t>Primary Interest</w:t>
            </w:r>
          </w:p>
        </w:tc>
        <w:tc>
          <w:tcPr>
            <w:tcW w:w="0" w:type="auto"/>
            <w:vAlign w:val="center"/>
            <w:hideMark/>
          </w:tcPr>
          <w:p w14:paraId="3A0E2BA2" w14:textId="77777777" w:rsidR="00E62C14" w:rsidRPr="00E62C14" w:rsidRDefault="00E62C14" w:rsidP="00E62C14">
            <w:pPr>
              <w:spacing w:after="0" w:line="240" w:lineRule="auto"/>
              <w:jc w:val="center"/>
              <w:rPr>
                <w:rFonts w:ascii="Times New Roman" w:eastAsia="Times New Roman" w:hAnsi="Times New Roman" w:cs="Times New Roman"/>
                <w:b/>
                <w:bCs/>
                <w:kern w:val="0"/>
                <w:lang w:eastAsia="en-GB"/>
                <w14:ligatures w14:val="none"/>
              </w:rPr>
            </w:pPr>
            <w:r w:rsidRPr="00E62C14">
              <w:rPr>
                <w:rFonts w:ascii="Times New Roman" w:eastAsia="Times New Roman" w:hAnsi="Times New Roman" w:cs="Times New Roman"/>
                <w:b/>
                <w:bCs/>
                <w:kern w:val="0"/>
                <w:lang w:eastAsia="en-GB"/>
                <w14:ligatures w14:val="none"/>
              </w:rPr>
              <w:t>External Stakeholders</w:t>
            </w:r>
          </w:p>
        </w:tc>
        <w:tc>
          <w:tcPr>
            <w:tcW w:w="0" w:type="auto"/>
            <w:vAlign w:val="center"/>
            <w:hideMark/>
          </w:tcPr>
          <w:p w14:paraId="4CACAE45" w14:textId="77777777" w:rsidR="00E62C14" w:rsidRPr="00E62C14" w:rsidRDefault="00E62C14" w:rsidP="00E62C14">
            <w:pPr>
              <w:spacing w:after="0" w:line="240" w:lineRule="auto"/>
              <w:jc w:val="center"/>
              <w:rPr>
                <w:rFonts w:ascii="Times New Roman" w:eastAsia="Times New Roman" w:hAnsi="Times New Roman" w:cs="Times New Roman"/>
                <w:b/>
                <w:bCs/>
                <w:kern w:val="0"/>
                <w:lang w:eastAsia="en-GB"/>
                <w14:ligatures w14:val="none"/>
              </w:rPr>
            </w:pPr>
            <w:r w:rsidRPr="00E62C14">
              <w:rPr>
                <w:rFonts w:ascii="Times New Roman" w:eastAsia="Times New Roman" w:hAnsi="Times New Roman" w:cs="Times New Roman"/>
                <w:b/>
                <w:bCs/>
                <w:kern w:val="0"/>
                <w:lang w:eastAsia="en-GB"/>
                <w14:ligatures w14:val="none"/>
              </w:rPr>
              <w:t>Primary Interest</w:t>
            </w:r>
          </w:p>
        </w:tc>
      </w:tr>
      <w:tr w:rsidR="00E62C14" w:rsidRPr="00E62C14" w14:paraId="03412E14" w14:textId="77777777" w:rsidTr="00E62C14">
        <w:trPr>
          <w:tblCellSpacing w:w="15" w:type="dxa"/>
        </w:trPr>
        <w:tc>
          <w:tcPr>
            <w:tcW w:w="0" w:type="auto"/>
            <w:vAlign w:val="center"/>
            <w:hideMark/>
          </w:tcPr>
          <w:p w14:paraId="661A0033"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Board of Directors</w:t>
            </w:r>
          </w:p>
        </w:tc>
        <w:tc>
          <w:tcPr>
            <w:tcW w:w="0" w:type="auto"/>
            <w:vAlign w:val="center"/>
            <w:hideMark/>
          </w:tcPr>
          <w:p w14:paraId="0E869FDD"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Strategic direction and return on investment</w:t>
            </w:r>
          </w:p>
        </w:tc>
        <w:tc>
          <w:tcPr>
            <w:tcW w:w="0" w:type="auto"/>
            <w:vAlign w:val="center"/>
            <w:hideMark/>
          </w:tcPr>
          <w:p w14:paraId="5DAF9403"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Customers</w:t>
            </w:r>
          </w:p>
        </w:tc>
        <w:tc>
          <w:tcPr>
            <w:tcW w:w="0" w:type="auto"/>
            <w:vAlign w:val="center"/>
            <w:hideMark/>
          </w:tcPr>
          <w:p w14:paraId="33CE0FCE"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Personalised services, privacy and value</w:t>
            </w:r>
          </w:p>
        </w:tc>
      </w:tr>
      <w:tr w:rsidR="00E62C14" w:rsidRPr="00E62C14" w14:paraId="2493C99B" w14:textId="77777777" w:rsidTr="00E62C14">
        <w:trPr>
          <w:tblCellSpacing w:w="15" w:type="dxa"/>
        </w:trPr>
        <w:tc>
          <w:tcPr>
            <w:tcW w:w="0" w:type="auto"/>
            <w:vAlign w:val="center"/>
            <w:hideMark/>
          </w:tcPr>
          <w:p w14:paraId="76915961"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Executive Management</w:t>
            </w:r>
          </w:p>
        </w:tc>
        <w:tc>
          <w:tcPr>
            <w:tcW w:w="0" w:type="auto"/>
            <w:vAlign w:val="center"/>
            <w:hideMark/>
          </w:tcPr>
          <w:p w14:paraId="411ECD36"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Project success and competitive advantage</w:t>
            </w:r>
          </w:p>
        </w:tc>
        <w:tc>
          <w:tcPr>
            <w:tcW w:w="0" w:type="auto"/>
            <w:vAlign w:val="center"/>
            <w:hideMark/>
          </w:tcPr>
          <w:p w14:paraId="55B35B78"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Shareholders</w:t>
            </w:r>
          </w:p>
        </w:tc>
        <w:tc>
          <w:tcPr>
            <w:tcW w:w="0" w:type="auto"/>
            <w:vAlign w:val="center"/>
            <w:hideMark/>
          </w:tcPr>
          <w:p w14:paraId="5CC8F60A"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Financial performance and sustainable growth</w:t>
            </w:r>
          </w:p>
        </w:tc>
      </w:tr>
      <w:tr w:rsidR="00E62C14" w:rsidRPr="00E62C14" w14:paraId="12C2EB76" w14:textId="77777777" w:rsidTr="00E62C14">
        <w:trPr>
          <w:tblCellSpacing w:w="15" w:type="dxa"/>
        </w:trPr>
        <w:tc>
          <w:tcPr>
            <w:tcW w:w="0" w:type="auto"/>
            <w:vAlign w:val="center"/>
            <w:hideMark/>
          </w:tcPr>
          <w:p w14:paraId="54AA0F55"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Project Manager</w:t>
            </w:r>
          </w:p>
        </w:tc>
        <w:tc>
          <w:tcPr>
            <w:tcW w:w="0" w:type="auto"/>
            <w:vAlign w:val="center"/>
            <w:hideMark/>
          </w:tcPr>
          <w:p w14:paraId="1B1B096C"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Successful delivery within scope, budget and schedule</w:t>
            </w:r>
          </w:p>
        </w:tc>
        <w:tc>
          <w:tcPr>
            <w:tcW w:w="0" w:type="auto"/>
            <w:vAlign w:val="center"/>
            <w:hideMark/>
          </w:tcPr>
          <w:p w14:paraId="77452A08"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Suppliers</w:t>
            </w:r>
          </w:p>
        </w:tc>
        <w:tc>
          <w:tcPr>
            <w:tcW w:w="0" w:type="auto"/>
            <w:vAlign w:val="center"/>
            <w:hideMark/>
          </w:tcPr>
          <w:p w14:paraId="336A5EC8"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Efficient collaboration and demand forecasting</w:t>
            </w:r>
          </w:p>
        </w:tc>
      </w:tr>
      <w:tr w:rsidR="00E62C14" w:rsidRPr="00E62C14" w14:paraId="5A2F8C99" w14:textId="77777777" w:rsidTr="00E62C14">
        <w:trPr>
          <w:tblCellSpacing w:w="15" w:type="dxa"/>
        </w:trPr>
        <w:tc>
          <w:tcPr>
            <w:tcW w:w="0" w:type="auto"/>
            <w:vAlign w:val="center"/>
            <w:hideMark/>
          </w:tcPr>
          <w:p w14:paraId="5ACFC84F"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IT and Software Development Team</w:t>
            </w:r>
          </w:p>
        </w:tc>
        <w:tc>
          <w:tcPr>
            <w:tcW w:w="0" w:type="auto"/>
            <w:vAlign w:val="center"/>
            <w:hideMark/>
          </w:tcPr>
          <w:p w14:paraId="7044729C"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Platform design, integration and cybersecurity</w:t>
            </w:r>
          </w:p>
        </w:tc>
        <w:tc>
          <w:tcPr>
            <w:tcW w:w="0" w:type="auto"/>
            <w:vAlign w:val="center"/>
            <w:hideMark/>
          </w:tcPr>
          <w:p w14:paraId="0CEDCACD"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Technology Partners</w:t>
            </w:r>
          </w:p>
        </w:tc>
        <w:tc>
          <w:tcPr>
            <w:tcW w:w="0" w:type="auto"/>
            <w:vAlign w:val="center"/>
            <w:hideMark/>
          </w:tcPr>
          <w:p w14:paraId="1989E554"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Long-term commercial partnership</w:t>
            </w:r>
          </w:p>
        </w:tc>
      </w:tr>
      <w:tr w:rsidR="00E62C14" w:rsidRPr="00E62C14" w14:paraId="4626C551" w14:textId="77777777" w:rsidTr="00E62C14">
        <w:trPr>
          <w:tblCellSpacing w:w="15" w:type="dxa"/>
        </w:trPr>
        <w:tc>
          <w:tcPr>
            <w:tcW w:w="0" w:type="auto"/>
            <w:vAlign w:val="center"/>
            <w:hideMark/>
          </w:tcPr>
          <w:p w14:paraId="6D31B58D"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Marketing Department</w:t>
            </w:r>
          </w:p>
        </w:tc>
        <w:tc>
          <w:tcPr>
            <w:tcW w:w="0" w:type="auto"/>
            <w:vAlign w:val="center"/>
            <w:hideMark/>
          </w:tcPr>
          <w:p w14:paraId="270ED89C"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Customer acquisition and loyalty</w:t>
            </w:r>
          </w:p>
        </w:tc>
        <w:tc>
          <w:tcPr>
            <w:tcW w:w="0" w:type="auto"/>
            <w:vAlign w:val="center"/>
            <w:hideMark/>
          </w:tcPr>
          <w:p w14:paraId="7F98B235"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Government Regulators</w:t>
            </w:r>
          </w:p>
        </w:tc>
        <w:tc>
          <w:tcPr>
            <w:tcW w:w="0" w:type="auto"/>
            <w:vAlign w:val="center"/>
            <w:hideMark/>
          </w:tcPr>
          <w:p w14:paraId="1FF99DC8"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Legal and regulatory compliance</w:t>
            </w:r>
          </w:p>
        </w:tc>
      </w:tr>
      <w:tr w:rsidR="00E62C14" w:rsidRPr="00E62C14" w14:paraId="119B1147" w14:textId="77777777" w:rsidTr="00E62C14">
        <w:trPr>
          <w:tblCellSpacing w:w="15" w:type="dxa"/>
        </w:trPr>
        <w:tc>
          <w:tcPr>
            <w:tcW w:w="0" w:type="auto"/>
            <w:vAlign w:val="center"/>
            <w:hideMark/>
          </w:tcPr>
          <w:p w14:paraId="586C8F16"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Store Managers</w:t>
            </w:r>
          </w:p>
        </w:tc>
        <w:tc>
          <w:tcPr>
            <w:tcW w:w="0" w:type="auto"/>
            <w:vAlign w:val="center"/>
            <w:hideMark/>
          </w:tcPr>
          <w:p w14:paraId="57BA36F4"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Operational readiness and staff support</w:t>
            </w:r>
          </w:p>
        </w:tc>
        <w:tc>
          <w:tcPr>
            <w:tcW w:w="0" w:type="auto"/>
            <w:vAlign w:val="center"/>
            <w:hideMark/>
          </w:tcPr>
          <w:p w14:paraId="1DDB0110"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Local Communities</w:t>
            </w:r>
          </w:p>
        </w:tc>
        <w:tc>
          <w:tcPr>
            <w:tcW w:w="0" w:type="auto"/>
            <w:vAlign w:val="center"/>
            <w:hideMark/>
          </w:tcPr>
          <w:p w14:paraId="75C49528"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Employment, trust and responsible business practices</w:t>
            </w:r>
          </w:p>
        </w:tc>
      </w:tr>
      <w:tr w:rsidR="00E62C14" w:rsidRPr="00E62C14" w14:paraId="5B37A3D8" w14:textId="77777777" w:rsidTr="00E62C14">
        <w:trPr>
          <w:tblCellSpacing w:w="15" w:type="dxa"/>
        </w:trPr>
        <w:tc>
          <w:tcPr>
            <w:tcW w:w="0" w:type="auto"/>
            <w:vAlign w:val="center"/>
            <w:hideMark/>
          </w:tcPr>
          <w:p w14:paraId="04F27A15"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Customer Service Teams</w:t>
            </w:r>
          </w:p>
        </w:tc>
        <w:tc>
          <w:tcPr>
            <w:tcW w:w="0" w:type="auto"/>
            <w:vAlign w:val="center"/>
            <w:hideMark/>
          </w:tcPr>
          <w:p w14:paraId="65422E53"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Customer satisfaction and issue resolution</w:t>
            </w:r>
          </w:p>
        </w:tc>
        <w:tc>
          <w:tcPr>
            <w:tcW w:w="0" w:type="auto"/>
            <w:vAlign w:val="center"/>
            <w:hideMark/>
          </w:tcPr>
          <w:p w14:paraId="36F816EC"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Media</w:t>
            </w:r>
          </w:p>
        </w:tc>
        <w:tc>
          <w:tcPr>
            <w:tcW w:w="0" w:type="auto"/>
            <w:vAlign w:val="center"/>
            <w:hideMark/>
          </w:tcPr>
          <w:p w14:paraId="66941D5F"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Corporate reputation and public communication</w:t>
            </w:r>
          </w:p>
        </w:tc>
      </w:tr>
      <w:tr w:rsidR="00E62C14" w:rsidRPr="00E62C14" w14:paraId="4BBD4FE4" w14:textId="77777777" w:rsidTr="00E62C14">
        <w:trPr>
          <w:tblCellSpacing w:w="15" w:type="dxa"/>
        </w:trPr>
        <w:tc>
          <w:tcPr>
            <w:tcW w:w="0" w:type="auto"/>
            <w:vAlign w:val="center"/>
            <w:hideMark/>
          </w:tcPr>
          <w:p w14:paraId="0095899D"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Data Analytics Team</w:t>
            </w:r>
          </w:p>
        </w:tc>
        <w:tc>
          <w:tcPr>
            <w:tcW w:w="0" w:type="auto"/>
            <w:vAlign w:val="center"/>
            <w:hideMark/>
          </w:tcPr>
          <w:p w14:paraId="03CCEDFB"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Business intelligence and performance insights</w:t>
            </w:r>
          </w:p>
        </w:tc>
        <w:tc>
          <w:tcPr>
            <w:tcW w:w="0" w:type="auto"/>
            <w:vAlign w:val="center"/>
            <w:hideMark/>
          </w:tcPr>
          <w:p w14:paraId="67D27486"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Payment Service Providers</w:t>
            </w:r>
          </w:p>
        </w:tc>
        <w:tc>
          <w:tcPr>
            <w:tcW w:w="0" w:type="auto"/>
            <w:vAlign w:val="center"/>
            <w:hideMark/>
          </w:tcPr>
          <w:p w14:paraId="0FCD22D0" w14:textId="77777777" w:rsidR="00E62C14" w:rsidRPr="00E62C14" w:rsidRDefault="00E62C14" w:rsidP="00E62C14">
            <w:pPr>
              <w:spacing w:after="0"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Secure and reliable transactions</w:t>
            </w:r>
          </w:p>
        </w:tc>
      </w:tr>
    </w:tbl>
    <w:p w14:paraId="38AEBEDC"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 xml:space="preserve">The diversity of stakeholders reflects the complexity of implementing a digital transformation project within a multinational retail organisation. Internal stakeholders are responsible for designing, implementing and supporting </w:t>
      </w:r>
      <w:proofErr w:type="spellStart"/>
      <w:r w:rsidRPr="00E62C14">
        <w:rPr>
          <w:rFonts w:ascii="Times New Roman" w:eastAsia="Times New Roman" w:hAnsi="Times New Roman" w:cs="Times New Roman"/>
          <w:kern w:val="0"/>
          <w:lang w:eastAsia="en-GB"/>
          <w14:ligatures w14:val="none"/>
        </w:rPr>
        <w:t>ConnectPlus</w:t>
      </w:r>
      <w:proofErr w:type="spellEnd"/>
      <w:r w:rsidRPr="00E62C14">
        <w:rPr>
          <w:rFonts w:ascii="Times New Roman" w:eastAsia="Times New Roman" w:hAnsi="Times New Roman" w:cs="Times New Roman"/>
          <w:kern w:val="0"/>
          <w:lang w:eastAsia="en-GB"/>
          <w14:ligatures w14:val="none"/>
        </w:rPr>
        <w:t>, whereas external stakeholders influence the project's acceptance, legitimacy and long-term success. Consequently, stakeholder engagement should not be treated as a one-off activity but as a continuous process that evolves throughout the planning, implementation and evaluation stages of the project.</w:t>
      </w:r>
    </w:p>
    <w:p w14:paraId="22DCE061"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 xml:space="preserve">To determine the most appropriate engagement strategy, stakeholders should be analysed using recognised management frameworks. Mendelow's Power–Interest Matrix provides a practical method for prioritising stakeholders according to their ability to influence the project and their level of interest in its outcomes. This enables the project manager to allocate communication efforts more effectively while ensuring that key decision-makers remain actively engaged. The following section applies this framework to the </w:t>
      </w:r>
      <w:proofErr w:type="spellStart"/>
      <w:r w:rsidRPr="00E62C14">
        <w:rPr>
          <w:rFonts w:ascii="Times New Roman" w:eastAsia="Times New Roman" w:hAnsi="Times New Roman" w:cs="Times New Roman"/>
          <w:kern w:val="0"/>
          <w:lang w:eastAsia="en-GB"/>
          <w14:ligatures w14:val="none"/>
        </w:rPr>
        <w:t>ConnectPlus</w:t>
      </w:r>
      <w:proofErr w:type="spellEnd"/>
      <w:r w:rsidRPr="00E62C14">
        <w:rPr>
          <w:rFonts w:ascii="Times New Roman" w:eastAsia="Times New Roman" w:hAnsi="Times New Roman" w:cs="Times New Roman"/>
          <w:kern w:val="0"/>
          <w:lang w:eastAsia="en-GB"/>
          <w14:ligatures w14:val="none"/>
        </w:rPr>
        <w:t xml:space="preserve"> project before considering how the Stakeholder Salience Model provides an additional perspective by assessing stakeholders according to power, legitimacy and urgency.</w:t>
      </w:r>
    </w:p>
    <w:p w14:paraId="201400D0" w14:textId="77777777" w:rsidR="00E62C14" w:rsidRPr="00E62C14" w:rsidRDefault="00E62C14" w:rsidP="00E62C1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E62C14">
        <w:rPr>
          <w:rFonts w:ascii="Times New Roman" w:eastAsia="Times New Roman" w:hAnsi="Times New Roman" w:cs="Times New Roman"/>
          <w:b/>
          <w:bCs/>
          <w:kern w:val="36"/>
          <w:sz w:val="48"/>
          <w:szCs w:val="48"/>
          <w:lang w:eastAsia="en-GB"/>
          <w14:ligatures w14:val="none"/>
        </w:rPr>
        <w:t>3.3 Mendelow's Power–Interest Matrix</w:t>
      </w:r>
    </w:p>
    <w:p w14:paraId="3A6FEA5A"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lastRenderedPageBreak/>
        <w:t>Mendelow's Power–Interest Matrix (1991) is one of the most widely used stakeholder analysis tools in project management. It assists project managers in identifying stakeholders according to two key dimensions: their level of power to influence project outcomes and their degree of interest in the project's success. By categorising stakeholders into four quadrants, organisations can prioritise engagement activities and allocate communication resources more effectively. Rather than applying a uniform communication strategy to all stakeholders, the model recognises that different stakeholder groups require different levels of involvement throughout the project lifecycle.</w:t>
      </w:r>
    </w:p>
    <w:p w14:paraId="727E60C6" w14:textId="77777777" w:rsid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 xml:space="preserve">For the </w:t>
      </w:r>
      <w:proofErr w:type="spellStart"/>
      <w:r w:rsidRPr="00E62C14">
        <w:rPr>
          <w:rFonts w:ascii="Times New Roman" w:eastAsia="Times New Roman" w:hAnsi="Times New Roman" w:cs="Times New Roman"/>
          <w:kern w:val="0"/>
          <w:lang w:eastAsia="en-GB"/>
          <w14:ligatures w14:val="none"/>
        </w:rPr>
        <w:t>ConnectPlus</w:t>
      </w:r>
      <w:proofErr w:type="spellEnd"/>
      <w:r w:rsidRPr="00E62C14">
        <w:rPr>
          <w:rFonts w:ascii="Times New Roman" w:eastAsia="Times New Roman" w:hAnsi="Times New Roman" w:cs="Times New Roman"/>
          <w:kern w:val="0"/>
          <w:lang w:eastAsia="en-GB"/>
          <w14:ligatures w14:val="none"/>
        </w:rPr>
        <w:t xml:space="preserve"> project, the matrix provides a practical framework for determining which stakeholders require close management during the design, implementation and international rollout of the platform.</w:t>
      </w:r>
    </w:p>
    <w:p w14:paraId="0612DC89" w14:textId="77777777" w:rsidR="00A50FF7" w:rsidRDefault="00A50FF7"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B0F4C3" w14:textId="77777777" w:rsidR="00A50FF7" w:rsidRPr="00A50FF7" w:rsidRDefault="00A50FF7" w:rsidP="00A50FF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50FF7">
        <w:rPr>
          <w:rFonts w:ascii="Times New Roman" w:eastAsia="Times New Roman" w:hAnsi="Times New Roman" w:cs="Times New Roman"/>
          <w:b/>
          <w:bCs/>
          <w:kern w:val="0"/>
          <w:sz w:val="27"/>
          <w:szCs w:val="27"/>
          <w:lang w:eastAsia="en-GB"/>
          <w14:ligatures w14:val="none"/>
        </w:rPr>
        <w:t>Figure 3.1 Mendelow's Power–Interest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50FF7" w:rsidRPr="00A50FF7" w14:paraId="1046DB67" w14:textId="77777777" w:rsidTr="00A50FF7">
        <w:trPr>
          <w:tblHeader/>
          <w:tblCellSpacing w:w="15" w:type="dxa"/>
        </w:trPr>
        <w:tc>
          <w:tcPr>
            <w:tcW w:w="0" w:type="auto"/>
            <w:vAlign w:val="center"/>
            <w:hideMark/>
          </w:tcPr>
          <w:p w14:paraId="29AA95F0"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p>
        </w:tc>
      </w:tr>
    </w:tbl>
    <w:p w14:paraId="3961F65A" w14:textId="77777777" w:rsidR="00A50FF7" w:rsidRDefault="00A50FF7"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6"/>
        <w:gridCol w:w="4707"/>
        <w:gridCol w:w="3423"/>
      </w:tblGrid>
      <w:tr w:rsidR="00A50FF7" w:rsidRPr="00A50FF7" w14:paraId="0284EA7C" w14:textId="77777777" w:rsidTr="00A50FF7">
        <w:trPr>
          <w:tblHeader/>
          <w:tblCellSpacing w:w="15" w:type="dxa"/>
        </w:trPr>
        <w:tc>
          <w:tcPr>
            <w:tcW w:w="0" w:type="auto"/>
            <w:vAlign w:val="center"/>
            <w:hideMark/>
          </w:tcPr>
          <w:p w14:paraId="50CBC112"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33BAB777" w14:textId="77777777" w:rsidR="00A50FF7" w:rsidRPr="00A50FF7" w:rsidRDefault="00A50FF7" w:rsidP="00A50FF7">
            <w:pPr>
              <w:spacing w:after="0" w:line="240" w:lineRule="auto"/>
              <w:rPr>
                <w:rFonts w:ascii="Times New Roman" w:eastAsia="Times New Roman" w:hAnsi="Times New Roman" w:cs="Times New Roman"/>
                <w:b/>
                <w:bCs/>
                <w:kern w:val="0"/>
                <w:lang w:eastAsia="en-GB"/>
                <w14:ligatures w14:val="none"/>
              </w:rPr>
            </w:pPr>
            <w:r w:rsidRPr="00A50FF7">
              <w:rPr>
                <w:rFonts w:ascii="Times New Roman" w:eastAsia="Times New Roman" w:hAnsi="Times New Roman" w:cs="Times New Roman"/>
                <w:b/>
                <w:bCs/>
                <w:kern w:val="0"/>
                <w:lang w:eastAsia="en-GB"/>
                <w14:ligatures w14:val="none"/>
              </w:rPr>
              <w:t>High Interest</w:t>
            </w:r>
          </w:p>
        </w:tc>
        <w:tc>
          <w:tcPr>
            <w:tcW w:w="0" w:type="auto"/>
            <w:vAlign w:val="center"/>
            <w:hideMark/>
          </w:tcPr>
          <w:p w14:paraId="1D1D2799" w14:textId="77777777" w:rsidR="00A50FF7" w:rsidRPr="00A50FF7" w:rsidRDefault="00A50FF7" w:rsidP="00A50FF7">
            <w:pPr>
              <w:spacing w:after="0" w:line="240" w:lineRule="auto"/>
              <w:jc w:val="center"/>
              <w:rPr>
                <w:rFonts w:ascii="Times New Roman" w:eastAsia="Times New Roman" w:hAnsi="Times New Roman" w:cs="Times New Roman"/>
                <w:b/>
                <w:bCs/>
                <w:kern w:val="0"/>
                <w:lang w:eastAsia="en-GB"/>
                <w14:ligatures w14:val="none"/>
              </w:rPr>
            </w:pPr>
            <w:r w:rsidRPr="00A50FF7">
              <w:rPr>
                <w:rFonts w:ascii="Times New Roman" w:eastAsia="Times New Roman" w:hAnsi="Times New Roman" w:cs="Times New Roman"/>
                <w:b/>
                <w:bCs/>
                <w:kern w:val="0"/>
                <w:lang w:eastAsia="en-GB"/>
                <w14:ligatures w14:val="none"/>
              </w:rPr>
              <w:t>Low Interest</w:t>
            </w:r>
          </w:p>
        </w:tc>
      </w:tr>
      <w:tr w:rsidR="00A50FF7" w:rsidRPr="00A50FF7" w14:paraId="14C0F80E" w14:textId="77777777" w:rsidTr="00A50FF7">
        <w:trPr>
          <w:trHeight w:val="2598"/>
          <w:tblCellSpacing w:w="15" w:type="dxa"/>
        </w:trPr>
        <w:tc>
          <w:tcPr>
            <w:tcW w:w="0" w:type="auto"/>
            <w:vAlign w:val="center"/>
            <w:hideMark/>
          </w:tcPr>
          <w:p w14:paraId="4024389D"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b/>
                <w:bCs/>
                <w:kern w:val="0"/>
                <w:lang w:eastAsia="en-GB"/>
                <w14:ligatures w14:val="none"/>
              </w:rPr>
              <w:t>High Power</w:t>
            </w:r>
          </w:p>
        </w:tc>
        <w:tc>
          <w:tcPr>
            <w:tcW w:w="0" w:type="auto"/>
            <w:vAlign w:val="center"/>
            <w:hideMark/>
          </w:tcPr>
          <w:p w14:paraId="489CC743"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b/>
                <w:bCs/>
                <w:kern w:val="0"/>
                <w:lang w:eastAsia="en-GB"/>
                <w14:ligatures w14:val="none"/>
              </w:rPr>
              <w:t>Manage Closely</w:t>
            </w:r>
            <w:r w:rsidRPr="00A50FF7">
              <w:rPr>
                <w:rFonts w:ascii="Times New Roman" w:eastAsia="Times New Roman" w:hAnsi="Times New Roman" w:cs="Times New Roman"/>
                <w:kern w:val="0"/>
                <w:lang w:eastAsia="en-GB"/>
                <w14:ligatures w14:val="none"/>
              </w:rPr>
              <w:t>• Board of Directors• Executive Management• Project Sponsor• IT Leadership• Digital Transformation Team</w:t>
            </w:r>
          </w:p>
        </w:tc>
        <w:tc>
          <w:tcPr>
            <w:tcW w:w="0" w:type="auto"/>
            <w:vAlign w:val="center"/>
            <w:hideMark/>
          </w:tcPr>
          <w:p w14:paraId="41953938"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b/>
                <w:bCs/>
                <w:kern w:val="0"/>
                <w:lang w:eastAsia="en-GB"/>
                <w14:ligatures w14:val="none"/>
              </w:rPr>
              <w:t>Keep Satisfied</w:t>
            </w:r>
            <w:r w:rsidRPr="00A50FF7">
              <w:rPr>
                <w:rFonts w:ascii="Times New Roman" w:eastAsia="Times New Roman" w:hAnsi="Times New Roman" w:cs="Times New Roman"/>
                <w:kern w:val="0"/>
                <w:lang w:eastAsia="en-GB"/>
                <w14:ligatures w14:val="none"/>
              </w:rPr>
              <w:t>• Government Regulators• Major Investors• External Auditors</w:t>
            </w:r>
          </w:p>
        </w:tc>
      </w:tr>
      <w:tr w:rsidR="00A50FF7" w:rsidRPr="00A50FF7" w14:paraId="47E97021" w14:textId="77777777" w:rsidTr="00A50FF7">
        <w:trPr>
          <w:tblCellSpacing w:w="15" w:type="dxa"/>
        </w:trPr>
        <w:tc>
          <w:tcPr>
            <w:tcW w:w="0" w:type="auto"/>
            <w:vAlign w:val="center"/>
            <w:hideMark/>
          </w:tcPr>
          <w:p w14:paraId="49F8FB57"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b/>
                <w:bCs/>
                <w:kern w:val="0"/>
                <w:lang w:eastAsia="en-GB"/>
                <w14:ligatures w14:val="none"/>
              </w:rPr>
              <w:t>Low Power</w:t>
            </w:r>
          </w:p>
        </w:tc>
        <w:tc>
          <w:tcPr>
            <w:tcW w:w="0" w:type="auto"/>
            <w:vAlign w:val="center"/>
            <w:hideMark/>
          </w:tcPr>
          <w:p w14:paraId="6FCF12AB"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b/>
                <w:bCs/>
                <w:kern w:val="0"/>
                <w:lang w:eastAsia="en-GB"/>
                <w14:ligatures w14:val="none"/>
              </w:rPr>
              <w:t>Keep Informed</w:t>
            </w:r>
            <w:r w:rsidRPr="00A50FF7">
              <w:rPr>
                <w:rFonts w:ascii="Times New Roman" w:eastAsia="Times New Roman" w:hAnsi="Times New Roman" w:cs="Times New Roman"/>
                <w:kern w:val="0"/>
                <w:lang w:eastAsia="en-GB"/>
                <w14:ligatures w14:val="none"/>
              </w:rPr>
              <w:t>• Employees• Store Managers• Marketing Team• Customer Service Staff• Customers• Suppliers</w:t>
            </w:r>
          </w:p>
        </w:tc>
        <w:tc>
          <w:tcPr>
            <w:tcW w:w="0" w:type="auto"/>
            <w:vAlign w:val="center"/>
            <w:hideMark/>
          </w:tcPr>
          <w:p w14:paraId="760C10B2"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b/>
                <w:bCs/>
                <w:kern w:val="0"/>
                <w:lang w:eastAsia="en-GB"/>
                <w14:ligatures w14:val="none"/>
              </w:rPr>
              <w:t xml:space="preserve">Monitor (Minimum </w:t>
            </w:r>
            <w:proofErr w:type="gramStart"/>
            <w:r w:rsidRPr="00A50FF7">
              <w:rPr>
                <w:rFonts w:ascii="Times New Roman" w:eastAsia="Times New Roman" w:hAnsi="Times New Roman" w:cs="Times New Roman"/>
                <w:b/>
                <w:bCs/>
                <w:kern w:val="0"/>
                <w:lang w:eastAsia="en-GB"/>
                <w14:ligatures w14:val="none"/>
              </w:rPr>
              <w:t>Effort)</w:t>
            </w:r>
            <w:r w:rsidRPr="00A50FF7">
              <w:rPr>
                <w:rFonts w:ascii="Times New Roman" w:eastAsia="Times New Roman" w:hAnsi="Times New Roman" w:cs="Times New Roman"/>
                <w:kern w:val="0"/>
                <w:lang w:eastAsia="en-GB"/>
                <w14:ligatures w14:val="none"/>
              </w:rPr>
              <w:t>•</w:t>
            </w:r>
            <w:proofErr w:type="gramEnd"/>
            <w:r w:rsidRPr="00A50FF7">
              <w:rPr>
                <w:rFonts w:ascii="Times New Roman" w:eastAsia="Times New Roman" w:hAnsi="Times New Roman" w:cs="Times New Roman"/>
                <w:kern w:val="0"/>
                <w:lang w:eastAsia="en-GB"/>
                <w14:ligatures w14:val="none"/>
              </w:rPr>
              <w:t xml:space="preserve"> Local Communities• General Public• Industry Media</w:t>
            </w:r>
          </w:p>
        </w:tc>
      </w:tr>
    </w:tbl>
    <w:p w14:paraId="388D306C" w14:textId="77777777" w:rsidR="00A50FF7" w:rsidRDefault="00A50FF7"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50FF7" w:rsidRPr="00A50FF7" w14:paraId="7AB471B0" w14:textId="77777777" w:rsidTr="00A50FF7">
        <w:trPr>
          <w:tblHeader/>
          <w:tblCellSpacing w:w="15" w:type="dxa"/>
        </w:trPr>
        <w:tc>
          <w:tcPr>
            <w:tcW w:w="0" w:type="auto"/>
            <w:vAlign w:val="center"/>
            <w:hideMark/>
          </w:tcPr>
          <w:p w14:paraId="1289DCF8"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p>
        </w:tc>
      </w:tr>
    </w:tbl>
    <w:p w14:paraId="1819E915"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 xml:space="preserve">Stakeholders positioned within the </w:t>
      </w:r>
      <w:r w:rsidRPr="00E62C14">
        <w:rPr>
          <w:rFonts w:ascii="Times New Roman" w:eastAsia="Times New Roman" w:hAnsi="Times New Roman" w:cs="Times New Roman"/>
          <w:b/>
          <w:bCs/>
          <w:kern w:val="0"/>
          <w:lang w:eastAsia="en-GB"/>
          <w14:ligatures w14:val="none"/>
        </w:rPr>
        <w:t>high power–high interest quadrant</w:t>
      </w:r>
      <w:r w:rsidRPr="00E62C14">
        <w:rPr>
          <w:rFonts w:ascii="Times New Roman" w:eastAsia="Times New Roman" w:hAnsi="Times New Roman" w:cs="Times New Roman"/>
          <w:kern w:val="0"/>
          <w:lang w:eastAsia="en-GB"/>
          <w14:ligatures w14:val="none"/>
        </w:rPr>
        <w:t xml:space="preserve"> require the greatest level of engagement because they possess the authority to influence strategic decisions and are directly responsible for the success of </w:t>
      </w:r>
      <w:proofErr w:type="spellStart"/>
      <w:r w:rsidRPr="00E62C14">
        <w:rPr>
          <w:rFonts w:ascii="Times New Roman" w:eastAsia="Times New Roman" w:hAnsi="Times New Roman" w:cs="Times New Roman"/>
          <w:kern w:val="0"/>
          <w:lang w:eastAsia="en-GB"/>
          <w14:ligatures w14:val="none"/>
        </w:rPr>
        <w:t>ConnectPlus</w:t>
      </w:r>
      <w:proofErr w:type="spellEnd"/>
      <w:r w:rsidRPr="00E62C14">
        <w:rPr>
          <w:rFonts w:ascii="Times New Roman" w:eastAsia="Times New Roman" w:hAnsi="Times New Roman" w:cs="Times New Roman"/>
          <w:kern w:val="0"/>
          <w:lang w:eastAsia="en-GB"/>
          <w14:ligatures w14:val="none"/>
        </w:rPr>
        <w:t>. Tesco's Board of Directors, executive leadership and project sponsor approve budgets, establish organisational priorities and determine whether the project continues throughout its implementation. Likewise, the IT leadership team plays a crucial role in ensuring the platform is secure, scalable and fully integrated with existing digital systems. These stakeholders should therefore receive continuous communication through steering committee meetings, executive reports and regular progress reviews.</w:t>
      </w:r>
    </w:p>
    <w:p w14:paraId="350F89F2"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lastRenderedPageBreak/>
        <w:t xml:space="preserve">Government regulators and major investors fall within the </w:t>
      </w:r>
      <w:r w:rsidRPr="00E62C14">
        <w:rPr>
          <w:rFonts w:ascii="Times New Roman" w:eastAsia="Times New Roman" w:hAnsi="Times New Roman" w:cs="Times New Roman"/>
          <w:b/>
          <w:bCs/>
          <w:kern w:val="0"/>
          <w:lang w:eastAsia="en-GB"/>
          <w14:ligatures w14:val="none"/>
        </w:rPr>
        <w:t>high power–low interest</w:t>
      </w:r>
      <w:r w:rsidRPr="00E62C14">
        <w:rPr>
          <w:rFonts w:ascii="Times New Roman" w:eastAsia="Times New Roman" w:hAnsi="Times New Roman" w:cs="Times New Roman"/>
          <w:kern w:val="0"/>
          <w:lang w:eastAsia="en-GB"/>
          <w14:ligatures w14:val="none"/>
        </w:rPr>
        <w:t xml:space="preserve"> category. Although they may not participate in the day-to-day management of </w:t>
      </w:r>
      <w:proofErr w:type="spellStart"/>
      <w:r w:rsidRPr="00E62C14">
        <w:rPr>
          <w:rFonts w:ascii="Times New Roman" w:eastAsia="Times New Roman" w:hAnsi="Times New Roman" w:cs="Times New Roman"/>
          <w:kern w:val="0"/>
          <w:lang w:eastAsia="en-GB"/>
          <w14:ligatures w14:val="none"/>
        </w:rPr>
        <w:t>ConnectPlus</w:t>
      </w:r>
      <w:proofErr w:type="spellEnd"/>
      <w:r w:rsidRPr="00E62C14">
        <w:rPr>
          <w:rFonts w:ascii="Times New Roman" w:eastAsia="Times New Roman" w:hAnsi="Times New Roman" w:cs="Times New Roman"/>
          <w:kern w:val="0"/>
          <w:lang w:eastAsia="en-GB"/>
          <w14:ligatures w14:val="none"/>
        </w:rPr>
        <w:t>, their decisions can significantly affect project success. Regulatory authorities are primarily concerned with legal compliance, cybersecurity and customer data protection, while investors focus on financial performance and strategic risk. Maintaining regular reporting and compliance updates is therefore essential to keep these stakeholders satisfied without overwhelming them with operational detail.</w:t>
      </w:r>
    </w:p>
    <w:p w14:paraId="302BCF0C"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 xml:space="preserve">The </w:t>
      </w:r>
      <w:r w:rsidRPr="00E62C14">
        <w:rPr>
          <w:rFonts w:ascii="Times New Roman" w:eastAsia="Times New Roman" w:hAnsi="Times New Roman" w:cs="Times New Roman"/>
          <w:b/>
          <w:bCs/>
          <w:kern w:val="0"/>
          <w:lang w:eastAsia="en-GB"/>
          <w14:ligatures w14:val="none"/>
        </w:rPr>
        <w:t>low power–high interest</w:t>
      </w:r>
      <w:r w:rsidRPr="00E62C14">
        <w:rPr>
          <w:rFonts w:ascii="Times New Roman" w:eastAsia="Times New Roman" w:hAnsi="Times New Roman" w:cs="Times New Roman"/>
          <w:kern w:val="0"/>
          <w:lang w:eastAsia="en-GB"/>
          <w14:ligatures w14:val="none"/>
        </w:rPr>
        <w:t xml:space="preserve"> group includes employees, store managers, customers and suppliers. While these stakeholders possess limited strategic authority, they are directly affected by the implementation of </w:t>
      </w:r>
      <w:proofErr w:type="spellStart"/>
      <w:r w:rsidRPr="00E62C14">
        <w:rPr>
          <w:rFonts w:ascii="Times New Roman" w:eastAsia="Times New Roman" w:hAnsi="Times New Roman" w:cs="Times New Roman"/>
          <w:kern w:val="0"/>
          <w:lang w:eastAsia="en-GB"/>
          <w14:ligatures w14:val="none"/>
        </w:rPr>
        <w:t>ConnectPlus</w:t>
      </w:r>
      <w:proofErr w:type="spellEnd"/>
      <w:r w:rsidRPr="00E62C14">
        <w:rPr>
          <w:rFonts w:ascii="Times New Roman" w:eastAsia="Times New Roman" w:hAnsi="Times New Roman" w:cs="Times New Roman"/>
          <w:kern w:val="0"/>
          <w:lang w:eastAsia="en-GB"/>
          <w14:ligatures w14:val="none"/>
        </w:rPr>
        <w:t>. Employees require appropriate training and support to adopt new systems, while customers expect personalised services that remain transparent and trustworthy. Suppliers also depend on accurate customer insights and improved demand forecasting generated by the platform. Frequent communication, consultation sessions and opportunities for feedback are therefore essential to encourage commitment and reduce resistance to organisational change.</w:t>
      </w:r>
    </w:p>
    <w:p w14:paraId="1BB2D9CD" w14:textId="77777777" w:rsidR="00E62C14" w:rsidRP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 xml:space="preserve">Finally, local communities and the wider public generally fall within the </w:t>
      </w:r>
      <w:r w:rsidRPr="00E62C14">
        <w:rPr>
          <w:rFonts w:ascii="Times New Roman" w:eastAsia="Times New Roman" w:hAnsi="Times New Roman" w:cs="Times New Roman"/>
          <w:b/>
          <w:bCs/>
          <w:kern w:val="0"/>
          <w:lang w:eastAsia="en-GB"/>
          <w14:ligatures w14:val="none"/>
        </w:rPr>
        <w:t>low power–low interest</w:t>
      </w:r>
      <w:r w:rsidRPr="00E62C14">
        <w:rPr>
          <w:rFonts w:ascii="Times New Roman" w:eastAsia="Times New Roman" w:hAnsi="Times New Roman" w:cs="Times New Roman"/>
          <w:kern w:val="0"/>
          <w:lang w:eastAsia="en-GB"/>
          <w14:ligatures w14:val="none"/>
        </w:rPr>
        <w:t xml:space="preserve"> category during the initial implementation phase. Although these stakeholders require less direct engagement, Tesco should continue monitoring public opinion because stakeholder influence may increase if issues relating to data privacy, cybersecurity or ethical AI receive significant media attention.</w:t>
      </w:r>
    </w:p>
    <w:p w14:paraId="375A4A2A" w14:textId="77777777" w:rsidR="00E62C14" w:rsidRDefault="00E62C14"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62C14">
        <w:rPr>
          <w:rFonts w:ascii="Times New Roman" w:eastAsia="Times New Roman" w:hAnsi="Times New Roman" w:cs="Times New Roman"/>
          <w:kern w:val="0"/>
          <w:lang w:eastAsia="en-GB"/>
          <w14:ligatures w14:val="none"/>
        </w:rPr>
        <w:t>While Mendelow's Matrix provides an effective approach for prioritising stakeholders, its main limitation is that it represents stakeholder influence as relatively static. In reality, stakeholder power and interest often change throughout a project's lifecycle. For example, customers may initially have limited influence during system development but become increasingly important after launch when their acceptance determines the platform's commercial success. Similarly, regulatory agencies may assume greater influence if new legislation concerning artificial intelligence or data protection is introduced during implementation. Consequently, stakeholder analysis should be reviewed regularly rather than completed only at the project's outset.</w:t>
      </w:r>
    </w:p>
    <w:p w14:paraId="16E3319A" w14:textId="77777777" w:rsidR="00A50FF7" w:rsidRPr="00A50FF7" w:rsidRDefault="00A50FF7" w:rsidP="00A50FF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50FF7">
        <w:rPr>
          <w:rFonts w:ascii="Times New Roman" w:eastAsia="Times New Roman" w:hAnsi="Times New Roman" w:cs="Times New Roman"/>
          <w:b/>
          <w:bCs/>
          <w:kern w:val="36"/>
          <w:sz w:val="48"/>
          <w:szCs w:val="48"/>
          <w:lang w:eastAsia="en-GB"/>
          <w14:ligatures w14:val="none"/>
        </w:rPr>
        <w:t xml:space="preserve">3.4 Application of Mitchell, </w:t>
      </w:r>
      <w:proofErr w:type="spellStart"/>
      <w:r w:rsidRPr="00A50FF7">
        <w:rPr>
          <w:rFonts w:ascii="Times New Roman" w:eastAsia="Times New Roman" w:hAnsi="Times New Roman" w:cs="Times New Roman"/>
          <w:b/>
          <w:bCs/>
          <w:kern w:val="36"/>
          <w:sz w:val="48"/>
          <w:szCs w:val="48"/>
          <w:lang w:eastAsia="en-GB"/>
          <w14:ligatures w14:val="none"/>
        </w:rPr>
        <w:t>Agle</w:t>
      </w:r>
      <w:proofErr w:type="spellEnd"/>
      <w:r w:rsidRPr="00A50FF7">
        <w:rPr>
          <w:rFonts w:ascii="Times New Roman" w:eastAsia="Times New Roman" w:hAnsi="Times New Roman" w:cs="Times New Roman"/>
          <w:b/>
          <w:bCs/>
          <w:kern w:val="36"/>
          <w:sz w:val="48"/>
          <w:szCs w:val="48"/>
          <w:lang w:eastAsia="en-GB"/>
          <w14:ligatures w14:val="none"/>
        </w:rPr>
        <w:t xml:space="preserve"> and Wood's Stakeholder Salience Model</w:t>
      </w:r>
    </w:p>
    <w:p w14:paraId="24F2940C"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 xml:space="preserve">Although Mendelow's Matrix prioritises stakeholders according to power and interest, Mitchell, </w:t>
      </w:r>
      <w:proofErr w:type="spellStart"/>
      <w:r w:rsidRPr="00A50FF7">
        <w:rPr>
          <w:rFonts w:ascii="Times New Roman" w:eastAsia="Times New Roman" w:hAnsi="Times New Roman" w:cs="Times New Roman"/>
          <w:kern w:val="0"/>
          <w:lang w:eastAsia="en-GB"/>
          <w14:ligatures w14:val="none"/>
        </w:rPr>
        <w:t>Agle</w:t>
      </w:r>
      <w:proofErr w:type="spellEnd"/>
      <w:r w:rsidRPr="00A50FF7">
        <w:rPr>
          <w:rFonts w:ascii="Times New Roman" w:eastAsia="Times New Roman" w:hAnsi="Times New Roman" w:cs="Times New Roman"/>
          <w:kern w:val="0"/>
          <w:lang w:eastAsia="en-GB"/>
          <w14:ligatures w14:val="none"/>
        </w:rPr>
        <w:t xml:space="preserve"> and Wood's (1997) Stakeholder Salience Model offers a broader perspective by evaluating stakeholders according to </w:t>
      </w:r>
      <w:r w:rsidRPr="00A50FF7">
        <w:rPr>
          <w:rFonts w:ascii="Times New Roman" w:eastAsia="Times New Roman" w:hAnsi="Times New Roman" w:cs="Times New Roman"/>
          <w:b/>
          <w:bCs/>
          <w:kern w:val="0"/>
          <w:lang w:eastAsia="en-GB"/>
          <w14:ligatures w14:val="none"/>
        </w:rPr>
        <w:t>power, legitimacy and urgency</w:t>
      </w:r>
      <w:r w:rsidRPr="00A50FF7">
        <w:rPr>
          <w:rFonts w:ascii="Times New Roman" w:eastAsia="Times New Roman" w:hAnsi="Times New Roman" w:cs="Times New Roman"/>
          <w:kern w:val="0"/>
          <w:lang w:eastAsia="en-GB"/>
          <w14:ligatures w14:val="none"/>
        </w:rPr>
        <w:t>. The model argues that stakeholder importance is dynamic because organisations continuously reassess which groups deserve managerial attention based on the presence of these three attributes.</w:t>
      </w:r>
    </w:p>
    <w:p w14:paraId="0926658E"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Power refers to a stakeholder's ability to influence organisational decisions or project outcomes. Legitimacy reflects the appropriateness of a stakeholder's relationship with the organisation, while urgency considers the extent to which stakeholder claims require immediate managerial attention.</w:t>
      </w:r>
    </w:p>
    <w:p w14:paraId="2112C038"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b/>
          <w:bCs/>
          <w:kern w:val="0"/>
          <w:lang w:eastAsia="en-GB"/>
          <w14:ligatures w14:val="none"/>
        </w:rPr>
        <w:t>Table 3.2 Application of the Stakeholder Salience Model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5"/>
        <w:gridCol w:w="874"/>
        <w:gridCol w:w="1207"/>
        <w:gridCol w:w="927"/>
        <w:gridCol w:w="2588"/>
      </w:tblGrid>
      <w:tr w:rsidR="00A50FF7" w:rsidRPr="00A50FF7" w14:paraId="0B90BF5C" w14:textId="77777777" w:rsidTr="00A50FF7">
        <w:trPr>
          <w:tblHeader/>
          <w:tblCellSpacing w:w="15" w:type="dxa"/>
        </w:trPr>
        <w:tc>
          <w:tcPr>
            <w:tcW w:w="0" w:type="auto"/>
            <w:vAlign w:val="center"/>
            <w:hideMark/>
          </w:tcPr>
          <w:p w14:paraId="6764F0B2" w14:textId="77777777" w:rsidR="00A50FF7" w:rsidRPr="00A50FF7" w:rsidRDefault="00A50FF7" w:rsidP="00A50FF7">
            <w:pPr>
              <w:spacing w:after="0" w:line="240" w:lineRule="auto"/>
              <w:jc w:val="center"/>
              <w:rPr>
                <w:rFonts w:ascii="Times New Roman" w:eastAsia="Times New Roman" w:hAnsi="Times New Roman" w:cs="Times New Roman"/>
                <w:b/>
                <w:bCs/>
                <w:kern w:val="0"/>
                <w:lang w:eastAsia="en-GB"/>
                <w14:ligatures w14:val="none"/>
              </w:rPr>
            </w:pPr>
            <w:r w:rsidRPr="00A50FF7">
              <w:rPr>
                <w:rFonts w:ascii="Times New Roman" w:eastAsia="Times New Roman" w:hAnsi="Times New Roman" w:cs="Times New Roman"/>
                <w:b/>
                <w:bCs/>
                <w:kern w:val="0"/>
                <w:lang w:eastAsia="en-GB"/>
                <w14:ligatures w14:val="none"/>
              </w:rPr>
              <w:lastRenderedPageBreak/>
              <w:t>Stakeholder</w:t>
            </w:r>
          </w:p>
        </w:tc>
        <w:tc>
          <w:tcPr>
            <w:tcW w:w="844" w:type="dxa"/>
            <w:vAlign w:val="center"/>
            <w:hideMark/>
          </w:tcPr>
          <w:p w14:paraId="2672BA07" w14:textId="77777777" w:rsidR="00A50FF7" w:rsidRPr="00A50FF7" w:rsidRDefault="00A50FF7" w:rsidP="00A50FF7">
            <w:pPr>
              <w:spacing w:after="0" w:line="240" w:lineRule="auto"/>
              <w:jc w:val="center"/>
              <w:rPr>
                <w:rFonts w:ascii="Times New Roman" w:eastAsia="Times New Roman" w:hAnsi="Times New Roman" w:cs="Times New Roman"/>
                <w:b/>
                <w:bCs/>
                <w:kern w:val="0"/>
                <w:lang w:eastAsia="en-GB"/>
                <w14:ligatures w14:val="none"/>
              </w:rPr>
            </w:pPr>
            <w:r w:rsidRPr="00A50FF7">
              <w:rPr>
                <w:rFonts w:ascii="Times New Roman" w:eastAsia="Times New Roman" w:hAnsi="Times New Roman" w:cs="Times New Roman"/>
                <w:b/>
                <w:bCs/>
                <w:kern w:val="0"/>
                <w:lang w:eastAsia="en-GB"/>
                <w14:ligatures w14:val="none"/>
              </w:rPr>
              <w:t>Power</w:t>
            </w:r>
          </w:p>
        </w:tc>
        <w:tc>
          <w:tcPr>
            <w:tcW w:w="1177" w:type="dxa"/>
            <w:vAlign w:val="center"/>
            <w:hideMark/>
          </w:tcPr>
          <w:p w14:paraId="1A575E76" w14:textId="77777777" w:rsidR="00A50FF7" w:rsidRPr="00A50FF7" w:rsidRDefault="00A50FF7" w:rsidP="00A50FF7">
            <w:pPr>
              <w:spacing w:after="0" w:line="240" w:lineRule="auto"/>
              <w:jc w:val="center"/>
              <w:rPr>
                <w:rFonts w:ascii="Times New Roman" w:eastAsia="Times New Roman" w:hAnsi="Times New Roman" w:cs="Times New Roman"/>
                <w:b/>
                <w:bCs/>
                <w:kern w:val="0"/>
                <w:lang w:eastAsia="en-GB"/>
                <w14:ligatures w14:val="none"/>
              </w:rPr>
            </w:pPr>
            <w:r w:rsidRPr="00A50FF7">
              <w:rPr>
                <w:rFonts w:ascii="Times New Roman" w:eastAsia="Times New Roman" w:hAnsi="Times New Roman" w:cs="Times New Roman"/>
                <w:b/>
                <w:bCs/>
                <w:kern w:val="0"/>
                <w:lang w:eastAsia="en-GB"/>
                <w14:ligatures w14:val="none"/>
              </w:rPr>
              <w:t>Legitimacy</w:t>
            </w:r>
          </w:p>
        </w:tc>
        <w:tc>
          <w:tcPr>
            <w:tcW w:w="0" w:type="auto"/>
            <w:vAlign w:val="center"/>
            <w:hideMark/>
          </w:tcPr>
          <w:p w14:paraId="24CF8606" w14:textId="77777777" w:rsidR="00A50FF7" w:rsidRPr="00A50FF7" w:rsidRDefault="00A50FF7" w:rsidP="00A50FF7">
            <w:pPr>
              <w:spacing w:after="0" w:line="240" w:lineRule="auto"/>
              <w:jc w:val="center"/>
              <w:rPr>
                <w:rFonts w:ascii="Times New Roman" w:eastAsia="Times New Roman" w:hAnsi="Times New Roman" w:cs="Times New Roman"/>
                <w:b/>
                <w:bCs/>
                <w:kern w:val="0"/>
                <w:lang w:eastAsia="en-GB"/>
                <w14:ligatures w14:val="none"/>
              </w:rPr>
            </w:pPr>
            <w:r w:rsidRPr="00A50FF7">
              <w:rPr>
                <w:rFonts w:ascii="Times New Roman" w:eastAsia="Times New Roman" w:hAnsi="Times New Roman" w:cs="Times New Roman"/>
                <w:b/>
                <w:bCs/>
                <w:kern w:val="0"/>
                <w:lang w:eastAsia="en-GB"/>
                <w14:ligatures w14:val="none"/>
              </w:rPr>
              <w:t>Urgency</w:t>
            </w:r>
          </w:p>
        </w:tc>
        <w:tc>
          <w:tcPr>
            <w:tcW w:w="0" w:type="auto"/>
            <w:vAlign w:val="center"/>
            <w:hideMark/>
          </w:tcPr>
          <w:p w14:paraId="48554DA6" w14:textId="77777777" w:rsidR="00A50FF7" w:rsidRPr="00A50FF7" w:rsidRDefault="00A50FF7" w:rsidP="00A50FF7">
            <w:pPr>
              <w:spacing w:after="0" w:line="240" w:lineRule="auto"/>
              <w:jc w:val="center"/>
              <w:rPr>
                <w:rFonts w:ascii="Times New Roman" w:eastAsia="Times New Roman" w:hAnsi="Times New Roman" w:cs="Times New Roman"/>
                <w:b/>
                <w:bCs/>
                <w:kern w:val="0"/>
                <w:lang w:eastAsia="en-GB"/>
                <w14:ligatures w14:val="none"/>
              </w:rPr>
            </w:pPr>
            <w:r w:rsidRPr="00A50FF7">
              <w:rPr>
                <w:rFonts w:ascii="Times New Roman" w:eastAsia="Times New Roman" w:hAnsi="Times New Roman" w:cs="Times New Roman"/>
                <w:b/>
                <w:bCs/>
                <w:kern w:val="0"/>
                <w:lang w:eastAsia="en-GB"/>
                <w14:ligatures w14:val="none"/>
              </w:rPr>
              <w:t>Salience Classification</w:t>
            </w:r>
          </w:p>
        </w:tc>
      </w:tr>
      <w:tr w:rsidR="00A50FF7" w:rsidRPr="00A50FF7" w14:paraId="4AF1F01C" w14:textId="77777777" w:rsidTr="00A50FF7">
        <w:trPr>
          <w:tblCellSpacing w:w="15" w:type="dxa"/>
        </w:trPr>
        <w:tc>
          <w:tcPr>
            <w:tcW w:w="0" w:type="auto"/>
            <w:vAlign w:val="center"/>
            <w:hideMark/>
          </w:tcPr>
          <w:p w14:paraId="4B09EF08"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Board of Directors</w:t>
            </w:r>
          </w:p>
        </w:tc>
        <w:tc>
          <w:tcPr>
            <w:tcW w:w="844" w:type="dxa"/>
            <w:vAlign w:val="center"/>
            <w:hideMark/>
          </w:tcPr>
          <w:p w14:paraId="5723F21A"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1177" w:type="dxa"/>
            <w:vAlign w:val="center"/>
            <w:hideMark/>
          </w:tcPr>
          <w:p w14:paraId="190BB460"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7113940C"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17239403"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Definitive Stakeholder</w:t>
            </w:r>
          </w:p>
        </w:tc>
      </w:tr>
      <w:tr w:rsidR="00A50FF7" w:rsidRPr="00A50FF7" w14:paraId="65EA1F9D" w14:textId="77777777" w:rsidTr="00A50FF7">
        <w:trPr>
          <w:tblCellSpacing w:w="15" w:type="dxa"/>
        </w:trPr>
        <w:tc>
          <w:tcPr>
            <w:tcW w:w="0" w:type="auto"/>
            <w:vAlign w:val="center"/>
            <w:hideMark/>
          </w:tcPr>
          <w:p w14:paraId="3E9544C7"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Executive Management</w:t>
            </w:r>
          </w:p>
        </w:tc>
        <w:tc>
          <w:tcPr>
            <w:tcW w:w="844" w:type="dxa"/>
            <w:vAlign w:val="center"/>
            <w:hideMark/>
          </w:tcPr>
          <w:p w14:paraId="7F7C61A1"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1177" w:type="dxa"/>
            <w:vAlign w:val="center"/>
            <w:hideMark/>
          </w:tcPr>
          <w:p w14:paraId="61BA476F"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42536788"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14B7B010"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Definitive Stakeholder</w:t>
            </w:r>
          </w:p>
        </w:tc>
      </w:tr>
      <w:tr w:rsidR="00A50FF7" w:rsidRPr="00A50FF7" w14:paraId="58D3BE80" w14:textId="77777777" w:rsidTr="00A50FF7">
        <w:trPr>
          <w:tblCellSpacing w:w="15" w:type="dxa"/>
        </w:trPr>
        <w:tc>
          <w:tcPr>
            <w:tcW w:w="0" w:type="auto"/>
            <w:vAlign w:val="center"/>
            <w:hideMark/>
          </w:tcPr>
          <w:p w14:paraId="61CBC704"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Government Regulators</w:t>
            </w:r>
          </w:p>
        </w:tc>
        <w:tc>
          <w:tcPr>
            <w:tcW w:w="844" w:type="dxa"/>
            <w:vAlign w:val="center"/>
            <w:hideMark/>
          </w:tcPr>
          <w:p w14:paraId="619EBD64"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1177" w:type="dxa"/>
            <w:vAlign w:val="center"/>
            <w:hideMark/>
          </w:tcPr>
          <w:p w14:paraId="21D49679"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739D5E12"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772EC8A1"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Definitive Stakeholder</w:t>
            </w:r>
          </w:p>
        </w:tc>
      </w:tr>
      <w:tr w:rsidR="00A50FF7" w:rsidRPr="00A50FF7" w14:paraId="20E69F6F" w14:textId="77777777" w:rsidTr="00A50FF7">
        <w:trPr>
          <w:tblCellSpacing w:w="15" w:type="dxa"/>
        </w:trPr>
        <w:tc>
          <w:tcPr>
            <w:tcW w:w="0" w:type="auto"/>
            <w:vAlign w:val="center"/>
            <w:hideMark/>
          </w:tcPr>
          <w:p w14:paraId="4E4011A3"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Customers</w:t>
            </w:r>
          </w:p>
        </w:tc>
        <w:tc>
          <w:tcPr>
            <w:tcW w:w="844" w:type="dxa"/>
            <w:vAlign w:val="center"/>
            <w:hideMark/>
          </w:tcPr>
          <w:p w14:paraId="0AF16B97"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Medium</w:t>
            </w:r>
          </w:p>
        </w:tc>
        <w:tc>
          <w:tcPr>
            <w:tcW w:w="1177" w:type="dxa"/>
            <w:vAlign w:val="center"/>
            <w:hideMark/>
          </w:tcPr>
          <w:p w14:paraId="6AB93D5F"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5F744438"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0A6A08F7"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Dependent Stakeholder</w:t>
            </w:r>
          </w:p>
        </w:tc>
      </w:tr>
      <w:tr w:rsidR="00A50FF7" w:rsidRPr="00A50FF7" w14:paraId="277AE4E3" w14:textId="77777777" w:rsidTr="00A50FF7">
        <w:trPr>
          <w:tblCellSpacing w:w="15" w:type="dxa"/>
        </w:trPr>
        <w:tc>
          <w:tcPr>
            <w:tcW w:w="0" w:type="auto"/>
            <w:vAlign w:val="center"/>
            <w:hideMark/>
          </w:tcPr>
          <w:p w14:paraId="4A7F258A"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Employees</w:t>
            </w:r>
          </w:p>
        </w:tc>
        <w:tc>
          <w:tcPr>
            <w:tcW w:w="844" w:type="dxa"/>
            <w:vAlign w:val="center"/>
            <w:hideMark/>
          </w:tcPr>
          <w:p w14:paraId="0ACFEC2A"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Medium</w:t>
            </w:r>
          </w:p>
        </w:tc>
        <w:tc>
          <w:tcPr>
            <w:tcW w:w="1177" w:type="dxa"/>
            <w:vAlign w:val="center"/>
            <w:hideMark/>
          </w:tcPr>
          <w:p w14:paraId="65A3B03E"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53AD2213"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Medium</w:t>
            </w:r>
          </w:p>
        </w:tc>
        <w:tc>
          <w:tcPr>
            <w:tcW w:w="0" w:type="auto"/>
            <w:vAlign w:val="center"/>
            <w:hideMark/>
          </w:tcPr>
          <w:p w14:paraId="34010DCB"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Dependent Stakeholder</w:t>
            </w:r>
          </w:p>
        </w:tc>
      </w:tr>
      <w:tr w:rsidR="00A50FF7" w:rsidRPr="00A50FF7" w14:paraId="58D04FEA" w14:textId="77777777" w:rsidTr="00A50FF7">
        <w:trPr>
          <w:tblCellSpacing w:w="15" w:type="dxa"/>
        </w:trPr>
        <w:tc>
          <w:tcPr>
            <w:tcW w:w="0" w:type="auto"/>
            <w:vAlign w:val="center"/>
            <w:hideMark/>
          </w:tcPr>
          <w:p w14:paraId="30AB9E86"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Technology Partners</w:t>
            </w:r>
          </w:p>
        </w:tc>
        <w:tc>
          <w:tcPr>
            <w:tcW w:w="844" w:type="dxa"/>
            <w:vAlign w:val="center"/>
            <w:hideMark/>
          </w:tcPr>
          <w:p w14:paraId="42ED4E26"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1177" w:type="dxa"/>
            <w:vAlign w:val="center"/>
            <w:hideMark/>
          </w:tcPr>
          <w:p w14:paraId="24DBEEFC"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246BF198"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Medium</w:t>
            </w:r>
          </w:p>
        </w:tc>
        <w:tc>
          <w:tcPr>
            <w:tcW w:w="0" w:type="auto"/>
            <w:vAlign w:val="center"/>
            <w:hideMark/>
          </w:tcPr>
          <w:p w14:paraId="5C2028F6"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Dominant Stakeholder</w:t>
            </w:r>
          </w:p>
        </w:tc>
      </w:tr>
      <w:tr w:rsidR="00A50FF7" w:rsidRPr="00A50FF7" w14:paraId="5520A6DD" w14:textId="77777777" w:rsidTr="00A50FF7">
        <w:trPr>
          <w:tblCellSpacing w:w="15" w:type="dxa"/>
        </w:trPr>
        <w:tc>
          <w:tcPr>
            <w:tcW w:w="0" w:type="auto"/>
            <w:vAlign w:val="center"/>
            <w:hideMark/>
          </w:tcPr>
          <w:p w14:paraId="4A96A916"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Investors</w:t>
            </w:r>
          </w:p>
        </w:tc>
        <w:tc>
          <w:tcPr>
            <w:tcW w:w="844" w:type="dxa"/>
            <w:vAlign w:val="center"/>
            <w:hideMark/>
          </w:tcPr>
          <w:p w14:paraId="10E18C1C"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1177" w:type="dxa"/>
            <w:vAlign w:val="center"/>
            <w:hideMark/>
          </w:tcPr>
          <w:p w14:paraId="37C8BCDA"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2B01D741"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Low</w:t>
            </w:r>
          </w:p>
        </w:tc>
        <w:tc>
          <w:tcPr>
            <w:tcW w:w="0" w:type="auto"/>
            <w:vAlign w:val="center"/>
            <w:hideMark/>
          </w:tcPr>
          <w:p w14:paraId="00ABAD36"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Dominant Stakeholder</w:t>
            </w:r>
          </w:p>
        </w:tc>
      </w:tr>
      <w:tr w:rsidR="00A50FF7" w:rsidRPr="00A50FF7" w14:paraId="21EF0BC3" w14:textId="77777777" w:rsidTr="00A50FF7">
        <w:trPr>
          <w:tblCellSpacing w:w="15" w:type="dxa"/>
        </w:trPr>
        <w:tc>
          <w:tcPr>
            <w:tcW w:w="0" w:type="auto"/>
            <w:vAlign w:val="center"/>
            <w:hideMark/>
          </w:tcPr>
          <w:p w14:paraId="60AE599B"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Local Communities</w:t>
            </w:r>
          </w:p>
        </w:tc>
        <w:tc>
          <w:tcPr>
            <w:tcW w:w="844" w:type="dxa"/>
            <w:vAlign w:val="center"/>
            <w:hideMark/>
          </w:tcPr>
          <w:p w14:paraId="1BB07524"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Low</w:t>
            </w:r>
          </w:p>
        </w:tc>
        <w:tc>
          <w:tcPr>
            <w:tcW w:w="1177" w:type="dxa"/>
            <w:vAlign w:val="center"/>
            <w:hideMark/>
          </w:tcPr>
          <w:p w14:paraId="5B8A93C8"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High</w:t>
            </w:r>
          </w:p>
        </w:tc>
        <w:tc>
          <w:tcPr>
            <w:tcW w:w="0" w:type="auto"/>
            <w:vAlign w:val="center"/>
            <w:hideMark/>
          </w:tcPr>
          <w:p w14:paraId="6E545837"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Low</w:t>
            </w:r>
          </w:p>
        </w:tc>
        <w:tc>
          <w:tcPr>
            <w:tcW w:w="0" w:type="auto"/>
            <w:vAlign w:val="center"/>
            <w:hideMark/>
          </w:tcPr>
          <w:p w14:paraId="34C919C9"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Discretionary Stakeholder</w:t>
            </w:r>
          </w:p>
        </w:tc>
      </w:tr>
    </w:tbl>
    <w:p w14:paraId="6AA30636"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 xml:space="preserve">The Board of Directors and executive management are classified as </w:t>
      </w:r>
      <w:r w:rsidRPr="00A50FF7">
        <w:rPr>
          <w:rFonts w:ascii="Times New Roman" w:eastAsia="Times New Roman" w:hAnsi="Times New Roman" w:cs="Times New Roman"/>
          <w:b/>
          <w:bCs/>
          <w:kern w:val="0"/>
          <w:lang w:eastAsia="en-GB"/>
          <w14:ligatures w14:val="none"/>
        </w:rPr>
        <w:t>definitive stakeholders</w:t>
      </w:r>
      <w:r w:rsidRPr="00A50FF7">
        <w:rPr>
          <w:rFonts w:ascii="Times New Roman" w:eastAsia="Times New Roman" w:hAnsi="Times New Roman" w:cs="Times New Roman"/>
          <w:kern w:val="0"/>
          <w:lang w:eastAsia="en-GB"/>
          <w14:ligatures w14:val="none"/>
        </w:rPr>
        <w:t xml:space="preserve"> because they possess all three stakeholder attributes. Their authority enables them to allocate resources, approve strategic decisions and influence organisational priorities. Government regulators also fall within this category because they possess legal authority to enforce compliance with data protection legislation and consumer rights regulations.</w:t>
      </w:r>
    </w:p>
    <w:p w14:paraId="0B3245AC"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 xml:space="preserve">Technology partners and investors are considered </w:t>
      </w:r>
      <w:r w:rsidRPr="00A50FF7">
        <w:rPr>
          <w:rFonts w:ascii="Times New Roman" w:eastAsia="Times New Roman" w:hAnsi="Times New Roman" w:cs="Times New Roman"/>
          <w:b/>
          <w:bCs/>
          <w:kern w:val="0"/>
          <w:lang w:eastAsia="en-GB"/>
          <w14:ligatures w14:val="none"/>
        </w:rPr>
        <w:t>dominant stakeholders</w:t>
      </w:r>
      <w:r w:rsidRPr="00A50FF7">
        <w:rPr>
          <w:rFonts w:ascii="Times New Roman" w:eastAsia="Times New Roman" w:hAnsi="Times New Roman" w:cs="Times New Roman"/>
          <w:kern w:val="0"/>
          <w:lang w:eastAsia="en-GB"/>
          <w14:ligatures w14:val="none"/>
        </w:rPr>
        <w:t>, possessing both power and legitimacy but demonstrating lower urgency during routine project activities. Their expectations remain important because technology providers contribute specialist expertise while investors influence long-term organisational strategy and financial sustainability.</w:t>
      </w:r>
    </w:p>
    <w:p w14:paraId="22A79B39"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 xml:space="preserve">Customers and employees represent </w:t>
      </w:r>
      <w:r w:rsidRPr="00A50FF7">
        <w:rPr>
          <w:rFonts w:ascii="Times New Roman" w:eastAsia="Times New Roman" w:hAnsi="Times New Roman" w:cs="Times New Roman"/>
          <w:b/>
          <w:bCs/>
          <w:kern w:val="0"/>
          <w:lang w:eastAsia="en-GB"/>
          <w14:ligatures w14:val="none"/>
        </w:rPr>
        <w:t>dependent stakeholders</w:t>
      </w:r>
      <w:r w:rsidRPr="00A50FF7">
        <w:rPr>
          <w:rFonts w:ascii="Times New Roman" w:eastAsia="Times New Roman" w:hAnsi="Times New Roman" w:cs="Times New Roman"/>
          <w:kern w:val="0"/>
          <w:lang w:eastAsia="en-GB"/>
          <w14:ligatures w14:val="none"/>
        </w:rPr>
        <w:t xml:space="preserve"> because, although they possess strong legitimacy and often demonstrate urgent concerns, they have comparatively limited organisational power. Customers expect secure handling of personal data and high-quality digital services, while employees require adequate training, consultation and support to successfully adopt </w:t>
      </w:r>
      <w:proofErr w:type="spellStart"/>
      <w:r w:rsidRPr="00A50FF7">
        <w:rPr>
          <w:rFonts w:ascii="Times New Roman" w:eastAsia="Times New Roman" w:hAnsi="Times New Roman" w:cs="Times New Roman"/>
          <w:kern w:val="0"/>
          <w:lang w:eastAsia="en-GB"/>
          <w14:ligatures w14:val="none"/>
        </w:rPr>
        <w:t>ConnectPlus</w:t>
      </w:r>
      <w:proofErr w:type="spellEnd"/>
      <w:r w:rsidRPr="00A50FF7">
        <w:rPr>
          <w:rFonts w:ascii="Times New Roman" w:eastAsia="Times New Roman" w:hAnsi="Times New Roman" w:cs="Times New Roman"/>
          <w:kern w:val="0"/>
          <w:lang w:eastAsia="en-GB"/>
          <w14:ligatures w14:val="none"/>
        </w:rPr>
        <w:t>. Their influence often increases collectively through customer feedback, employee engagement and public opinion.</w:t>
      </w:r>
    </w:p>
    <w:p w14:paraId="12FA94FA"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Unlike Mendelow's Matrix, the Salience Model acknowledges that stakeholder importance evolves as organisational circumstances change. For example, customer urgency may increase rapidly following a cybersecurity incident or system failure, while regulators become more influential if concerns arise regarding compliance with GDPR or AI governance. This dynamic perspective makes the Salience Model particularly valuable for managing digital transformation projects operating across multiple international markets.</w:t>
      </w:r>
    </w:p>
    <w:p w14:paraId="3232084C" w14:textId="77777777" w:rsidR="00A50FF7" w:rsidRPr="00A50FF7" w:rsidRDefault="00A50FF7" w:rsidP="00A50FF7">
      <w:pPr>
        <w:spacing w:after="0"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pict w14:anchorId="5E7057BF">
          <v:rect id="_x0000_i1027" style="width:0;height:1.5pt" o:hralign="center" o:hrstd="t" o:hr="t" fillcolor="#a0a0a0" stroked="f"/>
        </w:pict>
      </w:r>
    </w:p>
    <w:p w14:paraId="44751E68" w14:textId="77777777" w:rsidR="00A50FF7" w:rsidRPr="00A50FF7" w:rsidRDefault="00A50FF7" w:rsidP="00A50FF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50FF7">
        <w:rPr>
          <w:rFonts w:ascii="Times New Roman" w:eastAsia="Times New Roman" w:hAnsi="Times New Roman" w:cs="Times New Roman"/>
          <w:b/>
          <w:bCs/>
          <w:kern w:val="36"/>
          <w:sz w:val="48"/>
          <w:szCs w:val="48"/>
          <w:lang w:eastAsia="en-GB"/>
          <w14:ligatures w14:val="none"/>
        </w:rPr>
        <w:t>3.5 Critical Comparison of the Two Frameworks</w:t>
      </w:r>
    </w:p>
    <w:p w14:paraId="5C1C4A9B"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 xml:space="preserve">Both Mendelow's Power–Interest Matrix and the Stakeholder Salience Model provide valuable insights into stakeholder management; however, they serve different managerial purposes. Mendelow's Matrix is highly practical and relatively simple to apply. It enables project managers to prioritise stakeholders quickly and develop communication strategies that reflect different levels of influence and interest. This makes it particularly useful during the </w:t>
      </w:r>
      <w:r w:rsidRPr="00A50FF7">
        <w:rPr>
          <w:rFonts w:ascii="Times New Roman" w:eastAsia="Times New Roman" w:hAnsi="Times New Roman" w:cs="Times New Roman"/>
          <w:kern w:val="0"/>
          <w:lang w:eastAsia="en-GB"/>
          <w14:ligatures w14:val="none"/>
        </w:rPr>
        <w:lastRenderedPageBreak/>
        <w:t xml:space="preserve">planning phase of </w:t>
      </w:r>
      <w:proofErr w:type="spellStart"/>
      <w:r w:rsidRPr="00A50FF7">
        <w:rPr>
          <w:rFonts w:ascii="Times New Roman" w:eastAsia="Times New Roman" w:hAnsi="Times New Roman" w:cs="Times New Roman"/>
          <w:kern w:val="0"/>
          <w:lang w:eastAsia="en-GB"/>
          <w14:ligatures w14:val="none"/>
        </w:rPr>
        <w:t>ConnectPlus</w:t>
      </w:r>
      <w:proofErr w:type="spellEnd"/>
      <w:r w:rsidRPr="00A50FF7">
        <w:rPr>
          <w:rFonts w:ascii="Times New Roman" w:eastAsia="Times New Roman" w:hAnsi="Times New Roman" w:cs="Times New Roman"/>
          <w:kern w:val="0"/>
          <w:lang w:eastAsia="en-GB"/>
          <w14:ligatures w14:val="none"/>
        </w:rPr>
        <w:t xml:space="preserve"> when project resources and communication efforts must be allocated efficiently.</w:t>
      </w:r>
    </w:p>
    <w:p w14:paraId="4466F972"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In contrast, the Stakeholder Salience Model offers a more comprehensive understanding of stakeholder relationships by recognising that stakeholder importance depends upon multiple attributes rather than power alone. The inclusion of legitimacy and urgency enables managers to recognise stakeholder groups that may not possess significant organisational power but nevertheless require immediate attention because of ethical, legal or operational considerations. For example, customers affected by a data privacy concern may become more urgent than investors despite having less formal authority.</w:t>
      </w:r>
    </w:p>
    <w:p w14:paraId="3D7C5BC9" w14:textId="77777777" w:rsidR="00A50FF7" w:rsidRP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 xml:space="preserve">Despite their strengths, both models have limitations. Mendelow's Matrix oversimplifies stakeholder relationships by assuming that power and interest remain relatively stable throughout the project. Conversely, the Salience Model can be more subjective because assessing legitimacy and urgency often depends on managerial judgement rather than objective measurement. In a multinational digital transformation project such as </w:t>
      </w:r>
      <w:proofErr w:type="spellStart"/>
      <w:r w:rsidRPr="00A50FF7">
        <w:rPr>
          <w:rFonts w:ascii="Times New Roman" w:eastAsia="Times New Roman" w:hAnsi="Times New Roman" w:cs="Times New Roman"/>
          <w:kern w:val="0"/>
          <w:lang w:eastAsia="en-GB"/>
          <w14:ligatures w14:val="none"/>
        </w:rPr>
        <w:t>ConnectPlus</w:t>
      </w:r>
      <w:proofErr w:type="spellEnd"/>
      <w:r w:rsidRPr="00A50FF7">
        <w:rPr>
          <w:rFonts w:ascii="Times New Roman" w:eastAsia="Times New Roman" w:hAnsi="Times New Roman" w:cs="Times New Roman"/>
          <w:kern w:val="0"/>
          <w:lang w:eastAsia="en-GB"/>
          <w14:ligatures w14:val="none"/>
        </w:rPr>
        <w:t>, cultural differences, varying regulatory environments and changing market conditions further complicate stakeholder analysis.</w:t>
      </w:r>
    </w:p>
    <w:p w14:paraId="66DA11E6" w14:textId="77777777" w:rsidR="00A50FF7" w:rsidRDefault="00A50FF7"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50FF7">
        <w:rPr>
          <w:rFonts w:ascii="Times New Roman" w:eastAsia="Times New Roman" w:hAnsi="Times New Roman" w:cs="Times New Roman"/>
          <w:kern w:val="0"/>
          <w:lang w:eastAsia="en-GB"/>
          <w14:ligatures w14:val="none"/>
        </w:rPr>
        <w:t xml:space="preserve">For this reason, the two frameworks should not be viewed as competing approaches but as complementary tools. Mendelow's Matrix provides a structured method for stakeholder prioritisation and communication planning, while the Salience Model offers a deeper understanding of how stakeholder influence may evolve throughout the project lifecycle. When used together, they enable Tesco to develop a more responsive stakeholder engagement strategy that supports collaboration, minimises project risk and increases the likelihood of a successful global implementation of </w:t>
      </w:r>
      <w:proofErr w:type="spellStart"/>
      <w:r w:rsidRPr="00A50FF7">
        <w:rPr>
          <w:rFonts w:ascii="Times New Roman" w:eastAsia="Times New Roman" w:hAnsi="Times New Roman" w:cs="Times New Roman"/>
          <w:kern w:val="0"/>
          <w:lang w:eastAsia="en-GB"/>
          <w14:ligatures w14:val="none"/>
        </w:rPr>
        <w:t>ConnectPlus</w:t>
      </w:r>
      <w:proofErr w:type="spellEnd"/>
      <w:r w:rsidRPr="00A50FF7">
        <w:rPr>
          <w:rFonts w:ascii="Times New Roman" w:eastAsia="Times New Roman" w:hAnsi="Times New Roman" w:cs="Times New Roman"/>
          <w:kern w:val="0"/>
          <w:lang w:eastAsia="en-GB"/>
          <w14:ligatures w14:val="none"/>
        </w:rPr>
        <w:t>.</w:t>
      </w:r>
    </w:p>
    <w:p w14:paraId="25FD7CB7" w14:textId="77777777" w:rsidR="00E574FA" w:rsidRPr="00E574FA" w:rsidRDefault="00E574FA" w:rsidP="00E574F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E574FA">
        <w:rPr>
          <w:rFonts w:ascii="Times New Roman" w:eastAsia="Times New Roman" w:hAnsi="Times New Roman" w:cs="Times New Roman"/>
          <w:b/>
          <w:bCs/>
          <w:kern w:val="36"/>
          <w:sz w:val="48"/>
          <w:szCs w:val="48"/>
          <w:lang w:eastAsia="en-GB"/>
          <w14:ligatures w14:val="none"/>
        </w:rPr>
        <w:t>4. Roles, Responsibilities, Benefits and Challenges of Key Stakeholders</w:t>
      </w:r>
    </w:p>
    <w:p w14:paraId="08A63FF7"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The successful implementation of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depends on the coordinated efforts of a diverse range of stakeholders, each contributing different knowledge, resources and expertise throughout the project lifecycle. While every stakeholder group has a distinct role, they also bring different expectations and potential challenges that the project manager must balance to achieve the project's objectives.</w:t>
      </w:r>
    </w:p>
    <w:p w14:paraId="6CF0A525"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The </w:t>
      </w:r>
      <w:r w:rsidRPr="00E574FA">
        <w:rPr>
          <w:rFonts w:ascii="Times New Roman" w:eastAsia="Times New Roman" w:hAnsi="Times New Roman" w:cs="Times New Roman"/>
          <w:b/>
          <w:bCs/>
          <w:kern w:val="0"/>
          <w:lang w:eastAsia="en-GB"/>
          <w14:ligatures w14:val="none"/>
        </w:rPr>
        <w:t>Board of Directors</w:t>
      </w:r>
      <w:r w:rsidRPr="00E574FA">
        <w:rPr>
          <w:rFonts w:ascii="Times New Roman" w:eastAsia="Times New Roman" w:hAnsi="Times New Roman" w:cs="Times New Roman"/>
          <w:kern w:val="0"/>
          <w:lang w:eastAsia="en-GB"/>
          <w14:ligatures w14:val="none"/>
        </w:rPr>
        <w:t xml:space="preserve"> provides strategic leadership by approving the investment required for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setting the overall direction of the project and ensuring that it aligns with Tesco's long-term business strategy. Their support is essential because they allocate resources, monitor project performance and evaluate whether the expected business benefits justify the investment. Their involvement strengthens organisational commitment and increases project credibility. However, the Board may face challenges when balancing financial performance with the need for significant investment in digital innovation, particularly where project costs or implementation risks increase beyond initial expectations.</w:t>
      </w:r>
    </w:p>
    <w:p w14:paraId="66FC620B"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The </w:t>
      </w:r>
      <w:r w:rsidRPr="00E574FA">
        <w:rPr>
          <w:rFonts w:ascii="Times New Roman" w:eastAsia="Times New Roman" w:hAnsi="Times New Roman" w:cs="Times New Roman"/>
          <w:b/>
          <w:bCs/>
          <w:kern w:val="0"/>
          <w:lang w:eastAsia="en-GB"/>
          <w14:ligatures w14:val="none"/>
        </w:rPr>
        <w:t>Project Manager</w:t>
      </w:r>
      <w:r w:rsidRPr="00E574FA">
        <w:rPr>
          <w:rFonts w:ascii="Times New Roman" w:eastAsia="Times New Roman" w:hAnsi="Times New Roman" w:cs="Times New Roman"/>
          <w:kern w:val="0"/>
          <w:lang w:eastAsia="en-GB"/>
          <w14:ligatures w14:val="none"/>
        </w:rPr>
        <w:t xml:space="preserve"> is responsible for coordinating all phases of the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implementation. This includes planning project activities, managing budgets and schedules, monitoring risks, facilitating communication between stakeholders and ensuring that project </w:t>
      </w:r>
      <w:r w:rsidRPr="00E574FA">
        <w:rPr>
          <w:rFonts w:ascii="Times New Roman" w:eastAsia="Times New Roman" w:hAnsi="Times New Roman" w:cs="Times New Roman"/>
          <w:kern w:val="0"/>
          <w:lang w:eastAsia="en-GB"/>
          <w14:ligatures w14:val="none"/>
        </w:rPr>
        <w:lastRenderedPageBreak/>
        <w:t>objectives are delivered on time and within scope. The Project Manager also acts as the central point of contact between technical teams, senior management and external partners. While this role improves coordination and accountability, it also requires balancing competing stakeholder priorities, resolving conflicts and responding quickly to changes in project requirements.</w:t>
      </w:r>
    </w:p>
    <w:p w14:paraId="7B4A2585"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The </w:t>
      </w:r>
      <w:r w:rsidRPr="00E574FA">
        <w:rPr>
          <w:rFonts w:ascii="Times New Roman" w:eastAsia="Times New Roman" w:hAnsi="Times New Roman" w:cs="Times New Roman"/>
          <w:b/>
          <w:bCs/>
          <w:kern w:val="0"/>
          <w:lang w:eastAsia="en-GB"/>
          <w14:ligatures w14:val="none"/>
        </w:rPr>
        <w:t>IT and Software Development Team</w:t>
      </w:r>
      <w:r w:rsidRPr="00E574FA">
        <w:rPr>
          <w:rFonts w:ascii="Times New Roman" w:eastAsia="Times New Roman" w:hAnsi="Times New Roman" w:cs="Times New Roman"/>
          <w:kern w:val="0"/>
          <w:lang w:eastAsia="en-GB"/>
          <w14:ligatures w14:val="none"/>
        </w:rPr>
        <w:t xml:space="preserve"> is responsible for designing, developing, testing and maintaining the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platform. Their work includes integrating artificial intelligence capabilities, ensuring cybersecurity, protecting customer data and maintaining system reliability across domestic and international markets. Their technical expertise enables Tesco to introduce innovative customer services while supporting data-driven decision-making. Nevertheless, the team faces significant challenges, including managing cybersecurity threats, integrating new technologies with existing systems and ensuring compliance with data protection legislation across different jurisdictions.</w:t>
      </w:r>
    </w:p>
    <w:p w14:paraId="668E643D"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The </w:t>
      </w:r>
      <w:r w:rsidRPr="00E574FA">
        <w:rPr>
          <w:rFonts w:ascii="Times New Roman" w:eastAsia="Times New Roman" w:hAnsi="Times New Roman" w:cs="Times New Roman"/>
          <w:b/>
          <w:bCs/>
          <w:kern w:val="0"/>
          <w:lang w:eastAsia="en-GB"/>
          <w14:ligatures w14:val="none"/>
        </w:rPr>
        <w:t>Marketing Team</w:t>
      </w:r>
      <w:r w:rsidRPr="00E574FA">
        <w:rPr>
          <w:rFonts w:ascii="Times New Roman" w:eastAsia="Times New Roman" w:hAnsi="Times New Roman" w:cs="Times New Roman"/>
          <w:kern w:val="0"/>
          <w:lang w:eastAsia="en-GB"/>
          <w14:ligatures w14:val="none"/>
        </w:rPr>
        <w:t xml:space="preserve"> plays a critical role in promoting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and encouraging customer adoption. By developing targeted promotional campaigns and communicating the platform's benefits, the marketing function helps increase customer awareness, engagement and loyalty. Marketing specialists also analyse customer behaviour to improve campaign effectiveness and support personalised experiences. However, they must ensure that promotional activities remain culturally appropriate across international markets and that customer communications accurately reflect how personal data is collected and used.</w:t>
      </w:r>
    </w:p>
    <w:p w14:paraId="7FA85AFD"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b/>
          <w:bCs/>
          <w:kern w:val="0"/>
          <w:lang w:eastAsia="en-GB"/>
          <w14:ligatures w14:val="none"/>
        </w:rPr>
        <w:t>Employees</w:t>
      </w:r>
      <w:r w:rsidRPr="00E574FA">
        <w:rPr>
          <w:rFonts w:ascii="Times New Roman" w:eastAsia="Times New Roman" w:hAnsi="Times New Roman" w:cs="Times New Roman"/>
          <w:kern w:val="0"/>
          <w:lang w:eastAsia="en-GB"/>
          <w14:ligatures w14:val="none"/>
        </w:rPr>
        <w:t xml:space="preserve">, particularly store managers and customer service staff, are responsible for supporting customers during the implementation of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and encouraging adoption of the new platform. Their direct interaction with customers enables them to gather valuable feedback, resolve operational issues and promote positive customer experiences. Employees therefore contribute significantly to successful organisational change. However, resistance to new technologies, inadequate training or increased workloads may reduce employee engagement if change management is not effectively implemented.</w:t>
      </w:r>
    </w:p>
    <w:p w14:paraId="78B78C26"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b/>
          <w:bCs/>
          <w:kern w:val="0"/>
          <w:lang w:eastAsia="en-GB"/>
          <w14:ligatures w14:val="none"/>
        </w:rPr>
        <w:t>Customers</w:t>
      </w:r>
      <w:r w:rsidRPr="00E574FA">
        <w:rPr>
          <w:rFonts w:ascii="Times New Roman" w:eastAsia="Times New Roman" w:hAnsi="Times New Roman" w:cs="Times New Roman"/>
          <w:kern w:val="0"/>
          <w:lang w:eastAsia="en-GB"/>
          <w14:ligatures w14:val="none"/>
        </w:rPr>
        <w:t xml:space="preserve"> represent one of the most influential stakeholder groups because their willingness to use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ultimately determines whether the project delivers its intended commercial benefits. Through active participation and feedback, customers provide valuable insights that can be used to improve platform functionality and service quality. Increased customer engagement also supports stronger loyalty and more informed business decisions through enhanced data analytics. Despite these benefits, customers may express concerns regarding privacy, cybersecurity and the ethical use of artificial intelligence, making transparency and trust essential elements of stakeholder engagement.</w:t>
      </w:r>
    </w:p>
    <w:p w14:paraId="348891E7"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b/>
          <w:bCs/>
          <w:kern w:val="0"/>
          <w:lang w:eastAsia="en-GB"/>
          <w14:ligatures w14:val="none"/>
        </w:rPr>
        <w:t>Suppliers</w:t>
      </w:r>
      <w:r w:rsidRPr="00E574FA">
        <w:rPr>
          <w:rFonts w:ascii="Times New Roman" w:eastAsia="Times New Roman" w:hAnsi="Times New Roman" w:cs="Times New Roman"/>
          <w:kern w:val="0"/>
          <w:lang w:eastAsia="en-GB"/>
          <w14:ligatures w14:val="none"/>
        </w:rPr>
        <w:t xml:space="preserve"> contribute by sharing product information, coordinating inventory data and supporting supply chain integration with the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platform. Improved information sharing enables more accurate demand forecasting, reduced stock shortages and greater operational efficiency. However, suppliers may encounter technical challenges when integrating digital systems or adapting existing business processes to support the new platform.</w:t>
      </w:r>
    </w:p>
    <w:p w14:paraId="76522DBF"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b/>
          <w:bCs/>
          <w:kern w:val="0"/>
          <w:lang w:eastAsia="en-GB"/>
          <w14:ligatures w14:val="none"/>
        </w:rPr>
        <w:t>Technology partners</w:t>
      </w:r>
      <w:r w:rsidRPr="00E574FA">
        <w:rPr>
          <w:rFonts w:ascii="Times New Roman" w:eastAsia="Times New Roman" w:hAnsi="Times New Roman" w:cs="Times New Roman"/>
          <w:kern w:val="0"/>
          <w:lang w:eastAsia="en-GB"/>
          <w14:ligatures w14:val="none"/>
        </w:rPr>
        <w:t xml:space="preserve"> provide specialist expertise in areas such as cloud computing, artificial intelligence, cybersecurity and digital infrastructure. Their collaboration enables Tesco to access advanced technologies without developing every capability internally, reducing </w:t>
      </w:r>
      <w:r w:rsidRPr="00E574FA">
        <w:rPr>
          <w:rFonts w:ascii="Times New Roman" w:eastAsia="Times New Roman" w:hAnsi="Times New Roman" w:cs="Times New Roman"/>
          <w:kern w:val="0"/>
          <w:lang w:eastAsia="en-GB"/>
          <w14:ligatures w14:val="none"/>
        </w:rPr>
        <w:lastRenderedPageBreak/>
        <w:t>implementation time and supporting innovation. At the same time, reliance on external providers may create risks relating to system compatibility, service reliability, intellectual property and data security. Effective contractual arrangements and ongoing performance monitoring are therefore essential.</w:t>
      </w:r>
    </w:p>
    <w:p w14:paraId="49B1E8A1"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b/>
          <w:bCs/>
          <w:kern w:val="0"/>
          <w:lang w:eastAsia="en-GB"/>
          <w14:ligatures w14:val="none"/>
        </w:rPr>
        <w:t>Government regulators</w:t>
      </w:r>
      <w:r w:rsidRPr="00E574FA">
        <w:rPr>
          <w:rFonts w:ascii="Times New Roman" w:eastAsia="Times New Roman" w:hAnsi="Times New Roman" w:cs="Times New Roman"/>
          <w:kern w:val="0"/>
          <w:lang w:eastAsia="en-GB"/>
          <w14:ligatures w14:val="none"/>
        </w:rPr>
        <w:t xml:space="preserve"> are responsible for ensuring that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complies with relevant legal and regulatory requirements, including the UK General Data Protection Regulation (UK GDPR), consumer protection legislation and cybersecurity standards. Their oversight helps protect customer rights and maintain public confidence in digital services. However, differing regulatory requirements across international markets may increase compliance complexity and require continuous monitoring throughout the implementation process.</w:t>
      </w:r>
    </w:p>
    <w:p w14:paraId="49364639"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Finally, </w:t>
      </w:r>
      <w:r w:rsidRPr="00E574FA">
        <w:rPr>
          <w:rFonts w:ascii="Times New Roman" w:eastAsia="Times New Roman" w:hAnsi="Times New Roman" w:cs="Times New Roman"/>
          <w:b/>
          <w:bCs/>
          <w:kern w:val="0"/>
          <w:lang w:eastAsia="en-GB"/>
          <w14:ligatures w14:val="none"/>
        </w:rPr>
        <w:t>investors</w:t>
      </w:r>
      <w:r w:rsidRPr="00E574FA">
        <w:rPr>
          <w:rFonts w:ascii="Times New Roman" w:eastAsia="Times New Roman" w:hAnsi="Times New Roman" w:cs="Times New Roman"/>
          <w:kern w:val="0"/>
          <w:lang w:eastAsia="en-GB"/>
          <w14:ligatures w14:val="none"/>
        </w:rPr>
        <w:t xml:space="preserve"> expect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to generate sustainable financial returns through increased customer loyalty, improved operational efficiency and long-term business growth. Their financial support enables Tesco to invest in digital transformation while maintaining market confidence. Nevertheless, investors may become concerned if project costs escalate, implementation is delayed or anticipated benefits fail to materialise. Regular performance reporting and transparent communication are therefore essential to maintain investor confidence.</w:t>
      </w:r>
    </w:p>
    <w:p w14:paraId="4230DB76" w14:textId="77777777" w:rsid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Overall, each stakeholder contributes unique resources and perspectives that support the successful implementation of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However, differences in stakeholder priorities, organisational objectives and risk perceptions may also create challenges that require effective communication, collaboration and relationship management. Consequently, the Project Manager must adopt a structured stakeholder engagement strategy that balances these competing interests while maintaining trust and commitment throughout the project lifecycle.</w:t>
      </w:r>
    </w:p>
    <w:p w14:paraId="4FC8C20C" w14:textId="77777777" w:rsidR="00E574FA" w:rsidRPr="00E574FA" w:rsidRDefault="00E574FA" w:rsidP="00E574F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E574FA">
        <w:rPr>
          <w:rFonts w:ascii="Times New Roman" w:eastAsia="Times New Roman" w:hAnsi="Times New Roman" w:cs="Times New Roman"/>
          <w:b/>
          <w:bCs/>
          <w:kern w:val="36"/>
          <w:sz w:val="48"/>
          <w:szCs w:val="48"/>
          <w:lang w:eastAsia="en-GB"/>
          <w14:ligatures w14:val="none"/>
        </w:rPr>
        <w:t>5. Stakeholder Engagement Strategy</w:t>
      </w:r>
    </w:p>
    <w:p w14:paraId="63C92C56"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Freeman’s Stakeholder Theory suggests that organisations create sustainable value by balancing the interests of multiple stakeholders.</w:t>
      </w:r>
    </w:p>
    <w:p w14:paraId="26D970DE" w14:textId="77777777" w:rsidR="00E574FA" w:rsidRPr="00E574FA" w:rsidRDefault="00E574FA" w:rsidP="00E574F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E574FA">
        <w:rPr>
          <w:rFonts w:ascii="Times New Roman" w:eastAsia="Times New Roman" w:hAnsi="Times New Roman" w:cs="Times New Roman"/>
          <w:b/>
          <w:bCs/>
          <w:kern w:val="0"/>
          <w:sz w:val="27"/>
          <w:szCs w:val="27"/>
          <w:lang w:eastAsia="en-GB"/>
          <w14:ligatures w14:val="none"/>
        </w:rPr>
        <w:t>5.1 Stakeholder Engagement Process</w:t>
      </w:r>
    </w:p>
    <w:p w14:paraId="7ECBC3B2"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An effective stakeholder engagement process is essential to the successful implementation of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because it helps build trust, encourages collaboration and reduces resistance to organisational change. As Project Manager, the first stage would be to </w:t>
      </w:r>
      <w:r w:rsidRPr="00E574FA">
        <w:rPr>
          <w:rFonts w:ascii="Times New Roman" w:eastAsia="Times New Roman" w:hAnsi="Times New Roman" w:cs="Times New Roman"/>
          <w:b/>
          <w:bCs/>
          <w:kern w:val="0"/>
          <w:lang w:eastAsia="en-GB"/>
          <w14:ligatures w14:val="none"/>
        </w:rPr>
        <w:t>identify all stakeholders</w:t>
      </w:r>
      <w:r w:rsidRPr="00E574FA">
        <w:rPr>
          <w:rFonts w:ascii="Times New Roman" w:eastAsia="Times New Roman" w:hAnsi="Times New Roman" w:cs="Times New Roman"/>
          <w:kern w:val="0"/>
          <w:lang w:eastAsia="en-GB"/>
          <w14:ligatures w14:val="none"/>
        </w:rPr>
        <w:t xml:space="preserve"> who can influence, or be affected by, the project. This includes internal groups such as senior management, IT specialists, marketing teams and employees, together with external stakeholders including customers, suppliers, technology partners, investors and regulators.</w:t>
      </w:r>
    </w:p>
    <w:p w14:paraId="6A1F75B4"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Once stakeholders have been identified, the next stage is to </w:t>
      </w:r>
      <w:r w:rsidRPr="00E574FA">
        <w:rPr>
          <w:rFonts w:ascii="Times New Roman" w:eastAsia="Times New Roman" w:hAnsi="Times New Roman" w:cs="Times New Roman"/>
          <w:b/>
          <w:bCs/>
          <w:kern w:val="0"/>
          <w:lang w:eastAsia="en-GB"/>
          <w14:ligatures w14:val="none"/>
        </w:rPr>
        <w:t>analyse their level of power, interest and expectations</w:t>
      </w:r>
      <w:r w:rsidRPr="00E574FA">
        <w:rPr>
          <w:rFonts w:ascii="Times New Roman" w:eastAsia="Times New Roman" w:hAnsi="Times New Roman" w:cs="Times New Roman"/>
          <w:kern w:val="0"/>
          <w:lang w:eastAsia="en-GB"/>
          <w14:ligatures w14:val="none"/>
        </w:rPr>
        <w:t xml:space="preserve">. This analysis enables the project team to understand which stakeholders require close involvement and which can be kept informed through regular updates. Frameworks such as </w:t>
      </w:r>
      <w:r w:rsidRPr="00E574FA">
        <w:rPr>
          <w:rFonts w:ascii="Times New Roman" w:eastAsia="Times New Roman" w:hAnsi="Times New Roman" w:cs="Times New Roman"/>
          <w:b/>
          <w:bCs/>
          <w:kern w:val="0"/>
          <w:lang w:eastAsia="en-GB"/>
          <w14:ligatures w14:val="none"/>
        </w:rPr>
        <w:t>Mendelow's Power–Interest Matrix</w:t>
      </w:r>
      <w:r w:rsidRPr="00E574FA">
        <w:rPr>
          <w:rFonts w:ascii="Times New Roman" w:eastAsia="Times New Roman" w:hAnsi="Times New Roman" w:cs="Times New Roman"/>
          <w:kern w:val="0"/>
          <w:lang w:eastAsia="en-GB"/>
          <w14:ligatures w14:val="none"/>
        </w:rPr>
        <w:t xml:space="preserve"> and the </w:t>
      </w:r>
      <w:r w:rsidRPr="00E574FA">
        <w:rPr>
          <w:rFonts w:ascii="Times New Roman" w:eastAsia="Times New Roman" w:hAnsi="Times New Roman" w:cs="Times New Roman"/>
          <w:b/>
          <w:bCs/>
          <w:kern w:val="0"/>
          <w:lang w:eastAsia="en-GB"/>
          <w14:ligatures w14:val="none"/>
        </w:rPr>
        <w:t>Stakeholder Salience Model</w:t>
      </w:r>
      <w:r w:rsidRPr="00E574FA">
        <w:rPr>
          <w:rFonts w:ascii="Times New Roman" w:eastAsia="Times New Roman" w:hAnsi="Times New Roman" w:cs="Times New Roman"/>
          <w:kern w:val="0"/>
          <w:lang w:eastAsia="en-GB"/>
          <w14:ligatures w14:val="none"/>
        </w:rPr>
        <w:t xml:space="preserve"> can be used to support this assessment by highlighting differences in stakeholder influence and priority.</w:t>
      </w:r>
    </w:p>
    <w:p w14:paraId="53F365E9"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lastRenderedPageBreak/>
        <w:t xml:space="preserve">The information gathered from the analysis should then be used to </w:t>
      </w:r>
      <w:r w:rsidRPr="00E574FA">
        <w:rPr>
          <w:rFonts w:ascii="Times New Roman" w:eastAsia="Times New Roman" w:hAnsi="Times New Roman" w:cs="Times New Roman"/>
          <w:b/>
          <w:bCs/>
          <w:kern w:val="0"/>
          <w:lang w:eastAsia="en-GB"/>
          <w14:ligatures w14:val="none"/>
        </w:rPr>
        <w:t>prioritise stakeholders and develop an engagement plan</w:t>
      </w:r>
      <w:r w:rsidRPr="00E574FA">
        <w:rPr>
          <w:rFonts w:ascii="Times New Roman" w:eastAsia="Times New Roman" w:hAnsi="Times New Roman" w:cs="Times New Roman"/>
          <w:kern w:val="0"/>
          <w:lang w:eastAsia="en-GB"/>
          <w14:ligatures w14:val="none"/>
        </w:rPr>
        <w:t xml:space="preserve">. Rather than adopting the same approach for every stakeholder group, engagement activities should be tailored to reflect each group's influence, information needs and preferred communication methods. For example, executive leaders may require strategic progress reports, whereas employees may benefit more from workshops and training sessions that support the adoption of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w:t>
      </w:r>
    </w:p>
    <w:p w14:paraId="3B998E96"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Stakeholder engagement should continue throughout the project through </w:t>
      </w:r>
      <w:r w:rsidRPr="00E574FA">
        <w:rPr>
          <w:rFonts w:ascii="Times New Roman" w:eastAsia="Times New Roman" w:hAnsi="Times New Roman" w:cs="Times New Roman"/>
          <w:b/>
          <w:bCs/>
          <w:kern w:val="0"/>
          <w:lang w:eastAsia="en-GB"/>
          <w14:ligatures w14:val="none"/>
        </w:rPr>
        <w:t>regular communication and consultation</w:t>
      </w:r>
      <w:r w:rsidRPr="00E574FA">
        <w:rPr>
          <w:rFonts w:ascii="Times New Roman" w:eastAsia="Times New Roman" w:hAnsi="Times New Roman" w:cs="Times New Roman"/>
          <w:kern w:val="0"/>
          <w:lang w:eastAsia="en-GB"/>
          <w14:ligatures w14:val="none"/>
        </w:rPr>
        <w:t>. Meetings, project dashboards, surveys and feedback sessions provide opportunities to share progress, address concerns and encourage stakeholder participation. Collecting feedback throughout implementation enables emerging issues to be identified early and supports continuous improvement.</w:t>
      </w:r>
    </w:p>
    <w:p w14:paraId="0CFFDC66" w14:textId="77777777"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574FA">
        <w:rPr>
          <w:rFonts w:ascii="Times New Roman" w:eastAsia="Times New Roman" w:hAnsi="Times New Roman" w:cs="Times New Roman"/>
          <w:kern w:val="0"/>
          <w:lang w:eastAsia="en-GB"/>
          <w14:ligatures w14:val="none"/>
        </w:rPr>
        <w:t xml:space="preserve">Finally, stakeholder engagement should be </w:t>
      </w:r>
      <w:r w:rsidRPr="00E574FA">
        <w:rPr>
          <w:rFonts w:ascii="Times New Roman" w:eastAsia="Times New Roman" w:hAnsi="Times New Roman" w:cs="Times New Roman"/>
          <w:b/>
          <w:bCs/>
          <w:kern w:val="0"/>
          <w:lang w:eastAsia="en-GB"/>
          <w14:ligatures w14:val="none"/>
        </w:rPr>
        <w:t>monitored and reviewed</w:t>
      </w:r>
      <w:r w:rsidRPr="00E574FA">
        <w:rPr>
          <w:rFonts w:ascii="Times New Roman" w:eastAsia="Times New Roman" w:hAnsi="Times New Roman" w:cs="Times New Roman"/>
          <w:kern w:val="0"/>
          <w:lang w:eastAsia="en-GB"/>
          <w14:ligatures w14:val="none"/>
        </w:rPr>
        <w:t xml:space="preserve"> on a regular basis. As the project progresses, stakeholder influence and expectations may change because of organisational developments, market conditions or regulatory requirements. Periodic reviews allow the engagement plan to be updated so that communication strategies remain appropriate throughout the project lifecycle. This continuous approach helps maintain stakeholder commitment and supports the successful implementation of </w:t>
      </w:r>
      <w:proofErr w:type="spellStart"/>
      <w:r w:rsidRPr="00E574FA">
        <w:rPr>
          <w:rFonts w:ascii="Times New Roman" w:eastAsia="Times New Roman" w:hAnsi="Times New Roman" w:cs="Times New Roman"/>
          <w:kern w:val="0"/>
          <w:lang w:eastAsia="en-GB"/>
          <w14:ligatures w14:val="none"/>
        </w:rPr>
        <w:t>ConnectPlus</w:t>
      </w:r>
      <w:proofErr w:type="spellEnd"/>
      <w:r w:rsidRPr="00E574FA">
        <w:rPr>
          <w:rFonts w:ascii="Times New Roman" w:eastAsia="Times New Roman" w:hAnsi="Times New Roman" w:cs="Times New Roman"/>
          <w:kern w:val="0"/>
          <w:lang w:eastAsia="en-GB"/>
          <w14:ligatures w14:val="none"/>
        </w:rPr>
        <w:t xml:space="preserve"> across both UK and international markets.</w:t>
      </w:r>
    </w:p>
    <w:p w14:paraId="01415595" w14:textId="77777777" w:rsidR="00AA193D" w:rsidRPr="00AA193D" w:rsidRDefault="00AA193D" w:rsidP="00AA19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A193D">
        <w:rPr>
          <w:rFonts w:ascii="Times New Roman" w:eastAsia="Times New Roman" w:hAnsi="Times New Roman" w:cs="Times New Roman"/>
          <w:b/>
          <w:bCs/>
          <w:kern w:val="0"/>
          <w:sz w:val="27"/>
          <w:szCs w:val="27"/>
          <w:lang w:eastAsia="en-GB"/>
          <w14:ligatures w14:val="none"/>
        </w:rPr>
        <w:t>5.2 Application of the 4Cs Stakeholder Engagement Model</w:t>
      </w:r>
    </w:p>
    <w:p w14:paraId="427CD580"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 xml:space="preserve">The successful implementation of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xml:space="preserve"> depends on effective stakeholder engagement throughout the project lifecycle. One practical framework that supports this objective is the </w:t>
      </w:r>
      <w:r w:rsidRPr="00AA193D">
        <w:rPr>
          <w:rFonts w:ascii="Times New Roman" w:eastAsia="Times New Roman" w:hAnsi="Times New Roman" w:cs="Times New Roman"/>
          <w:b/>
          <w:bCs/>
          <w:kern w:val="0"/>
          <w:lang w:eastAsia="en-GB"/>
          <w14:ligatures w14:val="none"/>
        </w:rPr>
        <w:t>4Cs Stakeholder Engagement Model</w:t>
      </w:r>
      <w:r w:rsidRPr="00AA193D">
        <w:rPr>
          <w:rFonts w:ascii="Times New Roman" w:eastAsia="Times New Roman" w:hAnsi="Times New Roman" w:cs="Times New Roman"/>
          <w:kern w:val="0"/>
          <w:lang w:eastAsia="en-GB"/>
          <w14:ligatures w14:val="none"/>
        </w:rPr>
        <w:t xml:space="preserve">, which consists of </w:t>
      </w:r>
      <w:r w:rsidRPr="00AA193D">
        <w:rPr>
          <w:rFonts w:ascii="Times New Roman" w:eastAsia="Times New Roman" w:hAnsi="Times New Roman" w:cs="Times New Roman"/>
          <w:b/>
          <w:bCs/>
          <w:kern w:val="0"/>
          <w:lang w:eastAsia="en-GB"/>
          <w14:ligatures w14:val="none"/>
        </w:rPr>
        <w:t>Communication, Consultation, Collaboration and Commitment</w:t>
      </w:r>
      <w:r w:rsidRPr="00AA193D">
        <w:rPr>
          <w:rFonts w:ascii="Times New Roman" w:eastAsia="Times New Roman" w:hAnsi="Times New Roman" w:cs="Times New Roman"/>
          <w:kern w:val="0"/>
          <w:lang w:eastAsia="en-GB"/>
          <w14:ligatures w14:val="none"/>
        </w:rPr>
        <w:t xml:space="preserve">. The model recognises that stakeholder engagement extends beyond simply sharing information; it requires organisations to involve stakeholders in decision-making, encourage cooperation and build long-term relationships based on trust. Applying the 4Cs to the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xml:space="preserve"> project will help Tesco strengthen stakeholder support, minimise resistance to change and improve the likelihood of a successful international rollout.</w:t>
      </w:r>
    </w:p>
    <w:p w14:paraId="4A1754F6" w14:textId="77777777" w:rsidR="00AA193D" w:rsidRPr="00AA193D" w:rsidRDefault="00AA193D" w:rsidP="00AA193D">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AA193D">
        <w:rPr>
          <w:rFonts w:ascii="Times New Roman" w:eastAsia="Times New Roman" w:hAnsi="Times New Roman" w:cs="Times New Roman"/>
          <w:b/>
          <w:bCs/>
          <w:kern w:val="0"/>
          <w:lang w:eastAsia="en-GB"/>
          <w14:ligatures w14:val="none"/>
        </w:rPr>
        <w:t>Communication</w:t>
      </w:r>
    </w:p>
    <w:p w14:paraId="7C232EEA"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 xml:space="preserve">Communication forms the foundation of stakeholder engagement because it ensures that stakeholders receive timely, accurate and relevant information about the project's progress. For the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xml:space="preserve"> project, communication should be tailored to the needs of different stakeholder groups rather than adopting a single approach for everyone. Senior management should receive regular progress reports, risk updates and budget summaries through monthly steering committee meetings and executive dashboards. Employees should be informed through weekly team meetings, training sessions, internal newsletters and the company intranet, enabling them to understand their responsibilities during implementation. Customers can be kept informed through the Tesco mobile application, email campaigns and website announcements explaining the benefits of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together with information about how personal data will be managed.</w:t>
      </w:r>
    </w:p>
    <w:p w14:paraId="6CCBC722"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 xml:space="preserve">Although regular communication improves transparency and helps reduce uncertainty, information alone does not guarantee stakeholder engagement. Messages must be clear, </w:t>
      </w:r>
      <w:r w:rsidRPr="00AA193D">
        <w:rPr>
          <w:rFonts w:ascii="Times New Roman" w:eastAsia="Times New Roman" w:hAnsi="Times New Roman" w:cs="Times New Roman"/>
          <w:kern w:val="0"/>
          <w:lang w:eastAsia="en-GB"/>
          <w14:ligatures w14:val="none"/>
        </w:rPr>
        <w:lastRenderedPageBreak/>
        <w:t>consistent and adapted to different cultural and organisational contexts, particularly during an international digital transformation programme.</w:t>
      </w:r>
    </w:p>
    <w:p w14:paraId="60A35491" w14:textId="77777777" w:rsidR="00AA193D" w:rsidRPr="00AA193D" w:rsidRDefault="00AA193D" w:rsidP="00AA193D">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AA193D">
        <w:rPr>
          <w:rFonts w:ascii="Times New Roman" w:eastAsia="Times New Roman" w:hAnsi="Times New Roman" w:cs="Times New Roman"/>
          <w:b/>
          <w:bCs/>
          <w:kern w:val="0"/>
          <w:lang w:eastAsia="en-GB"/>
          <w14:ligatures w14:val="none"/>
        </w:rPr>
        <w:t>Consultation</w:t>
      </w:r>
    </w:p>
    <w:p w14:paraId="74F02A32"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 xml:space="preserve">Consultation enables stakeholders to contribute to project decisions rather than acting solely as recipients of information. Within the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xml:space="preserve"> project, consultation may include employee workshops, customer surveys, supplier meetings and pilot testing before the platform is introduced across international markets. These activities allow stakeholders to identify potential issues, suggest improvements and share practical knowledge that may not be available to the project team.</w:t>
      </w:r>
    </w:p>
    <w:p w14:paraId="3C8FB31B"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For example, employees can provide feedback on training requirements and operational challenges, while customers can comment on platform usability, reward preferences and concerns relating to privacy or artificial intelligence. Suppliers and technology partners can also identify technical integration issues before full implementation.</w:t>
      </w:r>
    </w:p>
    <w:p w14:paraId="6FD6DEDC"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Consultation strengthens stakeholder trust because participants feel that their opinions are valued. However, extensive consultation may increase project costs and extend implementation times if feedback is not managed effectively. The Project Manager must therefore balance stakeholder participation with project deadlines and strategic objectives.</w:t>
      </w:r>
    </w:p>
    <w:p w14:paraId="213085C6" w14:textId="77777777" w:rsidR="00AA193D" w:rsidRPr="00AA193D" w:rsidRDefault="00AA193D" w:rsidP="00AA193D">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AA193D">
        <w:rPr>
          <w:rFonts w:ascii="Times New Roman" w:eastAsia="Times New Roman" w:hAnsi="Times New Roman" w:cs="Times New Roman"/>
          <w:b/>
          <w:bCs/>
          <w:kern w:val="0"/>
          <w:lang w:eastAsia="en-GB"/>
          <w14:ligatures w14:val="none"/>
        </w:rPr>
        <w:t>Collaboration</w:t>
      </w:r>
    </w:p>
    <w:p w14:paraId="5D88CD7A"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 xml:space="preserve">Collaboration focuses on developing partnerships that encourage stakeholders to work collectively towards shared project goals. For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collaboration should involve cross-functional teams comprising representatives from IT, marketing, operations, customer service, legal and data analytics. Technology partners should also participate in planning meetings to ensure that cloud infrastructure, cybersecurity measures and AI capabilities are successfully integrated into existing business systems.</w:t>
      </w:r>
    </w:p>
    <w:p w14:paraId="643FA546"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Cross-functional collaboration enables different departments to combine technical expertise, operational knowledge and customer insight when solving problems or making strategic decisions. This approach supports innovation and helps reduce organisational silos that often delay digital transformation projects.</w:t>
      </w:r>
    </w:p>
    <w:p w14:paraId="78B4541B"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Despite these advantages, collaboration can also generate disagreements because departments frequently have different priorities. For example, marketing teams may prioritise rapid customer adoption, while IT specialists focus on system security and technical reliability. Clear governance structures, defined responsibilities and effective leadership are therefore essential to ensure that collaborative decision-making remains productive.</w:t>
      </w:r>
    </w:p>
    <w:p w14:paraId="390B7C4E" w14:textId="77777777" w:rsidR="00AA193D" w:rsidRPr="00AA193D" w:rsidRDefault="00AA193D" w:rsidP="00AA193D">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AA193D">
        <w:rPr>
          <w:rFonts w:ascii="Times New Roman" w:eastAsia="Times New Roman" w:hAnsi="Times New Roman" w:cs="Times New Roman"/>
          <w:b/>
          <w:bCs/>
          <w:kern w:val="0"/>
          <w:lang w:eastAsia="en-GB"/>
          <w14:ligatures w14:val="none"/>
        </w:rPr>
        <w:t>Commitment</w:t>
      </w:r>
    </w:p>
    <w:p w14:paraId="08AC96C7"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Commitment represents the long-term willingness of stakeholders to support the project and contribute to its success. Building commitment requires more than regular communication; it depends on developing trust, demonstrating leadership and maintaining stakeholder confidence throughout the implementation process. Tesco can strengthen commitment by providing visible support from senior leaders, investing in employee training, recognising stakeholder contributions and creating opportunities for continuous feedback.</w:t>
      </w:r>
    </w:p>
    <w:p w14:paraId="60210CFC"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lastRenderedPageBreak/>
        <w:t xml:space="preserve">Employee commitment is particularly important because frontline staff directly influence customer adoption of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Customers are also more likely to engage with the platform if they trust the organisation to manage their personal data responsibly and provide genuine value through personalised services and rewards. Maintaining commitment throughout implementation reduces resistance to change and encourages stakeholders to remain actively involved after the platform has been launched.</w:t>
      </w:r>
    </w:p>
    <w:p w14:paraId="6EFBFE54"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 xml:space="preserve">Overall, the 4Cs model provides a structured approach to stakeholder engagement by integrating communication, consultation, collaboration and commitment into a continuous management process. Nevertheless, the framework is most effective when used alongside stakeholder prioritisation tools such as Mendelow's Power–Interest Matrix and the Stakeholder Salience Model. Combining these approaches enables the Project Manager to tailor engagement strategies according to stakeholder influence, expectations and changing project requirements, thereby increasing the likelihood of a successful implementation of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xml:space="preserve"> across Tesco's UK and international markets.</w:t>
      </w:r>
    </w:p>
    <w:p w14:paraId="43EB9D49" w14:textId="77777777" w:rsidR="00AA193D" w:rsidRPr="00AA193D" w:rsidRDefault="00AA193D" w:rsidP="00AA19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A193D">
        <w:rPr>
          <w:rFonts w:ascii="Times New Roman" w:eastAsia="Times New Roman" w:hAnsi="Times New Roman" w:cs="Times New Roman"/>
          <w:b/>
          <w:bCs/>
          <w:kern w:val="0"/>
          <w:sz w:val="27"/>
          <w:szCs w:val="27"/>
          <w:lang w:eastAsia="en-GB"/>
          <w14:ligatures w14:val="none"/>
        </w:rPr>
        <w:t>5.3 Communication Plan</w:t>
      </w:r>
    </w:p>
    <w:p w14:paraId="40FDD322"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 xml:space="preserve">Effective communication is essential for maintaining stakeholder engagement throughout the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xml:space="preserve"> project. As Project Manager, I would implement a structured communication plan to ensure that stakeholders receive accurate, relevant and timely information according to their responsibilities and level of influence. Tailoring communication to each stakeholder group helps build trust, supports informed decision-making and reduces the risk of misunderstandings during implementation.</w:t>
      </w:r>
    </w:p>
    <w:p w14:paraId="6499A27B"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b/>
          <w:bCs/>
          <w:kern w:val="0"/>
          <w:lang w:eastAsia="en-GB"/>
          <w14:ligatures w14:val="none"/>
        </w:rPr>
        <w:t xml:space="preserve">Table 5.1: Communication Plan for the </w:t>
      </w:r>
      <w:proofErr w:type="spellStart"/>
      <w:r w:rsidRPr="00AA193D">
        <w:rPr>
          <w:rFonts w:ascii="Times New Roman" w:eastAsia="Times New Roman" w:hAnsi="Times New Roman" w:cs="Times New Roman"/>
          <w:b/>
          <w:bCs/>
          <w:kern w:val="0"/>
          <w:lang w:eastAsia="en-GB"/>
          <w14:ligatures w14:val="none"/>
        </w:rPr>
        <w:t>ConnectPlus</w:t>
      </w:r>
      <w:proofErr w:type="spellEnd"/>
      <w:r w:rsidRPr="00AA193D">
        <w:rPr>
          <w:rFonts w:ascii="Times New Roman" w:eastAsia="Times New Roman" w:hAnsi="Times New Roman" w:cs="Times New Roman"/>
          <w:b/>
          <w:bCs/>
          <w:kern w:val="0"/>
          <w:lang w:eastAsia="en-GB"/>
          <w14:ligatures w14:val="none"/>
        </w:rPr>
        <w:t xml:space="preserve"> Project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8"/>
        <w:gridCol w:w="1997"/>
        <w:gridCol w:w="2158"/>
        <w:gridCol w:w="1767"/>
        <w:gridCol w:w="1716"/>
      </w:tblGrid>
      <w:tr w:rsidR="00AA193D" w:rsidRPr="00AA193D" w14:paraId="0F193164" w14:textId="77777777" w:rsidTr="00AA193D">
        <w:trPr>
          <w:tblHeader/>
          <w:tblCellSpacing w:w="15" w:type="dxa"/>
        </w:trPr>
        <w:tc>
          <w:tcPr>
            <w:tcW w:w="0" w:type="auto"/>
            <w:vAlign w:val="center"/>
            <w:hideMark/>
          </w:tcPr>
          <w:p w14:paraId="74FB2E6F" w14:textId="77777777" w:rsidR="00AA193D" w:rsidRPr="00AA193D" w:rsidRDefault="00AA193D" w:rsidP="00AA193D">
            <w:pPr>
              <w:spacing w:after="0" w:line="240" w:lineRule="auto"/>
              <w:jc w:val="center"/>
              <w:rPr>
                <w:rFonts w:ascii="Times New Roman" w:eastAsia="Times New Roman" w:hAnsi="Times New Roman" w:cs="Times New Roman"/>
                <w:b/>
                <w:bCs/>
                <w:kern w:val="0"/>
                <w:lang w:eastAsia="en-GB"/>
                <w14:ligatures w14:val="none"/>
              </w:rPr>
            </w:pPr>
            <w:r w:rsidRPr="00AA193D">
              <w:rPr>
                <w:rFonts w:ascii="Times New Roman" w:eastAsia="Times New Roman" w:hAnsi="Times New Roman" w:cs="Times New Roman"/>
                <w:b/>
                <w:bCs/>
                <w:kern w:val="0"/>
                <w:lang w:eastAsia="en-GB"/>
                <w14:ligatures w14:val="none"/>
              </w:rPr>
              <w:t>Stakeholder</w:t>
            </w:r>
          </w:p>
        </w:tc>
        <w:tc>
          <w:tcPr>
            <w:tcW w:w="0" w:type="auto"/>
            <w:vAlign w:val="center"/>
            <w:hideMark/>
          </w:tcPr>
          <w:p w14:paraId="63314BC9" w14:textId="77777777" w:rsidR="00AA193D" w:rsidRPr="00AA193D" w:rsidRDefault="00AA193D" w:rsidP="00AA193D">
            <w:pPr>
              <w:spacing w:after="0" w:line="240" w:lineRule="auto"/>
              <w:jc w:val="center"/>
              <w:rPr>
                <w:rFonts w:ascii="Times New Roman" w:eastAsia="Times New Roman" w:hAnsi="Times New Roman" w:cs="Times New Roman"/>
                <w:b/>
                <w:bCs/>
                <w:kern w:val="0"/>
                <w:lang w:eastAsia="en-GB"/>
                <w14:ligatures w14:val="none"/>
              </w:rPr>
            </w:pPr>
            <w:r w:rsidRPr="00AA193D">
              <w:rPr>
                <w:rFonts w:ascii="Times New Roman" w:eastAsia="Times New Roman" w:hAnsi="Times New Roman" w:cs="Times New Roman"/>
                <w:b/>
                <w:bCs/>
                <w:kern w:val="0"/>
                <w:lang w:eastAsia="en-GB"/>
                <w14:ligatures w14:val="none"/>
              </w:rPr>
              <w:t>Information Required</w:t>
            </w:r>
          </w:p>
        </w:tc>
        <w:tc>
          <w:tcPr>
            <w:tcW w:w="0" w:type="auto"/>
            <w:vAlign w:val="center"/>
            <w:hideMark/>
          </w:tcPr>
          <w:p w14:paraId="75355AC6" w14:textId="77777777" w:rsidR="00AA193D" w:rsidRPr="00AA193D" w:rsidRDefault="00AA193D" w:rsidP="00AA193D">
            <w:pPr>
              <w:spacing w:after="0" w:line="240" w:lineRule="auto"/>
              <w:jc w:val="center"/>
              <w:rPr>
                <w:rFonts w:ascii="Times New Roman" w:eastAsia="Times New Roman" w:hAnsi="Times New Roman" w:cs="Times New Roman"/>
                <w:b/>
                <w:bCs/>
                <w:kern w:val="0"/>
                <w:lang w:eastAsia="en-GB"/>
                <w14:ligatures w14:val="none"/>
              </w:rPr>
            </w:pPr>
            <w:r w:rsidRPr="00AA193D">
              <w:rPr>
                <w:rFonts w:ascii="Times New Roman" w:eastAsia="Times New Roman" w:hAnsi="Times New Roman" w:cs="Times New Roman"/>
                <w:b/>
                <w:bCs/>
                <w:kern w:val="0"/>
                <w:lang w:eastAsia="en-GB"/>
                <w14:ligatures w14:val="none"/>
              </w:rPr>
              <w:t>Communication Method</w:t>
            </w:r>
          </w:p>
        </w:tc>
        <w:tc>
          <w:tcPr>
            <w:tcW w:w="0" w:type="auto"/>
            <w:vAlign w:val="center"/>
            <w:hideMark/>
          </w:tcPr>
          <w:p w14:paraId="1AE84855" w14:textId="77777777" w:rsidR="00AA193D" w:rsidRPr="00AA193D" w:rsidRDefault="00AA193D" w:rsidP="00AA193D">
            <w:pPr>
              <w:spacing w:after="0" w:line="240" w:lineRule="auto"/>
              <w:jc w:val="center"/>
              <w:rPr>
                <w:rFonts w:ascii="Times New Roman" w:eastAsia="Times New Roman" w:hAnsi="Times New Roman" w:cs="Times New Roman"/>
                <w:b/>
                <w:bCs/>
                <w:kern w:val="0"/>
                <w:lang w:eastAsia="en-GB"/>
                <w14:ligatures w14:val="none"/>
              </w:rPr>
            </w:pPr>
            <w:r w:rsidRPr="00AA193D">
              <w:rPr>
                <w:rFonts w:ascii="Times New Roman" w:eastAsia="Times New Roman" w:hAnsi="Times New Roman" w:cs="Times New Roman"/>
                <w:b/>
                <w:bCs/>
                <w:kern w:val="0"/>
                <w:lang w:eastAsia="en-GB"/>
                <w14:ligatures w14:val="none"/>
              </w:rPr>
              <w:t>Frequency</w:t>
            </w:r>
          </w:p>
        </w:tc>
        <w:tc>
          <w:tcPr>
            <w:tcW w:w="0" w:type="auto"/>
            <w:vAlign w:val="center"/>
            <w:hideMark/>
          </w:tcPr>
          <w:p w14:paraId="5C2B95A8" w14:textId="77777777" w:rsidR="00AA193D" w:rsidRPr="00AA193D" w:rsidRDefault="00AA193D" w:rsidP="00AA193D">
            <w:pPr>
              <w:spacing w:after="0" w:line="240" w:lineRule="auto"/>
              <w:jc w:val="center"/>
              <w:rPr>
                <w:rFonts w:ascii="Times New Roman" w:eastAsia="Times New Roman" w:hAnsi="Times New Roman" w:cs="Times New Roman"/>
                <w:b/>
                <w:bCs/>
                <w:kern w:val="0"/>
                <w:lang w:eastAsia="en-GB"/>
                <w14:ligatures w14:val="none"/>
              </w:rPr>
            </w:pPr>
            <w:r w:rsidRPr="00AA193D">
              <w:rPr>
                <w:rFonts w:ascii="Times New Roman" w:eastAsia="Times New Roman" w:hAnsi="Times New Roman" w:cs="Times New Roman"/>
                <w:b/>
                <w:bCs/>
                <w:kern w:val="0"/>
                <w:lang w:eastAsia="en-GB"/>
                <w14:ligatures w14:val="none"/>
              </w:rPr>
              <w:t>Responsibility</w:t>
            </w:r>
          </w:p>
        </w:tc>
      </w:tr>
      <w:tr w:rsidR="00AA193D" w:rsidRPr="00AA193D" w14:paraId="0FD370A4" w14:textId="77777777" w:rsidTr="00AA193D">
        <w:trPr>
          <w:tblCellSpacing w:w="15" w:type="dxa"/>
        </w:trPr>
        <w:tc>
          <w:tcPr>
            <w:tcW w:w="0" w:type="auto"/>
            <w:vAlign w:val="center"/>
            <w:hideMark/>
          </w:tcPr>
          <w:p w14:paraId="54887742"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Board of Directors</w:t>
            </w:r>
          </w:p>
        </w:tc>
        <w:tc>
          <w:tcPr>
            <w:tcW w:w="0" w:type="auto"/>
            <w:vAlign w:val="center"/>
            <w:hideMark/>
          </w:tcPr>
          <w:p w14:paraId="12540615"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Project progress, budget, risks, strategic milestones</w:t>
            </w:r>
          </w:p>
        </w:tc>
        <w:tc>
          <w:tcPr>
            <w:tcW w:w="0" w:type="auto"/>
            <w:vAlign w:val="center"/>
            <w:hideMark/>
          </w:tcPr>
          <w:p w14:paraId="3C7A04B5"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Executive reports, Board meetings and project dashboards</w:t>
            </w:r>
          </w:p>
        </w:tc>
        <w:tc>
          <w:tcPr>
            <w:tcW w:w="0" w:type="auto"/>
            <w:vAlign w:val="center"/>
            <w:hideMark/>
          </w:tcPr>
          <w:p w14:paraId="30136C9F"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Monthly</w:t>
            </w:r>
          </w:p>
        </w:tc>
        <w:tc>
          <w:tcPr>
            <w:tcW w:w="0" w:type="auto"/>
            <w:vAlign w:val="center"/>
            <w:hideMark/>
          </w:tcPr>
          <w:p w14:paraId="743AD392"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Project Manager</w:t>
            </w:r>
          </w:p>
        </w:tc>
      </w:tr>
      <w:tr w:rsidR="00AA193D" w:rsidRPr="00AA193D" w14:paraId="53DB45B8" w14:textId="77777777" w:rsidTr="00AA193D">
        <w:trPr>
          <w:tblCellSpacing w:w="15" w:type="dxa"/>
        </w:trPr>
        <w:tc>
          <w:tcPr>
            <w:tcW w:w="0" w:type="auto"/>
            <w:vAlign w:val="center"/>
            <w:hideMark/>
          </w:tcPr>
          <w:p w14:paraId="3D950CEF"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Employees</w:t>
            </w:r>
          </w:p>
        </w:tc>
        <w:tc>
          <w:tcPr>
            <w:tcW w:w="0" w:type="auto"/>
            <w:vAlign w:val="center"/>
            <w:hideMark/>
          </w:tcPr>
          <w:p w14:paraId="1A1DFFFF"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Implementation updates, training schedules, operational guidance</w:t>
            </w:r>
          </w:p>
        </w:tc>
        <w:tc>
          <w:tcPr>
            <w:tcW w:w="0" w:type="auto"/>
            <w:vAlign w:val="center"/>
            <w:hideMark/>
          </w:tcPr>
          <w:p w14:paraId="0BF2A4F1"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Weekly team meetings, workshops, email updates and company intranet</w:t>
            </w:r>
          </w:p>
        </w:tc>
        <w:tc>
          <w:tcPr>
            <w:tcW w:w="0" w:type="auto"/>
            <w:vAlign w:val="center"/>
            <w:hideMark/>
          </w:tcPr>
          <w:p w14:paraId="76AE7A14"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Weekly</w:t>
            </w:r>
          </w:p>
        </w:tc>
        <w:tc>
          <w:tcPr>
            <w:tcW w:w="0" w:type="auto"/>
            <w:vAlign w:val="center"/>
            <w:hideMark/>
          </w:tcPr>
          <w:p w14:paraId="1E8E4AE0"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Project Manager and HR Team</w:t>
            </w:r>
          </w:p>
        </w:tc>
      </w:tr>
      <w:tr w:rsidR="00AA193D" w:rsidRPr="00AA193D" w14:paraId="6872332B" w14:textId="77777777" w:rsidTr="00AA193D">
        <w:trPr>
          <w:tblCellSpacing w:w="15" w:type="dxa"/>
        </w:trPr>
        <w:tc>
          <w:tcPr>
            <w:tcW w:w="0" w:type="auto"/>
            <w:vAlign w:val="center"/>
            <w:hideMark/>
          </w:tcPr>
          <w:p w14:paraId="1E0E9596"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Customers</w:t>
            </w:r>
          </w:p>
        </w:tc>
        <w:tc>
          <w:tcPr>
            <w:tcW w:w="0" w:type="auto"/>
            <w:vAlign w:val="center"/>
            <w:hideMark/>
          </w:tcPr>
          <w:p w14:paraId="308D6AFE"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Platform features, loyalty rewards, privacy information and launch dates</w:t>
            </w:r>
          </w:p>
        </w:tc>
        <w:tc>
          <w:tcPr>
            <w:tcW w:w="0" w:type="auto"/>
            <w:vAlign w:val="center"/>
            <w:hideMark/>
          </w:tcPr>
          <w:p w14:paraId="3C4E6166"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Mobile app notifications, email campaigns, website announcements and social media</w:t>
            </w:r>
          </w:p>
        </w:tc>
        <w:tc>
          <w:tcPr>
            <w:tcW w:w="0" w:type="auto"/>
            <w:vAlign w:val="center"/>
            <w:hideMark/>
          </w:tcPr>
          <w:p w14:paraId="25FB58B4"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Before launch and throughout implementation</w:t>
            </w:r>
          </w:p>
        </w:tc>
        <w:tc>
          <w:tcPr>
            <w:tcW w:w="0" w:type="auto"/>
            <w:vAlign w:val="center"/>
            <w:hideMark/>
          </w:tcPr>
          <w:p w14:paraId="3686B248"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Marketing Team</w:t>
            </w:r>
          </w:p>
        </w:tc>
      </w:tr>
      <w:tr w:rsidR="00AA193D" w:rsidRPr="00AA193D" w14:paraId="0DA189DD" w14:textId="77777777" w:rsidTr="00AA193D">
        <w:trPr>
          <w:tblCellSpacing w:w="15" w:type="dxa"/>
        </w:trPr>
        <w:tc>
          <w:tcPr>
            <w:tcW w:w="0" w:type="auto"/>
            <w:vAlign w:val="center"/>
            <w:hideMark/>
          </w:tcPr>
          <w:p w14:paraId="0021EF9D"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Suppliers</w:t>
            </w:r>
          </w:p>
        </w:tc>
        <w:tc>
          <w:tcPr>
            <w:tcW w:w="0" w:type="auto"/>
            <w:vAlign w:val="center"/>
            <w:hideMark/>
          </w:tcPr>
          <w:p w14:paraId="30F1F83C"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Integration requirements, implementation timelines and operational updates</w:t>
            </w:r>
          </w:p>
        </w:tc>
        <w:tc>
          <w:tcPr>
            <w:tcW w:w="0" w:type="auto"/>
            <w:vAlign w:val="center"/>
            <w:hideMark/>
          </w:tcPr>
          <w:p w14:paraId="4DCCD0FE"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Virtual meetings, email communication and supplier collaboration sessions</w:t>
            </w:r>
          </w:p>
        </w:tc>
        <w:tc>
          <w:tcPr>
            <w:tcW w:w="0" w:type="auto"/>
            <w:vAlign w:val="center"/>
            <w:hideMark/>
          </w:tcPr>
          <w:p w14:paraId="457A752B"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Monthly</w:t>
            </w:r>
          </w:p>
        </w:tc>
        <w:tc>
          <w:tcPr>
            <w:tcW w:w="0" w:type="auto"/>
            <w:vAlign w:val="center"/>
            <w:hideMark/>
          </w:tcPr>
          <w:p w14:paraId="05EDC4BF"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Procurement Manager and Project Manager</w:t>
            </w:r>
          </w:p>
        </w:tc>
      </w:tr>
      <w:tr w:rsidR="00AA193D" w:rsidRPr="00AA193D" w14:paraId="263BCA02" w14:textId="77777777" w:rsidTr="00AA193D">
        <w:trPr>
          <w:tblCellSpacing w:w="15" w:type="dxa"/>
        </w:trPr>
        <w:tc>
          <w:tcPr>
            <w:tcW w:w="0" w:type="auto"/>
            <w:vAlign w:val="center"/>
            <w:hideMark/>
          </w:tcPr>
          <w:p w14:paraId="093298CA"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lastRenderedPageBreak/>
              <w:t>Government Regulators</w:t>
            </w:r>
          </w:p>
        </w:tc>
        <w:tc>
          <w:tcPr>
            <w:tcW w:w="0" w:type="auto"/>
            <w:vAlign w:val="center"/>
            <w:hideMark/>
          </w:tcPr>
          <w:p w14:paraId="751C2504"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Compliance reports, data protection measures and cybersecurity documentation</w:t>
            </w:r>
          </w:p>
        </w:tc>
        <w:tc>
          <w:tcPr>
            <w:tcW w:w="0" w:type="auto"/>
            <w:vAlign w:val="center"/>
            <w:hideMark/>
          </w:tcPr>
          <w:p w14:paraId="53C50E07"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Formal reports, regulatory submissions and compliance meetings</w:t>
            </w:r>
          </w:p>
        </w:tc>
        <w:tc>
          <w:tcPr>
            <w:tcW w:w="0" w:type="auto"/>
            <w:vAlign w:val="center"/>
            <w:hideMark/>
          </w:tcPr>
          <w:p w14:paraId="49B7FAE2"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As required or at key project milestones</w:t>
            </w:r>
          </w:p>
        </w:tc>
        <w:tc>
          <w:tcPr>
            <w:tcW w:w="0" w:type="auto"/>
            <w:vAlign w:val="center"/>
            <w:hideMark/>
          </w:tcPr>
          <w:p w14:paraId="32208FDC" w14:textId="77777777" w:rsidR="00AA193D" w:rsidRPr="00AA193D" w:rsidRDefault="00AA193D" w:rsidP="00AA193D">
            <w:pPr>
              <w:spacing w:after="0"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Legal and Compliance Team</w:t>
            </w:r>
          </w:p>
        </w:tc>
      </w:tr>
    </w:tbl>
    <w:p w14:paraId="5EC17575"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 xml:space="preserve">The communication plan demonstrates that different stakeholder groups require different levels of information and engagement. Senior leaders need strategic information to support decision-making, whereas employees require practical guidance to perform their roles effectively during implementation. Customers should receive clear and transparent communication regarding the benefits of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xml:space="preserve"> and the handling of their personal data, helping to build confidence in the platform. Suppliers require regular operational updates to coordinate system integration, while regulators must receive accurate compliance documentation to ensure that legal and regulatory obligations are met.</w:t>
      </w:r>
    </w:p>
    <w:p w14:paraId="3EC3F553" w14:textId="77777777" w:rsidR="00AA193D" w:rsidRPr="00AA193D" w:rsidRDefault="00AA193D" w:rsidP="00AA1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193D">
        <w:rPr>
          <w:rFonts w:ascii="Times New Roman" w:eastAsia="Times New Roman" w:hAnsi="Times New Roman" w:cs="Times New Roman"/>
          <w:kern w:val="0"/>
          <w:lang w:eastAsia="en-GB"/>
          <w14:ligatures w14:val="none"/>
        </w:rPr>
        <w:t xml:space="preserve">A structured communication plan also contributes to effective stakeholder management by encouraging transparency and accountability throughout the project lifecycle. Regular communication enables potential issues to be identified early, supports collaboration between internal and external stakeholders, and helps maintain confidence during the international rollout of </w:t>
      </w:r>
      <w:proofErr w:type="spellStart"/>
      <w:r w:rsidRPr="00AA193D">
        <w:rPr>
          <w:rFonts w:ascii="Times New Roman" w:eastAsia="Times New Roman" w:hAnsi="Times New Roman" w:cs="Times New Roman"/>
          <w:kern w:val="0"/>
          <w:lang w:eastAsia="en-GB"/>
          <w14:ligatures w14:val="none"/>
        </w:rPr>
        <w:t>ConnectPlus</w:t>
      </w:r>
      <w:proofErr w:type="spellEnd"/>
      <w:r w:rsidRPr="00AA193D">
        <w:rPr>
          <w:rFonts w:ascii="Times New Roman" w:eastAsia="Times New Roman" w:hAnsi="Times New Roman" w:cs="Times New Roman"/>
          <w:kern w:val="0"/>
          <w:lang w:eastAsia="en-GB"/>
          <w14:ligatures w14:val="none"/>
        </w:rPr>
        <w:t>. However, communication should remain flexible and responsive because stakeholder information needs may change as the project progresses. The Project Manager should therefore review the communication plan periodically and adjust communication methods, frequency and content to reflect changing stakeholder priorities and project developments.</w:t>
      </w:r>
    </w:p>
    <w:p w14:paraId="2D22F5C6" w14:textId="77777777" w:rsidR="006A1FC9" w:rsidRPr="006A1FC9" w:rsidRDefault="006A1FC9" w:rsidP="006A1F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A1FC9">
        <w:rPr>
          <w:rFonts w:ascii="Times New Roman" w:eastAsia="Times New Roman" w:hAnsi="Times New Roman" w:cs="Times New Roman"/>
          <w:b/>
          <w:bCs/>
          <w:kern w:val="0"/>
          <w:sz w:val="27"/>
          <w:szCs w:val="27"/>
          <w:lang w:eastAsia="en-GB"/>
          <w14:ligatures w14:val="none"/>
        </w:rPr>
        <w:t>5.4 RACI Matrix</w:t>
      </w:r>
    </w:p>
    <w:p w14:paraId="313B8772"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 xml:space="preserve">A </w:t>
      </w:r>
      <w:r w:rsidRPr="006A1FC9">
        <w:rPr>
          <w:rFonts w:ascii="Times New Roman" w:eastAsia="Times New Roman" w:hAnsi="Times New Roman" w:cs="Times New Roman"/>
          <w:b/>
          <w:bCs/>
          <w:kern w:val="0"/>
          <w:lang w:eastAsia="en-GB"/>
          <w14:ligatures w14:val="none"/>
        </w:rPr>
        <w:t>RACI Matrix</w:t>
      </w:r>
      <w:r w:rsidRPr="006A1FC9">
        <w:rPr>
          <w:rFonts w:ascii="Times New Roman" w:eastAsia="Times New Roman" w:hAnsi="Times New Roman" w:cs="Times New Roman"/>
          <w:kern w:val="0"/>
          <w:lang w:eastAsia="en-GB"/>
          <w14:ligatures w14:val="none"/>
        </w:rPr>
        <w:t xml:space="preserve"> is a project management tool used to define stakeholder responsibilities and improve accountability during project implementation. The acronym </w:t>
      </w:r>
      <w:r w:rsidRPr="006A1FC9">
        <w:rPr>
          <w:rFonts w:ascii="Times New Roman" w:eastAsia="Times New Roman" w:hAnsi="Times New Roman" w:cs="Times New Roman"/>
          <w:b/>
          <w:bCs/>
          <w:kern w:val="0"/>
          <w:lang w:eastAsia="en-GB"/>
          <w14:ligatures w14:val="none"/>
        </w:rPr>
        <w:t>RACI</w:t>
      </w:r>
      <w:r w:rsidRPr="006A1FC9">
        <w:rPr>
          <w:rFonts w:ascii="Times New Roman" w:eastAsia="Times New Roman" w:hAnsi="Times New Roman" w:cs="Times New Roman"/>
          <w:kern w:val="0"/>
          <w:lang w:eastAsia="en-GB"/>
          <w14:ligatures w14:val="none"/>
        </w:rPr>
        <w:t xml:space="preserve"> represents </w:t>
      </w:r>
      <w:r w:rsidRPr="006A1FC9">
        <w:rPr>
          <w:rFonts w:ascii="Times New Roman" w:eastAsia="Times New Roman" w:hAnsi="Times New Roman" w:cs="Times New Roman"/>
          <w:b/>
          <w:bCs/>
          <w:kern w:val="0"/>
          <w:lang w:eastAsia="en-GB"/>
          <w14:ligatures w14:val="none"/>
        </w:rPr>
        <w:t>Responsible</w:t>
      </w:r>
      <w:r w:rsidRPr="006A1FC9">
        <w:rPr>
          <w:rFonts w:ascii="Times New Roman" w:eastAsia="Times New Roman" w:hAnsi="Times New Roman" w:cs="Times New Roman"/>
          <w:kern w:val="0"/>
          <w:lang w:eastAsia="en-GB"/>
          <w14:ligatures w14:val="none"/>
        </w:rPr>
        <w:t xml:space="preserve">, </w:t>
      </w:r>
      <w:r w:rsidRPr="006A1FC9">
        <w:rPr>
          <w:rFonts w:ascii="Times New Roman" w:eastAsia="Times New Roman" w:hAnsi="Times New Roman" w:cs="Times New Roman"/>
          <w:b/>
          <w:bCs/>
          <w:kern w:val="0"/>
          <w:lang w:eastAsia="en-GB"/>
          <w14:ligatures w14:val="none"/>
        </w:rPr>
        <w:t>Accountable</w:t>
      </w:r>
      <w:r w:rsidRPr="006A1FC9">
        <w:rPr>
          <w:rFonts w:ascii="Times New Roman" w:eastAsia="Times New Roman" w:hAnsi="Times New Roman" w:cs="Times New Roman"/>
          <w:kern w:val="0"/>
          <w:lang w:eastAsia="en-GB"/>
          <w14:ligatures w14:val="none"/>
        </w:rPr>
        <w:t xml:space="preserve">, </w:t>
      </w:r>
      <w:r w:rsidRPr="006A1FC9">
        <w:rPr>
          <w:rFonts w:ascii="Times New Roman" w:eastAsia="Times New Roman" w:hAnsi="Times New Roman" w:cs="Times New Roman"/>
          <w:b/>
          <w:bCs/>
          <w:kern w:val="0"/>
          <w:lang w:eastAsia="en-GB"/>
          <w14:ligatures w14:val="none"/>
        </w:rPr>
        <w:t>Consulted</w:t>
      </w:r>
      <w:r w:rsidRPr="006A1FC9">
        <w:rPr>
          <w:rFonts w:ascii="Times New Roman" w:eastAsia="Times New Roman" w:hAnsi="Times New Roman" w:cs="Times New Roman"/>
          <w:kern w:val="0"/>
          <w:lang w:eastAsia="en-GB"/>
          <w14:ligatures w14:val="none"/>
        </w:rPr>
        <w:t xml:space="preserve">, and </w:t>
      </w:r>
      <w:r w:rsidRPr="006A1FC9">
        <w:rPr>
          <w:rFonts w:ascii="Times New Roman" w:eastAsia="Times New Roman" w:hAnsi="Times New Roman" w:cs="Times New Roman"/>
          <w:b/>
          <w:bCs/>
          <w:kern w:val="0"/>
          <w:lang w:eastAsia="en-GB"/>
          <w14:ligatures w14:val="none"/>
        </w:rPr>
        <w:t>Informed</w:t>
      </w:r>
      <w:r w:rsidRPr="006A1FC9">
        <w:rPr>
          <w:rFonts w:ascii="Times New Roman" w:eastAsia="Times New Roman" w:hAnsi="Times New Roman" w:cs="Times New Roman"/>
          <w:kern w:val="0"/>
          <w:lang w:eastAsia="en-GB"/>
          <w14:ligatures w14:val="none"/>
        </w:rPr>
        <w:t xml:space="preserve">, ensuring that each project activity has clearly assigned roles. Applying a RACI Matrix to the </w:t>
      </w:r>
      <w:proofErr w:type="spellStart"/>
      <w:r w:rsidRPr="006A1FC9">
        <w:rPr>
          <w:rFonts w:ascii="Times New Roman" w:eastAsia="Times New Roman" w:hAnsi="Times New Roman" w:cs="Times New Roman"/>
          <w:kern w:val="0"/>
          <w:lang w:eastAsia="en-GB"/>
          <w14:ligatures w14:val="none"/>
        </w:rPr>
        <w:t>ConnectPlus</w:t>
      </w:r>
      <w:proofErr w:type="spellEnd"/>
      <w:r w:rsidRPr="006A1FC9">
        <w:rPr>
          <w:rFonts w:ascii="Times New Roman" w:eastAsia="Times New Roman" w:hAnsi="Times New Roman" w:cs="Times New Roman"/>
          <w:kern w:val="0"/>
          <w:lang w:eastAsia="en-GB"/>
          <w14:ligatures w14:val="none"/>
        </w:rPr>
        <w:t xml:space="preserve"> project helps reduce duplication of work, prevents confusion over responsibilities, and improves collaboration between departments during the platform's development and international rollout.</w:t>
      </w:r>
    </w:p>
    <w:p w14:paraId="53C7E413"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 xml:space="preserve">Table 5.2: RACI Matrix for the </w:t>
      </w:r>
      <w:proofErr w:type="spellStart"/>
      <w:r w:rsidRPr="006A1FC9">
        <w:rPr>
          <w:rFonts w:ascii="Times New Roman" w:eastAsia="Times New Roman" w:hAnsi="Times New Roman" w:cs="Times New Roman"/>
          <w:b/>
          <w:bCs/>
          <w:kern w:val="0"/>
          <w:lang w:eastAsia="en-GB"/>
          <w14:ligatures w14:val="none"/>
        </w:rPr>
        <w:t>ConnectPlus</w:t>
      </w:r>
      <w:proofErr w:type="spellEnd"/>
      <w:r w:rsidRPr="006A1FC9">
        <w:rPr>
          <w:rFonts w:ascii="Times New Roman" w:eastAsia="Times New Roman" w:hAnsi="Times New Roman" w:cs="Times New Roman"/>
          <w:b/>
          <w:bCs/>
          <w:kern w:val="0"/>
          <w:lang w:eastAsia="en-GB"/>
          <w14:ligatures w14:val="none"/>
        </w:rPr>
        <w:t xml:space="preserve"> Project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5"/>
        <w:gridCol w:w="1083"/>
        <w:gridCol w:w="1047"/>
        <w:gridCol w:w="668"/>
        <w:gridCol w:w="1197"/>
        <w:gridCol w:w="1346"/>
        <w:gridCol w:w="675"/>
        <w:gridCol w:w="1325"/>
      </w:tblGrid>
      <w:tr w:rsidR="006A1FC9" w:rsidRPr="006A1FC9" w14:paraId="47C0B1B1" w14:textId="77777777" w:rsidTr="006A1FC9">
        <w:trPr>
          <w:tblHeader/>
          <w:tblCellSpacing w:w="15" w:type="dxa"/>
        </w:trPr>
        <w:tc>
          <w:tcPr>
            <w:tcW w:w="0" w:type="auto"/>
            <w:vAlign w:val="center"/>
            <w:hideMark/>
          </w:tcPr>
          <w:p w14:paraId="36858791"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Project Activity</w:t>
            </w:r>
          </w:p>
        </w:tc>
        <w:tc>
          <w:tcPr>
            <w:tcW w:w="0" w:type="auto"/>
            <w:vAlign w:val="center"/>
            <w:hideMark/>
          </w:tcPr>
          <w:p w14:paraId="3BAE9746"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Board of Directors</w:t>
            </w:r>
          </w:p>
        </w:tc>
        <w:tc>
          <w:tcPr>
            <w:tcW w:w="0" w:type="auto"/>
            <w:vAlign w:val="center"/>
            <w:hideMark/>
          </w:tcPr>
          <w:p w14:paraId="33EE2ADA"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Project Manager</w:t>
            </w:r>
          </w:p>
        </w:tc>
        <w:tc>
          <w:tcPr>
            <w:tcW w:w="0" w:type="auto"/>
            <w:vAlign w:val="center"/>
            <w:hideMark/>
          </w:tcPr>
          <w:p w14:paraId="52EEBF8A"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IT Team</w:t>
            </w:r>
          </w:p>
        </w:tc>
        <w:tc>
          <w:tcPr>
            <w:tcW w:w="0" w:type="auto"/>
            <w:vAlign w:val="center"/>
            <w:hideMark/>
          </w:tcPr>
          <w:p w14:paraId="2C3702E0"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Marketing Team</w:t>
            </w:r>
          </w:p>
        </w:tc>
        <w:tc>
          <w:tcPr>
            <w:tcW w:w="0" w:type="auto"/>
            <w:vAlign w:val="center"/>
            <w:hideMark/>
          </w:tcPr>
          <w:p w14:paraId="55761ADF"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Legal &amp; Compliance</w:t>
            </w:r>
          </w:p>
        </w:tc>
        <w:tc>
          <w:tcPr>
            <w:tcW w:w="0" w:type="auto"/>
            <w:vAlign w:val="center"/>
            <w:hideMark/>
          </w:tcPr>
          <w:p w14:paraId="2EF1D280"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HR Team</w:t>
            </w:r>
          </w:p>
        </w:tc>
        <w:tc>
          <w:tcPr>
            <w:tcW w:w="0" w:type="auto"/>
            <w:vAlign w:val="center"/>
            <w:hideMark/>
          </w:tcPr>
          <w:p w14:paraId="0E254B26"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Technology Partners</w:t>
            </w:r>
          </w:p>
        </w:tc>
      </w:tr>
      <w:tr w:rsidR="006A1FC9" w:rsidRPr="006A1FC9" w14:paraId="40E787D6" w14:textId="77777777" w:rsidTr="006A1FC9">
        <w:trPr>
          <w:tblCellSpacing w:w="15" w:type="dxa"/>
        </w:trPr>
        <w:tc>
          <w:tcPr>
            <w:tcW w:w="0" w:type="auto"/>
            <w:vAlign w:val="center"/>
            <w:hideMark/>
          </w:tcPr>
          <w:p w14:paraId="466DB8AE"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Project approval and funding</w:t>
            </w:r>
          </w:p>
        </w:tc>
        <w:tc>
          <w:tcPr>
            <w:tcW w:w="0" w:type="auto"/>
            <w:vAlign w:val="center"/>
            <w:hideMark/>
          </w:tcPr>
          <w:p w14:paraId="7A52BBD5"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A</w:t>
            </w:r>
          </w:p>
        </w:tc>
        <w:tc>
          <w:tcPr>
            <w:tcW w:w="0" w:type="auto"/>
            <w:vAlign w:val="center"/>
            <w:hideMark/>
          </w:tcPr>
          <w:p w14:paraId="52FCC54D"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4629FC9B"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53CC93C9"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6A4E58D0"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5AB218C0"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7D6C5AE2"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r>
      <w:tr w:rsidR="006A1FC9" w:rsidRPr="006A1FC9" w14:paraId="61F9786A" w14:textId="77777777" w:rsidTr="006A1FC9">
        <w:trPr>
          <w:tblCellSpacing w:w="15" w:type="dxa"/>
        </w:trPr>
        <w:tc>
          <w:tcPr>
            <w:tcW w:w="0" w:type="auto"/>
            <w:vAlign w:val="center"/>
            <w:hideMark/>
          </w:tcPr>
          <w:p w14:paraId="0D5300C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Platform design and development</w:t>
            </w:r>
          </w:p>
        </w:tc>
        <w:tc>
          <w:tcPr>
            <w:tcW w:w="0" w:type="auto"/>
            <w:vAlign w:val="center"/>
            <w:hideMark/>
          </w:tcPr>
          <w:p w14:paraId="4451723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039769FF"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A</w:t>
            </w:r>
          </w:p>
        </w:tc>
        <w:tc>
          <w:tcPr>
            <w:tcW w:w="0" w:type="auto"/>
            <w:vAlign w:val="center"/>
            <w:hideMark/>
          </w:tcPr>
          <w:p w14:paraId="62CA101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R</w:t>
            </w:r>
          </w:p>
        </w:tc>
        <w:tc>
          <w:tcPr>
            <w:tcW w:w="0" w:type="auto"/>
            <w:vAlign w:val="center"/>
            <w:hideMark/>
          </w:tcPr>
          <w:p w14:paraId="7CD7FB8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04D9343A"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1BB541F4"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13AFFFEA"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C</w:t>
            </w:r>
          </w:p>
        </w:tc>
      </w:tr>
      <w:tr w:rsidR="006A1FC9" w:rsidRPr="006A1FC9" w14:paraId="5BFC698E" w14:textId="77777777" w:rsidTr="006A1FC9">
        <w:trPr>
          <w:tblCellSpacing w:w="15" w:type="dxa"/>
        </w:trPr>
        <w:tc>
          <w:tcPr>
            <w:tcW w:w="0" w:type="auto"/>
            <w:vAlign w:val="center"/>
            <w:hideMark/>
          </w:tcPr>
          <w:p w14:paraId="3A8D747E"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AI integration and cybersecurity</w:t>
            </w:r>
          </w:p>
        </w:tc>
        <w:tc>
          <w:tcPr>
            <w:tcW w:w="0" w:type="auto"/>
            <w:vAlign w:val="center"/>
            <w:hideMark/>
          </w:tcPr>
          <w:p w14:paraId="5FBAD485"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1D77EEDA"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A</w:t>
            </w:r>
          </w:p>
        </w:tc>
        <w:tc>
          <w:tcPr>
            <w:tcW w:w="0" w:type="auto"/>
            <w:vAlign w:val="center"/>
            <w:hideMark/>
          </w:tcPr>
          <w:p w14:paraId="1D12D054"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R</w:t>
            </w:r>
          </w:p>
        </w:tc>
        <w:tc>
          <w:tcPr>
            <w:tcW w:w="0" w:type="auto"/>
            <w:vAlign w:val="center"/>
            <w:hideMark/>
          </w:tcPr>
          <w:p w14:paraId="75CEE3A7"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1D008644"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382B974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7B57379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R</w:t>
            </w:r>
          </w:p>
        </w:tc>
      </w:tr>
      <w:tr w:rsidR="006A1FC9" w:rsidRPr="006A1FC9" w14:paraId="24174048" w14:textId="77777777" w:rsidTr="006A1FC9">
        <w:trPr>
          <w:tblCellSpacing w:w="15" w:type="dxa"/>
        </w:trPr>
        <w:tc>
          <w:tcPr>
            <w:tcW w:w="0" w:type="auto"/>
            <w:vAlign w:val="center"/>
            <w:hideMark/>
          </w:tcPr>
          <w:p w14:paraId="7D6A545C"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lastRenderedPageBreak/>
              <w:t>GDPR and regulatory compliance</w:t>
            </w:r>
          </w:p>
        </w:tc>
        <w:tc>
          <w:tcPr>
            <w:tcW w:w="0" w:type="auto"/>
            <w:vAlign w:val="center"/>
            <w:hideMark/>
          </w:tcPr>
          <w:p w14:paraId="73333D3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0FC0411F"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5D8F0984"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536D0330"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18203A68"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A/R</w:t>
            </w:r>
          </w:p>
        </w:tc>
        <w:tc>
          <w:tcPr>
            <w:tcW w:w="0" w:type="auto"/>
            <w:vAlign w:val="center"/>
            <w:hideMark/>
          </w:tcPr>
          <w:p w14:paraId="276D65D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2AE8126A"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r>
      <w:tr w:rsidR="006A1FC9" w:rsidRPr="006A1FC9" w14:paraId="6047D39F" w14:textId="77777777" w:rsidTr="006A1FC9">
        <w:trPr>
          <w:tblCellSpacing w:w="15" w:type="dxa"/>
        </w:trPr>
        <w:tc>
          <w:tcPr>
            <w:tcW w:w="0" w:type="auto"/>
            <w:vAlign w:val="center"/>
            <w:hideMark/>
          </w:tcPr>
          <w:p w14:paraId="2B09C07B"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Employee training</w:t>
            </w:r>
          </w:p>
        </w:tc>
        <w:tc>
          <w:tcPr>
            <w:tcW w:w="0" w:type="auto"/>
            <w:vAlign w:val="center"/>
            <w:hideMark/>
          </w:tcPr>
          <w:p w14:paraId="3029FC9C"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55CCC2EA"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A</w:t>
            </w:r>
          </w:p>
        </w:tc>
        <w:tc>
          <w:tcPr>
            <w:tcW w:w="0" w:type="auto"/>
            <w:vAlign w:val="center"/>
            <w:hideMark/>
          </w:tcPr>
          <w:p w14:paraId="2B5E6779"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5FB445FA"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21ED6A6E"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2C18B2F0"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R</w:t>
            </w:r>
          </w:p>
        </w:tc>
        <w:tc>
          <w:tcPr>
            <w:tcW w:w="0" w:type="auto"/>
            <w:vAlign w:val="center"/>
            <w:hideMark/>
          </w:tcPr>
          <w:p w14:paraId="4A9564C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r>
      <w:tr w:rsidR="006A1FC9" w:rsidRPr="006A1FC9" w14:paraId="7B1CBFB2" w14:textId="77777777" w:rsidTr="006A1FC9">
        <w:trPr>
          <w:tblCellSpacing w:w="15" w:type="dxa"/>
        </w:trPr>
        <w:tc>
          <w:tcPr>
            <w:tcW w:w="0" w:type="auto"/>
            <w:vAlign w:val="center"/>
            <w:hideMark/>
          </w:tcPr>
          <w:p w14:paraId="3E8E76D8"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Marketing campaign</w:t>
            </w:r>
          </w:p>
        </w:tc>
        <w:tc>
          <w:tcPr>
            <w:tcW w:w="0" w:type="auto"/>
            <w:vAlign w:val="center"/>
            <w:hideMark/>
          </w:tcPr>
          <w:p w14:paraId="7A720E8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04A3B3D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17365F6D"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1BF78DCD"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R/A</w:t>
            </w:r>
          </w:p>
        </w:tc>
        <w:tc>
          <w:tcPr>
            <w:tcW w:w="0" w:type="auto"/>
            <w:vAlign w:val="center"/>
            <w:hideMark/>
          </w:tcPr>
          <w:p w14:paraId="0307A39B"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571C1247"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6AF604A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r>
      <w:tr w:rsidR="006A1FC9" w:rsidRPr="006A1FC9" w14:paraId="659672DA" w14:textId="77777777" w:rsidTr="006A1FC9">
        <w:trPr>
          <w:tblCellSpacing w:w="15" w:type="dxa"/>
        </w:trPr>
        <w:tc>
          <w:tcPr>
            <w:tcW w:w="0" w:type="auto"/>
            <w:vAlign w:val="center"/>
            <w:hideMark/>
          </w:tcPr>
          <w:p w14:paraId="18F311D1"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Customer communication</w:t>
            </w:r>
          </w:p>
        </w:tc>
        <w:tc>
          <w:tcPr>
            <w:tcW w:w="0" w:type="auto"/>
            <w:vAlign w:val="center"/>
            <w:hideMark/>
          </w:tcPr>
          <w:p w14:paraId="3FFF4608"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3F2E8935"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77528A18"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3488C4BD"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R</w:t>
            </w:r>
          </w:p>
        </w:tc>
        <w:tc>
          <w:tcPr>
            <w:tcW w:w="0" w:type="auto"/>
            <w:vAlign w:val="center"/>
            <w:hideMark/>
          </w:tcPr>
          <w:p w14:paraId="7DF0509C"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07517B98"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5BFF20B4"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r>
      <w:tr w:rsidR="006A1FC9" w:rsidRPr="006A1FC9" w14:paraId="6C7DA21B" w14:textId="77777777" w:rsidTr="006A1FC9">
        <w:trPr>
          <w:tblCellSpacing w:w="15" w:type="dxa"/>
        </w:trPr>
        <w:tc>
          <w:tcPr>
            <w:tcW w:w="0" w:type="auto"/>
            <w:vAlign w:val="center"/>
            <w:hideMark/>
          </w:tcPr>
          <w:p w14:paraId="57C110C0"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International rollout</w:t>
            </w:r>
          </w:p>
        </w:tc>
        <w:tc>
          <w:tcPr>
            <w:tcW w:w="0" w:type="auto"/>
            <w:vAlign w:val="center"/>
            <w:hideMark/>
          </w:tcPr>
          <w:p w14:paraId="24AC83BF"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094702BE"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A</w:t>
            </w:r>
          </w:p>
        </w:tc>
        <w:tc>
          <w:tcPr>
            <w:tcW w:w="0" w:type="auto"/>
            <w:vAlign w:val="center"/>
            <w:hideMark/>
          </w:tcPr>
          <w:p w14:paraId="0440EA0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R</w:t>
            </w:r>
          </w:p>
        </w:tc>
        <w:tc>
          <w:tcPr>
            <w:tcW w:w="0" w:type="auto"/>
            <w:vAlign w:val="center"/>
            <w:hideMark/>
          </w:tcPr>
          <w:p w14:paraId="495EA818"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R</w:t>
            </w:r>
          </w:p>
        </w:tc>
        <w:tc>
          <w:tcPr>
            <w:tcW w:w="0" w:type="auto"/>
            <w:vAlign w:val="center"/>
            <w:hideMark/>
          </w:tcPr>
          <w:p w14:paraId="4F63783C"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360875A2"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7D95878A"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r>
      <w:tr w:rsidR="006A1FC9" w:rsidRPr="006A1FC9" w14:paraId="6201E965" w14:textId="77777777" w:rsidTr="006A1FC9">
        <w:trPr>
          <w:tblCellSpacing w:w="15" w:type="dxa"/>
        </w:trPr>
        <w:tc>
          <w:tcPr>
            <w:tcW w:w="0" w:type="auto"/>
            <w:vAlign w:val="center"/>
            <w:hideMark/>
          </w:tcPr>
          <w:p w14:paraId="2AC0D215"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Project monitoring and evaluation</w:t>
            </w:r>
          </w:p>
        </w:tc>
        <w:tc>
          <w:tcPr>
            <w:tcW w:w="0" w:type="auto"/>
            <w:vAlign w:val="center"/>
            <w:hideMark/>
          </w:tcPr>
          <w:p w14:paraId="4248353D"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672F352E"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A/R</w:t>
            </w:r>
          </w:p>
        </w:tc>
        <w:tc>
          <w:tcPr>
            <w:tcW w:w="0" w:type="auto"/>
            <w:vAlign w:val="center"/>
            <w:hideMark/>
          </w:tcPr>
          <w:p w14:paraId="1918259E"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4E67D432"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w:t>
            </w:r>
          </w:p>
        </w:tc>
        <w:tc>
          <w:tcPr>
            <w:tcW w:w="0" w:type="auto"/>
            <w:vAlign w:val="center"/>
            <w:hideMark/>
          </w:tcPr>
          <w:p w14:paraId="00446C0B"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5BF1885C"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c>
          <w:tcPr>
            <w:tcW w:w="0" w:type="auto"/>
            <w:vAlign w:val="center"/>
            <w:hideMark/>
          </w:tcPr>
          <w:p w14:paraId="5C090B4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w:t>
            </w:r>
          </w:p>
        </w:tc>
      </w:tr>
    </w:tbl>
    <w:p w14:paraId="7E63C2A5"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Key</w:t>
      </w:r>
    </w:p>
    <w:p w14:paraId="542F36EA" w14:textId="77777777" w:rsidR="006A1FC9" w:rsidRPr="006A1FC9" w:rsidRDefault="006A1FC9" w:rsidP="006A1FC9">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R (Responsible):</w:t>
      </w:r>
      <w:r w:rsidRPr="006A1FC9">
        <w:rPr>
          <w:rFonts w:ascii="Times New Roman" w:eastAsia="Times New Roman" w:hAnsi="Times New Roman" w:cs="Times New Roman"/>
          <w:kern w:val="0"/>
          <w:lang w:eastAsia="en-GB"/>
          <w14:ligatures w14:val="none"/>
        </w:rPr>
        <w:t xml:space="preserve"> Completes the work or activity.</w:t>
      </w:r>
    </w:p>
    <w:p w14:paraId="325A9C54" w14:textId="77777777" w:rsidR="006A1FC9" w:rsidRPr="006A1FC9" w:rsidRDefault="006A1FC9" w:rsidP="006A1FC9">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A (Accountable):</w:t>
      </w:r>
      <w:r w:rsidRPr="006A1FC9">
        <w:rPr>
          <w:rFonts w:ascii="Times New Roman" w:eastAsia="Times New Roman" w:hAnsi="Times New Roman" w:cs="Times New Roman"/>
          <w:kern w:val="0"/>
          <w:lang w:eastAsia="en-GB"/>
          <w14:ligatures w14:val="none"/>
        </w:rPr>
        <w:t xml:space="preserve"> Has overall ownership and final decision-making authority.</w:t>
      </w:r>
    </w:p>
    <w:p w14:paraId="592C1CE1" w14:textId="77777777" w:rsidR="006A1FC9" w:rsidRPr="006A1FC9" w:rsidRDefault="006A1FC9" w:rsidP="006A1FC9">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C (Consulted):</w:t>
      </w:r>
      <w:r w:rsidRPr="006A1FC9">
        <w:rPr>
          <w:rFonts w:ascii="Times New Roman" w:eastAsia="Times New Roman" w:hAnsi="Times New Roman" w:cs="Times New Roman"/>
          <w:kern w:val="0"/>
          <w:lang w:eastAsia="en-GB"/>
          <w14:ligatures w14:val="none"/>
        </w:rPr>
        <w:t xml:space="preserve"> Provides specialist advice or contributes to decisions.</w:t>
      </w:r>
    </w:p>
    <w:p w14:paraId="0C5CBFD4" w14:textId="77777777" w:rsidR="006A1FC9" w:rsidRPr="006A1FC9" w:rsidRDefault="006A1FC9" w:rsidP="006A1FC9">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I (Informed):</w:t>
      </w:r>
      <w:r w:rsidRPr="006A1FC9">
        <w:rPr>
          <w:rFonts w:ascii="Times New Roman" w:eastAsia="Times New Roman" w:hAnsi="Times New Roman" w:cs="Times New Roman"/>
          <w:kern w:val="0"/>
          <w:lang w:eastAsia="en-GB"/>
          <w14:ligatures w14:val="none"/>
        </w:rPr>
        <w:t xml:space="preserve"> Receives updates on progress but is not directly involved in decision-making.</w:t>
      </w:r>
    </w:p>
    <w:p w14:paraId="5D37E48E"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 xml:space="preserve">The RACI Matrix clarifies stakeholder responsibilities by ensuring that each major project activity has a clearly identified owner while also defining where consultation and communication are required. For the </w:t>
      </w:r>
      <w:proofErr w:type="spellStart"/>
      <w:r w:rsidRPr="006A1FC9">
        <w:rPr>
          <w:rFonts w:ascii="Times New Roman" w:eastAsia="Times New Roman" w:hAnsi="Times New Roman" w:cs="Times New Roman"/>
          <w:kern w:val="0"/>
          <w:lang w:eastAsia="en-GB"/>
          <w14:ligatures w14:val="none"/>
        </w:rPr>
        <w:t>ConnectPlus</w:t>
      </w:r>
      <w:proofErr w:type="spellEnd"/>
      <w:r w:rsidRPr="006A1FC9">
        <w:rPr>
          <w:rFonts w:ascii="Times New Roman" w:eastAsia="Times New Roman" w:hAnsi="Times New Roman" w:cs="Times New Roman"/>
          <w:kern w:val="0"/>
          <w:lang w:eastAsia="en-GB"/>
          <w14:ligatures w14:val="none"/>
        </w:rPr>
        <w:t xml:space="preserve"> project, the Project Manager retains overall accountability for coordinating implementation, whereas specialist teams, such as IT, Marketing and Legal, are responsible for delivering activities within their areas of expertise. This structured allocation of responsibilities supports effective decision-making, reduces duplication of effort and improves coordination across cross-functional and international project teams.</w:t>
      </w:r>
    </w:p>
    <w:p w14:paraId="444812CC"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Although the RACI Matrix is an effective governance tool, it should be reviewed periodically throughout the project lifecycle. Organisational priorities, stakeholder involvement and project requirements may change during implementation, particularly in a multinational digital transformation project. Regular reviews ensure that responsibilities remain aligned with project objectives and stakeholder expectations, helping to maintain accountability and support successful delivery.</w:t>
      </w:r>
    </w:p>
    <w:p w14:paraId="7356BD21" w14:textId="77777777" w:rsidR="006A1FC9" w:rsidRPr="006A1FC9" w:rsidRDefault="006A1FC9" w:rsidP="006A1F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A1FC9">
        <w:rPr>
          <w:rFonts w:ascii="Times New Roman" w:eastAsia="Times New Roman" w:hAnsi="Times New Roman" w:cs="Times New Roman"/>
          <w:b/>
          <w:bCs/>
          <w:kern w:val="0"/>
          <w:sz w:val="27"/>
          <w:szCs w:val="27"/>
          <w:lang w:eastAsia="en-GB"/>
          <w14:ligatures w14:val="none"/>
        </w:rPr>
        <w:t>5.5 Conflict Management</w:t>
      </w:r>
    </w:p>
    <w:p w14:paraId="61A2A2FB"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 xml:space="preserve">Stakeholder conflicts are inevitable during large-scale digital transformation projects because different stakeholder groups often have competing objectives, priorities and expectations. As Project Manager for the </w:t>
      </w:r>
      <w:proofErr w:type="spellStart"/>
      <w:r w:rsidRPr="006A1FC9">
        <w:rPr>
          <w:rFonts w:ascii="Times New Roman" w:eastAsia="Times New Roman" w:hAnsi="Times New Roman" w:cs="Times New Roman"/>
          <w:kern w:val="0"/>
          <w:lang w:eastAsia="en-GB"/>
          <w14:ligatures w14:val="none"/>
        </w:rPr>
        <w:t>ConnectPlus</w:t>
      </w:r>
      <w:proofErr w:type="spellEnd"/>
      <w:r w:rsidRPr="006A1FC9">
        <w:rPr>
          <w:rFonts w:ascii="Times New Roman" w:eastAsia="Times New Roman" w:hAnsi="Times New Roman" w:cs="Times New Roman"/>
          <w:kern w:val="0"/>
          <w:lang w:eastAsia="en-GB"/>
          <w14:ligatures w14:val="none"/>
        </w:rPr>
        <w:t xml:space="preserve"> project, conflict management should focus on resolving disagreements in a constructive manner while maintaining stakeholder trust and supporting project objectives. The </w:t>
      </w:r>
      <w:r w:rsidRPr="006A1FC9">
        <w:rPr>
          <w:rFonts w:ascii="Times New Roman" w:eastAsia="Times New Roman" w:hAnsi="Times New Roman" w:cs="Times New Roman"/>
          <w:b/>
          <w:bCs/>
          <w:kern w:val="0"/>
          <w:lang w:eastAsia="en-GB"/>
          <w14:ligatures w14:val="none"/>
        </w:rPr>
        <w:t>Thomas–Kilmann Conflict Mode Instrument (TKI)</w:t>
      </w:r>
      <w:r w:rsidRPr="006A1FC9">
        <w:rPr>
          <w:rFonts w:ascii="Times New Roman" w:eastAsia="Times New Roman" w:hAnsi="Times New Roman" w:cs="Times New Roman"/>
          <w:kern w:val="0"/>
          <w:lang w:eastAsia="en-GB"/>
          <w14:ligatures w14:val="none"/>
        </w:rPr>
        <w:t xml:space="preserve"> provides a </w:t>
      </w:r>
      <w:r w:rsidRPr="006A1FC9">
        <w:rPr>
          <w:rFonts w:ascii="Times New Roman" w:eastAsia="Times New Roman" w:hAnsi="Times New Roman" w:cs="Times New Roman"/>
          <w:kern w:val="0"/>
          <w:lang w:eastAsia="en-GB"/>
          <w14:ligatures w14:val="none"/>
        </w:rPr>
        <w:lastRenderedPageBreak/>
        <w:t>useful framework by identifying five conflict-handling approaches: competing, collaborating, compromising, avoiding and accommodating. The most appropriate approach depends on the nature of the conflict and its potential impact on the project.</w:t>
      </w:r>
    </w:p>
    <w:p w14:paraId="37536B19"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Table 5.3: Potential Stakeholder Conflicts and Management Approaches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5"/>
        <w:gridCol w:w="1970"/>
        <w:gridCol w:w="2056"/>
        <w:gridCol w:w="3175"/>
      </w:tblGrid>
      <w:tr w:rsidR="006A1FC9" w:rsidRPr="006A1FC9" w14:paraId="48155300" w14:textId="77777777" w:rsidTr="006A1FC9">
        <w:trPr>
          <w:tblHeader/>
          <w:tblCellSpacing w:w="15" w:type="dxa"/>
        </w:trPr>
        <w:tc>
          <w:tcPr>
            <w:tcW w:w="0" w:type="auto"/>
            <w:vAlign w:val="center"/>
            <w:hideMark/>
          </w:tcPr>
          <w:p w14:paraId="164077D9"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Potential Conflict</w:t>
            </w:r>
          </w:p>
        </w:tc>
        <w:tc>
          <w:tcPr>
            <w:tcW w:w="0" w:type="auto"/>
            <w:vAlign w:val="center"/>
            <w:hideMark/>
          </w:tcPr>
          <w:p w14:paraId="42428A89"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Stakeholders Involved</w:t>
            </w:r>
          </w:p>
        </w:tc>
        <w:tc>
          <w:tcPr>
            <w:tcW w:w="0" w:type="auto"/>
            <w:vAlign w:val="center"/>
            <w:hideMark/>
          </w:tcPr>
          <w:p w14:paraId="0DC98749"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Recommended TKI Approach</w:t>
            </w:r>
          </w:p>
        </w:tc>
        <w:tc>
          <w:tcPr>
            <w:tcW w:w="0" w:type="auto"/>
            <w:vAlign w:val="center"/>
            <w:hideMark/>
          </w:tcPr>
          <w:p w14:paraId="0757A303" w14:textId="77777777" w:rsidR="006A1FC9" w:rsidRPr="006A1FC9" w:rsidRDefault="006A1FC9" w:rsidP="006A1FC9">
            <w:pPr>
              <w:spacing w:after="0" w:line="240" w:lineRule="auto"/>
              <w:jc w:val="center"/>
              <w:rPr>
                <w:rFonts w:ascii="Times New Roman" w:eastAsia="Times New Roman" w:hAnsi="Times New Roman" w:cs="Times New Roman"/>
                <w:b/>
                <w:bCs/>
                <w:kern w:val="0"/>
                <w:lang w:eastAsia="en-GB"/>
                <w14:ligatures w14:val="none"/>
              </w:rPr>
            </w:pPr>
            <w:r w:rsidRPr="006A1FC9">
              <w:rPr>
                <w:rFonts w:ascii="Times New Roman" w:eastAsia="Times New Roman" w:hAnsi="Times New Roman" w:cs="Times New Roman"/>
                <w:b/>
                <w:bCs/>
                <w:kern w:val="0"/>
                <w:lang w:eastAsia="en-GB"/>
                <w14:ligatures w14:val="none"/>
              </w:rPr>
              <w:t>Justification</w:t>
            </w:r>
          </w:p>
        </w:tc>
      </w:tr>
      <w:tr w:rsidR="006A1FC9" w:rsidRPr="006A1FC9" w14:paraId="5315366F" w14:textId="77777777" w:rsidTr="006A1FC9">
        <w:trPr>
          <w:tblCellSpacing w:w="15" w:type="dxa"/>
        </w:trPr>
        <w:tc>
          <w:tcPr>
            <w:tcW w:w="0" w:type="auto"/>
            <w:vAlign w:val="center"/>
            <w:hideMark/>
          </w:tcPr>
          <w:p w14:paraId="751E0794"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Budget disagreements</w:t>
            </w:r>
          </w:p>
        </w:tc>
        <w:tc>
          <w:tcPr>
            <w:tcW w:w="0" w:type="auto"/>
            <w:vAlign w:val="center"/>
            <w:hideMark/>
          </w:tcPr>
          <w:p w14:paraId="1C15BE24"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Board of Directors, Executive Management and Project Manager</w:t>
            </w:r>
          </w:p>
        </w:tc>
        <w:tc>
          <w:tcPr>
            <w:tcW w:w="0" w:type="auto"/>
            <w:vAlign w:val="center"/>
            <w:hideMark/>
          </w:tcPr>
          <w:p w14:paraId="092C2AD9"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Collaborating</w:t>
            </w:r>
          </w:p>
        </w:tc>
        <w:tc>
          <w:tcPr>
            <w:tcW w:w="0" w:type="auto"/>
            <w:vAlign w:val="center"/>
            <w:hideMark/>
          </w:tcPr>
          <w:p w14:paraId="7E746A0B"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Joint discussions can balance financial constraints with project requirements and identify mutually beneficial solutions.</w:t>
            </w:r>
          </w:p>
        </w:tc>
      </w:tr>
      <w:tr w:rsidR="006A1FC9" w:rsidRPr="006A1FC9" w14:paraId="59A81FD0" w14:textId="77777777" w:rsidTr="006A1FC9">
        <w:trPr>
          <w:tblCellSpacing w:w="15" w:type="dxa"/>
        </w:trPr>
        <w:tc>
          <w:tcPr>
            <w:tcW w:w="0" w:type="auto"/>
            <w:vAlign w:val="center"/>
            <w:hideMark/>
          </w:tcPr>
          <w:p w14:paraId="6FD625B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Employee resistance to change</w:t>
            </w:r>
          </w:p>
        </w:tc>
        <w:tc>
          <w:tcPr>
            <w:tcW w:w="0" w:type="auto"/>
            <w:vAlign w:val="center"/>
            <w:hideMark/>
          </w:tcPr>
          <w:p w14:paraId="05713B04"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Employees, HR Team and Project Manager</w:t>
            </w:r>
          </w:p>
        </w:tc>
        <w:tc>
          <w:tcPr>
            <w:tcW w:w="0" w:type="auto"/>
            <w:vAlign w:val="center"/>
            <w:hideMark/>
          </w:tcPr>
          <w:p w14:paraId="63F1CD0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Accommodating followed by Collaborating</w:t>
            </w:r>
          </w:p>
        </w:tc>
        <w:tc>
          <w:tcPr>
            <w:tcW w:w="0" w:type="auto"/>
            <w:vAlign w:val="center"/>
            <w:hideMark/>
          </w:tcPr>
          <w:p w14:paraId="4E52CDA5"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Listening to employee concerns, providing additional training and involving staff in implementation decisions can reduce resistance and increase commitment.</w:t>
            </w:r>
          </w:p>
        </w:tc>
      </w:tr>
      <w:tr w:rsidR="006A1FC9" w:rsidRPr="006A1FC9" w14:paraId="14B90C66" w14:textId="77777777" w:rsidTr="006A1FC9">
        <w:trPr>
          <w:tblCellSpacing w:w="15" w:type="dxa"/>
        </w:trPr>
        <w:tc>
          <w:tcPr>
            <w:tcW w:w="0" w:type="auto"/>
            <w:vAlign w:val="center"/>
            <w:hideMark/>
          </w:tcPr>
          <w:p w14:paraId="21D9457B"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Customer privacy concerns</w:t>
            </w:r>
          </w:p>
        </w:tc>
        <w:tc>
          <w:tcPr>
            <w:tcW w:w="0" w:type="auto"/>
            <w:vAlign w:val="center"/>
            <w:hideMark/>
          </w:tcPr>
          <w:p w14:paraId="274B4E2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Customers, Legal Team and IT Team</w:t>
            </w:r>
          </w:p>
        </w:tc>
        <w:tc>
          <w:tcPr>
            <w:tcW w:w="0" w:type="auto"/>
            <w:vAlign w:val="center"/>
            <w:hideMark/>
          </w:tcPr>
          <w:p w14:paraId="0F014F0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Collaborating</w:t>
            </w:r>
          </w:p>
        </w:tc>
        <w:tc>
          <w:tcPr>
            <w:tcW w:w="0" w:type="auto"/>
            <w:vAlign w:val="center"/>
            <w:hideMark/>
          </w:tcPr>
          <w:p w14:paraId="4040E5B4"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Transparency regarding AI, cybersecurity and data protection builds trust while ensuring compliance with legal requirements.</w:t>
            </w:r>
          </w:p>
        </w:tc>
      </w:tr>
      <w:tr w:rsidR="006A1FC9" w:rsidRPr="006A1FC9" w14:paraId="1A679060" w14:textId="77777777" w:rsidTr="006A1FC9">
        <w:trPr>
          <w:tblCellSpacing w:w="15" w:type="dxa"/>
        </w:trPr>
        <w:tc>
          <w:tcPr>
            <w:tcW w:w="0" w:type="auto"/>
            <w:vAlign w:val="center"/>
            <w:hideMark/>
          </w:tcPr>
          <w:p w14:paraId="1A1D6F03"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Conflicting priorities between IT and Marketing</w:t>
            </w:r>
          </w:p>
        </w:tc>
        <w:tc>
          <w:tcPr>
            <w:tcW w:w="0" w:type="auto"/>
            <w:vAlign w:val="center"/>
            <w:hideMark/>
          </w:tcPr>
          <w:p w14:paraId="76388447"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IT Team, Marketing Team and Project Manager</w:t>
            </w:r>
          </w:p>
        </w:tc>
        <w:tc>
          <w:tcPr>
            <w:tcW w:w="0" w:type="auto"/>
            <w:vAlign w:val="center"/>
            <w:hideMark/>
          </w:tcPr>
          <w:p w14:paraId="71378EDA"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Compromising</w:t>
            </w:r>
          </w:p>
        </w:tc>
        <w:tc>
          <w:tcPr>
            <w:tcW w:w="0" w:type="auto"/>
            <w:vAlign w:val="center"/>
            <w:hideMark/>
          </w:tcPr>
          <w:p w14:paraId="7B703328"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Structured discussions help balance technical reliability with commercial objectives and customer experience.</w:t>
            </w:r>
          </w:p>
        </w:tc>
      </w:tr>
      <w:tr w:rsidR="006A1FC9" w:rsidRPr="006A1FC9" w14:paraId="268AC823" w14:textId="77777777" w:rsidTr="006A1FC9">
        <w:trPr>
          <w:tblCellSpacing w:w="15" w:type="dxa"/>
        </w:trPr>
        <w:tc>
          <w:tcPr>
            <w:tcW w:w="0" w:type="auto"/>
            <w:vAlign w:val="center"/>
            <w:hideMark/>
          </w:tcPr>
          <w:p w14:paraId="121A7CAF"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Different international regulatory requirements</w:t>
            </w:r>
          </w:p>
        </w:tc>
        <w:tc>
          <w:tcPr>
            <w:tcW w:w="0" w:type="auto"/>
            <w:vAlign w:val="center"/>
            <w:hideMark/>
          </w:tcPr>
          <w:p w14:paraId="1D2DF5D5"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Legal Team, Government Regulators and Executive Management</w:t>
            </w:r>
          </w:p>
        </w:tc>
        <w:tc>
          <w:tcPr>
            <w:tcW w:w="0" w:type="auto"/>
            <w:vAlign w:val="center"/>
            <w:hideMark/>
          </w:tcPr>
          <w:p w14:paraId="073C9EF6"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b/>
                <w:bCs/>
                <w:kern w:val="0"/>
                <w:lang w:eastAsia="en-GB"/>
                <w14:ligatures w14:val="none"/>
              </w:rPr>
              <w:t>Collaborating</w:t>
            </w:r>
          </w:p>
        </w:tc>
        <w:tc>
          <w:tcPr>
            <w:tcW w:w="0" w:type="auto"/>
            <w:vAlign w:val="center"/>
            <w:hideMark/>
          </w:tcPr>
          <w:p w14:paraId="3BAAE7C8" w14:textId="77777777" w:rsidR="006A1FC9" w:rsidRPr="006A1FC9" w:rsidRDefault="006A1FC9" w:rsidP="006A1FC9">
            <w:pPr>
              <w:spacing w:after="0"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Close cooperation supports compliance across multiple jurisdictions while maintaining project progress.</w:t>
            </w:r>
          </w:p>
        </w:tc>
      </w:tr>
    </w:tbl>
    <w:p w14:paraId="352CB072"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 xml:space="preserve">The Project Manager should encourage early identification of potential conflicts through regular meetings, feedback sessions and open communication channels. Addressing disagreements before they escalate reduces project delays and strengthens relationships between stakeholder groups. Collaboration is often the most appropriate conflict-management approach for the </w:t>
      </w:r>
      <w:proofErr w:type="spellStart"/>
      <w:r w:rsidRPr="006A1FC9">
        <w:rPr>
          <w:rFonts w:ascii="Times New Roman" w:eastAsia="Times New Roman" w:hAnsi="Times New Roman" w:cs="Times New Roman"/>
          <w:kern w:val="0"/>
          <w:lang w:eastAsia="en-GB"/>
          <w14:ligatures w14:val="none"/>
        </w:rPr>
        <w:t>ConnectPlus</w:t>
      </w:r>
      <w:proofErr w:type="spellEnd"/>
      <w:r w:rsidRPr="006A1FC9">
        <w:rPr>
          <w:rFonts w:ascii="Times New Roman" w:eastAsia="Times New Roman" w:hAnsi="Times New Roman" w:cs="Times New Roman"/>
          <w:kern w:val="0"/>
          <w:lang w:eastAsia="en-GB"/>
          <w14:ligatures w14:val="none"/>
        </w:rPr>
        <w:t xml:space="preserve"> project because it encourages shared problem-solving and supports long-term stakeholder relationships. However, other approaches may be appropriate depending on the circumstances. For example, compromise may be necessary when project deadlines limit the time available for negotiation, while accommodation may help maintain employee morale during organisational change.</w:t>
      </w:r>
    </w:p>
    <w:p w14:paraId="0E79D511"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 xml:space="preserve">Although structured conflict-management frameworks provide useful guidance, they should be applied flexibly. Stakeholder expectations may change throughout the implementation of </w:t>
      </w:r>
      <w:proofErr w:type="spellStart"/>
      <w:r w:rsidRPr="006A1FC9">
        <w:rPr>
          <w:rFonts w:ascii="Times New Roman" w:eastAsia="Times New Roman" w:hAnsi="Times New Roman" w:cs="Times New Roman"/>
          <w:kern w:val="0"/>
          <w:lang w:eastAsia="en-GB"/>
          <w14:ligatures w14:val="none"/>
        </w:rPr>
        <w:t>ConnectPlus</w:t>
      </w:r>
      <w:proofErr w:type="spellEnd"/>
      <w:r w:rsidRPr="006A1FC9">
        <w:rPr>
          <w:rFonts w:ascii="Times New Roman" w:eastAsia="Times New Roman" w:hAnsi="Times New Roman" w:cs="Times New Roman"/>
          <w:kern w:val="0"/>
          <w:lang w:eastAsia="en-GB"/>
          <w14:ligatures w14:val="none"/>
        </w:rPr>
        <w:t xml:space="preserve">, particularly during international rollout where cultural differences, regulatory requirements and local business practices influence stakeholder priorities. The Project Manager should therefore review conflicts continuously and adapt management strategies to </w:t>
      </w:r>
      <w:r w:rsidRPr="006A1FC9">
        <w:rPr>
          <w:rFonts w:ascii="Times New Roman" w:eastAsia="Times New Roman" w:hAnsi="Times New Roman" w:cs="Times New Roman"/>
          <w:kern w:val="0"/>
          <w:lang w:eastAsia="en-GB"/>
          <w14:ligatures w14:val="none"/>
        </w:rPr>
        <w:lastRenderedPageBreak/>
        <w:t>support collaboration, minimise project risk and maintain stakeholder confidence throughout the project lifecycle.</w:t>
      </w:r>
    </w:p>
    <w:p w14:paraId="095F0CB8" w14:textId="77777777" w:rsidR="006A1FC9" w:rsidRPr="006A1FC9" w:rsidRDefault="006A1FC9" w:rsidP="006A1F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A1FC9">
        <w:rPr>
          <w:rFonts w:ascii="Times New Roman" w:eastAsia="Times New Roman" w:hAnsi="Times New Roman" w:cs="Times New Roman"/>
          <w:b/>
          <w:bCs/>
          <w:kern w:val="0"/>
          <w:sz w:val="27"/>
          <w:szCs w:val="27"/>
          <w:lang w:eastAsia="en-GB"/>
          <w14:ligatures w14:val="none"/>
        </w:rPr>
        <w:t>5.6 Critical Evaluation</w:t>
      </w:r>
    </w:p>
    <w:p w14:paraId="1E779463"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 xml:space="preserve">This section should critically evaluate the overall stakeholder engagement strategy used for the </w:t>
      </w:r>
      <w:proofErr w:type="spellStart"/>
      <w:r w:rsidRPr="006A1FC9">
        <w:rPr>
          <w:rFonts w:ascii="Times New Roman" w:eastAsia="Times New Roman" w:hAnsi="Times New Roman" w:cs="Times New Roman"/>
          <w:kern w:val="0"/>
          <w:lang w:eastAsia="en-GB"/>
          <w14:ligatures w14:val="none"/>
        </w:rPr>
        <w:t>ConnectPlus</w:t>
      </w:r>
      <w:proofErr w:type="spellEnd"/>
      <w:r w:rsidRPr="006A1FC9">
        <w:rPr>
          <w:rFonts w:ascii="Times New Roman" w:eastAsia="Times New Roman" w:hAnsi="Times New Roman" w:cs="Times New Roman"/>
          <w:kern w:val="0"/>
          <w:lang w:eastAsia="en-GB"/>
          <w14:ligatures w14:val="none"/>
        </w:rPr>
        <w:t xml:space="preserve"> project rather than describing the individual frameworks again.</w:t>
      </w:r>
    </w:p>
    <w:p w14:paraId="6C844D83"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Begin by considering the strengths of your approach. Explain that using several stakeholder management tools together provides a more comprehensive strategy than relying on a single framework. For example, Mendelow's Power–Interest Matrix helps prioritise stakeholders according to their influence and interest, while the Stakeholder Salience Model recognises that stakeholder importance can change over time because of differences in power, legitimacy and urgency. The 4Cs model then supports practical engagement by encouraging communication, consultation, collaboration and commitment throughout the project lifecycle.</w:t>
      </w:r>
    </w:p>
    <w:p w14:paraId="2A9E9998"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Next, discuss the limitations. Stakeholder analysis models simplify complex organisational relationships and cannot fully capture changing stakeholder expectations in a multinational digital transformation project. Stakeholder priorities may evolve during implementation because of regulatory changes, technological developments or customer reactions to AI-enabled services. Consequently, stakeholder engagement plans should be reviewed and updated regularly rather than treated as static documents.</w:t>
      </w:r>
    </w:p>
    <w:p w14:paraId="21773190" w14:textId="77777777" w:rsidR="006A1FC9" w:rsidRPr="006A1FC9" w:rsidRDefault="006A1FC9" w:rsidP="006A1F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You should also evaluate the importance of adapting engagement strategies to different cultural and international contexts. Communication methods, leadership styles and stakeholder expectations may differ across markets, meaning that a standardised engagement approach may not achieve consistent outcomes. Tailoring communication and consultation activities to local business environments can improve stakeholder trust, encourage participation and reduce resistance during implementation.</w:t>
      </w:r>
    </w:p>
    <w:p w14:paraId="60703252" w14:textId="77777777" w:rsidR="006975C0" w:rsidRDefault="006A1FC9"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A1FC9">
        <w:rPr>
          <w:rFonts w:ascii="Times New Roman" w:eastAsia="Times New Roman" w:hAnsi="Times New Roman" w:cs="Times New Roman"/>
          <w:kern w:val="0"/>
          <w:lang w:eastAsia="en-GB"/>
          <w14:ligatures w14:val="none"/>
        </w:rPr>
        <w:t xml:space="preserve">Conclude the evaluation by arguing that effective stakeholder engagement is a continuous strategic process rather than a one-off project activity. Regular communication, constructive conflict management, clear governance and ongoing stakeholder feedback enable project managers to respond to changing expectations and maintain stakeholder commitment. For the </w:t>
      </w:r>
      <w:proofErr w:type="spellStart"/>
      <w:r w:rsidRPr="006A1FC9">
        <w:rPr>
          <w:rFonts w:ascii="Times New Roman" w:eastAsia="Times New Roman" w:hAnsi="Times New Roman" w:cs="Times New Roman"/>
          <w:kern w:val="0"/>
          <w:lang w:eastAsia="en-GB"/>
          <w14:ligatures w14:val="none"/>
        </w:rPr>
        <w:t>ConnectPlus</w:t>
      </w:r>
      <w:proofErr w:type="spellEnd"/>
      <w:r w:rsidRPr="006A1FC9">
        <w:rPr>
          <w:rFonts w:ascii="Times New Roman" w:eastAsia="Times New Roman" w:hAnsi="Times New Roman" w:cs="Times New Roman"/>
          <w:kern w:val="0"/>
          <w:lang w:eastAsia="en-GB"/>
          <w14:ligatures w14:val="none"/>
        </w:rPr>
        <w:t xml:space="preserve"> project, combining stakeholder analysis, structured engagement and continuous evaluation provides a stronger foundation for successful implementation and long-term organisational performance than relying on any single stakeholder management tool in isolation.</w:t>
      </w:r>
    </w:p>
    <w:p w14:paraId="2B026974" w14:textId="5DA82365"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b/>
          <w:bCs/>
          <w:kern w:val="0"/>
          <w:sz w:val="36"/>
          <w:szCs w:val="36"/>
          <w:lang w:eastAsia="en-GB"/>
          <w14:ligatures w14:val="none"/>
        </w:rPr>
        <w:t>6</w:t>
      </w:r>
      <w:r>
        <w:rPr>
          <w:rFonts w:ascii="Times New Roman" w:eastAsia="Times New Roman" w:hAnsi="Times New Roman" w:cs="Times New Roman"/>
          <w:b/>
          <w:bCs/>
          <w:kern w:val="0"/>
          <w:sz w:val="36"/>
          <w:szCs w:val="36"/>
          <w:lang w:eastAsia="en-GB"/>
          <w14:ligatures w14:val="none"/>
        </w:rPr>
        <w:t>.</w:t>
      </w:r>
      <w:r w:rsidRPr="006975C0">
        <w:rPr>
          <w:rFonts w:ascii="Times New Roman" w:eastAsia="Times New Roman" w:hAnsi="Times New Roman" w:cs="Times New Roman"/>
          <w:b/>
          <w:bCs/>
          <w:kern w:val="0"/>
          <w:sz w:val="36"/>
          <w:szCs w:val="36"/>
          <w:lang w:eastAsia="en-GB"/>
          <w14:ligatures w14:val="none"/>
        </w:rPr>
        <w:t>Evaluating the Impact of Sustainable Stakeholder Engagement on Business Performance</w:t>
      </w:r>
    </w:p>
    <w:p w14:paraId="16943EE4" w14:textId="77777777" w:rsidR="006975C0" w:rsidRPr="006975C0" w:rsidRDefault="006975C0" w:rsidP="006975C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975C0">
        <w:rPr>
          <w:rFonts w:ascii="Times New Roman" w:eastAsia="Times New Roman" w:hAnsi="Times New Roman" w:cs="Times New Roman"/>
          <w:b/>
          <w:bCs/>
          <w:kern w:val="0"/>
          <w:sz w:val="27"/>
          <w:szCs w:val="27"/>
          <w:lang w:eastAsia="en-GB"/>
          <w14:ligatures w14:val="none"/>
        </w:rPr>
        <w:t>Introduction</w:t>
      </w:r>
    </w:p>
    <w:p w14:paraId="503D69B3"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Begin by explaining that sustainable stakeholder engagement involves building long-term relationships with stakeholders through continuous communication, collaboration and responsible business practices. Link this to Freeman's Stakeholder Theory by explaining that organisations create sustainable value by considering the interests of customers, employees, investors, suppliers and regulators rather than focusing solely on short-term profits. State that, </w:t>
      </w:r>
      <w:r w:rsidRPr="006975C0">
        <w:rPr>
          <w:rFonts w:ascii="Times New Roman" w:eastAsia="Times New Roman" w:hAnsi="Times New Roman" w:cs="Times New Roman"/>
          <w:kern w:val="0"/>
          <w:lang w:eastAsia="en-GB"/>
          <w14:ligatures w14:val="none"/>
        </w:rPr>
        <w:lastRenderedPageBreak/>
        <w:t xml:space="preserve">for the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project, sustainable engagement is expected to improve organisational performance while supporting ethical and responsible digital transformation.</w:t>
      </w:r>
    </w:p>
    <w:p w14:paraId="5F0CCCB2" w14:textId="77777777" w:rsidR="006975C0" w:rsidRPr="006975C0" w:rsidRDefault="006975C0" w:rsidP="006975C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975C0">
        <w:rPr>
          <w:rFonts w:ascii="Times New Roman" w:eastAsia="Times New Roman" w:hAnsi="Times New Roman" w:cs="Times New Roman"/>
          <w:b/>
          <w:bCs/>
          <w:kern w:val="0"/>
          <w:sz w:val="27"/>
          <w:szCs w:val="27"/>
          <w:lang w:eastAsia="en-GB"/>
          <w14:ligatures w14:val="none"/>
        </w:rPr>
        <w:t>Customer Loyalty and Retention</w:t>
      </w:r>
    </w:p>
    <w:p w14:paraId="0915AC3F"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Explain that sustained engagement enables Tesco to build stronger relationships with customers through personalised rewards, AI-driven recommendations and ongoing communication. Customers who trust the organisation and perceive value from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are more likely to remain loyal, make repeat purchases and recommend the platform to others. You can critically note that personalisation only creates long-term value if customers believe their data is collected and used transparently.</w:t>
      </w:r>
    </w:p>
    <w:p w14:paraId="1F7DAFBA" w14:textId="77777777" w:rsidR="006975C0" w:rsidRPr="006975C0" w:rsidRDefault="006975C0" w:rsidP="006975C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975C0">
        <w:rPr>
          <w:rFonts w:ascii="Times New Roman" w:eastAsia="Times New Roman" w:hAnsi="Times New Roman" w:cs="Times New Roman"/>
          <w:b/>
          <w:bCs/>
          <w:kern w:val="0"/>
          <w:sz w:val="27"/>
          <w:szCs w:val="27"/>
          <w:lang w:eastAsia="en-GB"/>
          <w14:ligatures w14:val="none"/>
        </w:rPr>
        <w:t>Employee Engagement and Collaboration</w:t>
      </w:r>
    </w:p>
    <w:p w14:paraId="33CB26F2"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Discuss how involving employees in planning, training and implementation improves organisational commitment and reduces resistance to change. Employees who understand the purpose of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are more likely to provide high-quality customer service and contribute ideas for continuous improvement. You can also acknowledge that maintaining engagement requires continuous investment in learning and change management rather than one-off training sessions.</w:t>
      </w:r>
    </w:p>
    <w:p w14:paraId="13A1EA7B" w14:textId="77777777" w:rsidR="006975C0" w:rsidRPr="006975C0" w:rsidRDefault="006975C0" w:rsidP="006975C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975C0">
        <w:rPr>
          <w:rFonts w:ascii="Times New Roman" w:eastAsia="Times New Roman" w:hAnsi="Times New Roman" w:cs="Times New Roman"/>
          <w:b/>
          <w:bCs/>
          <w:kern w:val="0"/>
          <w:sz w:val="27"/>
          <w:szCs w:val="27"/>
          <w:lang w:eastAsia="en-GB"/>
          <w14:ligatures w14:val="none"/>
        </w:rPr>
        <w:t>Financial Performance and Competitive Advantage</w:t>
      </w:r>
    </w:p>
    <w:p w14:paraId="45AD3EFC"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Evaluate how effective stakeholder engagement can improve business performance by increasing customer retention, supporting more accurate data-driven decisions and strengthening operational efficiency. Higher customer loyalty may contribute to increased revenue, while stronger collaboration with suppliers and technology partners can reduce operational costs and improve service quality. However, explain that these benefits may take time to materialise because digital transformation projects often require significant upfront investment before measurable financial returns are achieved.</w:t>
      </w:r>
    </w:p>
    <w:p w14:paraId="22561C45" w14:textId="77777777" w:rsidR="006975C0" w:rsidRPr="006975C0" w:rsidRDefault="006975C0" w:rsidP="006975C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975C0">
        <w:rPr>
          <w:rFonts w:ascii="Times New Roman" w:eastAsia="Times New Roman" w:hAnsi="Times New Roman" w:cs="Times New Roman"/>
          <w:b/>
          <w:bCs/>
          <w:kern w:val="0"/>
          <w:sz w:val="27"/>
          <w:szCs w:val="27"/>
          <w:lang w:eastAsia="en-GB"/>
          <w14:ligatures w14:val="none"/>
        </w:rPr>
        <w:t>Ethical Considerations</w:t>
      </w:r>
    </w:p>
    <w:p w14:paraId="5C874AEC"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Critically discuss the ethical responsibilities associated with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Customer trust depends on compliance with data protection legislation, responsible use of artificial intelligence and transparency regarding how personal information is collected, stored and analysed. Explain that ethical stakeholder engagement extends beyond legal compliance by demonstrating accountability, fairness and respect for stakeholder rights. A useful critical point is that organisations which prioritise ethical behaviour are generally better positioned to maintain customer confidence and protect their corporate reputation.</w:t>
      </w:r>
    </w:p>
    <w:p w14:paraId="4D5220FE" w14:textId="77777777" w:rsidR="006975C0" w:rsidRPr="006975C0" w:rsidRDefault="006975C0" w:rsidP="006975C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975C0">
        <w:rPr>
          <w:rFonts w:ascii="Times New Roman" w:eastAsia="Times New Roman" w:hAnsi="Times New Roman" w:cs="Times New Roman"/>
          <w:b/>
          <w:bCs/>
          <w:kern w:val="0"/>
          <w:sz w:val="27"/>
          <w:szCs w:val="27"/>
          <w:lang w:eastAsia="en-GB"/>
          <w14:ligatures w14:val="none"/>
        </w:rPr>
        <w:t>Challenges</w:t>
      </w:r>
    </w:p>
    <w:p w14:paraId="62C88145"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Evaluate the main challenges that may affect sustainable stakeholder engagement. Different cultural expectations across international markets may require communication strategies and customer engagement activities to be adapted to local contexts. Cybersecurity threats also present an ongoing challenge because any breach of customer data could significantly damage stakeholder trust. Explain that maintaining sustainable engagement therefore requires </w:t>
      </w:r>
      <w:r w:rsidRPr="006975C0">
        <w:rPr>
          <w:rFonts w:ascii="Times New Roman" w:eastAsia="Times New Roman" w:hAnsi="Times New Roman" w:cs="Times New Roman"/>
          <w:kern w:val="0"/>
          <w:lang w:eastAsia="en-GB"/>
          <w14:ligatures w14:val="none"/>
        </w:rPr>
        <w:lastRenderedPageBreak/>
        <w:t>continuous monitoring, regular stakeholder feedback and proactive risk management rather than relying on a single engagement strategy.</w:t>
      </w:r>
    </w:p>
    <w:p w14:paraId="41141B78" w14:textId="77777777" w:rsidR="006975C0" w:rsidRPr="006975C0" w:rsidRDefault="006975C0" w:rsidP="006975C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975C0">
        <w:rPr>
          <w:rFonts w:ascii="Times New Roman" w:eastAsia="Times New Roman" w:hAnsi="Times New Roman" w:cs="Times New Roman"/>
          <w:b/>
          <w:bCs/>
          <w:kern w:val="0"/>
          <w:sz w:val="27"/>
          <w:szCs w:val="27"/>
          <w:lang w:eastAsia="en-GB"/>
          <w14:ligatures w14:val="none"/>
        </w:rPr>
        <w:t>Critical Evaluation</w:t>
      </w:r>
    </w:p>
    <w:p w14:paraId="3B6E978C" w14:textId="77777777" w:rsid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Conclude by evaluating the overall impact of sustainable stakeholder engagement on business performance. You can argue that long-term organisational success depends not only on implementing innovative technology but also on maintaining strong stakeholder relationships through trust, transparency and continuous engagement. At the same time, recognise that stakeholder engagement alone does not guarantee project success. It must be supported by effective leadership, sound governance, ethical decision-making and ongoing performance evaluation to ensure that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delivers sustainable value across Tesco's UK and international operations.</w:t>
      </w:r>
    </w:p>
    <w:p w14:paraId="4D72C222" w14:textId="77777777" w:rsidR="006975C0" w:rsidRPr="006975C0" w:rsidRDefault="006975C0" w:rsidP="006975C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6975C0">
        <w:rPr>
          <w:rFonts w:ascii="Times New Roman" w:eastAsia="Times New Roman" w:hAnsi="Times New Roman" w:cs="Times New Roman"/>
          <w:b/>
          <w:bCs/>
          <w:kern w:val="36"/>
          <w:sz w:val="48"/>
          <w:szCs w:val="48"/>
          <w:lang w:eastAsia="en-GB"/>
          <w14:ligatures w14:val="none"/>
        </w:rPr>
        <w:t>7. Recommendations</w:t>
      </w:r>
    </w:p>
    <w:p w14:paraId="468E8332"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Based on the stakeholder analysis and evaluation presented in this report, the following recommendations are proposed to improve the successful implementation and long-term sustainability of the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platform.</w:t>
      </w:r>
    </w:p>
    <w:p w14:paraId="644BDDC5"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b/>
          <w:bCs/>
          <w:kern w:val="0"/>
          <w:lang w:eastAsia="en-GB"/>
          <w14:ligatures w14:val="none"/>
        </w:rPr>
        <w:t>1. Strengthen Employee Training and Change Management</w:t>
      </w:r>
    </w:p>
    <w:p w14:paraId="4D87A8C8"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Tesco should introduce a comprehensive training programme before and after the implementation of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Training should include practical system demonstrations, AI awareness, data protection responsibilities and customer service guidance. Continuous learning opportunities should also be provided to ensure that employees remain confident in using the platform as new features are introduced. This recommendation will improve employee engagement, reduce resistance to change and support consistent customer experiences across all markets.</w:t>
      </w:r>
    </w:p>
    <w:p w14:paraId="6862CECE"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b/>
          <w:bCs/>
          <w:kern w:val="0"/>
          <w:lang w:eastAsia="en-GB"/>
          <w14:ligatures w14:val="none"/>
        </w:rPr>
        <w:t>2. Improve Transparency in the Use of Artificial Intelligence</w:t>
      </w:r>
    </w:p>
    <w:p w14:paraId="31A49FFC"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The organisation should clearly communicate how artificial intelligence is used to generate personalised recommendations and how customer data is collected, processed and protected. Providing accessible privacy notices, customer FAQs and consent management options will strengthen customer confidence and demonstrate Tesco's commitment to ethical and responsible AI. Greater transparency will also support compliance with data protection legislation and reinforce the organisation's reputation for responsible innovation.</w:t>
      </w:r>
    </w:p>
    <w:p w14:paraId="139A56A6"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b/>
          <w:bCs/>
          <w:kern w:val="0"/>
          <w:lang w:eastAsia="en-GB"/>
          <w14:ligatures w14:val="none"/>
        </w:rPr>
        <w:t>3. Review the Stakeholder Engagement Strategy on a Quarterly Basis</w:t>
      </w:r>
    </w:p>
    <w:p w14:paraId="22FAD873"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Stakeholder expectations are likely to evolve throughout the project lifecycle, particularly during international implementation. Tesco should therefore conduct formal stakeholder engagement reviews every quarter to assess stakeholder satisfaction, identify emerging risks and evaluate whether current communication and engagement strategies remain effective. The findings should be used to update stakeholder priorities and engagement plans where necessary.</w:t>
      </w:r>
    </w:p>
    <w:p w14:paraId="0C4E8BD2"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b/>
          <w:bCs/>
          <w:kern w:val="0"/>
          <w:lang w:eastAsia="en-GB"/>
          <w14:ligatures w14:val="none"/>
        </w:rPr>
        <w:t>4. Strengthen Cybersecurity and Data Governance</w:t>
      </w:r>
    </w:p>
    <w:p w14:paraId="3C56BB2D"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lastRenderedPageBreak/>
        <w:t xml:space="preserve">As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relies heavily on customer data and AI-driven analytics, cybersecurity should remain a strategic priority throughout the project. Tesco should continue investing in advanced security technologies, regular vulnerability assessments, employee cyber-awareness training and robust incident response procedures. These measures will reduce cyber risks, support regulatory compliance and maintain stakeholder trust in the digital platform.</w:t>
      </w:r>
    </w:p>
    <w:p w14:paraId="6657768D"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b/>
          <w:bCs/>
          <w:kern w:val="0"/>
          <w:lang w:eastAsia="en-GB"/>
          <w14:ligatures w14:val="none"/>
        </w:rPr>
        <w:t>5. Expand Pilot Testing Before Global Rollout</w:t>
      </w:r>
    </w:p>
    <w:p w14:paraId="446BEAD2"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Before extending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to additional international markets, Tesco should expand pilot testing to include a wider range of customer groups, store formats and geographical locations. Feedback collected from customers, employees and business partners should be analysed to identify technical, operational and cultural issues before full implementation. A phased rollout will reduce implementation risks, improve platform performance and increase stakeholder confidence in the project.</w:t>
      </w:r>
    </w:p>
    <w:p w14:paraId="7B1C4DD5"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Collectively, these recommendations support a proactive approach to stakeholder engagement by strengthening communication, improving organisational readiness, promoting ethical AI adoption and reducing operational risks. Implementing these actions will increase the likelihood that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delivers sustainable business value while enhancing customer loyalty, employee commitment and Tesco's long-term competitive position.</w:t>
      </w:r>
    </w:p>
    <w:p w14:paraId="1E095EF1" w14:textId="77777777" w:rsidR="006975C0" w:rsidRPr="006975C0" w:rsidRDefault="006975C0" w:rsidP="006975C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6975C0">
        <w:rPr>
          <w:rFonts w:ascii="Times New Roman" w:eastAsia="Times New Roman" w:hAnsi="Times New Roman" w:cs="Times New Roman"/>
          <w:b/>
          <w:bCs/>
          <w:kern w:val="36"/>
          <w:sz w:val="48"/>
          <w:szCs w:val="48"/>
          <w:lang w:eastAsia="en-GB"/>
          <w14:ligatures w14:val="none"/>
        </w:rPr>
        <w:t>8. Conclusion</w:t>
      </w:r>
    </w:p>
    <w:p w14:paraId="688C021D"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This report has demonstrated that effective stakeholder engagement is a fundamental factor in the successful delivery of the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digital loyalty platform. By identifying and prioritising key internal and external stakeholders using recognised stakeholder management frameworks, the organisation can develop targeted engagement strategies that improve communication, collaboration and long-term commitment throughout the project lifecycle.</w:t>
      </w:r>
    </w:p>
    <w:p w14:paraId="5E3A0613"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The analysis has shown that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represents more than a technological upgrade; it is a strategic digital transformation initiative designed to strengthen customer relationships, enhance data-driven decision-making and improve the organisation's competitive position in both UK and international markets. However, achieving these benefits depends on maintaining strong relationships with stakeholders, addressing concerns proactively and ensuring that ethical considerations, particularly those relating to artificial intelligence, data privacy and cybersecurity, remain central to project decision-making.</w:t>
      </w:r>
    </w:p>
    <w:p w14:paraId="7307E42F"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Furthermore, the report has highlighted that sustainable stakeholder engagement contributes directly to improved organisational performance by increasing customer loyalty, enhancing employee commitment, supporting innovation and strengthening corporate reputation. At the same time, successful stakeholder engagement requires continuous monitoring, effective communication, constructive conflict management and regular evaluation, as stakeholder expectations and external business environments continue to evolve.</w:t>
      </w:r>
    </w:p>
    <w:p w14:paraId="10C9E4C0"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In conclusion, organisations that treat stakeholder engagement as an ongoing strategic process, rather than a one-time project activity, are more likely to achieve successful digital transformation and sustainable business growth. By implementing the recommendations outlined in this report, the </w:t>
      </w:r>
      <w:proofErr w:type="spellStart"/>
      <w:r w:rsidRPr="006975C0">
        <w:rPr>
          <w:rFonts w:ascii="Times New Roman" w:eastAsia="Times New Roman" w:hAnsi="Times New Roman" w:cs="Times New Roman"/>
          <w:kern w:val="0"/>
          <w:lang w:eastAsia="en-GB"/>
          <w14:ligatures w14:val="none"/>
        </w:rPr>
        <w:t>ConnectPlus</w:t>
      </w:r>
      <w:proofErr w:type="spellEnd"/>
      <w:r w:rsidRPr="006975C0">
        <w:rPr>
          <w:rFonts w:ascii="Times New Roman" w:eastAsia="Times New Roman" w:hAnsi="Times New Roman" w:cs="Times New Roman"/>
          <w:kern w:val="0"/>
          <w:lang w:eastAsia="en-GB"/>
          <w14:ligatures w14:val="none"/>
        </w:rPr>
        <w:t xml:space="preserve"> project will be better positioned to deliver long-term </w:t>
      </w:r>
      <w:r w:rsidRPr="006975C0">
        <w:rPr>
          <w:rFonts w:ascii="Times New Roman" w:eastAsia="Times New Roman" w:hAnsi="Times New Roman" w:cs="Times New Roman"/>
          <w:kern w:val="0"/>
          <w:lang w:eastAsia="en-GB"/>
          <w14:ligatures w14:val="none"/>
        </w:rPr>
        <w:lastRenderedPageBreak/>
        <w:t>value for customers, employees, shareholders and other key stakeholders while supporting the organisation's future competitiveness in the global retail and e-commerce industry.</w:t>
      </w:r>
    </w:p>
    <w:p w14:paraId="38111C9A" w14:textId="77777777" w:rsidR="006975C0" w:rsidRPr="006975C0" w:rsidRDefault="006975C0" w:rsidP="006975C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6975C0">
        <w:rPr>
          <w:rFonts w:ascii="Times New Roman" w:eastAsia="Times New Roman" w:hAnsi="Times New Roman" w:cs="Times New Roman"/>
          <w:b/>
          <w:bCs/>
          <w:kern w:val="36"/>
          <w:sz w:val="48"/>
          <w:szCs w:val="48"/>
          <w:lang w:eastAsia="en-GB"/>
          <w14:ligatures w14:val="none"/>
        </w:rPr>
        <w:t>References</w:t>
      </w:r>
    </w:p>
    <w:p w14:paraId="03831897"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Ashcroft, J. (2017) </w:t>
      </w:r>
      <w:r w:rsidRPr="006975C0">
        <w:rPr>
          <w:rFonts w:ascii="Times New Roman" w:eastAsia="Times New Roman" w:hAnsi="Times New Roman" w:cs="Times New Roman"/>
          <w:i/>
          <w:iCs/>
          <w:kern w:val="0"/>
          <w:lang w:eastAsia="en-GB"/>
          <w14:ligatures w14:val="none"/>
        </w:rPr>
        <w:t>The relational lens: Understanding, measuring, and managing stakeholder relationships</w:t>
      </w:r>
      <w:r w:rsidRPr="006975C0">
        <w:rPr>
          <w:rFonts w:ascii="Times New Roman" w:eastAsia="Times New Roman" w:hAnsi="Times New Roman" w:cs="Times New Roman"/>
          <w:kern w:val="0"/>
          <w:lang w:eastAsia="en-GB"/>
          <w14:ligatures w14:val="none"/>
        </w:rPr>
        <w:t>. Cambridge: Cambridge University Press.</w:t>
      </w:r>
    </w:p>
    <w:p w14:paraId="575307C2"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6975C0">
        <w:rPr>
          <w:rFonts w:ascii="Times New Roman" w:eastAsia="Times New Roman" w:hAnsi="Times New Roman" w:cs="Times New Roman"/>
          <w:kern w:val="0"/>
          <w:lang w:eastAsia="en-GB"/>
          <w14:ligatures w14:val="none"/>
        </w:rPr>
        <w:t>Bourne</w:t>
      </w:r>
      <w:proofErr w:type="spellEnd"/>
      <w:r w:rsidRPr="006975C0">
        <w:rPr>
          <w:rFonts w:ascii="Times New Roman" w:eastAsia="Times New Roman" w:hAnsi="Times New Roman" w:cs="Times New Roman"/>
          <w:kern w:val="0"/>
          <w:lang w:eastAsia="en-GB"/>
          <w14:ligatures w14:val="none"/>
        </w:rPr>
        <w:t xml:space="preserve">, L. (2015) </w:t>
      </w:r>
      <w:r w:rsidRPr="006975C0">
        <w:rPr>
          <w:rFonts w:ascii="Times New Roman" w:eastAsia="Times New Roman" w:hAnsi="Times New Roman" w:cs="Times New Roman"/>
          <w:i/>
          <w:iCs/>
          <w:kern w:val="0"/>
          <w:lang w:eastAsia="en-GB"/>
          <w14:ligatures w14:val="none"/>
        </w:rPr>
        <w:t>Stakeholder relationship management: A maturity model for organisational implementation</w:t>
      </w:r>
      <w:r w:rsidRPr="006975C0">
        <w:rPr>
          <w:rFonts w:ascii="Times New Roman" w:eastAsia="Times New Roman" w:hAnsi="Times New Roman" w:cs="Times New Roman"/>
          <w:kern w:val="0"/>
          <w:lang w:eastAsia="en-GB"/>
          <w14:ligatures w14:val="none"/>
        </w:rPr>
        <w:t>. Farnham: Gower Publishing.</w:t>
      </w:r>
    </w:p>
    <w:p w14:paraId="275D9271"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Christopher, M., Payne, A. and Ballantyne, D. (2013) </w:t>
      </w:r>
      <w:r w:rsidRPr="006975C0">
        <w:rPr>
          <w:rFonts w:ascii="Times New Roman" w:eastAsia="Times New Roman" w:hAnsi="Times New Roman" w:cs="Times New Roman"/>
          <w:i/>
          <w:iCs/>
          <w:kern w:val="0"/>
          <w:lang w:eastAsia="en-GB"/>
          <w14:ligatures w14:val="none"/>
        </w:rPr>
        <w:t>Relationship marketing: Creating stakeholder value</w:t>
      </w:r>
      <w:r w:rsidRPr="006975C0">
        <w:rPr>
          <w:rFonts w:ascii="Times New Roman" w:eastAsia="Times New Roman" w:hAnsi="Times New Roman" w:cs="Times New Roman"/>
          <w:kern w:val="0"/>
          <w:lang w:eastAsia="en-GB"/>
          <w14:ligatures w14:val="none"/>
        </w:rPr>
        <w:t xml:space="preserve">. 2nd </w:t>
      </w:r>
      <w:proofErr w:type="spellStart"/>
      <w:r w:rsidRPr="006975C0">
        <w:rPr>
          <w:rFonts w:ascii="Times New Roman" w:eastAsia="Times New Roman" w:hAnsi="Times New Roman" w:cs="Times New Roman"/>
          <w:kern w:val="0"/>
          <w:lang w:eastAsia="en-GB"/>
          <w14:ligatures w14:val="none"/>
        </w:rPr>
        <w:t>edn</w:t>
      </w:r>
      <w:proofErr w:type="spellEnd"/>
      <w:r w:rsidRPr="006975C0">
        <w:rPr>
          <w:rFonts w:ascii="Times New Roman" w:eastAsia="Times New Roman" w:hAnsi="Times New Roman" w:cs="Times New Roman"/>
          <w:kern w:val="0"/>
          <w:lang w:eastAsia="en-GB"/>
          <w14:ligatures w14:val="none"/>
        </w:rPr>
        <w:t>. Abingdon: Routledge.</w:t>
      </w:r>
    </w:p>
    <w:p w14:paraId="4BC7C148"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Freeman, R.E. (1984) </w:t>
      </w:r>
      <w:r w:rsidRPr="006975C0">
        <w:rPr>
          <w:rFonts w:ascii="Times New Roman" w:eastAsia="Times New Roman" w:hAnsi="Times New Roman" w:cs="Times New Roman"/>
          <w:i/>
          <w:iCs/>
          <w:kern w:val="0"/>
          <w:lang w:eastAsia="en-GB"/>
          <w14:ligatures w14:val="none"/>
        </w:rPr>
        <w:t>Strategic management: A stakeholder approach</w:t>
      </w:r>
      <w:r w:rsidRPr="006975C0">
        <w:rPr>
          <w:rFonts w:ascii="Times New Roman" w:eastAsia="Times New Roman" w:hAnsi="Times New Roman" w:cs="Times New Roman"/>
          <w:kern w:val="0"/>
          <w:lang w:eastAsia="en-GB"/>
          <w14:ligatures w14:val="none"/>
        </w:rPr>
        <w:t>. Boston: Pitman.</w:t>
      </w:r>
    </w:p>
    <w:p w14:paraId="494EC4E4"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Freeman, R.E., Harrison, J.S., Wicks, A.C., Parmar, B.L. and De Colle, S. (2010) </w:t>
      </w:r>
      <w:r w:rsidRPr="006975C0">
        <w:rPr>
          <w:rFonts w:ascii="Times New Roman" w:eastAsia="Times New Roman" w:hAnsi="Times New Roman" w:cs="Times New Roman"/>
          <w:i/>
          <w:iCs/>
          <w:kern w:val="0"/>
          <w:lang w:eastAsia="en-GB"/>
          <w14:ligatures w14:val="none"/>
        </w:rPr>
        <w:t>Stakeholder theory: The state of the art</w:t>
      </w:r>
      <w:r w:rsidRPr="006975C0">
        <w:rPr>
          <w:rFonts w:ascii="Times New Roman" w:eastAsia="Times New Roman" w:hAnsi="Times New Roman" w:cs="Times New Roman"/>
          <w:kern w:val="0"/>
          <w:lang w:eastAsia="en-GB"/>
          <w14:ligatures w14:val="none"/>
        </w:rPr>
        <w:t>. Cambridge: Cambridge University Press.</w:t>
      </w:r>
    </w:p>
    <w:p w14:paraId="6DE44195"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Johnson, G., Scholes, K. and Whittington, R. (2020) </w:t>
      </w:r>
      <w:r w:rsidRPr="006975C0">
        <w:rPr>
          <w:rFonts w:ascii="Times New Roman" w:eastAsia="Times New Roman" w:hAnsi="Times New Roman" w:cs="Times New Roman"/>
          <w:i/>
          <w:iCs/>
          <w:kern w:val="0"/>
          <w:lang w:eastAsia="en-GB"/>
          <w14:ligatures w14:val="none"/>
        </w:rPr>
        <w:t>Exploring strategy</w:t>
      </w:r>
      <w:r w:rsidRPr="006975C0">
        <w:rPr>
          <w:rFonts w:ascii="Times New Roman" w:eastAsia="Times New Roman" w:hAnsi="Times New Roman" w:cs="Times New Roman"/>
          <w:kern w:val="0"/>
          <w:lang w:eastAsia="en-GB"/>
          <w14:ligatures w14:val="none"/>
        </w:rPr>
        <w:t xml:space="preserve">. 12th </w:t>
      </w:r>
      <w:proofErr w:type="spellStart"/>
      <w:r w:rsidRPr="006975C0">
        <w:rPr>
          <w:rFonts w:ascii="Times New Roman" w:eastAsia="Times New Roman" w:hAnsi="Times New Roman" w:cs="Times New Roman"/>
          <w:kern w:val="0"/>
          <w:lang w:eastAsia="en-GB"/>
          <w14:ligatures w14:val="none"/>
        </w:rPr>
        <w:t>edn</w:t>
      </w:r>
      <w:proofErr w:type="spellEnd"/>
      <w:r w:rsidRPr="006975C0">
        <w:rPr>
          <w:rFonts w:ascii="Times New Roman" w:eastAsia="Times New Roman" w:hAnsi="Times New Roman" w:cs="Times New Roman"/>
          <w:kern w:val="0"/>
          <w:lang w:eastAsia="en-GB"/>
          <w14:ligatures w14:val="none"/>
        </w:rPr>
        <w:t>. Harlow: Pearson.</w:t>
      </w:r>
    </w:p>
    <w:p w14:paraId="68B4DA67"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Kerzner, H. (2022) </w:t>
      </w:r>
      <w:r w:rsidRPr="006975C0">
        <w:rPr>
          <w:rFonts w:ascii="Times New Roman" w:eastAsia="Times New Roman" w:hAnsi="Times New Roman" w:cs="Times New Roman"/>
          <w:i/>
          <w:iCs/>
          <w:kern w:val="0"/>
          <w:lang w:eastAsia="en-GB"/>
          <w14:ligatures w14:val="none"/>
        </w:rPr>
        <w:t>Project management: A systems approach to planning, scheduling, and controlling</w:t>
      </w:r>
      <w:r w:rsidRPr="006975C0">
        <w:rPr>
          <w:rFonts w:ascii="Times New Roman" w:eastAsia="Times New Roman" w:hAnsi="Times New Roman" w:cs="Times New Roman"/>
          <w:kern w:val="0"/>
          <w:lang w:eastAsia="en-GB"/>
          <w14:ligatures w14:val="none"/>
        </w:rPr>
        <w:t xml:space="preserve">. 13th </w:t>
      </w:r>
      <w:proofErr w:type="spellStart"/>
      <w:r w:rsidRPr="006975C0">
        <w:rPr>
          <w:rFonts w:ascii="Times New Roman" w:eastAsia="Times New Roman" w:hAnsi="Times New Roman" w:cs="Times New Roman"/>
          <w:kern w:val="0"/>
          <w:lang w:eastAsia="en-GB"/>
          <w14:ligatures w14:val="none"/>
        </w:rPr>
        <w:t>edn</w:t>
      </w:r>
      <w:proofErr w:type="spellEnd"/>
      <w:r w:rsidRPr="006975C0">
        <w:rPr>
          <w:rFonts w:ascii="Times New Roman" w:eastAsia="Times New Roman" w:hAnsi="Times New Roman" w:cs="Times New Roman"/>
          <w:kern w:val="0"/>
          <w:lang w:eastAsia="en-GB"/>
          <w14:ligatures w14:val="none"/>
        </w:rPr>
        <w:t>. Hoboken, NJ: John Wiley &amp; Sons.</w:t>
      </w:r>
    </w:p>
    <w:p w14:paraId="7D2B8332"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Kotter, J.P. (2012) </w:t>
      </w:r>
      <w:r w:rsidRPr="006975C0">
        <w:rPr>
          <w:rFonts w:ascii="Times New Roman" w:eastAsia="Times New Roman" w:hAnsi="Times New Roman" w:cs="Times New Roman"/>
          <w:i/>
          <w:iCs/>
          <w:kern w:val="0"/>
          <w:lang w:eastAsia="en-GB"/>
          <w14:ligatures w14:val="none"/>
        </w:rPr>
        <w:t>Leading change</w:t>
      </w:r>
      <w:r w:rsidRPr="006975C0">
        <w:rPr>
          <w:rFonts w:ascii="Times New Roman" w:eastAsia="Times New Roman" w:hAnsi="Times New Roman" w:cs="Times New Roman"/>
          <w:kern w:val="0"/>
          <w:lang w:eastAsia="en-GB"/>
          <w14:ligatures w14:val="none"/>
        </w:rPr>
        <w:t>. Boston, MA: Harvard Business Review Press.</w:t>
      </w:r>
    </w:p>
    <w:p w14:paraId="095516F2"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Mendelow, A.L. (1991) 'Environmental scanning: The impact of the stakeholder concept', in </w:t>
      </w:r>
      <w:r w:rsidRPr="006975C0">
        <w:rPr>
          <w:rFonts w:ascii="Times New Roman" w:eastAsia="Times New Roman" w:hAnsi="Times New Roman" w:cs="Times New Roman"/>
          <w:i/>
          <w:iCs/>
          <w:kern w:val="0"/>
          <w:lang w:eastAsia="en-GB"/>
          <w14:ligatures w14:val="none"/>
        </w:rPr>
        <w:t>Proceedings of the Second International Conference on Information Systems</w:t>
      </w:r>
      <w:r w:rsidRPr="006975C0">
        <w:rPr>
          <w:rFonts w:ascii="Times New Roman" w:eastAsia="Times New Roman" w:hAnsi="Times New Roman" w:cs="Times New Roman"/>
          <w:kern w:val="0"/>
          <w:lang w:eastAsia="en-GB"/>
          <w14:ligatures w14:val="none"/>
        </w:rPr>
        <w:t>. Cambridge, MA, pp. 407–418.</w:t>
      </w:r>
    </w:p>
    <w:p w14:paraId="205DE61B"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Mitchell, R.K., </w:t>
      </w:r>
      <w:proofErr w:type="spellStart"/>
      <w:r w:rsidRPr="006975C0">
        <w:rPr>
          <w:rFonts w:ascii="Times New Roman" w:eastAsia="Times New Roman" w:hAnsi="Times New Roman" w:cs="Times New Roman"/>
          <w:kern w:val="0"/>
          <w:lang w:eastAsia="en-GB"/>
          <w14:ligatures w14:val="none"/>
        </w:rPr>
        <w:t>Agle</w:t>
      </w:r>
      <w:proofErr w:type="spellEnd"/>
      <w:r w:rsidRPr="006975C0">
        <w:rPr>
          <w:rFonts w:ascii="Times New Roman" w:eastAsia="Times New Roman" w:hAnsi="Times New Roman" w:cs="Times New Roman"/>
          <w:kern w:val="0"/>
          <w:lang w:eastAsia="en-GB"/>
          <w14:ligatures w14:val="none"/>
        </w:rPr>
        <w:t xml:space="preserve">, B.R. and Wood, D.J. (1997) 'Toward a theory of stakeholder identification and salience: Defining the principle of who and what really counts', </w:t>
      </w:r>
      <w:r w:rsidRPr="006975C0">
        <w:rPr>
          <w:rFonts w:ascii="Times New Roman" w:eastAsia="Times New Roman" w:hAnsi="Times New Roman" w:cs="Times New Roman"/>
          <w:i/>
          <w:iCs/>
          <w:kern w:val="0"/>
          <w:lang w:eastAsia="en-GB"/>
          <w14:ligatures w14:val="none"/>
        </w:rPr>
        <w:t>Academy of Management Review</w:t>
      </w:r>
      <w:r w:rsidRPr="006975C0">
        <w:rPr>
          <w:rFonts w:ascii="Times New Roman" w:eastAsia="Times New Roman" w:hAnsi="Times New Roman" w:cs="Times New Roman"/>
          <w:kern w:val="0"/>
          <w:lang w:eastAsia="en-GB"/>
          <w14:ligatures w14:val="none"/>
        </w:rPr>
        <w:t>, 22(4), pp. 853–886.</w:t>
      </w:r>
    </w:p>
    <w:p w14:paraId="4D516962"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Project Management Institute (PMI) (2021) </w:t>
      </w:r>
      <w:r w:rsidRPr="006975C0">
        <w:rPr>
          <w:rFonts w:ascii="Times New Roman" w:eastAsia="Times New Roman" w:hAnsi="Times New Roman" w:cs="Times New Roman"/>
          <w:i/>
          <w:iCs/>
          <w:kern w:val="0"/>
          <w:lang w:eastAsia="en-GB"/>
          <w14:ligatures w14:val="none"/>
        </w:rPr>
        <w:t>A guide to the project management body of knowledge (PMBOK® Guide)</w:t>
      </w:r>
      <w:r w:rsidRPr="006975C0">
        <w:rPr>
          <w:rFonts w:ascii="Times New Roman" w:eastAsia="Times New Roman" w:hAnsi="Times New Roman" w:cs="Times New Roman"/>
          <w:kern w:val="0"/>
          <w:lang w:eastAsia="en-GB"/>
          <w14:ligatures w14:val="none"/>
        </w:rPr>
        <w:t xml:space="preserve">. 7th </w:t>
      </w:r>
      <w:proofErr w:type="spellStart"/>
      <w:r w:rsidRPr="006975C0">
        <w:rPr>
          <w:rFonts w:ascii="Times New Roman" w:eastAsia="Times New Roman" w:hAnsi="Times New Roman" w:cs="Times New Roman"/>
          <w:kern w:val="0"/>
          <w:lang w:eastAsia="en-GB"/>
          <w14:ligatures w14:val="none"/>
        </w:rPr>
        <w:t>edn</w:t>
      </w:r>
      <w:proofErr w:type="spellEnd"/>
      <w:r w:rsidRPr="006975C0">
        <w:rPr>
          <w:rFonts w:ascii="Times New Roman" w:eastAsia="Times New Roman" w:hAnsi="Times New Roman" w:cs="Times New Roman"/>
          <w:kern w:val="0"/>
          <w:lang w:eastAsia="en-GB"/>
          <w14:ligatures w14:val="none"/>
        </w:rPr>
        <w:t>. Newtown Square, PA: Project Management Institute.</w:t>
      </w:r>
    </w:p>
    <w:p w14:paraId="4744AAB2"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Porter, M.E. (1985) </w:t>
      </w:r>
      <w:r w:rsidRPr="006975C0">
        <w:rPr>
          <w:rFonts w:ascii="Times New Roman" w:eastAsia="Times New Roman" w:hAnsi="Times New Roman" w:cs="Times New Roman"/>
          <w:i/>
          <w:iCs/>
          <w:kern w:val="0"/>
          <w:lang w:eastAsia="en-GB"/>
          <w14:ligatures w14:val="none"/>
        </w:rPr>
        <w:t>Competitive advantage: Creating and sustaining superior performance</w:t>
      </w:r>
      <w:r w:rsidRPr="006975C0">
        <w:rPr>
          <w:rFonts w:ascii="Times New Roman" w:eastAsia="Times New Roman" w:hAnsi="Times New Roman" w:cs="Times New Roman"/>
          <w:kern w:val="0"/>
          <w:lang w:eastAsia="en-GB"/>
          <w14:ligatures w14:val="none"/>
        </w:rPr>
        <w:t>. New York: Free Press.</w:t>
      </w:r>
    </w:p>
    <w:p w14:paraId="30553D31"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Thomas, K.W. and Kilmann, R.H. (1974) </w:t>
      </w:r>
      <w:r w:rsidRPr="006975C0">
        <w:rPr>
          <w:rFonts w:ascii="Times New Roman" w:eastAsia="Times New Roman" w:hAnsi="Times New Roman" w:cs="Times New Roman"/>
          <w:i/>
          <w:iCs/>
          <w:kern w:val="0"/>
          <w:lang w:eastAsia="en-GB"/>
          <w14:ligatures w14:val="none"/>
        </w:rPr>
        <w:t>Thomas-Kilmann conflict mode instrument</w:t>
      </w:r>
      <w:r w:rsidRPr="006975C0">
        <w:rPr>
          <w:rFonts w:ascii="Times New Roman" w:eastAsia="Times New Roman" w:hAnsi="Times New Roman" w:cs="Times New Roman"/>
          <w:kern w:val="0"/>
          <w:lang w:eastAsia="en-GB"/>
          <w14:ligatures w14:val="none"/>
        </w:rPr>
        <w:t xml:space="preserve">. Tuxedo, NY: </w:t>
      </w:r>
      <w:proofErr w:type="spellStart"/>
      <w:r w:rsidRPr="006975C0">
        <w:rPr>
          <w:rFonts w:ascii="Times New Roman" w:eastAsia="Times New Roman" w:hAnsi="Times New Roman" w:cs="Times New Roman"/>
          <w:kern w:val="0"/>
          <w:lang w:eastAsia="en-GB"/>
          <w14:ligatures w14:val="none"/>
        </w:rPr>
        <w:t>Xicom</w:t>
      </w:r>
      <w:proofErr w:type="spellEnd"/>
      <w:r w:rsidRPr="006975C0">
        <w:rPr>
          <w:rFonts w:ascii="Times New Roman" w:eastAsia="Times New Roman" w:hAnsi="Times New Roman" w:cs="Times New Roman"/>
          <w:kern w:val="0"/>
          <w:lang w:eastAsia="en-GB"/>
          <w14:ligatures w14:val="none"/>
        </w:rPr>
        <w:t>.</w:t>
      </w:r>
    </w:p>
    <w:p w14:paraId="51194210"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Bryson, J.M. (2018) </w:t>
      </w:r>
      <w:r w:rsidRPr="006975C0">
        <w:rPr>
          <w:rFonts w:ascii="Times New Roman" w:eastAsia="Times New Roman" w:hAnsi="Times New Roman" w:cs="Times New Roman"/>
          <w:i/>
          <w:iCs/>
          <w:kern w:val="0"/>
          <w:lang w:eastAsia="en-GB"/>
          <w14:ligatures w14:val="none"/>
        </w:rPr>
        <w:t>Strategic planning for public and nonprofit organizations</w:t>
      </w:r>
      <w:r w:rsidRPr="006975C0">
        <w:rPr>
          <w:rFonts w:ascii="Times New Roman" w:eastAsia="Times New Roman" w:hAnsi="Times New Roman" w:cs="Times New Roman"/>
          <w:kern w:val="0"/>
          <w:lang w:eastAsia="en-GB"/>
          <w14:ligatures w14:val="none"/>
        </w:rPr>
        <w:t xml:space="preserve">. 5th </w:t>
      </w:r>
      <w:proofErr w:type="spellStart"/>
      <w:r w:rsidRPr="006975C0">
        <w:rPr>
          <w:rFonts w:ascii="Times New Roman" w:eastAsia="Times New Roman" w:hAnsi="Times New Roman" w:cs="Times New Roman"/>
          <w:kern w:val="0"/>
          <w:lang w:eastAsia="en-GB"/>
          <w14:ligatures w14:val="none"/>
        </w:rPr>
        <w:t>edn</w:t>
      </w:r>
      <w:proofErr w:type="spellEnd"/>
      <w:r w:rsidRPr="006975C0">
        <w:rPr>
          <w:rFonts w:ascii="Times New Roman" w:eastAsia="Times New Roman" w:hAnsi="Times New Roman" w:cs="Times New Roman"/>
          <w:kern w:val="0"/>
          <w:lang w:eastAsia="en-GB"/>
          <w14:ligatures w14:val="none"/>
        </w:rPr>
        <w:t>. Hoboken, NJ: John Wiley &amp; Sons.</w:t>
      </w:r>
    </w:p>
    <w:p w14:paraId="510841AB"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6975C0">
        <w:rPr>
          <w:rFonts w:ascii="Times New Roman" w:eastAsia="Times New Roman" w:hAnsi="Times New Roman" w:cs="Times New Roman"/>
          <w:kern w:val="0"/>
          <w:lang w:eastAsia="en-GB"/>
          <w14:ligatures w14:val="none"/>
        </w:rPr>
        <w:t>Eskerod</w:t>
      </w:r>
      <w:proofErr w:type="spellEnd"/>
      <w:r w:rsidRPr="006975C0">
        <w:rPr>
          <w:rFonts w:ascii="Times New Roman" w:eastAsia="Times New Roman" w:hAnsi="Times New Roman" w:cs="Times New Roman"/>
          <w:kern w:val="0"/>
          <w:lang w:eastAsia="en-GB"/>
          <w14:ligatures w14:val="none"/>
        </w:rPr>
        <w:t xml:space="preserve">, P. and Jepsen, A.L. (2016) </w:t>
      </w:r>
      <w:r w:rsidRPr="006975C0">
        <w:rPr>
          <w:rFonts w:ascii="Times New Roman" w:eastAsia="Times New Roman" w:hAnsi="Times New Roman" w:cs="Times New Roman"/>
          <w:i/>
          <w:iCs/>
          <w:kern w:val="0"/>
          <w:lang w:eastAsia="en-GB"/>
          <w14:ligatures w14:val="none"/>
        </w:rPr>
        <w:t>Project stakeholder management</w:t>
      </w:r>
      <w:r w:rsidRPr="006975C0">
        <w:rPr>
          <w:rFonts w:ascii="Times New Roman" w:eastAsia="Times New Roman" w:hAnsi="Times New Roman" w:cs="Times New Roman"/>
          <w:kern w:val="0"/>
          <w:lang w:eastAsia="en-GB"/>
          <w14:ligatures w14:val="none"/>
        </w:rPr>
        <w:t xml:space="preserve">. 2nd </w:t>
      </w:r>
      <w:proofErr w:type="spellStart"/>
      <w:r w:rsidRPr="006975C0">
        <w:rPr>
          <w:rFonts w:ascii="Times New Roman" w:eastAsia="Times New Roman" w:hAnsi="Times New Roman" w:cs="Times New Roman"/>
          <w:kern w:val="0"/>
          <w:lang w:eastAsia="en-GB"/>
          <w14:ligatures w14:val="none"/>
        </w:rPr>
        <w:t>edn</w:t>
      </w:r>
      <w:proofErr w:type="spellEnd"/>
      <w:r w:rsidRPr="006975C0">
        <w:rPr>
          <w:rFonts w:ascii="Times New Roman" w:eastAsia="Times New Roman" w:hAnsi="Times New Roman" w:cs="Times New Roman"/>
          <w:kern w:val="0"/>
          <w:lang w:eastAsia="en-GB"/>
          <w14:ligatures w14:val="none"/>
        </w:rPr>
        <w:t>. Abingdon: Routledge.</w:t>
      </w:r>
    </w:p>
    <w:p w14:paraId="44CC1F81"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6975C0">
        <w:rPr>
          <w:rFonts w:ascii="Times New Roman" w:eastAsia="Times New Roman" w:hAnsi="Times New Roman" w:cs="Times New Roman"/>
          <w:kern w:val="0"/>
          <w:lang w:eastAsia="en-GB"/>
          <w14:ligatures w14:val="none"/>
        </w:rPr>
        <w:lastRenderedPageBreak/>
        <w:t>Westerman</w:t>
      </w:r>
      <w:proofErr w:type="spellEnd"/>
      <w:r w:rsidRPr="006975C0">
        <w:rPr>
          <w:rFonts w:ascii="Times New Roman" w:eastAsia="Times New Roman" w:hAnsi="Times New Roman" w:cs="Times New Roman"/>
          <w:kern w:val="0"/>
          <w:lang w:eastAsia="en-GB"/>
          <w14:ligatures w14:val="none"/>
        </w:rPr>
        <w:t xml:space="preserve">, G., Bonnet, D. and McAfee, A. (2014) </w:t>
      </w:r>
      <w:r w:rsidRPr="006975C0">
        <w:rPr>
          <w:rFonts w:ascii="Times New Roman" w:eastAsia="Times New Roman" w:hAnsi="Times New Roman" w:cs="Times New Roman"/>
          <w:i/>
          <w:iCs/>
          <w:kern w:val="0"/>
          <w:lang w:eastAsia="en-GB"/>
          <w14:ligatures w14:val="none"/>
        </w:rPr>
        <w:t>Leading digital: Turning technology into business transformation</w:t>
      </w:r>
      <w:r w:rsidRPr="006975C0">
        <w:rPr>
          <w:rFonts w:ascii="Times New Roman" w:eastAsia="Times New Roman" w:hAnsi="Times New Roman" w:cs="Times New Roman"/>
          <w:kern w:val="0"/>
          <w:lang w:eastAsia="en-GB"/>
          <w14:ligatures w14:val="none"/>
        </w:rPr>
        <w:t>. Boston, MA: Harvard Business Review Press.</w:t>
      </w:r>
    </w:p>
    <w:p w14:paraId="65E15E4B"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Verhoef, P.C., Kannan, P.K. and Inman, J.J. (2015) 'From multi-channel retailing to omni-channel retailing: Introduction to the special issue on multi-channel retailing', </w:t>
      </w:r>
      <w:r w:rsidRPr="006975C0">
        <w:rPr>
          <w:rFonts w:ascii="Times New Roman" w:eastAsia="Times New Roman" w:hAnsi="Times New Roman" w:cs="Times New Roman"/>
          <w:i/>
          <w:iCs/>
          <w:kern w:val="0"/>
          <w:lang w:eastAsia="en-GB"/>
          <w14:ligatures w14:val="none"/>
        </w:rPr>
        <w:t>Journal of Retailing</w:t>
      </w:r>
      <w:r w:rsidRPr="006975C0">
        <w:rPr>
          <w:rFonts w:ascii="Times New Roman" w:eastAsia="Times New Roman" w:hAnsi="Times New Roman" w:cs="Times New Roman"/>
          <w:kern w:val="0"/>
          <w:lang w:eastAsia="en-GB"/>
          <w14:ligatures w14:val="none"/>
        </w:rPr>
        <w:t>, 91(2), pp. 174–181.</w:t>
      </w:r>
    </w:p>
    <w:p w14:paraId="11EB5990"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75C0">
        <w:rPr>
          <w:rFonts w:ascii="Times New Roman" w:eastAsia="Times New Roman" w:hAnsi="Times New Roman" w:cs="Times New Roman"/>
          <w:kern w:val="0"/>
          <w:lang w:eastAsia="en-GB"/>
          <w14:ligatures w14:val="none"/>
        </w:rPr>
        <w:t xml:space="preserve">Vial, G. (2019) 'Understanding digital transformation: A review and a research agenda', </w:t>
      </w:r>
      <w:r w:rsidRPr="006975C0">
        <w:rPr>
          <w:rFonts w:ascii="Times New Roman" w:eastAsia="Times New Roman" w:hAnsi="Times New Roman" w:cs="Times New Roman"/>
          <w:i/>
          <w:iCs/>
          <w:kern w:val="0"/>
          <w:lang w:eastAsia="en-GB"/>
          <w14:ligatures w14:val="none"/>
        </w:rPr>
        <w:t>The Journal of Strategic Information Systems</w:t>
      </w:r>
      <w:r w:rsidRPr="006975C0">
        <w:rPr>
          <w:rFonts w:ascii="Times New Roman" w:eastAsia="Times New Roman" w:hAnsi="Times New Roman" w:cs="Times New Roman"/>
          <w:kern w:val="0"/>
          <w:lang w:eastAsia="en-GB"/>
          <w14:ligatures w14:val="none"/>
        </w:rPr>
        <w:t>, 28(2), pp. 118–144.</w:t>
      </w:r>
    </w:p>
    <w:p w14:paraId="645D30C4" w14:textId="77777777" w:rsidR="006975C0" w:rsidRPr="006975C0" w:rsidRDefault="006975C0" w:rsidP="006975C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ECA71C8" w14:textId="65511430" w:rsidR="00E574FA" w:rsidRPr="00E574FA" w:rsidRDefault="00E574FA" w:rsidP="00E574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874D528" w14:textId="77777777" w:rsidR="00E574FA" w:rsidRPr="00A50FF7" w:rsidRDefault="00E574FA" w:rsidP="00A50FF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042A5FB" w14:textId="77777777" w:rsidR="00A50FF7" w:rsidRPr="00E62C14" w:rsidRDefault="00A50FF7" w:rsidP="00E62C1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77CCDA4" w14:textId="77777777" w:rsidR="00E62C14" w:rsidRPr="00065604" w:rsidRDefault="00E62C1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F62C3FD" w14:textId="77777777" w:rsidR="00065604" w:rsidRPr="00065604" w:rsidRDefault="00065604" w:rsidP="0006560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636632D" w14:textId="77777777" w:rsidR="007A6498" w:rsidRDefault="007A6498"/>
    <w:sectPr w:rsidR="007A64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A171D" w14:textId="77777777" w:rsidR="00362734" w:rsidRDefault="00362734" w:rsidP="007B5243">
      <w:pPr>
        <w:spacing w:after="0" w:line="240" w:lineRule="auto"/>
      </w:pPr>
      <w:r>
        <w:separator/>
      </w:r>
    </w:p>
  </w:endnote>
  <w:endnote w:type="continuationSeparator" w:id="0">
    <w:p w14:paraId="5BA9A9B9" w14:textId="77777777" w:rsidR="00362734" w:rsidRDefault="00362734" w:rsidP="007B5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CE48D" w14:textId="77777777" w:rsidR="00362734" w:rsidRDefault="00362734" w:rsidP="007B5243">
      <w:pPr>
        <w:spacing w:after="0" w:line="240" w:lineRule="auto"/>
      </w:pPr>
      <w:r>
        <w:separator/>
      </w:r>
    </w:p>
  </w:footnote>
  <w:footnote w:type="continuationSeparator" w:id="0">
    <w:p w14:paraId="4CCF4A5B" w14:textId="77777777" w:rsidR="00362734" w:rsidRDefault="00362734" w:rsidP="007B52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56710"/>
    <w:multiLevelType w:val="multilevel"/>
    <w:tmpl w:val="2216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532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604"/>
    <w:rsid w:val="00065604"/>
    <w:rsid w:val="00127085"/>
    <w:rsid w:val="00362734"/>
    <w:rsid w:val="00452F43"/>
    <w:rsid w:val="006975C0"/>
    <w:rsid w:val="006A1FC9"/>
    <w:rsid w:val="007A6498"/>
    <w:rsid w:val="007B5243"/>
    <w:rsid w:val="00A30E4F"/>
    <w:rsid w:val="00A50FF7"/>
    <w:rsid w:val="00AA193D"/>
    <w:rsid w:val="00E574FA"/>
    <w:rsid w:val="00E62C14"/>
    <w:rsid w:val="00F64867"/>
    <w:rsid w:val="00FF7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0051E"/>
  <w15:chartTrackingRefBased/>
  <w15:docId w15:val="{63796163-40F1-48FE-A209-23AFF7D48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6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56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56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6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6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6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6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6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6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6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6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6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6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6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6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6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6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604"/>
    <w:rPr>
      <w:rFonts w:eastAsiaTheme="majorEastAsia" w:cstheme="majorBidi"/>
      <w:color w:val="272727" w:themeColor="text1" w:themeTint="D8"/>
    </w:rPr>
  </w:style>
  <w:style w:type="paragraph" w:styleId="Title">
    <w:name w:val="Title"/>
    <w:basedOn w:val="Normal"/>
    <w:next w:val="Normal"/>
    <w:link w:val="TitleChar"/>
    <w:uiPriority w:val="10"/>
    <w:qFormat/>
    <w:rsid w:val="000656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6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6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6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604"/>
    <w:pPr>
      <w:spacing w:before="160"/>
      <w:jc w:val="center"/>
    </w:pPr>
    <w:rPr>
      <w:i/>
      <w:iCs/>
      <w:color w:val="404040" w:themeColor="text1" w:themeTint="BF"/>
    </w:rPr>
  </w:style>
  <w:style w:type="character" w:customStyle="1" w:styleId="QuoteChar">
    <w:name w:val="Quote Char"/>
    <w:basedOn w:val="DefaultParagraphFont"/>
    <w:link w:val="Quote"/>
    <w:uiPriority w:val="29"/>
    <w:rsid w:val="00065604"/>
    <w:rPr>
      <w:i/>
      <w:iCs/>
      <w:color w:val="404040" w:themeColor="text1" w:themeTint="BF"/>
    </w:rPr>
  </w:style>
  <w:style w:type="paragraph" w:styleId="ListParagraph">
    <w:name w:val="List Paragraph"/>
    <w:basedOn w:val="Normal"/>
    <w:uiPriority w:val="34"/>
    <w:qFormat/>
    <w:rsid w:val="00065604"/>
    <w:pPr>
      <w:ind w:left="720"/>
      <w:contextualSpacing/>
    </w:pPr>
  </w:style>
  <w:style w:type="character" w:styleId="IntenseEmphasis">
    <w:name w:val="Intense Emphasis"/>
    <w:basedOn w:val="DefaultParagraphFont"/>
    <w:uiPriority w:val="21"/>
    <w:qFormat/>
    <w:rsid w:val="00065604"/>
    <w:rPr>
      <w:i/>
      <w:iCs/>
      <w:color w:val="0F4761" w:themeColor="accent1" w:themeShade="BF"/>
    </w:rPr>
  </w:style>
  <w:style w:type="paragraph" w:styleId="IntenseQuote">
    <w:name w:val="Intense Quote"/>
    <w:basedOn w:val="Normal"/>
    <w:next w:val="Normal"/>
    <w:link w:val="IntenseQuoteChar"/>
    <w:uiPriority w:val="30"/>
    <w:qFormat/>
    <w:rsid w:val="000656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604"/>
    <w:rPr>
      <w:i/>
      <w:iCs/>
      <w:color w:val="0F4761" w:themeColor="accent1" w:themeShade="BF"/>
    </w:rPr>
  </w:style>
  <w:style w:type="character" w:styleId="IntenseReference">
    <w:name w:val="Intense Reference"/>
    <w:basedOn w:val="DefaultParagraphFont"/>
    <w:uiPriority w:val="32"/>
    <w:qFormat/>
    <w:rsid w:val="00065604"/>
    <w:rPr>
      <w:b/>
      <w:bCs/>
      <w:smallCaps/>
      <w:color w:val="0F4761" w:themeColor="accent1" w:themeShade="BF"/>
      <w:spacing w:val="5"/>
    </w:rPr>
  </w:style>
  <w:style w:type="character" w:styleId="Strong">
    <w:name w:val="Strong"/>
    <w:basedOn w:val="DefaultParagraphFont"/>
    <w:uiPriority w:val="22"/>
    <w:qFormat/>
    <w:rsid w:val="00A50FF7"/>
    <w:rPr>
      <w:b/>
      <w:bCs/>
    </w:rPr>
  </w:style>
  <w:style w:type="paragraph" w:styleId="Header">
    <w:name w:val="header"/>
    <w:basedOn w:val="Normal"/>
    <w:link w:val="HeaderChar"/>
    <w:uiPriority w:val="99"/>
    <w:unhideWhenUsed/>
    <w:rsid w:val="007B5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243"/>
  </w:style>
  <w:style w:type="paragraph" w:styleId="Footer">
    <w:name w:val="footer"/>
    <w:basedOn w:val="Normal"/>
    <w:link w:val="FooterChar"/>
    <w:uiPriority w:val="99"/>
    <w:unhideWhenUsed/>
    <w:rsid w:val="007B5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35903">
      <w:bodyDiv w:val="1"/>
      <w:marLeft w:val="0"/>
      <w:marRight w:val="0"/>
      <w:marTop w:val="0"/>
      <w:marBottom w:val="0"/>
      <w:divBdr>
        <w:top w:val="none" w:sz="0" w:space="0" w:color="auto"/>
        <w:left w:val="none" w:sz="0" w:space="0" w:color="auto"/>
        <w:bottom w:val="none" w:sz="0" w:space="0" w:color="auto"/>
        <w:right w:val="none" w:sz="0" w:space="0" w:color="auto"/>
      </w:divBdr>
    </w:div>
    <w:div w:id="186913411">
      <w:bodyDiv w:val="1"/>
      <w:marLeft w:val="0"/>
      <w:marRight w:val="0"/>
      <w:marTop w:val="0"/>
      <w:marBottom w:val="0"/>
      <w:divBdr>
        <w:top w:val="none" w:sz="0" w:space="0" w:color="auto"/>
        <w:left w:val="none" w:sz="0" w:space="0" w:color="auto"/>
        <w:bottom w:val="none" w:sz="0" w:space="0" w:color="auto"/>
        <w:right w:val="none" w:sz="0" w:space="0" w:color="auto"/>
      </w:divBdr>
    </w:div>
    <w:div w:id="202443122">
      <w:bodyDiv w:val="1"/>
      <w:marLeft w:val="0"/>
      <w:marRight w:val="0"/>
      <w:marTop w:val="0"/>
      <w:marBottom w:val="0"/>
      <w:divBdr>
        <w:top w:val="none" w:sz="0" w:space="0" w:color="auto"/>
        <w:left w:val="none" w:sz="0" w:space="0" w:color="auto"/>
        <w:bottom w:val="none" w:sz="0" w:space="0" w:color="auto"/>
        <w:right w:val="none" w:sz="0" w:space="0" w:color="auto"/>
      </w:divBdr>
    </w:div>
    <w:div w:id="212040929">
      <w:bodyDiv w:val="1"/>
      <w:marLeft w:val="0"/>
      <w:marRight w:val="0"/>
      <w:marTop w:val="0"/>
      <w:marBottom w:val="0"/>
      <w:divBdr>
        <w:top w:val="none" w:sz="0" w:space="0" w:color="auto"/>
        <w:left w:val="none" w:sz="0" w:space="0" w:color="auto"/>
        <w:bottom w:val="none" w:sz="0" w:space="0" w:color="auto"/>
        <w:right w:val="none" w:sz="0" w:space="0" w:color="auto"/>
      </w:divBdr>
    </w:div>
    <w:div w:id="415517434">
      <w:bodyDiv w:val="1"/>
      <w:marLeft w:val="0"/>
      <w:marRight w:val="0"/>
      <w:marTop w:val="0"/>
      <w:marBottom w:val="0"/>
      <w:divBdr>
        <w:top w:val="none" w:sz="0" w:space="0" w:color="auto"/>
        <w:left w:val="none" w:sz="0" w:space="0" w:color="auto"/>
        <w:bottom w:val="none" w:sz="0" w:space="0" w:color="auto"/>
        <w:right w:val="none" w:sz="0" w:space="0" w:color="auto"/>
      </w:divBdr>
    </w:div>
    <w:div w:id="500049255">
      <w:bodyDiv w:val="1"/>
      <w:marLeft w:val="0"/>
      <w:marRight w:val="0"/>
      <w:marTop w:val="0"/>
      <w:marBottom w:val="0"/>
      <w:divBdr>
        <w:top w:val="none" w:sz="0" w:space="0" w:color="auto"/>
        <w:left w:val="none" w:sz="0" w:space="0" w:color="auto"/>
        <w:bottom w:val="none" w:sz="0" w:space="0" w:color="auto"/>
        <w:right w:val="none" w:sz="0" w:space="0" w:color="auto"/>
      </w:divBdr>
    </w:div>
    <w:div w:id="659236897">
      <w:bodyDiv w:val="1"/>
      <w:marLeft w:val="0"/>
      <w:marRight w:val="0"/>
      <w:marTop w:val="0"/>
      <w:marBottom w:val="0"/>
      <w:divBdr>
        <w:top w:val="none" w:sz="0" w:space="0" w:color="auto"/>
        <w:left w:val="none" w:sz="0" w:space="0" w:color="auto"/>
        <w:bottom w:val="none" w:sz="0" w:space="0" w:color="auto"/>
        <w:right w:val="none" w:sz="0" w:space="0" w:color="auto"/>
      </w:divBdr>
      <w:divsChild>
        <w:div w:id="972098245">
          <w:marLeft w:val="0"/>
          <w:marRight w:val="0"/>
          <w:marTop w:val="0"/>
          <w:marBottom w:val="0"/>
          <w:divBdr>
            <w:top w:val="none" w:sz="0" w:space="0" w:color="auto"/>
            <w:left w:val="none" w:sz="0" w:space="0" w:color="auto"/>
            <w:bottom w:val="none" w:sz="0" w:space="0" w:color="auto"/>
            <w:right w:val="none" w:sz="0" w:space="0" w:color="auto"/>
          </w:divBdr>
          <w:divsChild>
            <w:div w:id="506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525640">
      <w:bodyDiv w:val="1"/>
      <w:marLeft w:val="0"/>
      <w:marRight w:val="0"/>
      <w:marTop w:val="0"/>
      <w:marBottom w:val="0"/>
      <w:divBdr>
        <w:top w:val="none" w:sz="0" w:space="0" w:color="auto"/>
        <w:left w:val="none" w:sz="0" w:space="0" w:color="auto"/>
        <w:bottom w:val="none" w:sz="0" w:space="0" w:color="auto"/>
        <w:right w:val="none" w:sz="0" w:space="0" w:color="auto"/>
      </w:divBdr>
    </w:div>
    <w:div w:id="855849725">
      <w:bodyDiv w:val="1"/>
      <w:marLeft w:val="0"/>
      <w:marRight w:val="0"/>
      <w:marTop w:val="0"/>
      <w:marBottom w:val="0"/>
      <w:divBdr>
        <w:top w:val="none" w:sz="0" w:space="0" w:color="auto"/>
        <w:left w:val="none" w:sz="0" w:space="0" w:color="auto"/>
        <w:bottom w:val="none" w:sz="0" w:space="0" w:color="auto"/>
        <w:right w:val="none" w:sz="0" w:space="0" w:color="auto"/>
      </w:divBdr>
    </w:div>
    <w:div w:id="921061059">
      <w:bodyDiv w:val="1"/>
      <w:marLeft w:val="0"/>
      <w:marRight w:val="0"/>
      <w:marTop w:val="0"/>
      <w:marBottom w:val="0"/>
      <w:divBdr>
        <w:top w:val="none" w:sz="0" w:space="0" w:color="auto"/>
        <w:left w:val="none" w:sz="0" w:space="0" w:color="auto"/>
        <w:bottom w:val="none" w:sz="0" w:space="0" w:color="auto"/>
        <w:right w:val="none" w:sz="0" w:space="0" w:color="auto"/>
      </w:divBdr>
    </w:div>
    <w:div w:id="958603875">
      <w:bodyDiv w:val="1"/>
      <w:marLeft w:val="0"/>
      <w:marRight w:val="0"/>
      <w:marTop w:val="0"/>
      <w:marBottom w:val="0"/>
      <w:divBdr>
        <w:top w:val="none" w:sz="0" w:space="0" w:color="auto"/>
        <w:left w:val="none" w:sz="0" w:space="0" w:color="auto"/>
        <w:bottom w:val="none" w:sz="0" w:space="0" w:color="auto"/>
        <w:right w:val="none" w:sz="0" w:space="0" w:color="auto"/>
      </w:divBdr>
    </w:div>
    <w:div w:id="1197548582">
      <w:bodyDiv w:val="1"/>
      <w:marLeft w:val="0"/>
      <w:marRight w:val="0"/>
      <w:marTop w:val="0"/>
      <w:marBottom w:val="0"/>
      <w:divBdr>
        <w:top w:val="none" w:sz="0" w:space="0" w:color="auto"/>
        <w:left w:val="none" w:sz="0" w:space="0" w:color="auto"/>
        <w:bottom w:val="none" w:sz="0" w:space="0" w:color="auto"/>
        <w:right w:val="none" w:sz="0" w:space="0" w:color="auto"/>
      </w:divBdr>
    </w:div>
    <w:div w:id="1209686773">
      <w:bodyDiv w:val="1"/>
      <w:marLeft w:val="0"/>
      <w:marRight w:val="0"/>
      <w:marTop w:val="0"/>
      <w:marBottom w:val="0"/>
      <w:divBdr>
        <w:top w:val="none" w:sz="0" w:space="0" w:color="auto"/>
        <w:left w:val="none" w:sz="0" w:space="0" w:color="auto"/>
        <w:bottom w:val="none" w:sz="0" w:space="0" w:color="auto"/>
        <w:right w:val="none" w:sz="0" w:space="0" w:color="auto"/>
      </w:divBdr>
    </w:div>
    <w:div w:id="1415200671">
      <w:bodyDiv w:val="1"/>
      <w:marLeft w:val="0"/>
      <w:marRight w:val="0"/>
      <w:marTop w:val="0"/>
      <w:marBottom w:val="0"/>
      <w:divBdr>
        <w:top w:val="none" w:sz="0" w:space="0" w:color="auto"/>
        <w:left w:val="none" w:sz="0" w:space="0" w:color="auto"/>
        <w:bottom w:val="none" w:sz="0" w:space="0" w:color="auto"/>
        <w:right w:val="none" w:sz="0" w:space="0" w:color="auto"/>
      </w:divBdr>
      <w:divsChild>
        <w:div w:id="1368485594">
          <w:marLeft w:val="0"/>
          <w:marRight w:val="0"/>
          <w:marTop w:val="0"/>
          <w:marBottom w:val="0"/>
          <w:divBdr>
            <w:top w:val="none" w:sz="0" w:space="0" w:color="auto"/>
            <w:left w:val="none" w:sz="0" w:space="0" w:color="auto"/>
            <w:bottom w:val="none" w:sz="0" w:space="0" w:color="auto"/>
            <w:right w:val="none" w:sz="0" w:space="0" w:color="auto"/>
          </w:divBdr>
          <w:divsChild>
            <w:div w:id="125851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767972">
      <w:bodyDiv w:val="1"/>
      <w:marLeft w:val="0"/>
      <w:marRight w:val="0"/>
      <w:marTop w:val="0"/>
      <w:marBottom w:val="0"/>
      <w:divBdr>
        <w:top w:val="none" w:sz="0" w:space="0" w:color="auto"/>
        <w:left w:val="none" w:sz="0" w:space="0" w:color="auto"/>
        <w:bottom w:val="none" w:sz="0" w:space="0" w:color="auto"/>
        <w:right w:val="none" w:sz="0" w:space="0" w:color="auto"/>
      </w:divBdr>
    </w:div>
    <w:div w:id="1562716551">
      <w:bodyDiv w:val="1"/>
      <w:marLeft w:val="0"/>
      <w:marRight w:val="0"/>
      <w:marTop w:val="0"/>
      <w:marBottom w:val="0"/>
      <w:divBdr>
        <w:top w:val="none" w:sz="0" w:space="0" w:color="auto"/>
        <w:left w:val="none" w:sz="0" w:space="0" w:color="auto"/>
        <w:bottom w:val="none" w:sz="0" w:space="0" w:color="auto"/>
        <w:right w:val="none" w:sz="0" w:space="0" w:color="auto"/>
      </w:divBdr>
    </w:div>
    <w:div w:id="1641768951">
      <w:bodyDiv w:val="1"/>
      <w:marLeft w:val="0"/>
      <w:marRight w:val="0"/>
      <w:marTop w:val="0"/>
      <w:marBottom w:val="0"/>
      <w:divBdr>
        <w:top w:val="none" w:sz="0" w:space="0" w:color="auto"/>
        <w:left w:val="none" w:sz="0" w:space="0" w:color="auto"/>
        <w:bottom w:val="none" w:sz="0" w:space="0" w:color="auto"/>
        <w:right w:val="none" w:sz="0" w:space="0" w:color="auto"/>
      </w:divBdr>
      <w:divsChild>
        <w:div w:id="393744835">
          <w:marLeft w:val="0"/>
          <w:marRight w:val="0"/>
          <w:marTop w:val="0"/>
          <w:marBottom w:val="0"/>
          <w:divBdr>
            <w:top w:val="none" w:sz="0" w:space="0" w:color="auto"/>
            <w:left w:val="none" w:sz="0" w:space="0" w:color="auto"/>
            <w:bottom w:val="none" w:sz="0" w:space="0" w:color="auto"/>
            <w:right w:val="none" w:sz="0" w:space="0" w:color="auto"/>
          </w:divBdr>
          <w:divsChild>
            <w:div w:id="7589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308840">
      <w:bodyDiv w:val="1"/>
      <w:marLeft w:val="0"/>
      <w:marRight w:val="0"/>
      <w:marTop w:val="0"/>
      <w:marBottom w:val="0"/>
      <w:divBdr>
        <w:top w:val="none" w:sz="0" w:space="0" w:color="auto"/>
        <w:left w:val="none" w:sz="0" w:space="0" w:color="auto"/>
        <w:bottom w:val="none" w:sz="0" w:space="0" w:color="auto"/>
        <w:right w:val="none" w:sz="0" w:space="0" w:color="auto"/>
      </w:divBdr>
    </w:div>
    <w:div w:id="1751082177">
      <w:bodyDiv w:val="1"/>
      <w:marLeft w:val="0"/>
      <w:marRight w:val="0"/>
      <w:marTop w:val="0"/>
      <w:marBottom w:val="0"/>
      <w:divBdr>
        <w:top w:val="none" w:sz="0" w:space="0" w:color="auto"/>
        <w:left w:val="none" w:sz="0" w:space="0" w:color="auto"/>
        <w:bottom w:val="none" w:sz="0" w:space="0" w:color="auto"/>
        <w:right w:val="none" w:sz="0" w:space="0" w:color="auto"/>
      </w:divBdr>
    </w:div>
    <w:div w:id="1785149335">
      <w:bodyDiv w:val="1"/>
      <w:marLeft w:val="0"/>
      <w:marRight w:val="0"/>
      <w:marTop w:val="0"/>
      <w:marBottom w:val="0"/>
      <w:divBdr>
        <w:top w:val="none" w:sz="0" w:space="0" w:color="auto"/>
        <w:left w:val="none" w:sz="0" w:space="0" w:color="auto"/>
        <w:bottom w:val="none" w:sz="0" w:space="0" w:color="auto"/>
        <w:right w:val="none" w:sz="0" w:space="0" w:color="auto"/>
      </w:divBdr>
    </w:div>
    <w:div w:id="1816797787">
      <w:bodyDiv w:val="1"/>
      <w:marLeft w:val="0"/>
      <w:marRight w:val="0"/>
      <w:marTop w:val="0"/>
      <w:marBottom w:val="0"/>
      <w:divBdr>
        <w:top w:val="none" w:sz="0" w:space="0" w:color="auto"/>
        <w:left w:val="none" w:sz="0" w:space="0" w:color="auto"/>
        <w:bottom w:val="none" w:sz="0" w:space="0" w:color="auto"/>
        <w:right w:val="none" w:sz="0" w:space="0" w:color="auto"/>
      </w:divBdr>
    </w:div>
    <w:div w:id="1962103845">
      <w:bodyDiv w:val="1"/>
      <w:marLeft w:val="0"/>
      <w:marRight w:val="0"/>
      <w:marTop w:val="0"/>
      <w:marBottom w:val="0"/>
      <w:divBdr>
        <w:top w:val="none" w:sz="0" w:space="0" w:color="auto"/>
        <w:left w:val="none" w:sz="0" w:space="0" w:color="auto"/>
        <w:bottom w:val="none" w:sz="0" w:space="0" w:color="auto"/>
        <w:right w:val="none" w:sz="0" w:space="0" w:color="auto"/>
      </w:divBdr>
    </w:div>
    <w:div w:id="1991522471">
      <w:bodyDiv w:val="1"/>
      <w:marLeft w:val="0"/>
      <w:marRight w:val="0"/>
      <w:marTop w:val="0"/>
      <w:marBottom w:val="0"/>
      <w:divBdr>
        <w:top w:val="none" w:sz="0" w:space="0" w:color="auto"/>
        <w:left w:val="none" w:sz="0" w:space="0" w:color="auto"/>
        <w:bottom w:val="none" w:sz="0" w:space="0" w:color="auto"/>
        <w:right w:val="none" w:sz="0" w:space="0" w:color="auto"/>
      </w:divBdr>
    </w:div>
    <w:div w:id="2022001411">
      <w:bodyDiv w:val="1"/>
      <w:marLeft w:val="0"/>
      <w:marRight w:val="0"/>
      <w:marTop w:val="0"/>
      <w:marBottom w:val="0"/>
      <w:divBdr>
        <w:top w:val="none" w:sz="0" w:space="0" w:color="auto"/>
        <w:left w:val="none" w:sz="0" w:space="0" w:color="auto"/>
        <w:bottom w:val="none" w:sz="0" w:space="0" w:color="auto"/>
        <w:right w:val="none" w:sz="0" w:space="0" w:color="auto"/>
      </w:divBdr>
      <w:divsChild>
        <w:div w:id="1699894931">
          <w:marLeft w:val="0"/>
          <w:marRight w:val="0"/>
          <w:marTop w:val="0"/>
          <w:marBottom w:val="0"/>
          <w:divBdr>
            <w:top w:val="none" w:sz="0" w:space="0" w:color="auto"/>
            <w:left w:val="none" w:sz="0" w:space="0" w:color="auto"/>
            <w:bottom w:val="none" w:sz="0" w:space="0" w:color="auto"/>
            <w:right w:val="none" w:sz="0" w:space="0" w:color="auto"/>
          </w:divBdr>
          <w:divsChild>
            <w:div w:id="146153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23</Pages>
  <Words>9266</Words>
  <Characters>52818</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Coventry City Council</Company>
  <LinksUpToDate>false</LinksUpToDate>
  <CharactersWithSpaces>61961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Central Adult Windows 11</dc:creator>
  <cp:keywords/>
  <dc:description/>
  <cp:lastModifiedBy>Central Adult Windows 11</cp:lastModifiedBy>
  <cp:revision>2</cp:revision>
  <dcterms:created xsi:type="dcterms:W3CDTF">2026-07-20T10:41:00Z</dcterms:created>
  <dcterms:modified xsi:type="dcterms:W3CDTF">2026-07-20T10:41:00Z</dcterms:modified>
</cp:coreProperties>
</file>