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1873B" w14:textId="77777777" w:rsidR="00937B2B" w:rsidRPr="002E4DB7" w:rsidRDefault="00937B2B" w:rsidP="00937B2B">
      <w:pPr>
        <w:spacing w:after="0"/>
        <w:jc w:val="center"/>
        <w:rPr>
          <w:b/>
          <w:bCs/>
          <w:sz w:val="28"/>
        </w:rPr>
      </w:pPr>
    </w:p>
    <w:p w14:paraId="27ADE0EA" w14:textId="77777777" w:rsidR="000E17B4" w:rsidRPr="002E4DB7" w:rsidRDefault="000E17B4" w:rsidP="00937B2B">
      <w:pPr>
        <w:spacing w:after="0"/>
        <w:jc w:val="center"/>
        <w:rPr>
          <w:b/>
          <w:bCs/>
          <w:sz w:val="28"/>
        </w:rPr>
      </w:pPr>
    </w:p>
    <w:p w14:paraId="549A3BDC" w14:textId="5C2DE09A" w:rsidR="00937B2B" w:rsidRPr="002E4DB7" w:rsidRDefault="00D06D6A" w:rsidP="00937B2B">
      <w:pPr>
        <w:spacing w:after="0"/>
        <w:jc w:val="center"/>
        <w:rPr>
          <w:sz w:val="28"/>
        </w:rPr>
      </w:pPr>
      <w:r w:rsidRPr="00F4799C">
        <w:rPr>
          <w:rFonts w:asciiTheme="minorBidi" w:hAnsiTheme="minorBidi"/>
          <w:noProof/>
        </w:rPr>
        <w:drawing>
          <wp:inline distT="0" distB="0" distL="0" distR="0" wp14:anchorId="670E599F" wp14:editId="2C911542">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3BF7525F" w14:textId="77777777" w:rsidR="00937B2B" w:rsidRPr="002E4DB7" w:rsidRDefault="00000000" w:rsidP="00937B2B">
      <w:pPr>
        <w:spacing w:after="0"/>
        <w:jc w:val="center"/>
        <w:rPr>
          <w:sz w:val="28"/>
        </w:rPr>
      </w:pPr>
      <w:r>
        <w:rPr>
          <w:noProof/>
          <w:sz w:val="28"/>
        </w:rPr>
        <w:pict w14:anchorId="7530841C">
          <v:rect id="_x0000_i1025" alt="" style="width:451.3pt;height:.05pt;mso-width-percent:0;mso-height-percent:0;mso-width-percent:0;mso-height-percent:0" o:hralign="center" o:hrstd="t" o:hr="t" fillcolor="#a0a0a0" stroked="f"/>
        </w:pict>
      </w:r>
    </w:p>
    <w:p w14:paraId="1A1FCC1F" w14:textId="77777777" w:rsidR="00937B2B" w:rsidRPr="002E4DB7" w:rsidRDefault="00937B2B" w:rsidP="00937B2B">
      <w:pPr>
        <w:spacing w:after="0"/>
        <w:jc w:val="center"/>
        <w:rPr>
          <w:sz w:val="28"/>
        </w:rPr>
      </w:pPr>
      <w:r w:rsidRPr="002E4DB7">
        <w:rPr>
          <w:b/>
          <w:bCs/>
          <w:sz w:val="28"/>
        </w:rPr>
        <w:t>MASTER OF BUSINESS ADMINISTRATION (MBA)</w:t>
      </w:r>
    </w:p>
    <w:p w14:paraId="50E69149" w14:textId="77777777" w:rsidR="00937B2B" w:rsidRPr="002E4DB7" w:rsidRDefault="00937B2B" w:rsidP="00937B2B">
      <w:pPr>
        <w:spacing w:after="0"/>
        <w:jc w:val="center"/>
        <w:rPr>
          <w:sz w:val="28"/>
        </w:rPr>
      </w:pPr>
      <w:r w:rsidRPr="002E4DB7">
        <w:rPr>
          <w:b/>
          <w:bCs/>
          <w:sz w:val="28"/>
        </w:rPr>
        <w:t>Module Title:</w:t>
      </w:r>
      <w:r w:rsidRPr="002E4DB7">
        <w:rPr>
          <w:sz w:val="28"/>
        </w:rPr>
        <w:t xml:space="preserve"> Financial Management</w:t>
      </w:r>
      <w:r w:rsidRPr="002E4DB7">
        <w:rPr>
          <w:sz w:val="28"/>
        </w:rPr>
        <w:br/>
      </w:r>
      <w:r w:rsidRPr="002E4DB7">
        <w:rPr>
          <w:b/>
          <w:bCs/>
          <w:sz w:val="28"/>
        </w:rPr>
        <w:t>Module Code:</w:t>
      </w:r>
      <w:r w:rsidRPr="002E4DB7">
        <w:rPr>
          <w:sz w:val="28"/>
        </w:rPr>
        <w:t xml:space="preserve"> LCMB7002</w:t>
      </w:r>
    </w:p>
    <w:p w14:paraId="3860770F" w14:textId="77777777" w:rsidR="00937B2B" w:rsidRPr="002E4DB7" w:rsidRDefault="00000000" w:rsidP="00937B2B">
      <w:pPr>
        <w:spacing w:after="0"/>
        <w:jc w:val="center"/>
        <w:rPr>
          <w:sz w:val="28"/>
        </w:rPr>
      </w:pPr>
      <w:r>
        <w:rPr>
          <w:noProof/>
          <w:sz w:val="28"/>
        </w:rPr>
        <w:pict w14:anchorId="4A780EE8">
          <v:rect id="_x0000_i1026" alt="" style="width:451.3pt;height:.05pt;mso-width-percent:0;mso-height-percent:0;mso-width-percent:0;mso-height-percent:0" o:hralign="center" o:hrstd="t" o:hr="t" fillcolor="#a0a0a0" stroked="f"/>
        </w:pict>
      </w:r>
    </w:p>
    <w:p w14:paraId="67C4569C" w14:textId="77777777" w:rsidR="00937B2B" w:rsidRPr="002E4DB7" w:rsidRDefault="00937B2B" w:rsidP="00937B2B">
      <w:pPr>
        <w:spacing w:after="0"/>
        <w:jc w:val="center"/>
        <w:rPr>
          <w:sz w:val="28"/>
        </w:rPr>
      </w:pPr>
      <w:r w:rsidRPr="002E4DB7">
        <w:rPr>
          <w:b/>
          <w:bCs/>
          <w:sz w:val="28"/>
        </w:rPr>
        <w:t>Strategic CFO Challenge: Financial Performance and Management Analysis</w:t>
      </w:r>
    </w:p>
    <w:p w14:paraId="723B888B" w14:textId="77777777" w:rsidR="00937B2B" w:rsidRPr="002E4DB7" w:rsidRDefault="00000000" w:rsidP="00937B2B">
      <w:pPr>
        <w:spacing w:after="0"/>
        <w:jc w:val="center"/>
        <w:rPr>
          <w:sz w:val="28"/>
        </w:rPr>
      </w:pPr>
      <w:r>
        <w:rPr>
          <w:noProof/>
          <w:sz w:val="28"/>
        </w:rPr>
        <w:pict w14:anchorId="187685EE">
          <v:rect id="_x0000_i1027" alt="" style="width:451.3pt;height:.05pt;mso-width-percent:0;mso-height-percent:0;mso-width-percent:0;mso-height-percent:0" o:hralign="center" o:hrstd="t" o:hr="t" fillcolor="#a0a0a0" stroked="f"/>
        </w:pict>
      </w:r>
    </w:p>
    <w:p w14:paraId="70F22F95" w14:textId="77777777" w:rsidR="00937B2B" w:rsidRPr="002E4DB7" w:rsidRDefault="00937B2B" w:rsidP="00937B2B">
      <w:pPr>
        <w:spacing w:after="0"/>
        <w:jc w:val="center"/>
        <w:rPr>
          <w:sz w:val="28"/>
        </w:rPr>
      </w:pPr>
      <w:r w:rsidRPr="002E4DB7">
        <w:rPr>
          <w:b/>
          <w:bCs/>
          <w:sz w:val="28"/>
        </w:rPr>
        <w:t>Selected Company:</w:t>
      </w:r>
      <w:r w:rsidRPr="002E4DB7">
        <w:rPr>
          <w:sz w:val="28"/>
        </w:rPr>
        <w:t xml:space="preserve"> Toyota Motor Corporation</w:t>
      </w:r>
    </w:p>
    <w:p w14:paraId="16186756" w14:textId="77777777" w:rsidR="00937B2B" w:rsidRPr="002E4DB7" w:rsidRDefault="00000000" w:rsidP="00937B2B">
      <w:pPr>
        <w:spacing w:after="0"/>
        <w:jc w:val="center"/>
        <w:rPr>
          <w:sz w:val="28"/>
        </w:rPr>
      </w:pPr>
      <w:r>
        <w:rPr>
          <w:noProof/>
          <w:sz w:val="28"/>
        </w:rPr>
        <w:pict w14:anchorId="1A8236D8">
          <v:rect id="_x0000_i1028" alt="" style="width:451.3pt;height:.05pt;mso-width-percent:0;mso-height-percent:0;mso-width-percent:0;mso-height-percent:0" o:hralign="center" o:hrstd="t" o:hr="t" fillcolor="#a0a0a0" stroked="f"/>
        </w:pict>
      </w:r>
    </w:p>
    <w:p w14:paraId="4140F9A0" w14:textId="57F568C8" w:rsidR="00937B2B" w:rsidRPr="002E4DB7" w:rsidRDefault="00937B2B" w:rsidP="00937B2B">
      <w:pPr>
        <w:spacing w:after="0"/>
        <w:jc w:val="center"/>
        <w:rPr>
          <w:sz w:val="28"/>
        </w:rPr>
      </w:pPr>
      <w:r w:rsidRPr="002E4DB7">
        <w:rPr>
          <w:b/>
          <w:bCs/>
          <w:sz w:val="28"/>
        </w:rPr>
        <w:t>Student Name:</w:t>
      </w:r>
      <w:r w:rsidRPr="002E4DB7">
        <w:rPr>
          <w:sz w:val="28"/>
        </w:rPr>
        <w:t xml:space="preserve"> </w:t>
      </w:r>
      <w:proofErr w:type="gramStart"/>
      <w:r w:rsidR="00D06D6A" w:rsidRPr="00D06D6A">
        <w:rPr>
          <w:sz w:val="28"/>
        </w:rPr>
        <w:t>Jatin  Makwana</w:t>
      </w:r>
      <w:proofErr w:type="gramEnd"/>
      <w:r w:rsidRPr="002E4DB7">
        <w:rPr>
          <w:sz w:val="28"/>
        </w:rPr>
        <w:br/>
      </w:r>
      <w:r w:rsidRPr="002E4DB7">
        <w:rPr>
          <w:b/>
          <w:bCs/>
          <w:sz w:val="28"/>
        </w:rPr>
        <w:t>Student ID:</w:t>
      </w:r>
      <w:r w:rsidRPr="002E4DB7">
        <w:rPr>
          <w:sz w:val="28"/>
        </w:rPr>
        <w:t xml:space="preserve"> </w:t>
      </w:r>
      <w:r w:rsidR="00D06D6A">
        <w:rPr>
          <w:sz w:val="28"/>
        </w:rPr>
        <w:t>2507163</w:t>
      </w:r>
    </w:p>
    <w:p w14:paraId="74B54F7B" w14:textId="77777777" w:rsidR="00937B2B" w:rsidRPr="002E4DB7" w:rsidRDefault="00000000" w:rsidP="00937B2B">
      <w:pPr>
        <w:spacing w:after="0"/>
        <w:jc w:val="center"/>
        <w:rPr>
          <w:sz w:val="28"/>
        </w:rPr>
      </w:pPr>
      <w:r>
        <w:rPr>
          <w:noProof/>
          <w:sz w:val="28"/>
        </w:rPr>
        <w:pict w14:anchorId="691392DB">
          <v:rect id="_x0000_i1029" alt="" style="width:451.3pt;height:.05pt;mso-width-percent:0;mso-height-percent:0;mso-width-percent:0;mso-height-percent:0" o:hralign="center" o:hrstd="t" o:hr="t" fillcolor="#a0a0a0" stroked="f"/>
        </w:pict>
      </w:r>
    </w:p>
    <w:p w14:paraId="6AB71226" w14:textId="77777777" w:rsidR="00937B2B" w:rsidRPr="002E4DB7" w:rsidRDefault="00937B2B" w:rsidP="00937B2B">
      <w:pPr>
        <w:spacing w:after="0"/>
        <w:jc w:val="center"/>
        <w:rPr>
          <w:sz w:val="28"/>
        </w:rPr>
      </w:pPr>
      <w:r w:rsidRPr="002E4DB7">
        <w:rPr>
          <w:b/>
          <w:bCs/>
          <w:sz w:val="28"/>
        </w:rPr>
        <w:t>Lecturer(s):</w:t>
      </w:r>
      <w:r w:rsidRPr="002E4DB7">
        <w:rPr>
          <w:sz w:val="28"/>
        </w:rPr>
        <w:br/>
        <w:t>Shengfeng Mei</w:t>
      </w:r>
      <w:r w:rsidRPr="002E4DB7">
        <w:rPr>
          <w:sz w:val="28"/>
        </w:rPr>
        <w:br/>
        <w:t>Patrick Yeboah</w:t>
      </w:r>
    </w:p>
    <w:p w14:paraId="0C402E60" w14:textId="77777777" w:rsidR="00937B2B" w:rsidRPr="002E4DB7" w:rsidRDefault="00000000" w:rsidP="00937B2B">
      <w:pPr>
        <w:spacing w:after="0"/>
        <w:jc w:val="center"/>
        <w:rPr>
          <w:sz w:val="28"/>
        </w:rPr>
      </w:pPr>
      <w:r>
        <w:rPr>
          <w:noProof/>
          <w:sz w:val="28"/>
        </w:rPr>
        <w:pict w14:anchorId="28A65D65">
          <v:rect id="_x0000_i1030" alt="" style="width:451.3pt;height:.05pt;mso-width-percent:0;mso-height-percent:0;mso-width-percent:0;mso-height-percent:0" o:hralign="center" o:hrstd="t" o:hr="t" fillcolor="#a0a0a0" stroked="f"/>
        </w:pict>
      </w:r>
    </w:p>
    <w:p w14:paraId="153FC1F0" w14:textId="4B01A894" w:rsidR="00937B2B" w:rsidRPr="002E4DB7" w:rsidRDefault="00937B2B" w:rsidP="00937B2B">
      <w:pPr>
        <w:spacing w:after="0"/>
        <w:jc w:val="center"/>
        <w:rPr>
          <w:sz w:val="28"/>
        </w:rPr>
      </w:pPr>
      <w:r w:rsidRPr="002E4DB7">
        <w:rPr>
          <w:b/>
          <w:bCs/>
          <w:sz w:val="28"/>
        </w:rPr>
        <w:t>Word Count:</w:t>
      </w:r>
      <w:r w:rsidRPr="002E4DB7">
        <w:rPr>
          <w:sz w:val="28"/>
        </w:rPr>
        <w:t xml:space="preserve"> </w:t>
      </w:r>
      <w:r w:rsidR="00D06D6A">
        <w:rPr>
          <w:sz w:val="28"/>
        </w:rPr>
        <w:t>5736</w:t>
      </w:r>
    </w:p>
    <w:p w14:paraId="49FFDC58" w14:textId="77777777" w:rsidR="00937B2B" w:rsidRPr="002E4DB7" w:rsidRDefault="00937B2B" w:rsidP="00937B2B">
      <w:pPr>
        <w:spacing w:after="0"/>
        <w:jc w:val="center"/>
        <w:rPr>
          <w:sz w:val="28"/>
        </w:rPr>
      </w:pPr>
      <w:r w:rsidRPr="002E4DB7">
        <w:rPr>
          <w:b/>
          <w:bCs/>
          <w:sz w:val="28"/>
        </w:rPr>
        <w:t>Submission Date:</w:t>
      </w:r>
      <w:r w:rsidRPr="002E4DB7">
        <w:rPr>
          <w:sz w:val="28"/>
        </w:rPr>
        <w:t xml:space="preserve"> 24 April 2026</w:t>
      </w:r>
    </w:p>
    <w:p w14:paraId="77B4F2BC" w14:textId="77777777" w:rsidR="00937B2B" w:rsidRPr="002E4DB7" w:rsidRDefault="00000000" w:rsidP="00937B2B">
      <w:pPr>
        <w:spacing w:after="0"/>
        <w:jc w:val="center"/>
        <w:rPr>
          <w:sz w:val="28"/>
        </w:rPr>
      </w:pPr>
      <w:r>
        <w:rPr>
          <w:noProof/>
          <w:sz w:val="28"/>
        </w:rPr>
        <w:pict w14:anchorId="37727854">
          <v:rect id="_x0000_i1031" alt="" style="width:451.3pt;height:.05pt;mso-width-percent:0;mso-height-percent:0;mso-width-percent:0;mso-height-percent:0" o:hralign="center" o:hrstd="t" o:hr="t" fillcolor="#a0a0a0" stroked="f"/>
        </w:pict>
      </w:r>
    </w:p>
    <w:p w14:paraId="73D0FD2C" w14:textId="77777777" w:rsidR="00937B2B" w:rsidRPr="002E4DB7" w:rsidRDefault="00937B2B" w:rsidP="00937B2B">
      <w:pPr>
        <w:spacing w:after="0"/>
        <w:jc w:val="left"/>
        <w:rPr>
          <w:sz w:val="28"/>
        </w:rPr>
      </w:pPr>
      <w:r w:rsidRPr="002E4DB7">
        <w:rPr>
          <w:b/>
          <w:bCs/>
          <w:sz w:val="28"/>
        </w:rPr>
        <w:t>Declaration:</w:t>
      </w:r>
      <w:r w:rsidRPr="002E4DB7">
        <w:rPr>
          <w:sz w:val="28"/>
        </w:rPr>
        <w:t xml:space="preserve"> I confirm that this assignment is my own work and that all sources have been acknowledged in accordance with academic referencing guidelines.</w:t>
      </w:r>
    </w:p>
    <w:p w14:paraId="338D69F6" w14:textId="77777777" w:rsidR="00937B2B" w:rsidRPr="002E4DB7" w:rsidRDefault="00000000" w:rsidP="00937B2B">
      <w:pPr>
        <w:spacing w:after="0"/>
        <w:jc w:val="left"/>
        <w:rPr>
          <w:sz w:val="28"/>
        </w:rPr>
      </w:pPr>
      <w:r>
        <w:rPr>
          <w:noProof/>
          <w:sz w:val="28"/>
        </w:rPr>
        <w:lastRenderedPageBreak/>
        <w:pict w14:anchorId="49E9C557">
          <v:rect id="_x0000_i1032" alt="" style="width:451.3pt;height:.05pt;mso-width-percent:0;mso-height-percent:0;mso-width-percent:0;mso-height-percent:0" o:hrstd="t" o:hr="t" fillcolor="#a0a0a0" stroked="f"/>
        </w:pict>
      </w:r>
    </w:p>
    <w:p w14:paraId="5326C846" w14:textId="6BF57F68" w:rsidR="00EF7B40" w:rsidRPr="002E4DB7" w:rsidRDefault="00EF7B40">
      <w:pPr>
        <w:spacing w:line="259" w:lineRule="auto"/>
        <w:jc w:val="left"/>
        <w:rPr>
          <w:sz w:val="28"/>
        </w:rPr>
      </w:pPr>
    </w:p>
    <w:p w14:paraId="11DE1154" w14:textId="77777777" w:rsidR="00EF7B40" w:rsidRPr="002E4DB7" w:rsidRDefault="00EF7B40" w:rsidP="00EF7B40">
      <w:pPr>
        <w:pStyle w:val="Subtitle"/>
      </w:pPr>
      <w:r w:rsidRPr="002E4DB7">
        <w:t>Executive Summary</w:t>
      </w:r>
    </w:p>
    <w:p w14:paraId="0F4B8C93" w14:textId="77777777" w:rsidR="00DA0CC2" w:rsidRPr="002E4DB7" w:rsidRDefault="00DA0CC2" w:rsidP="00DA0CC2">
      <w:r w:rsidRPr="002E4DB7">
        <w:t>In this report, financial performance and strategic financial management of the Toyota Motor Corporation have been evaluated over a period of five years and the purpose of the evaluation is to identify the main financial trends, efficiency of its operations and recommend the appropriate financial strategies. This is examined on the description of a Chief Financial Officer (CFO) with regards to financial health, management of working capital, restructuring options as well as investment appraisal.</w:t>
      </w:r>
    </w:p>
    <w:p w14:paraId="605C9AB3" w14:textId="77777777" w:rsidR="00DA0CC2" w:rsidRPr="002E4DB7" w:rsidRDefault="00DA0CC2" w:rsidP="00DA0CC2">
      <w:r w:rsidRPr="002E4DB7">
        <w:t>In financial health analysis, the profits have been increasing consistently as the Return on Capital Employed (ROCE) was increasing by 10.5 to 15.1 and the net profit margin increased by 7.2 to 10.3. The efficiency measures also have positive trends in terms of the increased inventory turnover and also reduced number of days in the receivables that signifies positive operation. Liquidity is not an issue and the current ratio went up to 1.30 compared to 1.10 and this means that there is moderate short-term financial flexibility.</w:t>
      </w:r>
    </w:p>
    <w:p w14:paraId="5BA7A0D0" w14:textId="77777777" w:rsidR="00DA0CC2" w:rsidRPr="002E4DB7" w:rsidRDefault="00E95848" w:rsidP="00DA0CC2">
      <w:r w:rsidRPr="002E4DB7">
        <w:t>Analysing</w:t>
      </w:r>
      <w:r w:rsidR="00DA0CC2" w:rsidRPr="002E4DB7">
        <w:t xml:space="preserve"> working capital reveals that cash operating cycle has significantly decreased by 38 days to 16 days and indicates that inventory, receivables and payables are controlled more. However, this can have liquidity constraints and reliance on the ongoing investment hence constant monitoring will be required.</w:t>
      </w:r>
    </w:p>
    <w:p w14:paraId="48D138F5" w14:textId="77777777" w:rsidR="00DA0CC2" w:rsidRPr="002E4DB7" w:rsidRDefault="00DA0CC2" w:rsidP="00DA0CC2">
      <w:r w:rsidRPr="002E4DB7">
        <w:t>The strategic financial restructuring analysis is that of selective divestment and the selective equity financing to reduce the financial risk and improve the capital structure, a mix between the former divestment and the latter. These are expected to increase shareholder value, and flexibility in operations.</w:t>
      </w:r>
    </w:p>
    <w:p w14:paraId="1D82F057" w14:textId="77777777" w:rsidR="00E44506" w:rsidRPr="002E4DB7" w:rsidRDefault="00DA0CC2" w:rsidP="00DA0CC2">
      <w:r w:rsidRPr="002E4DB7">
        <w:t>Project C comes out as the most feasible project based on financial analysis and one with the highest Net Present Value (NPV) value of £4.8 mi</w:t>
      </w:r>
      <w:r w:rsidR="00FC068D" w:rsidRPr="002E4DB7">
        <w:t>llion and the highest Internal Rate of R</w:t>
      </w:r>
      <w:r w:rsidRPr="002E4DB7">
        <w:t>eturn (IRR) of 14%. Opting to go with projects A and C will be the solution to the capital rationing and the full NPV maximisation, under the combination, of a balanced consideration of the risk and payoff.</w:t>
      </w:r>
      <w:r w:rsidR="00E44506" w:rsidRPr="002E4DB7">
        <w:br w:type="page"/>
      </w:r>
    </w:p>
    <w:sdt>
      <w:sdtPr>
        <w:rPr>
          <w:b w:val="0"/>
        </w:rPr>
        <w:id w:val="1993291214"/>
        <w:docPartObj>
          <w:docPartGallery w:val="Table of Contents"/>
          <w:docPartUnique/>
        </w:docPartObj>
      </w:sdtPr>
      <w:sdtEndPr>
        <w:rPr>
          <w:bCs/>
        </w:rPr>
      </w:sdtEndPr>
      <w:sdtContent>
        <w:p w14:paraId="434AEB35" w14:textId="77777777" w:rsidR="003C6544" w:rsidRPr="002E4DB7" w:rsidRDefault="003C6544">
          <w:pPr>
            <w:pStyle w:val="TOCHeading"/>
          </w:pPr>
          <w:r w:rsidRPr="002E4DB7">
            <w:t>Table of Contents</w:t>
          </w:r>
        </w:p>
        <w:p w14:paraId="2C2E3389" w14:textId="77777777" w:rsidR="000E17B4" w:rsidRPr="002E4DB7" w:rsidRDefault="003C6544">
          <w:pPr>
            <w:pStyle w:val="TOC1"/>
            <w:rPr>
              <w:rFonts w:asciiTheme="minorHAnsi" w:hAnsiTheme="minorHAnsi" w:cstheme="minorBidi"/>
              <w:sz w:val="22"/>
              <w:szCs w:val="22"/>
              <w:lang w:val="en-GB" w:eastAsia="en-IN"/>
            </w:rPr>
          </w:pPr>
          <w:r w:rsidRPr="002E4DB7">
            <w:rPr>
              <w:lang w:val="en-GB"/>
            </w:rPr>
            <w:fldChar w:fldCharType="begin"/>
          </w:r>
          <w:r w:rsidRPr="002E4DB7">
            <w:rPr>
              <w:lang w:val="en-GB"/>
            </w:rPr>
            <w:instrText xml:space="preserve"> TOC \o "1-3" \h \z \u </w:instrText>
          </w:r>
          <w:r w:rsidRPr="002E4DB7">
            <w:rPr>
              <w:lang w:val="en-GB"/>
            </w:rPr>
            <w:fldChar w:fldCharType="separate"/>
          </w:r>
          <w:hyperlink w:anchor="_Toc227865224" w:history="1">
            <w:r w:rsidR="000E17B4" w:rsidRPr="002E4DB7">
              <w:rPr>
                <w:rStyle w:val="Hyperlink"/>
                <w:noProof w:val="0"/>
                <w:lang w:val="en-GB"/>
              </w:rPr>
              <w:t>1. Introduction</w:t>
            </w:r>
            <w:r w:rsidR="000E17B4" w:rsidRPr="002E4DB7">
              <w:rPr>
                <w:webHidden/>
                <w:lang w:val="en-GB"/>
              </w:rPr>
              <w:tab/>
            </w:r>
            <w:r w:rsidR="000E17B4" w:rsidRPr="002E4DB7">
              <w:rPr>
                <w:webHidden/>
                <w:lang w:val="en-GB"/>
              </w:rPr>
              <w:fldChar w:fldCharType="begin"/>
            </w:r>
            <w:r w:rsidR="000E17B4" w:rsidRPr="002E4DB7">
              <w:rPr>
                <w:webHidden/>
                <w:lang w:val="en-GB"/>
              </w:rPr>
              <w:instrText xml:space="preserve"> PAGEREF _Toc227865224 \h </w:instrText>
            </w:r>
            <w:r w:rsidR="000E17B4" w:rsidRPr="002E4DB7">
              <w:rPr>
                <w:webHidden/>
                <w:lang w:val="en-GB"/>
              </w:rPr>
            </w:r>
            <w:r w:rsidR="000E17B4" w:rsidRPr="002E4DB7">
              <w:rPr>
                <w:webHidden/>
                <w:lang w:val="en-GB"/>
              </w:rPr>
              <w:fldChar w:fldCharType="separate"/>
            </w:r>
            <w:r w:rsidR="000E17B4" w:rsidRPr="002E4DB7">
              <w:rPr>
                <w:webHidden/>
                <w:lang w:val="en-GB"/>
              </w:rPr>
              <w:t>5</w:t>
            </w:r>
            <w:r w:rsidR="000E17B4" w:rsidRPr="002E4DB7">
              <w:rPr>
                <w:webHidden/>
                <w:lang w:val="en-GB"/>
              </w:rPr>
              <w:fldChar w:fldCharType="end"/>
            </w:r>
          </w:hyperlink>
        </w:p>
        <w:p w14:paraId="037BDC19" w14:textId="77777777" w:rsidR="000E17B4" w:rsidRPr="002E4DB7" w:rsidRDefault="000E17B4">
          <w:pPr>
            <w:pStyle w:val="TOC1"/>
            <w:rPr>
              <w:rFonts w:asciiTheme="minorHAnsi" w:hAnsiTheme="minorHAnsi" w:cstheme="minorBidi"/>
              <w:sz w:val="22"/>
              <w:szCs w:val="22"/>
              <w:lang w:val="en-GB" w:eastAsia="en-IN"/>
            </w:rPr>
          </w:pPr>
          <w:hyperlink w:anchor="_Toc227865225" w:history="1">
            <w:r w:rsidRPr="002E4DB7">
              <w:rPr>
                <w:rStyle w:val="Hyperlink"/>
                <w:noProof w:val="0"/>
                <w:lang w:val="en-GB"/>
              </w:rPr>
              <w:t>2. Financial Health Check</w:t>
            </w:r>
            <w:r w:rsidRPr="002E4DB7">
              <w:rPr>
                <w:webHidden/>
                <w:lang w:val="en-GB"/>
              </w:rPr>
              <w:tab/>
            </w:r>
            <w:r w:rsidRPr="002E4DB7">
              <w:rPr>
                <w:webHidden/>
                <w:lang w:val="en-GB"/>
              </w:rPr>
              <w:fldChar w:fldCharType="begin"/>
            </w:r>
            <w:r w:rsidRPr="002E4DB7">
              <w:rPr>
                <w:webHidden/>
                <w:lang w:val="en-GB"/>
              </w:rPr>
              <w:instrText xml:space="preserve"> PAGEREF _Toc227865225 \h </w:instrText>
            </w:r>
            <w:r w:rsidRPr="002E4DB7">
              <w:rPr>
                <w:webHidden/>
                <w:lang w:val="en-GB"/>
              </w:rPr>
            </w:r>
            <w:r w:rsidRPr="002E4DB7">
              <w:rPr>
                <w:webHidden/>
                <w:lang w:val="en-GB"/>
              </w:rPr>
              <w:fldChar w:fldCharType="separate"/>
            </w:r>
            <w:r w:rsidRPr="002E4DB7">
              <w:rPr>
                <w:webHidden/>
                <w:lang w:val="en-GB"/>
              </w:rPr>
              <w:t>5</w:t>
            </w:r>
            <w:r w:rsidRPr="002E4DB7">
              <w:rPr>
                <w:webHidden/>
                <w:lang w:val="en-GB"/>
              </w:rPr>
              <w:fldChar w:fldCharType="end"/>
            </w:r>
          </w:hyperlink>
        </w:p>
        <w:p w14:paraId="41B76FF1" w14:textId="77777777" w:rsidR="000E17B4" w:rsidRPr="002E4DB7" w:rsidRDefault="000E17B4">
          <w:pPr>
            <w:pStyle w:val="TOC2"/>
            <w:tabs>
              <w:tab w:val="right" w:leader="dot" w:pos="9016"/>
            </w:tabs>
            <w:rPr>
              <w:rFonts w:asciiTheme="minorHAnsi" w:eastAsiaTheme="minorEastAsia" w:hAnsiTheme="minorHAnsi"/>
              <w:sz w:val="22"/>
              <w:lang w:eastAsia="en-IN"/>
            </w:rPr>
          </w:pPr>
          <w:hyperlink w:anchor="_Toc227865226" w:history="1">
            <w:r w:rsidRPr="002E4DB7">
              <w:rPr>
                <w:rStyle w:val="Hyperlink"/>
                <w:noProof w:val="0"/>
              </w:rPr>
              <w:t>2.1 Overview of Financial Performance</w:t>
            </w:r>
            <w:r w:rsidRPr="002E4DB7">
              <w:rPr>
                <w:webHidden/>
              </w:rPr>
              <w:tab/>
            </w:r>
            <w:r w:rsidRPr="002E4DB7">
              <w:rPr>
                <w:webHidden/>
              </w:rPr>
              <w:fldChar w:fldCharType="begin"/>
            </w:r>
            <w:r w:rsidRPr="002E4DB7">
              <w:rPr>
                <w:webHidden/>
              </w:rPr>
              <w:instrText xml:space="preserve"> PAGEREF _Toc227865226 \h </w:instrText>
            </w:r>
            <w:r w:rsidRPr="002E4DB7">
              <w:rPr>
                <w:webHidden/>
              </w:rPr>
            </w:r>
            <w:r w:rsidRPr="002E4DB7">
              <w:rPr>
                <w:webHidden/>
              </w:rPr>
              <w:fldChar w:fldCharType="separate"/>
            </w:r>
            <w:r w:rsidRPr="002E4DB7">
              <w:rPr>
                <w:webHidden/>
              </w:rPr>
              <w:t>5</w:t>
            </w:r>
            <w:r w:rsidRPr="002E4DB7">
              <w:rPr>
                <w:webHidden/>
              </w:rPr>
              <w:fldChar w:fldCharType="end"/>
            </w:r>
          </w:hyperlink>
        </w:p>
        <w:p w14:paraId="354E479E" w14:textId="77777777" w:rsidR="000E17B4" w:rsidRPr="002E4DB7" w:rsidRDefault="000E17B4">
          <w:pPr>
            <w:pStyle w:val="TOC2"/>
            <w:tabs>
              <w:tab w:val="right" w:leader="dot" w:pos="9016"/>
            </w:tabs>
            <w:rPr>
              <w:rFonts w:asciiTheme="minorHAnsi" w:eastAsiaTheme="minorEastAsia" w:hAnsiTheme="minorHAnsi"/>
              <w:sz w:val="22"/>
              <w:lang w:eastAsia="en-IN"/>
            </w:rPr>
          </w:pPr>
          <w:hyperlink w:anchor="_Toc227865227" w:history="1">
            <w:r w:rsidRPr="002E4DB7">
              <w:rPr>
                <w:rStyle w:val="Hyperlink"/>
                <w:noProof w:val="0"/>
              </w:rPr>
              <w:t>2.2 Profitability Ratios</w:t>
            </w:r>
            <w:r w:rsidRPr="002E4DB7">
              <w:rPr>
                <w:webHidden/>
              </w:rPr>
              <w:tab/>
            </w:r>
            <w:r w:rsidRPr="002E4DB7">
              <w:rPr>
                <w:webHidden/>
              </w:rPr>
              <w:fldChar w:fldCharType="begin"/>
            </w:r>
            <w:r w:rsidRPr="002E4DB7">
              <w:rPr>
                <w:webHidden/>
              </w:rPr>
              <w:instrText xml:space="preserve"> PAGEREF _Toc227865227 \h </w:instrText>
            </w:r>
            <w:r w:rsidRPr="002E4DB7">
              <w:rPr>
                <w:webHidden/>
              </w:rPr>
            </w:r>
            <w:r w:rsidRPr="002E4DB7">
              <w:rPr>
                <w:webHidden/>
              </w:rPr>
              <w:fldChar w:fldCharType="separate"/>
            </w:r>
            <w:r w:rsidRPr="002E4DB7">
              <w:rPr>
                <w:webHidden/>
              </w:rPr>
              <w:t>6</w:t>
            </w:r>
            <w:r w:rsidRPr="002E4DB7">
              <w:rPr>
                <w:webHidden/>
              </w:rPr>
              <w:fldChar w:fldCharType="end"/>
            </w:r>
          </w:hyperlink>
        </w:p>
        <w:p w14:paraId="171E54CA" w14:textId="77777777" w:rsidR="000E17B4" w:rsidRPr="002E4DB7" w:rsidRDefault="000E17B4">
          <w:pPr>
            <w:pStyle w:val="TOC2"/>
            <w:tabs>
              <w:tab w:val="right" w:leader="dot" w:pos="9016"/>
            </w:tabs>
            <w:rPr>
              <w:rFonts w:asciiTheme="minorHAnsi" w:eastAsiaTheme="minorEastAsia" w:hAnsiTheme="minorHAnsi"/>
              <w:sz w:val="22"/>
              <w:lang w:eastAsia="en-IN"/>
            </w:rPr>
          </w:pPr>
          <w:hyperlink w:anchor="_Toc227865228" w:history="1">
            <w:r w:rsidRPr="002E4DB7">
              <w:rPr>
                <w:rStyle w:val="Hyperlink"/>
                <w:noProof w:val="0"/>
              </w:rPr>
              <w:t>2.3 Liquidity Ratios</w:t>
            </w:r>
            <w:r w:rsidRPr="002E4DB7">
              <w:rPr>
                <w:webHidden/>
              </w:rPr>
              <w:tab/>
            </w:r>
            <w:r w:rsidRPr="002E4DB7">
              <w:rPr>
                <w:webHidden/>
              </w:rPr>
              <w:fldChar w:fldCharType="begin"/>
            </w:r>
            <w:r w:rsidRPr="002E4DB7">
              <w:rPr>
                <w:webHidden/>
              </w:rPr>
              <w:instrText xml:space="preserve"> PAGEREF _Toc227865228 \h </w:instrText>
            </w:r>
            <w:r w:rsidRPr="002E4DB7">
              <w:rPr>
                <w:webHidden/>
              </w:rPr>
            </w:r>
            <w:r w:rsidRPr="002E4DB7">
              <w:rPr>
                <w:webHidden/>
              </w:rPr>
              <w:fldChar w:fldCharType="separate"/>
            </w:r>
            <w:r w:rsidRPr="002E4DB7">
              <w:rPr>
                <w:webHidden/>
              </w:rPr>
              <w:t>7</w:t>
            </w:r>
            <w:r w:rsidRPr="002E4DB7">
              <w:rPr>
                <w:webHidden/>
              </w:rPr>
              <w:fldChar w:fldCharType="end"/>
            </w:r>
          </w:hyperlink>
        </w:p>
        <w:p w14:paraId="01A77B70" w14:textId="77777777" w:rsidR="000E17B4" w:rsidRPr="002E4DB7" w:rsidRDefault="000E17B4">
          <w:pPr>
            <w:pStyle w:val="TOC2"/>
            <w:tabs>
              <w:tab w:val="right" w:leader="dot" w:pos="9016"/>
            </w:tabs>
            <w:rPr>
              <w:rFonts w:asciiTheme="minorHAnsi" w:eastAsiaTheme="minorEastAsia" w:hAnsiTheme="minorHAnsi"/>
              <w:sz w:val="22"/>
              <w:lang w:eastAsia="en-IN"/>
            </w:rPr>
          </w:pPr>
          <w:hyperlink w:anchor="_Toc227865229" w:history="1">
            <w:r w:rsidRPr="002E4DB7">
              <w:rPr>
                <w:rStyle w:val="Hyperlink"/>
                <w:noProof w:val="0"/>
              </w:rPr>
              <w:t>2.4 Efficiency Ratios</w:t>
            </w:r>
            <w:r w:rsidRPr="002E4DB7">
              <w:rPr>
                <w:webHidden/>
              </w:rPr>
              <w:tab/>
            </w:r>
            <w:r w:rsidRPr="002E4DB7">
              <w:rPr>
                <w:webHidden/>
              </w:rPr>
              <w:fldChar w:fldCharType="begin"/>
            </w:r>
            <w:r w:rsidRPr="002E4DB7">
              <w:rPr>
                <w:webHidden/>
              </w:rPr>
              <w:instrText xml:space="preserve"> PAGEREF _Toc227865229 \h </w:instrText>
            </w:r>
            <w:r w:rsidRPr="002E4DB7">
              <w:rPr>
                <w:webHidden/>
              </w:rPr>
            </w:r>
            <w:r w:rsidRPr="002E4DB7">
              <w:rPr>
                <w:webHidden/>
              </w:rPr>
              <w:fldChar w:fldCharType="separate"/>
            </w:r>
            <w:r w:rsidRPr="002E4DB7">
              <w:rPr>
                <w:webHidden/>
              </w:rPr>
              <w:t>8</w:t>
            </w:r>
            <w:r w:rsidRPr="002E4DB7">
              <w:rPr>
                <w:webHidden/>
              </w:rPr>
              <w:fldChar w:fldCharType="end"/>
            </w:r>
          </w:hyperlink>
        </w:p>
        <w:p w14:paraId="1137380E" w14:textId="77777777" w:rsidR="000E17B4" w:rsidRPr="002E4DB7" w:rsidRDefault="000E17B4">
          <w:pPr>
            <w:pStyle w:val="TOC2"/>
            <w:tabs>
              <w:tab w:val="right" w:leader="dot" w:pos="9016"/>
            </w:tabs>
            <w:rPr>
              <w:rFonts w:asciiTheme="minorHAnsi" w:eastAsiaTheme="minorEastAsia" w:hAnsiTheme="minorHAnsi"/>
              <w:sz w:val="22"/>
              <w:lang w:eastAsia="en-IN"/>
            </w:rPr>
          </w:pPr>
          <w:hyperlink w:anchor="_Toc227865230" w:history="1">
            <w:r w:rsidRPr="002E4DB7">
              <w:rPr>
                <w:rStyle w:val="Hyperlink"/>
                <w:noProof w:val="0"/>
              </w:rPr>
              <w:t>2.5 Gearing Ratios</w:t>
            </w:r>
            <w:r w:rsidRPr="002E4DB7">
              <w:rPr>
                <w:webHidden/>
              </w:rPr>
              <w:tab/>
            </w:r>
            <w:r w:rsidRPr="002E4DB7">
              <w:rPr>
                <w:webHidden/>
              </w:rPr>
              <w:fldChar w:fldCharType="begin"/>
            </w:r>
            <w:r w:rsidRPr="002E4DB7">
              <w:rPr>
                <w:webHidden/>
              </w:rPr>
              <w:instrText xml:space="preserve"> PAGEREF _Toc227865230 \h </w:instrText>
            </w:r>
            <w:r w:rsidRPr="002E4DB7">
              <w:rPr>
                <w:webHidden/>
              </w:rPr>
            </w:r>
            <w:r w:rsidRPr="002E4DB7">
              <w:rPr>
                <w:webHidden/>
              </w:rPr>
              <w:fldChar w:fldCharType="separate"/>
            </w:r>
            <w:r w:rsidRPr="002E4DB7">
              <w:rPr>
                <w:webHidden/>
              </w:rPr>
              <w:t>8</w:t>
            </w:r>
            <w:r w:rsidRPr="002E4DB7">
              <w:rPr>
                <w:webHidden/>
              </w:rPr>
              <w:fldChar w:fldCharType="end"/>
            </w:r>
          </w:hyperlink>
        </w:p>
        <w:p w14:paraId="0E6E25B1" w14:textId="77777777" w:rsidR="000E17B4" w:rsidRPr="002E4DB7" w:rsidRDefault="000E17B4">
          <w:pPr>
            <w:pStyle w:val="TOC2"/>
            <w:tabs>
              <w:tab w:val="right" w:leader="dot" w:pos="9016"/>
            </w:tabs>
            <w:rPr>
              <w:rFonts w:asciiTheme="minorHAnsi" w:eastAsiaTheme="minorEastAsia" w:hAnsiTheme="minorHAnsi"/>
              <w:sz w:val="22"/>
              <w:lang w:eastAsia="en-IN"/>
            </w:rPr>
          </w:pPr>
          <w:hyperlink w:anchor="_Toc227865231" w:history="1">
            <w:r w:rsidRPr="002E4DB7">
              <w:rPr>
                <w:rStyle w:val="Hyperlink"/>
                <w:noProof w:val="0"/>
              </w:rPr>
              <w:t>2.6 Investment Ratios</w:t>
            </w:r>
            <w:r w:rsidRPr="002E4DB7">
              <w:rPr>
                <w:webHidden/>
              </w:rPr>
              <w:tab/>
            </w:r>
            <w:r w:rsidRPr="002E4DB7">
              <w:rPr>
                <w:webHidden/>
              </w:rPr>
              <w:fldChar w:fldCharType="begin"/>
            </w:r>
            <w:r w:rsidRPr="002E4DB7">
              <w:rPr>
                <w:webHidden/>
              </w:rPr>
              <w:instrText xml:space="preserve"> PAGEREF _Toc227865231 \h </w:instrText>
            </w:r>
            <w:r w:rsidRPr="002E4DB7">
              <w:rPr>
                <w:webHidden/>
              </w:rPr>
            </w:r>
            <w:r w:rsidRPr="002E4DB7">
              <w:rPr>
                <w:webHidden/>
              </w:rPr>
              <w:fldChar w:fldCharType="separate"/>
            </w:r>
            <w:r w:rsidRPr="002E4DB7">
              <w:rPr>
                <w:webHidden/>
              </w:rPr>
              <w:t>9</w:t>
            </w:r>
            <w:r w:rsidRPr="002E4DB7">
              <w:rPr>
                <w:webHidden/>
              </w:rPr>
              <w:fldChar w:fldCharType="end"/>
            </w:r>
          </w:hyperlink>
        </w:p>
        <w:p w14:paraId="32A8A38C" w14:textId="77777777" w:rsidR="000E17B4" w:rsidRPr="002E4DB7" w:rsidRDefault="000E17B4">
          <w:pPr>
            <w:pStyle w:val="TOC2"/>
            <w:tabs>
              <w:tab w:val="right" w:leader="dot" w:pos="9016"/>
            </w:tabs>
            <w:rPr>
              <w:rFonts w:asciiTheme="minorHAnsi" w:eastAsiaTheme="minorEastAsia" w:hAnsiTheme="minorHAnsi"/>
              <w:sz w:val="22"/>
              <w:lang w:eastAsia="en-IN"/>
            </w:rPr>
          </w:pPr>
          <w:hyperlink w:anchor="_Toc227865232" w:history="1">
            <w:r w:rsidRPr="002E4DB7">
              <w:rPr>
                <w:rStyle w:val="Hyperlink"/>
                <w:noProof w:val="0"/>
              </w:rPr>
              <w:t>2.7 Cash Flow Analysis</w:t>
            </w:r>
            <w:r w:rsidRPr="002E4DB7">
              <w:rPr>
                <w:webHidden/>
              </w:rPr>
              <w:tab/>
            </w:r>
            <w:r w:rsidRPr="002E4DB7">
              <w:rPr>
                <w:webHidden/>
              </w:rPr>
              <w:fldChar w:fldCharType="begin"/>
            </w:r>
            <w:r w:rsidRPr="002E4DB7">
              <w:rPr>
                <w:webHidden/>
              </w:rPr>
              <w:instrText xml:space="preserve"> PAGEREF _Toc227865232 \h </w:instrText>
            </w:r>
            <w:r w:rsidRPr="002E4DB7">
              <w:rPr>
                <w:webHidden/>
              </w:rPr>
            </w:r>
            <w:r w:rsidRPr="002E4DB7">
              <w:rPr>
                <w:webHidden/>
              </w:rPr>
              <w:fldChar w:fldCharType="separate"/>
            </w:r>
            <w:r w:rsidRPr="002E4DB7">
              <w:rPr>
                <w:webHidden/>
              </w:rPr>
              <w:t>10</w:t>
            </w:r>
            <w:r w:rsidRPr="002E4DB7">
              <w:rPr>
                <w:webHidden/>
              </w:rPr>
              <w:fldChar w:fldCharType="end"/>
            </w:r>
          </w:hyperlink>
        </w:p>
        <w:p w14:paraId="0A970273" w14:textId="77777777" w:rsidR="000E17B4" w:rsidRPr="002E4DB7" w:rsidRDefault="000E17B4">
          <w:pPr>
            <w:pStyle w:val="TOC2"/>
            <w:tabs>
              <w:tab w:val="right" w:leader="dot" w:pos="9016"/>
            </w:tabs>
            <w:rPr>
              <w:rFonts w:asciiTheme="minorHAnsi" w:eastAsiaTheme="minorEastAsia" w:hAnsiTheme="minorHAnsi"/>
              <w:sz w:val="22"/>
              <w:lang w:eastAsia="en-IN"/>
            </w:rPr>
          </w:pPr>
          <w:hyperlink w:anchor="_Toc227865233" w:history="1">
            <w:r w:rsidRPr="002E4DB7">
              <w:rPr>
                <w:rStyle w:val="Hyperlink"/>
                <w:noProof w:val="0"/>
              </w:rPr>
              <w:t>2.8 Critical Evaluation</w:t>
            </w:r>
            <w:r w:rsidRPr="002E4DB7">
              <w:rPr>
                <w:webHidden/>
              </w:rPr>
              <w:tab/>
            </w:r>
            <w:r w:rsidRPr="002E4DB7">
              <w:rPr>
                <w:webHidden/>
              </w:rPr>
              <w:fldChar w:fldCharType="begin"/>
            </w:r>
            <w:r w:rsidRPr="002E4DB7">
              <w:rPr>
                <w:webHidden/>
              </w:rPr>
              <w:instrText xml:space="preserve"> PAGEREF _Toc227865233 \h </w:instrText>
            </w:r>
            <w:r w:rsidRPr="002E4DB7">
              <w:rPr>
                <w:webHidden/>
              </w:rPr>
            </w:r>
            <w:r w:rsidRPr="002E4DB7">
              <w:rPr>
                <w:webHidden/>
              </w:rPr>
              <w:fldChar w:fldCharType="separate"/>
            </w:r>
            <w:r w:rsidRPr="002E4DB7">
              <w:rPr>
                <w:webHidden/>
              </w:rPr>
              <w:t>11</w:t>
            </w:r>
            <w:r w:rsidRPr="002E4DB7">
              <w:rPr>
                <w:webHidden/>
              </w:rPr>
              <w:fldChar w:fldCharType="end"/>
            </w:r>
          </w:hyperlink>
        </w:p>
        <w:p w14:paraId="5E45A3AB" w14:textId="77777777" w:rsidR="000E17B4" w:rsidRPr="002E4DB7" w:rsidRDefault="000E17B4">
          <w:pPr>
            <w:pStyle w:val="TOC1"/>
            <w:rPr>
              <w:rFonts w:asciiTheme="minorHAnsi" w:hAnsiTheme="minorHAnsi" w:cstheme="minorBidi"/>
              <w:sz w:val="22"/>
              <w:szCs w:val="22"/>
              <w:lang w:val="en-GB" w:eastAsia="en-IN"/>
            </w:rPr>
          </w:pPr>
          <w:hyperlink w:anchor="_Toc227865234" w:history="1">
            <w:r w:rsidRPr="002E4DB7">
              <w:rPr>
                <w:rStyle w:val="Hyperlink"/>
                <w:noProof w:val="0"/>
                <w:lang w:val="en-GB"/>
              </w:rPr>
              <w:t>3. Working Capital Management Analysis</w:t>
            </w:r>
            <w:r w:rsidRPr="002E4DB7">
              <w:rPr>
                <w:webHidden/>
                <w:lang w:val="en-GB"/>
              </w:rPr>
              <w:tab/>
            </w:r>
            <w:r w:rsidRPr="002E4DB7">
              <w:rPr>
                <w:webHidden/>
                <w:lang w:val="en-GB"/>
              </w:rPr>
              <w:fldChar w:fldCharType="begin"/>
            </w:r>
            <w:r w:rsidRPr="002E4DB7">
              <w:rPr>
                <w:webHidden/>
                <w:lang w:val="en-GB"/>
              </w:rPr>
              <w:instrText xml:space="preserve"> PAGEREF _Toc227865234 \h </w:instrText>
            </w:r>
            <w:r w:rsidRPr="002E4DB7">
              <w:rPr>
                <w:webHidden/>
                <w:lang w:val="en-GB"/>
              </w:rPr>
            </w:r>
            <w:r w:rsidRPr="002E4DB7">
              <w:rPr>
                <w:webHidden/>
                <w:lang w:val="en-GB"/>
              </w:rPr>
              <w:fldChar w:fldCharType="separate"/>
            </w:r>
            <w:r w:rsidRPr="002E4DB7">
              <w:rPr>
                <w:webHidden/>
                <w:lang w:val="en-GB"/>
              </w:rPr>
              <w:t>12</w:t>
            </w:r>
            <w:r w:rsidRPr="002E4DB7">
              <w:rPr>
                <w:webHidden/>
                <w:lang w:val="en-GB"/>
              </w:rPr>
              <w:fldChar w:fldCharType="end"/>
            </w:r>
          </w:hyperlink>
        </w:p>
        <w:p w14:paraId="30A4CDEC" w14:textId="77777777" w:rsidR="000E17B4" w:rsidRPr="002E4DB7" w:rsidRDefault="000E17B4">
          <w:pPr>
            <w:pStyle w:val="TOC2"/>
            <w:tabs>
              <w:tab w:val="right" w:leader="dot" w:pos="9016"/>
            </w:tabs>
            <w:rPr>
              <w:rFonts w:asciiTheme="minorHAnsi" w:eastAsiaTheme="minorEastAsia" w:hAnsiTheme="minorHAnsi"/>
              <w:sz w:val="22"/>
              <w:lang w:eastAsia="en-IN"/>
            </w:rPr>
          </w:pPr>
          <w:hyperlink w:anchor="_Toc227865235" w:history="1">
            <w:r w:rsidRPr="002E4DB7">
              <w:rPr>
                <w:rStyle w:val="Hyperlink"/>
                <w:noProof w:val="0"/>
              </w:rPr>
              <w:t>3.1 Cash Operating Cycle</w:t>
            </w:r>
            <w:r w:rsidRPr="002E4DB7">
              <w:rPr>
                <w:webHidden/>
              </w:rPr>
              <w:tab/>
            </w:r>
            <w:r w:rsidRPr="002E4DB7">
              <w:rPr>
                <w:webHidden/>
              </w:rPr>
              <w:fldChar w:fldCharType="begin"/>
            </w:r>
            <w:r w:rsidRPr="002E4DB7">
              <w:rPr>
                <w:webHidden/>
              </w:rPr>
              <w:instrText xml:space="preserve"> PAGEREF _Toc227865235 \h </w:instrText>
            </w:r>
            <w:r w:rsidRPr="002E4DB7">
              <w:rPr>
                <w:webHidden/>
              </w:rPr>
            </w:r>
            <w:r w:rsidRPr="002E4DB7">
              <w:rPr>
                <w:webHidden/>
              </w:rPr>
              <w:fldChar w:fldCharType="separate"/>
            </w:r>
            <w:r w:rsidRPr="002E4DB7">
              <w:rPr>
                <w:webHidden/>
              </w:rPr>
              <w:t>12</w:t>
            </w:r>
            <w:r w:rsidRPr="002E4DB7">
              <w:rPr>
                <w:webHidden/>
              </w:rPr>
              <w:fldChar w:fldCharType="end"/>
            </w:r>
          </w:hyperlink>
        </w:p>
        <w:p w14:paraId="3D7C9D18" w14:textId="77777777" w:rsidR="000E17B4" w:rsidRPr="002E4DB7" w:rsidRDefault="000E17B4">
          <w:pPr>
            <w:pStyle w:val="TOC2"/>
            <w:tabs>
              <w:tab w:val="right" w:leader="dot" w:pos="9016"/>
            </w:tabs>
            <w:rPr>
              <w:rFonts w:asciiTheme="minorHAnsi" w:eastAsiaTheme="minorEastAsia" w:hAnsiTheme="minorHAnsi"/>
              <w:sz w:val="22"/>
              <w:lang w:eastAsia="en-IN"/>
            </w:rPr>
          </w:pPr>
          <w:hyperlink w:anchor="_Toc227865236" w:history="1">
            <w:r w:rsidRPr="002E4DB7">
              <w:rPr>
                <w:rStyle w:val="Hyperlink"/>
                <w:noProof w:val="0"/>
              </w:rPr>
              <w:t>3.2 Liquidity Issues</w:t>
            </w:r>
            <w:r w:rsidRPr="002E4DB7">
              <w:rPr>
                <w:webHidden/>
              </w:rPr>
              <w:tab/>
            </w:r>
            <w:r w:rsidRPr="002E4DB7">
              <w:rPr>
                <w:webHidden/>
              </w:rPr>
              <w:fldChar w:fldCharType="begin"/>
            </w:r>
            <w:r w:rsidRPr="002E4DB7">
              <w:rPr>
                <w:webHidden/>
              </w:rPr>
              <w:instrText xml:space="preserve"> PAGEREF _Toc227865236 \h </w:instrText>
            </w:r>
            <w:r w:rsidRPr="002E4DB7">
              <w:rPr>
                <w:webHidden/>
              </w:rPr>
            </w:r>
            <w:r w:rsidRPr="002E4DB7">
              <w:rPr>
                <w:webHidden/>
              </w:rPr>
              <w:fldChar w:fldCharType="separate"/>
            </w:r>
            <w:r w:rsidRPr="002E4DB7">
              <w:rPr>
                <w:webHidden/>
              </w:rPr>
              <w:t>13</w:t>
            </w:r>
            <w:r w:rsidRPr="002E4DB7">
              <w:rPr>
                <w:webHidden/>
              </w:rPr>
              <w:fldChar w:fldCharType="end"/>
            </w:r>
          </w:hyperlink>
        </w:p>
        <w:p w14:paraId="70A36AB2" w14:textId="77777777" w:rsidR="000E17B4" w:rsidRPr="002E4DB7" w:rsidRDefault="000E17B4">
          <w:pPr>
            <w:pStyle w:val="TOC2"/>
            <w:tabs>
              <w:tab w:val="right" w:leader="dot" w:pos="9016"/>
            </w:tabs>
            <w:rPr>
              <w:rFonts w:asciiTheme="minorHAnsi" w:eastAsiaTheme="minorEastAsia" w:hAnsiTheme="minorHAnsi"/>
              <w:sz w:val="22"/>
              <w:lang w:eastAsia="en-IN"/>
            </w:rPr>
          </w:pPr>
          <w:hyperlink w:anchor="_Toc227865237" w:history="1">
            <w:r w:rsidRPr="002E4DB7">
              <w:rPr>
                <w:rStyle w:val="Hyperlink"/>
                <w:noProof w:val="0"/>
              </w:rPr>
              <w:t>3.3 Improvement Strategies</w:t>
            </w:r>
            <w:r w:rsidRPr="002E4DB7">
              <w:rPr>
                <w:webHidden/>
              </w:rPr>
              <w:tab/>
            </w:r>
            <w:r w:rsidRPr="002E4DB7">
              <w:rPr>
                <w:webHidden/>
              </w:rPr>
              <w:fldChar w:fldCharType="begin"/>
            </w:r>
            <w:r w:rsidRPr="002E4DB7">
              <w:rPr>
                <w:webHidden/>
              </w:rPr>
              <w:instrText xml:space="preserve"> PAGEREF _Toc227865237 \h </w:instrText>
            </w:r>
            <w:r w:rsidRPr="002E4DB7">
              <w:rPr>
                <w:webHidden/>
              </w:rPr>
            </w:r>
            <w:r w:rsidRPr="002E4DB7">
              <w:rPr>
                <w:webHidden/>
              </w:rPr>
              <w:fldChar w:fldCharType="separate"/>
            </w:r>
            <w:r w:rsidRPr="002E4DB7">
              <w:rPr>
                <w:webHidden/>
              </w:rPr>
              <w:t>14</w:t>
            </w:r>
            <w:r w:rsidRPr="002E4DB7">
              <w:rPr>
                <w:webHidden/>
              </w:rPr>
              <w:fldChar w:fldCharType="end"/>
            </w:r>
          </w:hyperlink>
        </w:p>
        <w:p w14:paraId="48412BB8" w14:textId="77777777" w:rsidR="000E17B4" w:rsidRPr="002E4DB7" w:rsidRDefault="000E17B4">
          <w:pPr>
            <w:pStyle w:val="TOC1"/>
            <w:rPr>
              <w:rFonts w:asciiTheme="minorHAnsi" w:hAnsiTheme="minorHAnsi" w:cstheme="minorBidi"/>
              <w:sz w:val="22"/>
              <w:szCs w:val="22"/>
              <w:lang w:val="en-GB" w:eastAsia="en-IN"/>
            </w:rPr>
          </w:pPr>
          <w:hyperlink w:anchor="_Toc227865238" w:history="1">
            <w:r w:rsidRPr="002E4DB7">
              <w:rPr>
                <w:rStyle w:val="Hyperlink"/>
                <w:noProof w:val="0"/>
                <w:lang w:val="en-GB"/>
              </w:rPr>
              <w:t>4. Strategic Financial Restructuring Plan</w:t>
            </w:r>
            <w:r w:rsidRPr="002E4DB7">
              <w:rPr>
                <w:webHidden/>
                <w:lang w:val="en-GB"/>
              </w:rPr>
              <w:tab/>
            </w:r>
            <w:r w:rsidRPr="002E4DB7">
              <w:rPr>
                <w:webHidden/>
                <w:lang w:val="en-GB"/>
              </w:rPr>
              <w:fldChar w:fldCharType="begin"/>
            </w:r>
            <w:r w:rsidRPr="002E4DB7">
              <w:rPr>
                <w:webHidden/>
                <w:lang w:val="en-GB"/>
              </w:rPr>
              <w:instrText xml:space="preserve"> PAGEREF _Toc227865238 \h </w:instrText>
            </w:r>
            <w:r w:rsidRPr="002E4DB7">
              <w:rPr>
                <w:webHidden/>
                <w:lang w:val="en-GB"/>
              </w:rPr>
            </w:r>
            <w:r w:rsidRPr="002E4DB7">
              <w:rPr>
                <w:webHidden/>
                <w:lang w:val="en-GB"/>
              </w:rPr>
              <w:fldChar w:fldCharType="separate"/>
            </w:r>
            <w:r w:rsidRPr="002E4DB7">
              <w:rPr>
                <w:webHidden/>
                <w:lang w:val="en-GB"/>
              </w:rPr>
              <w:t>15</w:t>
            </w:r>
            <w:r w:rsidRPr="002E4DB7">
              <w:rPr>
                <w:webHidden/>
                <w:lang w:val="en-GB"/>
              </w:rPr>
              <w:fldChar w:fldCharType="end"/>
            </w:r>
          </w:hyperlink>
        </w:p>
        <w:p w14:paraId="073711D5" w14:textId="77777777" w:rsidR="000E17B4" w:rsidRPr="002E4DB7" w:rsidRDefault="000E17B4">
          <w:pPr>
            <w:pStyle w:val="TOC2"/>
            <w:tabs>
              <w:tab w:val="right" w:leader="dot" w:pos="9016"/>
            </w:tabs>
            <w:rPr>
              <w:rFonts w:asciiTheme="minorHAnsi" w:eastAsiaTheme="minorEastAsia" w:hAnsiTheme="minorHAnsi"/>
              <w:sz w:val="22"/>
              <w:lang w:eastAsia="en-IN"/>
            </w:rPr>
          </w:pPr>
          <w:hyperlink w:anchor="_Toc227865239" w:history="1">
            <w:r w:rsidRPr="002E4DB7">
              <w:rPr>
                <w:rStyle w:val="Hyperlink"/>
                <w:noProof w:val="0"/>
              </w:rPr>
              <w:t>4.1 Identification of Financial Problems</w:t>
            </w:r>
            <w:r w:rsidRPr="002E4DB7">
              <w:rPr>
                <w:webHidden/>
              </w:rPr>
              <w:tab/>
            </w:r>
            <w:r w:rsidRPr="002E4DB7">
              <w:rPr>
                <w:webHidden/>
              </w:rPr>
              <w:fldChar w:fldCharType="begin"/>
            </w:r>
            <w:r w:rsidRPr="002E4DB7">
              <w:rPr>
                <w:webHidden/>
              </w:rPr>
              <w:instrText xml:space="preserve"> PAGEREF _Toc227865239 \h </w:instrText>
            </w:r>
            <w:r w:rsidRPr="002E4DB7">
              <w:rPr>
                <w:webHidden/>
              </w:rPr>
            </w:r>
            <w:r w:rsidRPr="002E4DB7">
              <w:rPr>
                <w:webHidden/>
              </w:rPr>
              <w:fldChar w:fldCharType="separate"/>
            </w:r>
            <w:r w:rsidRPr="002E4DB7">
              <w:rPr>
                <w:webHidden/>
              </w:rPr>
              <w:t>15</w:t>
            </w:r>
            <w:r w:rsidRPr="002E4DB7">
              <w:rPr>
                <w:webHidden/>
              </w:rPr>
              <w:fldChar w:fldCharType="end"/>
            </w:r>
          </w:hyperlink>
        </w:p>
        <w:p w14:paraId="66B3BFA4" w14:textId="77777777" w:rsidR="000E17B4" w:rsidRPr="002E4DB7" w:rsidRDefault="000E17B4">
          <w:pPr>
            <w:pStyle w:val="TOC2"/>
            <w:tabs>
              <w:tab w:val="right" w:leader="dot" w:pos="9016"/>
            </w:tabs>
            <w:rPr>
              <w:rFonts w:asciiTheme="minorHAnsi" w:eastAsiaTheme="minorEastAsia" w:hAnsiTheme="minorHAnsi"/>
              <w:sz w:val="22"/>
              <w:lang w:eastAsia="en-IN"/>
            </w:rPr>
          </w:pPr>
          <w:hyperlink w:anchor="_Toc227865240" w:history="1">
            <w:r w:rsidRPr="002E4DB7">
              <w:rPr>
                <w:rStyle w:val="Hyperlink"/>
                <w:noProof w:val="0"/>
              </w:rPr>
              <w:t>4.2 Restructuring Options</w:t>
            </w:r>
            <w:r w:rsidRPr="002E4DB7">
              <w:rPr>
                <w:webHidden/>
              </w:rPr>
              <w:tab/>
            </w:r>
            <w:r w:rsidRPr="002E4DB7">
              <w:rPr>
                <w:webHidden/>
              </w:rPr>
              <w:fldChar w:fldCharType="begin"/>
            </w:r>
            <w:r w:rsidRPr="002E4DB7">
              <w:rPr>
                <w:webHidden/>
              </w:rPr>
              <w:instrText xml:space="preserve"> PAGEREF _Toc227865240 \h </w:instrText>
            </w:r>
            <w:r w:rsidRPr="002E4DB7">
              <w:rPr>
                <w:webHidden/>
              </w:rPr>
            </w:r>
            <w:r w:rsidRPr="002E4DB7">
              <w:rPr>
                <w:webHidden/>
              </w:rPr>
              <w:fldChar w:fldCharType="separate"/>
            </w:r>
            <w:r w:rsidRPr="002E4DB7">
              <w:rPr>
                <w:webHidden/>
              </w:rPr>
              <w:t>16</w:t>
            </w:r>
            <w:r w:rsidRPr="002E4DB7">
              <w:rPr>
                <w:webHidden/>
              </w:rPr>
              <w:fldChar w:fldCharType="end"/>
            </w:r>
          </w:hyperlink>
        </w:p>
        <w:p w14:paraId="18CBD750" w14:textId="77777777" w:rsidR="000E17B4" w:rsidRPr="002E4DB7" w:rsidRDefault="000E17B4">
          <w:pPr>
            <w:pStyle w:val="TOC2"/>
            <w:tabs>
              <w:tab w:val="right" w:leader="dot" w:pos="9016"/>
            </w:tabs>
            <w:rPr>
              <w:rFonts w:asciiTheme="minorHAnsi" w:eastAsiaTheme="minorEastAsia" w:hAnsiTheme="minorHAnsi"/>
              <w:sz w:val="22"/>
              <w:lang w:eastAsia="en-IN"/>
            </w:rPr>
          </w:pPr>
          <w:hyperlink w:anchor="_Toc227865241" w:history="1">
            <w:r w:rsidRPr="002E4DB7">
              <w:rPr>
                <w:rStyle w:val="Hyperlink"/>
                <w:noProof w:val="0"/>
              </w:rPr>
              <w:t>4.3 Impact Analysis</w:t>
            </w:r>
            <w:r w:rsidRPr="002E4DB7">
              <w:rPr>
                <w:webHidden/>
              </w:rPr>
              <w:tab/>
            </w:r>
            <w:r w:rsidRPr="002E4DB7">
              <w:rPr>
                <w:webHidden/>
              </w:rPr>
              <w:fldChar w:fldCharType="begin"/>
            </w:r>
            <w:r w:rsidRPr="002E4DB7">
              <w:rPr>
                <w:webHidden/>
              </w:rPr>
              <w:instrText xml:space="preserve"> PAGEREF _Toc227865241 \h </w:instrText>
            </w:r>
            <w:r w:rsidRPr="002E4DB7">
              <w:rPr>
                <w:webHidden/>
              </w:rPr>
            </w:r>
            <w:r w:rsidRPr="002E4DB7">
              <w:rPr>
                <w:webHidden/>
              </w:rPr>
              <w:fldChar w:fldCharType="separate"/>
            </w:r>
            <w:r w:rsidRPr="002E4DB7">
              <w:rPr>
                <w:webHidden/>
              </w:rPr>
              <w:t>16</w:t>
            </w:r>
            <w:r w:rsidRPr="002E4DB7">
              <w:rPr>
                <w:webHidden/>
              </w:rPr>
              <w:fldChar w:fldCharType="end"/>
            </w:r>
          </w:hyperlink>
        </w:p>
        <w:p w14:paraId="5F0FDEA5" w14:textId="77777777" w:rsidR="000E17B4" w:rsidRPr="002E4DB7" w:rsidRDefault="000E17B4">
          <w:pPr>
            <w:pStyle w:val="TOC2"/>
            <w:tabs>
              <w:tab w:val="right" w:leader="dot" w:pos="9016"/>
            </w:tabs>
            <w:rPr>
              <w:rFonts w:asciiTheme="minorHAnsi" w:eastAsiaTheme="minorEastAsia" w:hAnsiTheme="minorHAnsi"/>
              <w:sz w:val="22"/>
              <w:lang w:eastAsia="en-IN"/>
            </w:rPr>
          </w:pPr>
          <w:hyperlink w:anchor="_Toc227865242" w:history="1">
            <w:r w:rsidRPr="002E4DB7">
              <w:rPr>
                <w:rStyle w:val="Hyperlink"/>
                <w:noProof w:val="0"/>
              </w:rPr>
              <w:t>4.4 International &amp; Ethical Considerations</w:t>
            </w:r>
            <w:r w:rsidRPr="002E4DB7">
              <w:rPr>
                <w:webHidden/>
              </w:rPr>
              <w:tab/>
            </w:r>
            <w:r w:rsidRPr="002E4DB7">
              <w:rPr>
                <w:webHidden/>
              </w:rPr>
              <w:fldChar w:fldCharType="begin"/>
            </w:r>
            <w:r w:rsidRPr="002E4DB7">
              <w:rPr>
                <w:webHidden/>
              </w:rPr>
              <w:instrText xml:space="preserve"> PAGEREF _Toc227865242 \h </w:instrText>
            </w:r>
            <w:r w:rsidRPr="002E4DB7">
              <w:rPr>
                <w:webHidden/>
              </w:rPr>
            </w:r>
            <w:r w:rsidRPr="002E4DB7">
              <w:rPr>
                <w:webHidden/>
              </w:rPr>
              <w:fldChar w:fldCharType="separate"/>
            </w:r>
            <w:r w:rsidRPr="002E4DB7">
              <w:rPr>
                <w:webHidden/>
              </w:rPr>
              <w:t>17</w:t>
            </w:r>
            <w:r w:rsidRPr="002E4DB7">
              <w:rPr>
                <w:webHidden/>
              </w:rPr>
              <w:fldChar w:fldCharType="end"/>
            </w:r>
          </w:hyperlink>
        </w:p>
        <w:p w14:paraId="7EDD3DD3" w14:textId="77777777" w:rsidR="000E17B4" w:rsidRPr="002E4DB7" w:rsidRDefault="000E17B4">
          <w:pPr>
            <w:pStyle w:val="TOC1"/>
            <w:rPr>
              <w:rFonts w:asciiTheme="minorHAnsi" w:hAnsiTheme="minorHAnsi" w:cstheme="minorBidi"/>
              <w:sz w:val="22"/>
              <w:szCs w:val="22"/>
              <w:lang w:val="en-GB" w:eastAsia="en-IN"/>
            </w:rPr>
          </w:pPr>
          <w:hyperlink w:anchor="_Toc227865243" w:history="1">
            <w:r w:rsidRPr="002E4DB7">
              <w:rPr>
                <w:rStyle w:val="Hyperlink"/>
                <w:noProof w:val="0"/>
                <w:lang w:val="en-GB"/>
              </w:rPr>
              <w:t>5. Investment Appraisal and Capital Budgeting</w:t>
            </w:r>
            <w:r w:rsidRPr="002E4DB7">
              <w:rPr>
                <w:webHidden/>
                <w:lang w:val="en-GB"/>
              </w:rPr>
              <w:tab/>
            </w:r>
            <w:r w:rsidRPr="002E4DB7">
              <w:rPr>
                <w:webHidden/>
                <w:lang w:val="en-GB"/>
              </w:rPr>
              <w:fldChar w:fldCharType="begin"/>
            </w:r>
            <w:r w:rsidRPr="002E4DB7">
              <w:rPr>
                <w:webHidden/>
                <w:lang w:val="en-GB"/>
              </w:rPr>
              <w:instrText xml:space="preserve"> PAGEREF _Toc227865243 \h </w:instrText>
            </w:r>
            <w:r w:rsidRPr="002E4DB7">
              <w:rPr>
                <w:webHidden/>
                <w:lang w:val="en-GB"/>
              </w:rPr>
            </w:r>
            <w:r w:rsidRPr="002E4DB7">
              <w:rPr>
                <w:webHidden/>
                <w:lang w:val="en-GB"/>
              </w:rPr>
              <w:fldChar w:fldCharType="separate"/>
            </w:r>
            <w:r w:rsidRPr="002E4DB7">
              <w:rPr>
                <w:webHidden/>
                <w:lang w:val="en-GB"/>
              </w:rPr>
              <w:t>19</w:t>
            </w:r>
            <w:r w:rsidRPr="002E4DB7">
              <w:rPr>
                <w:webHidden/>
                <w:lang w:val="en-GB"/>
              </w:rPr>
              <w:fldChar w:fldCharType="end"/>
            </w:r>
          </w:hyperlink>
        </w:p>
        <w:p w14:paraId="0899B859" w14:textId="77777777" w:rsidR="000E17B4" w:rsidRPr="002E4DB7" w:rsidRDefault="000E17B4">
          <w:pPr>
            <w:pStyle w:val="TOC2"/>
            <w:tabs>
              <w:tab w:val="right" w:leader="dot" w:pos="9016"/>
            </w:tabs>
            <w:rPr>
              <w:rFonts w:asciiTheme="minorHAnsi" w:eastAsiaTheme="minorEastAsia" w:hAnsiTheme="minorHAnsi"/>
              <w:sz w:val="22"/>
              <w:lang w:eastAsia="en-IN"/>
            </w:rPr>
          </w:pPr>
          <w:hyperlink w:anchor="_Toc227865244" w:history="1">
            <w:r w:rsidRPr="002E4DB7">
              <w:rPr>
                <w:rStyle w:val="Hyperlink"/>
                <w:noProof w:val="0"/>
              </w:rPr>
              <w:t>5.1 Introduction to Investment Decision</w:t>
            </w:r>
            <w:r w:rsidRPr="002E4DB7">
              <w:rPr>
                <w:webHidden/>
              </w:rPr>
              <w:tab/>
            </w:r>
            <w:r w:rsidRPr="002E4DB7">
              <w:rPr>
                <w:webHidden/>
              </w:rPr>
              <w:fldChar w:fldCharType="begin"/>
            </w:r>
            <w:r w:rsidRPr="002E4DB7">
              <w:rPr>
                <w:webHidden/>
              </w:rPr>
              <w:instrText xml:space="preserve"> PAGEREF _Toc227865244 \h </w:instrText>
            </w:r>
            <w:r w:rsidRPr="002E4DB7">
              <w:rPr>
                <w:webHidden/>
              </w:rPr>
            </w:r>
            <w:r w:rsidRPr="002E4DB7">
              <w:rPr>
                <w:webHidden/>
              </w:rPr>
              <w:fldChar w:fldCharType="separate"/>
            </w:r>
            <w:r w:rsidRPr="002E4DB7">
              <w:rPr>
                <w:webHidden/>
              </w:rPr>
              <w:t>19</w:t>
            </w:r>
            <w:r w:rsidRPr="002E4DB7">
              <w:rPr>
                <w:webHidden/>
              </w:rPr>
              <w:fldChar w:fldCharType="end"/>
            </w:r>
          </w:hyperlink>
        </w:p>
        <w:p w14:paraId="0C41E901" w14:textId="77777777" w:rsidR="000E17B4" w:rsidRPr="002E4DB7" w:rsidRDefault="000E17B4">
          <w:pPr>
            <w:pStyle w:val="TOC2"/>
            <w:tabs>
              <w:tab w:val="right" w:leader="dot" w:pos="9016"/>
            </w:tabs>
            <w:rPr>
              <w:rFonts w:asciiTheme="minorHAnsi" w:eastAsiaTheme="minorEastAsia" w:hAnsiTheme="minorHAnsi"/>
              <w:sz w:val="22"/>
              <w:lang w:eastAsia="en-IN"/>
            </w:rPr>
          </w:pPr>
          <w:hyperlink w:anchor="_Toc227865245" w:history="1">
            <w:r w:rsidRPr="002E4DB7">
              <w:rPr>
                <w:rStyle w:val="Hyperlink"/>
                <w:noProof w:val="0"/>
              </w:rPr>
              <w:t>5.2 Project Evaluation</w:t>
            </w:r>
            <w:r w:rsidRPr="002E4DB7">
              <w:rPr>
                <w:webHidden/>
              </w:rPr>
              <w:tab/>
            </w:r>
            <w:r w:rsidRPr="002E4DB7">
              <w:rPr>
                <w:webHidden/>
              </w:rPr>
              <w:fldChar w:fldCharType="begin"/>
            </w:r>
            <w:r w:rsidRPr="002E4DB7">
              <w:rPr>
                <w:webHidden/>
              </w:rPr>
              <w:instrText xml:space="preserve"> PAGEREF _Toc227865245 \h </w:instrText>
            </w:r>
            <w:r w:rsidRPr="002E4DB7">
              <w:rPr>
                <w:webHidden/>
              </w:rPr>
            </w:r>
            <w:r w:rsidRPr="002E4DB7">
              <w:rPr>
                <w:webHidden/>
              </w:rPr>
              <w:fldChar w:fldCharType="separate"/>
            </w:r>
            <w:r w:rsidRPr="002E4DB7">
              <w:rPr>
                <w:webHidden/>
              </w:rPr>
              <w:t>19</w:t>
            </w:r>
            <w:r w:rsidRPr="002E4DB7">
              <w:rPr>
                <w:webHidden/>
              </w:rPr>
              <w:fldChar w:fldCharType="end"/>
            </w:r>
          </w:hyperlink>
        </w:p>
        <w:p w14:paraId="57948774" w14:textId="77777777" w:rsidR="000E17B4" w:rsidRPr="002E4DB7" w:rsidRDefault="000E17B4">
          <w:pPr>
            <w:pStyle w:val="TOC2"/>
            <w:tabs>
              <w:tab w:val="right" w:leader="dot" w:pos="9016"/>
            </w:tabs>
            <w:rPr>
              <w:rFonts w:asciiTheme="minorHAnsi" w:eastAsiaTheme="minorEastAsia" w:hAnsiTheme="minorHAnsi"/>
              <w:sz w:val="22"/>
              <w:lang w:eastAsia="en-IN"/>
            </w:rPr>
          </w:pPr>
          <w:hyperlink w:anchor="_Toc227865246" w:history="1">
            <w:r w:rsidRPr="002E4DB7">
              <w:rPr>
                <w:rStyle w:val="Hyperlink"/>
                <w:noProof w:val="0"/>
              </w:rPr>
              <w:t>5.3 Project Recommendation</w:t>
            </w:r>
            <w:r w:rsidRPr="002E4DB7">
              <w:rPr>
                <w:webHidden/>
              </w:rPr>
              <w:tab/>
            </w:r>
            <w:r w:rsidRPr="002E4DB7">
              <w:rPr>
                <w:webHidden/>
              </w:rPr>
              <w:fldChar w:fldCharType="begin"/>
            </w:r>
            <w:r w:rsidRPr="002E4DB7">
              <w:rPr>
                <w:webHidden/>
              </w:rPr>
              <w:instrText xml:space="preserve"> PAGEREF _Toc227865246 \h </w:instrText>
            </w:r>
            <w:r w:rsidRPr="002E4DB7">
              <w:rPr>
                <w:webHidden/>
              </w:rPr>
            </w:r>
            <w:r w:rsidRPr="002E4DB7">
              <w:rPr>
                <w:webHidden/>
              </w:rPr>
              <w:fldChar w:fldCharType="separate"/>
            </w:r>
            <w:r w:rsidRPr="002E4DB7">
              <w:rPr>
                <w:webHidden/>
              </w:rPr>
              <w:t>21</w:t>
            </w:r>
            <w:r w:rsidRPr="002E4DB7">
              <w:rPr>
                <w:webHidden/>
              </w:rPr>
              <w:fldChar w:fldCharType="end"/>
            </w:r>
          </w:hyperlink>
        </w:p>
        <w:p w14:paraId="781D60E7" w14:textId="77777777" w:rsidR="000E17B4" w:rsidRPr="002E4DB7" w:rsidRDefault="000E17B4">
          <w:pPr>
            <w:pStyle w:val="TOC2"/>
            <w:tabs>
              <w:tab w:val="right" w:leader="dot" w:pos="9016"/>
            </w:tabs>
            <w:rPr>
              <w:rFonts w:asciiTheme="minorHAnsi" w:eastAsiaTheme="minorEastAsia" w:hAnsiTheme="minorHAnsi"/>
              <w:sz w:val="22"/>
              <w:lang w:eastAsia="en-IN"/>
            </w:rPr>
          </w:pPr>
          <w:hyperlink w:anchor="_Toc227865247" w:history="1">
            <w:r w:rsidRPr="002E4DB7">
              <w:rPr>
                <w:rStyle w:val="Hyperlink"/>
                <w:noProof w:val="0"/>
              </w:rPr>
              <w:t>5.4 Capital Rationing Decision</w:t>
            </w:r>
            <w:r w:rsidRPr="002E4DB7">
              <w:rPr>
                <w:webHidden/>
              </w:rPr>
              <w:tab/>
            </w:r>
            <w:r w:rsidRPr="002E4DB7">
              <w:rPr>
                <w:webHidden/>
              </w:rPr>
              <w:fldChar w:fldCharType="begin"/>
            </w:r>
            <w:r w:rsidRPr="002E4DB7">
              <w:rPr>
                <w:webHidden/>
              </w:rPr>
              <w:instrText xml:space="preserve"> PAGEREF _Toc227865247 \h </w:instrText>
            </w:r>
            <w:r w:rsidRPr="002E4DB7">
              <w:rPr>
                <w:webHidden/>
              </w:rPr>
            </w:r>
            <w:r w:rsidRPr="002E4DB7">
              <w:rPr>
                <w:webHidden/>
              </w:rPr>
              <w:fldChar w:fldCharType="separate"/>
            </w:r>
            <w:r w:rsidRPr="002E4DB7">
              <w:rPr>
                <w:webHidden/>
              </w:rPr>
              <w:t>22</w:t>
            </w:r>
            <w:r w:rsidRPr="002E4DB7">
              <w:rPr>
                <w:webHidden/>
              </w:rPr>
              <w:fldChar w:fldCharType="end"/>
            </w:r>
          </w:hyperlink>
        </w:p>
        <w:p w14:paraId="1A1B701C" w14:textId="77777777" w:rsidR="000E17B4" w:rsidRPr="002E4DB7" w:rsidRDefault="000E17B4">
          <w:pPr>
            <w:pStyle w:val="TOC2"/>
            <w:tabs>
              <w:tab w:val="right" w:leader="dot" w:pos="9016"/>
            </w:tabs>
            <w:rPr>
              <w:rFonts w:asciiTheme="minorHAnsi" w:eastAsiaTheme="minorEastAsia" w:hAnsiTheme="minorHAnsi"/>
              <w:sz w:val="22"/>
              <w:lang w:eastAsia="en-IN"/>
            </w:rPr>
          </w:pPr>
          <w:hyperlink w:anchor="_Toc227865248" w:history="1">
            <w:r w:rsidRPr="002E4DB7">
              <w:rPr>
                <w:rStyle w:val="Hyperlink"/>
                <w:noProof w:val="0"/>
              </w:rPr>
              <w:t>5.5 Risk Considerations</w:t>
            </w:r>
            <w:r w:rsidRPr="002E4DB7">
              <w:rPr>
                <w:webHidden/>
              </w:rPr>
              <w:tab/>
            </w:r>
            <w:r w:rsidRPr="002E4DB7">
              <w:rPr>
                <w:webHidden/>
              </w:rPr>
              <w:fldChar w:fldCharType="begin"/>
            </w:r>
            <w:r w:rsidRPr="002E4DB7">
              <w:rPr>
                <w:webHidden/>
              </w:rPr>
              <w:instrText xml:space="preserve"> PAGEREF _Toc227865248 \h </w:instrText>
            </w:r>
            <w:r w:rsidRPr="002E4DB7">
              <w:rPr>
                <w:webHidden/>
              </w:rPr>
            </w:r>
            <w:r w:rsidRPr="002E4DB7">
              <w:rPr>
                <w:webHidden/>
              </w:rPr>
              <w:fldChar w:fldCharType="separate"/>
            </w:r>
            <w:r w:rsidRPr="002E4DB7">
              <w:rPr>
                <w:webHidden/>
              </w:rPr>
              <w:t>22</w:t>
            </w:r>
            <w:r w:rsidRPr="002E4DB7">
              <w:rPr>
                <w:webHidden/>
              </w:rPr>
              <w:fldChar w:fldCharType="end"/>
            </w:r>
          </w:hyperlink>
        </w:p>
        <w:p w14:paraId="29A8B51F" w14:textId="77777777" w:rsidR="000E17B4" w:rsidRPr="002E4DB7" w:rsidRDefault="000E17B4">
          <w:pPr>
            <w:pStyle w:val="TOC1"/>
            <w:rPr>
              <w:rFonts w:asciiTheme="minorHAnsi" w:hAnsiTheme="minorHAnsi" w:cstheme="minorBidi"/>
              <w:sz w:val="22"/>
              <w:szCs w:val="22"/>
              <w:lang w:val="en-GB" w:eastAsia="en-IN"/>
            </w:rPr>
          </w:pPr>
          <w:hyperlink w:anchor="_Toc227865249" w:history="1">
            <w:r w:rsidRPr="002E4DB7">
              <w:rPr>
                <w:rStyle w:val="Hyperlink"/>
                <w:noProof w:val="0"/>
                <w:lang w:val="en-GB"/>
              </w:rPr>
              <w:t>6. Conclusion</w:t>
            </w:r>
            <w:r w:rsidRPr="002E4DB7">
              <w:rPr>
                <w:webHidden/>
                <w:lang w:val="en-GB"/>
              </w:rPr>
              <w:tab/>
            </w:r>
            <w:r w:rsidRPr="002E4DB7">
              <w:rPr>
                <w:webHidden/>
                <w:lang w:val="en-GB"/>
              </w:rPr>
              <w:fldChar w:fldCharType="begin"/>
            </w:r>
            <w:r w:rsidRPr="002E4DB7">
              <w:rPr>
                <w:webHidden/>
                <w:lang w:val="en-GB"/>
              </w:rPr>
              <w:instrText xml:space="preserve"> PAGEREF _Toc227865249 \h </w:instrText>
            </w:r>
            <w:r w:rsidRPr="002E4DB7">
              <w:rPr>
                <w:webHidden/>
                <w:lang w:val="en-GB"/>
              </w:rPr>
            </w:r>
            <w:r w:rsidRPr="002E4DB7">
              <w:rPr>
                <w:webHidden/>
                <w:lang w:val="en-GB"/>
              </w:rPr>
              <w:fldChar w:fldCharType="separate"/>
            </w:r>
            <w:r w:rsidRPr="002E4DB7">
              <w:rPr>
                <w:webHidden/>
                <w:lang w:val="en-GB"/>
              </w:rPr>
              <w:t>23</w:t>
            </w:r>
            <w:r w:rsidRPr="002E4DB7">
              <w:rPr>
                <w:webHidden/>
                <w:lang w:val="en-GB"/>
              </w:rPr>
              <w:fldChar w:fldCharType="end"/>
            </w:r>
          </w:hyperlink>
        </w:p>
        <w:p w14:paraId="48391CA9" w14:textId="77777777" w:rsidR="000E17B4" w:rsidRPr="002E4DB7" w:rsidRDefault="000E17B4">
          <w:pPr>
            <w:pStyle w:val="TOC1"/>
            <w:rPr>
              <w:rFonts w:asciiTheme="minorHAnsi" w:hAnsiTheme="minorHAnsi" w:cstheme="minorBidi"/>
              <w:sz w:val="22"/>
              <w:szCs w:val="22"/>
              <w:lang w:val="en-GB" w:eastAsia="en-IN"/>
            </w:rPr>
          </w:pPr>
          <w:hyperlink w:anchor="_Toc227865250" w:history="1">
            <w:r w:rsidRPr="002E4DB7">
              <w:rPr>
                <w:rStyle w:val="Hyperlink"/>
                <w:noProof w:val="0"/>
                <w:lang w:val="en-GB"/>
              </w:rPr>
              <w:t>7. References</w:t>
            </w:r>
            <w:r w:rsidRPr="002E4DB7">
              <w:rPr>
                <w:webHidden/>
                <w:lang w:val="en-GB"/>
              </w:rPr>
              <w:tab/>
            </w:r>
            <w:r w:rsidRPr="002E4DB7">
              <w:rPr>
                <w:webHidden/>
                <w:lang w:val="en-GB"/>
              </w:rPr>
              <w:fldChar w:fldCharType="begin"/>
            </w:r>
            <w:r w:rsidRPr="002E4DB7">
              <w:rPr>
                <w:webHidden/>
                <w:lang w:val="en-GB"/>
              </w:rPr>
              <w:instrText xml:space="preserve"> PAGEREF _Toc227865250 \h </w:instrText>
            </w:r>
            <w:r w:rsidRPr="002E4DB7">
              <w:rPr>
                <w:webHidden/>
                <w:lang w:val="en-GB"/>
              </w:rPr>
            </w:r>
            <w:r w:rsidRPr="002E4DB7">
              <w:rPr>
                <w:webHidden/>
                <w:lang w:val="en-GB"/>
              </w:rPr>
              <w:fldChar w:fldCharType="separate"/>
            </w:r>
            <w:r w:rsidRPr="002E4DB7">
              <w:rPr>
                <w:webHidden/>
                <w:lang w:val="en-GB"/>
              </w:rPr>
              <w:t>25</w:t>
            </w:r>
            <w:r w:rsidRPr="002E4DB7">
              <w:rPr>
                <w:webHidden/>
                <w:lang w:val="en-GB"/>
              </w:rPr>
              <w:fldChar w:fldCharType="end"/>
            </w:r>
          </w:hyperlink>
        </w:p>
        <w:p w14:paraId="520D544A" w14:textId="77777777" w:rsidR="003C6544" w:rsidRPr="002E4DB7" w:rsidRDefault="003C6544">
          <w:r w:rsidRPr="002E4DB7">
            <w:rPr>
              <w:b/>
              <w:bCs/>
            </w:rPr>
            <w:fldChar w:fldCharType="end"/>
          </w:r>
        </w:p>
      </w:sdtContent>
    </w:sdt>
    <w:p w14:paraId="64676D01" w14:textId="77777777" w:rsidR="00D51340" w:rsidRPr="002E4DB7" w:rsidRDefault="00D51340" w:rsidP="003C6544">
      <w:r w:rsidRPr="002E4DB7">
        <w:br w:type="page"/>
      </w:r>
    </w:p>
    <w:p w14:paraId="6ECD9C32" w14:textId="77777777" w:rsidR="008B2ED5" w:rsidRPr="002E4DB7" w:rsidRDefault="008B2ED5" w:rsidP="00580B5A">
      <w:pPr>
        <w:pStyle w:val="Heading1"/>
        <w:rPr>
          <w:lang w:val="en-GB"/>
        </w:rPr>
      </w:pPr>
      <w:bookmarkStart w:id="0" w:name="_Toc227865224"/>
      <w:r w:rsidRPr="002E4DB7">
        <w:rPr>
          <w:lang w:val="en-GB"/>
        </w:rPr>
        <w:lastRenderedPageBreak/>
        <w:t>1. Introduction</w:t>
      </w:r>
      <w:bookmarkEnd w:id="0"/>
    </w:p>
    <w:p w14:paraId="60EE2C63" w14:textId="77777777" w:rsidR="00EC0E8B" w:rsidRPr="002E4DB7" w:rsidRDefault="00EC0E8B" w:rsidP="00EC0E8B">
      <w:r w:rsidRPr="002E4DB7">
        <w:t>The shift to electric vehicles (EVs), the sustainability issue, and the technological advancements make changes in the global automotive market drastic. Toyota Motor Corporation, being one of the biggest car producers in the world, has also been more involved with the electrification strategies besides its conventional hybrid technologies</w:t>
      </w:r>
      <w:r w:rsidR="00E13C49" w:rsidRPr="002E4DB7">
        <w:t xml:space="preserve"> (Toyota Motor Corporation, 2023)</w:t>
      </w:r>
      <w:r w:rsidRPr="002E4DB7">
        <w:t>. With the competition growing in the entirely electric vehicle group, Toyota is finding itself in pressure to enhance its financial effectiveness, raise its resources dispersion and consolidation on its long-term role as a strategic member of the EV business.</w:t>
      </w:r>
    </w:p>
    <w:p w14:paraId="2C29C654" w14:textId="77777777" w:rsidR="00EC0E8B" w:rsidRPr="002E4DB7" w:rsidRDefault="00EC0E8B" w:rsidP="00EC0E8B">
      <w:r w:rsidRPr="002E4DB7">
        <w:t>The aim of the report is to analyse the financial management and financial performance of the Toyota as the Chief Financial Officer (CFO). Specifically, the report will evaluate the financial health, the major financial strengths and weaknesses of the company in the past five years, and recommend the strategies that could be implemented by the company in an effort of resolving the performance and sustainability issues. The report will also assess the investment opportunities, and suggest the most suitable capital allocation decisions, as far as financial appraisal techniques are concerned.</w:t>
      </w:r>
    </w:p>
    <w:p w14:paraId="59AA61BA" w14:textId="77777777" w:rsidR="008B2ED5" w:rsidRPr="002E4DB7" w:rsidRDefault="00EC0E8B" w:rsidP="00EC0E8B">
      <w:r w:rsidRPr="002E4DB7">
        <w:t>Financial ratios analysis will be done within the area of profitability, liquidity, efficiency, gearing and investment performance and Analysis will be done using the Cash flow trends to evaluate. Further, the report examines the working capital management practices, evaluates the potential financial restructuring policies and conducts investment analysis using respectable techniques such as Net Present Value (NPV) and Intrinsic rate of Return (IRR). They are as well accommodative of non-financial reasons like the risk and ethical implication.</w:t>
      </w:r>
    </w:p>
    <w:p w14:paraId="7873F4E8" w14:textId="77777777" w:rsidR="000E3FD4" w:rsidRPr="002E4DB7" w:rsidRDefault="00580B5A" w:rsidP="00580B5A">
      <w:pPr>
        <w:pStyle w:val="Heading1"/>
        <w:rPr>
          <w:lang w:val="en-GB"/>
        </w:rPr>
      </w:pPr>
      <w:bookmarkStart w:id="1" w:name="_Toc227865225"/>
      <w:r w:rsidRPr="002E4DB7">
        <w:rPr>
          <w:lang w:val="en-GB"/>
        </w:rPr>
        <w:t>2. Financial Health Check</w:t>
      </w:r>
      <w:bookmarkEnd w:id="1"/>
    </w:p>
    <w:p w14:paraId="13876E68" w14:textId="77777777" w:rsidR="000E3FD4" w:rsidRPr="002E4DB7" w:rsidRDefault="000E3FD4" w:rsidP="003F25C8">
      <w:pPr>
        <w:pStyle w:val="Heading2"/>
        <w:rPr>
          <w:lang w:val="en-GB"/>
        </w:rPr>
      </w:pPr>
      <w:bookmarkStart w:id="2" w:name="_Toc227865226"/>
      <w:r w:rsidRPr="002E4DB7">
        <w:rPr>
          <w:lang w:val="en-GB"/>
        </w:rPr>
        <w:t>2.1 Overview of F</w:t>
      </w:r>
      <w:r w:rsidR="00580B5A" w:rsidRPr="002E4DB7">
        <w:rPr>
          <w:lang w:val="en-GB"/>
        </w:rPr>
        <w:t>inancial Performance</w:t>
      </w:r>
      <w:bookmarkEnd w:id="2"/>
    </w:p>
    <w:p w14:paraId="4DA34480" w14:textId="77777777" w:rsidR="00580B5A" w:rsidRPr="002E4DB7" w:rsidRDefault="00EC0E8B" w:rsidP="00A41C3B">
      <w:r w:rsidRPr="002E4DB7">
        <w:t>Over a span of five years, between 2021 and 2025, Toyota is recording a steady increase in terms of revenue generation and profitability. The increased demand of hybrid and electric vehicles globally, and expansion of key markets in foreign countries enables increased revenues. According to this, the level of profitability improves in terms of a rise in margins and returns. By 2025, the net profit margin will be improved to 10.3% as compared to 7.2% in 2021, the gross margin will also be increased, to 22.4, which indicates a better cost efficiency and pricing strategy</w:t>
      </w:r>
      <w:r w:rsidR="005A50A1" w:rsidRPr="002E4DB7">
        <w:t xml:space="preserve"> (Toyota Motor Corporation, 2025)</w:t>
      </w:r>
      <w:r w:rsidRPr="002E4DB7">
        <w:t>.</w:t>
      </w:r>
    </w:p>
    <w:p w14:paraId="0B87CF99" w14:textId="77777777" w:rsidR="00580B5A" w:rsidRPr="002E4DB7" w:rsidRDefault="00580B5A" w:rsidP="00580B5A">
      <w:r w:rsidRPr="002E4DB7">
        <w:t xml:space="preserve">Despite external challenges such as supply chain disruptions and inflationary pressures, the company maintains consistent financial growth. This stability suggests effective cost control, </w:t>
      </w:r>
      <w:r w:rsidRPr="002E4DB7">
        <w:lastRenderedPageBreak/>
        <w:t xml:space="preserve">operational efficiency, and strategic investment in technology. </w:t>
      </w:r>
      <w:r w:rsidR="00667206" w:rsidRPr="002E4DB7">
        <w:t>T</w:t>
      </w:r>
      <w:r w:rsidRPr="002E4DB7">
        <w:t>he upward trend in both revenue and profitability indicates that Toyota is strengthening its financial position while adapting successfully to the transition towards electrification and sustainable mobility.</w:t>
      </w:r>
    </w:p>
    <w:p w14:paraId="7433E60A" w14:textId="77777777" w:rsidR="00580B5A" w:rsidRPr="002E4DB7" w:rsidRDefault="00580B5A" w:rsidP="003F25C8">
      <w:pPr>
        <w:pStyle w:val="Heading2"/>
        <w:rPr>
          <w:lang w:val="en-GB"/>
        </w:rPr>
      </w:pPr>
      <w:bookmarkStart w:id="3" w:name="_Toc227865227"/>
      <w:r w:rsidRPr="002E4DB7">
        <w:rPr>
          <w:lang w:val="en-GB"/>
        </w:rPr>
        <w:t>2.2 Profitability Ratios</w:t>
      </w:r>
      <w:bookmarkEnd w:id="3"/>
    </w:p>
    <w:p w14:paraId="060CF616" w14:textId="77777777" w:rsidR="00580B5A" w:rsidRPr="002E4DB7" w:rsidRDefault="00580B5A" w:rsidP="00580B5A">
      <w:r w:rsidRPr="002E4DB7">
        <w:t>Toyota’s profitability ratios show a clear and consistent improvement over the five-year period, reflecting enhanced operational efficiency and effective capital utilisation. The Return on Capital Employed (ROCE) increases from 10.5% in 2021 to 15.1% in 2025, indicating that the company is generating higher returns from its invested capital. This upward trend suggests improved management efficiency and stronger value creation for shareholders</w:t>
      </w:r>
      <w:r w:rsidR="007E4970" w:rsidRPr="002E4DB7">
        <w:t xml:space="preserve"> (Karim</w:t>
      </w:r>
      <w:r w:rsidR="00F02A26" w:rsidRPr="002E4DB7">
        <w:t xml:space="preserve"> </w:t>
      </w:r>
      <w:r w:rsidR="00F02A26" w:rsidRPr="002E4DB7">
        <w:rPr>
          <w:i/>
        </w:rPr>
        <w:t xml:space="preserve">et al., </w:t>
      </w:r>
      <w:r w:rsidR="007E4970" w:rsidRPr="002E4DB7">
        <w:t>2023)</w:t>
      </w:r>
      <w:r w:rsidRPr="002E4DB7">
        <w:t>.</w:t>
      </w:r>
    </w:p>
    <w:p w14:paraId="3A496569" w14:textId="77777777" w:rsidR="00A41C3B" w:rsidRPr="002E4DB7" w:rsidRDefault="00A41C3B" w:rsidP="00A41C3B">
      <w:pPr>
        <w:jc w:val="center"/>
        <w:rPr>
          <w:b/>
          <w:bCs/>
        </w:rPr>
      </w:pPr>
      <w:r w:rsidRPr="002E4DB7">
        <w:rPr>
          <w:noProof/>
          <w:lang w:eastAsia="en-IN"/>
        </w:rPr>
        <w:drawing>
          <wp:inline distT="0" distB="0" distL="0" distR="0" wp14:anchorId="63961DB5" wp14:editId="10FE9421">
            <wp:extent cx="5386705" cy="2892214"/>
            <wp:effectExtent l="0" t="0" r="4445" b="381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CC4488F" w14:textId="77777777" w:rsidR="00EC0E8B" w:rsidRPr="002E4DB7" w:rsidRDefault="00EC0E8B" w:rsidP="00EC0E8B">
      <w:r w:rsidRPr="002E4DB7">
        <w:t>Net Profit Margin is also rising continuously and rising to 10.3% in 2025, as compared to 7.2% in 2021. This improvement demonstrates that Toyota is increasingly becoming competent in addressing the operating cost and profiting the revenue. The rise in the margin can be attributed to the economies of scale, and improvement of the efficiency of the production process and the strategic orientation that are more favourable in terms of their margins, including the hybrid and electric vehicles.</w:t>
      </w:r>
    </w:p>
    <w:p w14:paraId="01206082" w14:textId="58C2E7E1" w:rsidR="00580B5A" w:rsidRPr="002E4DB7" w:rsidRDefault="00EC0E8B" w:rsidP="00EC0E8B">
      <w:r w:rsidRPr="002E4DB7">
        <w:t xml:space="preserve">Similarly, Gross Margin grows to enhance its 19.5% in the year 2021 to 22.4% in the year 2025 and this means that it would be in control of the direct production </w:t>
      </w:r>
      <w:r w:rsidR="00E26A38" w:rsidRPr="002E4DB7">
        <w:t>costs,</w:t>
      </w:r>
      <w:r w:rsidRPr="002E4DB7">
        <w:t xml:space="preserve"> such as: cost of materials and labour. This is an indication of optimisation of costs and improved supply chain management strategies</w:t>
      </w:r>
      <w:r w:rsidR="00987362" w:rsidRPr="002E4DB7">
        <w:t xml:space="preserve"> (Karim </w:t>
      </w:r>
      <w:r w:rsidR="00987362" w:rsidRPr="002E4DB7">
        <w:rPr>
          <w:i/>
        </w:rPr>
        <w:t xml:space="preserve">et al., </w:t>
      </w:r>
      <w:r w:rsidR="00987362" w:rsidRPr="002E4DB7">
        <w:t>2023).</w:t>
      </w:r>
    </w:p>
    <w:p w14:paraId="52230470" w14:textId="77777777" w:rsidR="00580B5A" w:rsidRPr="002E4DB7" w:rsidRDefault="00580B5A" w:rsidP="003F25C8">
      <w:pPr>
        <w:pStyle w:val="Heading2"/>
        <w:rPr>
          <w:lang w:val="en-GB"/>
        </w:rPr>
      </w:pPr>
      <w:bookmarkStart w:id="4" w:name="_Toc227865228"/>
      <w:r w:rsidRPr="002E4DB7">
        <w:rPr>
          <w:lang w:val="en-GB"/>
        </w:rPr>
        <w:lastRenderedPageBreak/>
        <w:t>2.3 Liquidity Ratios</w:t>
      </w:r>
      <w:bookmarkEnd w:id="4"/>
    </w:p>
    <w:p w14:paraId="246E12C9" w14:textId="77777777" w:rsidR="00C64ACC" w:rsidRPr="002E4DB7" w:rsidRDefault="00C64ACC" w:rsidP="00C64ACC">
      <w:r w:rsidRPr="002E4DB7">
        <w:t>The liquidity position of Toyota is gradually improving during the five years period thus demonstrating an enhanced capacity to cover the short-term financial commitment. The Current Ratio becomes better in 2025 in comparison to 2021 where current assets provide better value to current liabilities. This shows that the firm is adequately working with the working capital and its short term financial status has gone improvement</w:t>
      </w:r>
      <w:r w:rsidR="00B56913" w:rsidRPr="002E4DB7">
        <w:t xml:space="preserve"> (Blessi</w:t>
      </w:r>
      <w:r w:rsidR="001D5410" w:rsidRPr="002E4DB7">
        <w:t xml:space="preserve">ng and Sakouvogui, </w:t>
      </w:r>
      <w:r w:rsidR="00B56913" w:rsidRPr="002E4DB7">
        <w:t>2023)</w:t>
      </w:r>
      <w:r w:rsidRPr="002E4DB7">
        <w:t>.</w:t>
      </w:r>
    </w:p>
    <w:p w14:paraId="2DD35CA6" w14:textId="77777777" w:rsidR="00C64ACC" w:rsidRPr="002E4DB7" w:rsidRDefault="00A41C3B" w:rsidP="00C64ACC">
      <w:pPr>
        <w:jc w:val="center"/>
        <w:rPr>
          <w:b/>
          <w:bCs/>
        </w:rPr>
      </w:pPr>
      <w:r w:rsidRPr="002E4DB7">
        <w:rPr>
          <w:noProof/>
          <w:lang w:eastAsia="en-IN"/>
        </w:rPr>
        <w:drawing>
          <wp:inline distT="0" distB="0" distL="0" distR="0" wp14:anchorId="118574A2" wp14:editId="47D818A2">
            <wp:extent cx="5438775" cy="3081866"/>
            <wp:effectExtent l="0" t="0" r="9525" b="444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096058D" w14:textId="77777777" w:rsidR="00C64ACC" w:rsidRPr="002E4DB7" w:rsidRDefault="00C64ACC" w:rsidP="00C64ACC">
      <w:r w:rsidRPr="002E4DB7">
        <w:t>The Quick Ratio also shows an upward trend and the figures have been raised to 1.05 as of 2025 because it stands at 0.85 in 2021. Although this ratio is lower than one implying that the company needs some assistance of its inventory to meet its obligation, as of 2025, it is greater than one</w:t>
      </w:r>
      <w:r w:rsidR="00E718C5" w:rsidRPr="002E4DB7">
        <w:t xml:space="preserve"> (Blessing and Sakouvogui, 2023).</w:t>
      </w:r>
      <w:r w:rsidRPr="002E4DB7">
        <w:t xml:space="preserve"> This demonstrates that Toyota has increased its liquid strength and it has also reduced the dependability of conversion of inventories to obtain liquidity.</w:t>
      </w:r>
    </w:p>
    <w:p w14:paraId="365FC35F" w14:textId="77777777" w:rsidR="00C64ACC" w:rsidRPr="002E4DB7" w:rsidRDefault="00C64ACC" w:rsidP="00C64ACC">
      <w:r w:rsidRPr="002E4DB7">
        <w:t>The gradual increase in the two ratios is a good sign of effective working capital management like better management of receivables, payables and cash balances. However, the ratios lie within idle moderate values, which means that the company does not keep quite many idle assets, therefore, operational efficiency</w:t>
      </w:r>
      <w:r w:rsidR="00915DCE" w:rsidRPr="002E4DB7">
        <w:t xml:space="preserve"> (Blessing and Sakouvogui, 2023).</w:t>
      </w:r>
    </w:p>
    <w:p w14:paraId="12D6E27D" w14:textId="77777777" w:rsidR="00580B5A" w:rsidRPr="002E4DB7" w:rsidRDefault="002B56E6" w:rsidP="00580B5A">
      <w:r w:rsidRPr="002E4DB7">
        <w:t>Therefore,</w:t>
      </w:r>
      <w:r w:rsidR="00C64ACC" w:rsidRPr="002E4DB7">
        <w:t xml:space="preserve"> Toyota has a stable and strengthening liquidity stance providing some assurance on its capacity to meet the challenges of the short-term liabilities and to continue operating and investing in strategies.</w:t>
      </w:r>
    </w:p>
    <w:p w14:paraId="58BB9A1E" w14:textId="77777777" w:rsidR="00580B5A" w:rsidRPr="002E4DB7" w:rsidRDefault="00580B5A" w:rsidP="003F25C8">
      <w:pPr>
        <w:pStyle w:val="Heading2"/>
        <w:rPr>
          <w:lang w:val="en-GB"/>
        </w:rPr>
      </w:pPr>
      <w:bookmarkStart w:id="5" w:name="_Toc227865229"/>
      <w:r w:rsidRPr="002E4DB7">
        <w:rPr>
          <w:lang w:val="en-GB"/>
        </w:rPr>
        <w:lastRenderedPageBreak/>
        <w:t>2.4 Efficiency Ratios</w:t>
      </w:r>
      <w:bookmarkEnd w:id="5"/>
    </w:p>
    <w:p w14:paraId="30146065" w14:textId="77777777" w:rsidR="00C64ACC" w:rsidRPr="002E4DB7" w:rsidRDefault="00C64ACC" w:rsidP="00C64ACC">
      <w:r w:rsidRPr="002E4DB7">
        <w:t>The ratios of Toyota efficiencies demonstrate that the increased operational performance has been boosted throughout the years of five. The inventory turnover increases by 8.5 to 10.0 times comparatively in the years 2021 to 2025 suggesting that the company is turning over its inventory more in 2025</w:t>
      </w:r>
      <w:r w:rsidR="00D56689" w:rsidRPr="002E4DB7">
        <w:t xml:space="preserve"> (Toyota Motor Corporation, 2025).</w:t>
      </w:r>
      <w:r w:rsidRPr="002E4DB7">
        <w:t xml:space="preserve"> This means there is improved control of inventory and the holding cost is reduced which is highly essential in a changing automotive industry.</w:t>
      </w:r>
    </w:p>
    <w:p w14:paraId="18C2C0F6" w14:textId="77777777" w:rsidR="00EB156E" w:rsidRPr="002E4DB7" w:rsidRDefault="00EB156E" w:rsidP="00EB156E">
      <w:pPr>
        <w:jc w:val="center"/>
        <w:rPr>
          <w:b/>
          <w:bCs/>
        </w:rPr>
      </w:pPr>
      <w:r w:rsidRPr="002E4DB7">
        <w:rPr>
          <w:noProof/>
          <w:lang w:eastAsia="en-IN"/>
        </w:rPr>
        <w:drawing>
          <wp:inline distT="0" distB="0" distL="0" distR="0" wp14:anchorId="4835D804" wp14:editId="54ACF123">
            <wp:extent cx="5731510" cy="2673350"/>
            <wp:effectExtent l="0" t="0" r="2540" b="1270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2714EAD" w14:textId="77777777" w:rsidR="00C64ACC" w:rsidRPr="002E4DB7" w:rsidRDefault="00C64ACC" w:rsidP="00C64ACC">
      <w:r w:rsidRPr="002E4DB7">
        <w:t>Receivables days would decline to 36 days in 2025, downwards of 45 days in 2021, i.e. Toyota is collecting receivables at a higher rate. This not only maximizes cash flow but also reduces the bad debt risk that also enhances working capital efficiency.</w:t>
      </w:r>
    </w:p>
    <w:p w14:paraId="4FE3E3E4" w14:textId="77777777" w:rsidR="00C64ACC" w:rsidRPr="002E4DB7" w:rsidRDefault="00C64ACC" w:rsidP="00C64ACC">
      <w:r w:rsidRPr="002E4DB7">
        <w:t>The growth of the asset turnover is also continuous, decreasing in 2021 (0.65) and growing in 2025 (0.78). It shows that the company is earning more on its unit asset indicating a better utilisation of the company asset base. It is likely that the causes are improved production and capacity utilisation.</w:t>
      </w:r>
    </w:p>
    <w:p w14:paraId="74AA7FA3" w14:textId="77777777" w:rsidR="000E3FD4" w:rsidRPr="002E4DB7" w:rsidRDefault="0009321E" w:rsidP="00580B5A">
      <w:r w:rsidRPr="002E4DB7">
        <w:t>Therefore</w:t>
      </w:r>
      <w:r w:rsidR="00C64ACC" w:rsidRPr="002E4DB7">
        <w:t>, the move towards the higher efficiency ratios shows that Toyota has the opportunity to optimise resource use, streamline its activity and become more efficient, which further leads to the improved financial performance and operational efficiency.</w:t>
      </w:r>
    </w:p>
    <w:p w14:paraId="4BEF90F1" w14:textId="77777777" w:rsidR="000E3FD4" w:rsidRPr="002E4DB7" w:rsidRDefault="00580B5A" w:rsidP="003F25C8">
      <w:pPr>
        <w:pStyle w:val="Heading2"/>
        <w:rPr>
          <w:lang w:val="en-GB"/>
        </w:rPr>
      </w:pPr>
      <w:bookmarkStart w:id="6" w:name="_Toc227865230"/>
      <w:r w:rsidRPr="002E4DB7">
        <w:rPr>
          <w:lang w:val="en-GB"/>
        </w:rPr>
        <w:t>2.5 Gearing Ratios</w:t>
      </w:r>
      <w:bookmarkEnd w:id="6"/>
    </w:p>
    <w:p w14:paraId="409849A3" w14:textId="77777777" w:rsidR="00580B5A" w:rsidRPr="002E4DB7" w:rsidRDefault="00A36FBB" w:rsidP="00580B5A">
      <w:r w:rsidRPr="002E4DB7">
        <w:t xml:space="preserve">The gearing of Toyota is also on a slowed growth trend of 5-year period, which implies a reduction in financial risk and financial stability. It reduces to 1.00 in 2025, down a notch compared to 1.20 in 2021, indicating an equal capital structure with less dependency on the use </w:t>
      </w:r>
      <w:r w:rsidRPr="002E4DB7">
        <w:lastRenderedPageBreak/>
        <w:t>of debt financing</w:t>
      </w:r>
      <w:r w:rsidR="00D56689" w:rsidRPr="002E4DB7">
        <w:t xml:space="preserve"> (Toyota Motor Corporation, 2025).</w:t>
      </w:r>
      <w:r w:rsidRPr="002E4DB7">
        <w:t xml:space="preserve"> This declining trend means that the company is either repaying existing debt or accumulating share capital thereby improving its the long term solvency position.</w:t>
      </w:r>
    </w:p>
    <w:p w14:paraId="2D4DD51F" w14:textId="77777777" w:rsidR="00EB156E" w:rsidRPr="002E4DB7" w:rsidRDefault="00EB156E" w:rsidP="00580B5A">
      <w:r w:rsidRPr="002E4DB7">
        <w:rPr>
          <w:noProof/>
          <w:lang w:eastAsia="en-IN"/>
        </w:rPr>
        <w:drawing>
          <wp:inline distT="0" distB="0" distL="0" distR="0" wp14:anchorId="09ABA3D6" wp14:editId="18B8ED3C">
            <wp:extent cx="5730240" cy="3792354"/>
            <wp:effectExtent l="0" t="0" r="3810" b="1778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DF5D71D" w14:textId="77777777" w:rsidR="00DF79A4" w:rsidRPr="002E4DB7" w:rsidRDefault="00DF79A4" w:rsidP="00DF79A4">
      <w:r w:rsidRPr="002E4DB7">
        <w:t>In the meantime, interest cover ratio shows gradual improvement, with the 2025 being 9.5 times higher than in 2021 (6.5 times). This means that operating profits in Toyota is rising to a sufficient level to pay interest payments, preventing the risk of financial distress. The rise in the ratio of interest cover means the increased degree of its profitability and paying capacity in the context of overcoming debts.</w:t>
      </w:r>
    </w:p>
    <w:p w14:paraId="7B4A26A2" w14:textId="77777777" w:rsidR="00580B5A" w:rsidRPr="002E4DB7" w:rsidRDefault="00DF79A4" w:rsidP="00DF79A4">
      <w:r w:rsidRPr="002E4DB7">
        <w:t>Its debt-to-equity is decreasing and the interest cover is on the increase, which indicates that Toyota can utilize its financial position. The debt to equity ratio is also prudent and the company earnings are also comfortable enough to</w:t>
      </w:r>
      <w:r w:rsidR="00A36FBB" w:rsidRPr="002E4DB7">
        <w:t xml:space="preserve"> meet with its financing needs</w:t>
      </w:r>
      <w:r w:rsidR="00217FA1" w:rsidRPr="002E4DB7">
        <w:t xml:space="preserve"> (Aldo, 2022)</w:t>
      </w:r>
      <w:r w:rsidR="00A36FBB" w:rsidRPr="002E4DB7">
        <w:t>. T</w:t>
      </w:r>
      <w:r w:rsidRPr="002E4DB7">
        <w:t>he gearing ratios are all indicative of increased financial strength and lesser exposure to financial risk, as well as increased confidence of the investors and creditors.</w:t>
      </w:r>
    </w:p>
    <w:p w14:paraId="66B91068" w14:textId="77777777" w:rsidR="00580B5A" w:rsidRPr="002E4DB7" w:rsidRDefault="00580B5A" w:rsidP="003F25C8">
      <w:pPr>
        <w:pStyle w:val="Heading2"/>
        <w:rPr>
          <w:lang w:val="en-GB"/>
        </w:rPr>
      </w:pPr>
      <w:bookmarkStart w:id="7" w:name="_Toc227865231"/>
      <w:r w:rsidRPr="002E4DB7">
        <w:rPr>
          <w:lang w:val="en-GB"/>
        </w:rPr>
        <w:t>2.6 Investment Ratios</w:t>
      </w:r>
      <w:bookmarkEnd w:id="7"/>
    </w:p>
    <w:p w14:paraId="64B753D9" w14:textId="77777777" w:rsidR="00580B5A" w:rsidRPr="002E4DB7" w:rsidRDefault="00A36FBB" w:rsidP="00580B5A">
      <w:r w:rsidRPr="002E4DB7">
        <w:t xml:space="preserve">Investment ratios of Toyota indicate that it has positive returns on shareholders in the five years. The Earnings per Share (EPS) depicts a stable increase in earnings of the company with a 2.40 growth rate between 2021 and 2025 and a net profitability and shareholder value creation </w:t>
      </w:r>
      <w:r w:rsidRPr="002E4DB7">
        <w:lastRenderedPageBreak/>
        <w:t>increase</w:t>
      </w:r>
      <w:r w:rsidR="007D37DE" w:rsidRPr="002E4DB7">
        <w:t xml:space="preserve"> (Toyota Motor Corporation, 2025).</w:t>
      </w:r>
      <w:r w:rsidRPr="002E4DB7">
        <w:t xml:space="preserve"> This is a good trend as it means that this firm is likely to improve the performance of its earnings and in addition to this, it is likely to have an effective capital structure.</w:t>
      </w:r>
    </w:p>
    <w:p w14:paraId="6818A583" w14:textId="77777777" w:rsidR="00EB156E" w:rsidRPr="002E4DB7" w:rsidRDefault="00EB156E" w:rsidP="00EB156E">
      <w:pPr>
        <w:jc w:val="center"/>
        <w:rPr>
          <w:b/>
          <w:bCs/>
        </w:rPr>
      </w:pPr>
      <w:r w:rsidRPr="002E4DB7">
        <w:rPr>
          <w:noProof/>
          <w:lang w:eastAsia="en-IN"/>
        </w:rPr>
        <w:drawing>
          <wp:inline distT="0" distB="0" distL="0" distR="0" wp14:anchorId="0971DBE2" wp14:editId="700D32B5">
            <wp:extent cx="5723255" cy="2980267"/>
            <wp:effectExtent l="0" t="0" r="10795" b="1079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4929232" w14:textId="77777777" w:rsidR="00A36FBB" w:rsidRPr="002E4DB7" w:rsidRDefault="00A36FBB" w:rsidP="00A36FBB">
      <w:r w:rsidRPr="002E4DB7">
        <w:t>The progressive increase in the Dividend yield is also apparent as they increase to 3.5% in 2025, with the initial figure of 2.5% in 2021. It means that Toyota is paying higher returns to the shareholders as dividends, it might make investors more confident and will result in long term investment.</w:t>
      </w:r>
    </w:p>
    <w:p w14:paraId="55FF4874" w14:textId="77777777" w:rsidR="00580B5A" w:rsidRPr="002E4DB7" w:rsidRDefault="00A36FBB" w:rsidP="00A36FBB">
      <w:r w:rsidRPr="002E4DB7">
        <w:t>The rise in EPS and dividend yield have become two things together showing that not only the company is making more money, but also shareholders are receiving a sizable portion of the company profits in the form of dividend</w:t>
      </w:r>
      <w:r w:rsidR="00217FA1" w:rsidRPr="002E4DB7">
        <w:t xml:space="preserve"> (Budianto and Dewi, 2023)</w:t>
      </w:r>
      <w:r w:rsidRPr="002E4DB7">
        <w:t>. The general trend in the investment ratios is encouraging in that Toyota appears to be in good shape of helping to create shareholder value and have a good investment profile.</w:t>
      </w:r>
    </w:p>
    <w:p w14:paraId="3D8B5E23" w14:textId="77777777" w:rsidR="00580B5A" w:rsidRPr="002E4DB7" w:rsidRDefault="00580B5A" w:rsidP="003F25C8">
      <w:pPr>
        <w:pStyle w:val="Heading2"/>
        <w:rPr>
          <w:lang w:val="en-GB"/>
        </w:rPr>
      </w:pPr>
      <w:bookmarkStart w:id="8" w:name="_Toc227865232"/>
      <w:r w:rsidRPr="002E4DB7">
        <w:rPr>
          <w:lang w:val="en-GB"/>
        </w:rPr>
        <w:t>2.7 Cash Flow Analysis</w:t>
      </w:r>
      <w:bookmarkEnd w:id="8"/>
    </w:p>
    <w:p w14:paraId="26A72FF2" w14:textId="77777777" w:rsidR="00580B5A" w:rsidRPr="002E4DB7" w:rsidRDefault="00A36FBB" w:rsidP="00580B5A">
      <w:r w:rsidRPr="002E4DB7">
        <w:t>The five-year cash flow analysis of Toyota reflects nice ability to survive and invest in strategies. Its operating cash flows are expected to trend steadily with the forecast that in the period between 2021 and 2025, the cash flows will increase by about 25,000 million to 35,000 million indicating that the company employs its core activity to generate more cash</w:t>
      </w:r>
      <w:r w:rsidR="008127A3" w:rsidRPr="002E4DB7">
        <w:t xml:space="preserve"> (Toyota Motor Corporation, 2025).</w:t>
      </w:r>
      <w:r w:rsidRPr="002E4DB7">
        <w:t xml:space="preserve"> The growth encourages liquidity, reinvestment and financial stability.</w:t>
      </w:r>
    </w:p>
    <w:p w14:paraId="76E71879" w14:textId="77777777" w:rsidR="00EB156E" w:rsidRPr="002E4DB7" w:rsidRDefault="00EB156E" w:rsidP="00EB156E">
      <w:pPr>
        <w:jc w:val="center"/>
        <w:rPr>
          <w:b/>
          <w:bCs/>
        </w:rPr>
      </w:pPr>
      <w:r w:rsidRPr="002E4DB7">
        <w:rPr>
          <w:noProof/>
          <w:lang w:eastAsia="en-IN"/>
        </w:rPr>
        <w:lastRenderedPageBreak/>
        <w:drawing>
          <wp:inline distT="0" distB="0" distL="0" distR="0" wp14:anchorId="455F4024" wp14:editId="722C7E9D">
            <wp:extent cx="5678905" cy="3051175"/>
            <wp:effectExtent l="0" t="0" r="17145" b="1587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AA2D7B0" w14:textId="77777777" w:rsidR="00A36FBB" w:rsidRPr="002E4DB7" w:rsidRDefault="00A36FBB" w:rsidP="00A36FBB">
      <w:r w:rsidRPr="002E4DB7">
        <w:t>The cash flows investments also indicate a negative flow within the period to be between -18,000 million in 2021 and -26,000 million in 2025. This is an enormous capital investment and spending in long term assets including research and development and electrification technologies. Negative investment cash flows might not appear favourable in the short-run context but this is an indicator of investment in strategic growth in the future.</w:t>
      </w:r>
    </w:p>
    <w:p w14:paraId="74394CD5" w14:textId="77777777" w:rsidR="00580B5A" w:rsidRPr="002E4DB7" w:rsidRDefault="00A36FBB" w:rsidP="00A36FBB">
      <w:r w:rsidRPr="002E4DB7">
        <w:t>Negative cash flow financing as well exists with amounts of -5,000 million and -7,500 million of cash flow becoming negative. This suggests that the company is paying its debt, issuing dividends or in the form of a buyback of stock</w:t>
      </w:r>
      <w:r w:rsidR="00190B61" w:rsidRPr="002E4DB7">
        <w:t xml:space="preserve"> (Wulaningrum</w:t>
      </w:r>
      <w:r w:rsidR="003C3AF9" w:rsidRPr="002E4DB7">
        <w:t xml:space="preserve"> </w:t>
      </w:r>
      <w:r w:rsidR="003C3AF9" w:rsidRPr="002E4DB7">
        <w:rPr>
          <w:i/>
        </w:rPr>
        <w:t>et al.,</w:t>
      </w:r>
      <w:r w:rsidR="006347A3" w:rsidRPr="002E4DB7">
        <w:t xml:space="preserve"> 2022</w:t>
      </w:r>
      <w:r w:rsidR="00190B61" w:rsidRPr="002E4DB7">
        <w:t>)</w:t>
      </w:r>
      <w:r w:rsidR="003C3AF9" w:rsidRPr="002E4DB7">
        <w:t>. T</w:t>
      </w:r>
      <w:r w:rsidRPr="002E4DB7">
        <w:t>he cash flow trend reveals that the organisation is highly financially sound, the current operating cash is robust and could pursue new growth prospects besides being a good steward in funding their operations.</w:t>
      </w:r>
    </w:p>
    <w:p w14:paraId="554575AC" w14:textId="77777777" w:rsidR="00580B5A" w:rsidRPr="002E4DB7" w:rsidRDefault="00580B5A" w:rsidP="003F25C8">
      <w:pPr>
        <w:pStyle w:val="Heading2"/>
        <w:rPr>
          <w:lang w:val="en-GB"/>
        </w:rPr>
      </w:pPr>
      <w:bookmarkStart w:id="9" w:name="_Toc227865233"/>
      <w:r w:rsidRPr="002E4DB7">
        <w:rPr>
          <w:lang w:val="en-GB"/>
        </w:rPr>
        <w:t>2.8 Critical Evaluation</w:t>
      </w:r>
      <w:bookmarkEnd w:id="9"/>
    </w:p>
    <w:p w14:paraId="64C02FB5" w14:textId="77777777" w:rsidR="003E3C85" w:rsidRPr="002E4DB7" w:rsidRDefault="00580B5A" w:rsidP="003E3C85">
      <w:r w:rsidRPr="002E4DB7">
        <w:t>The overall financial analysis reveals several key strengths in Toyota’s performance over the five-year period. The consistent improvement in profitability ratios, including ROCE (10.5% to 15.1%), net profit margin (7.2% to 10.3%), and gross margin (19.5% to 22.4%), demonstrates enhanced operational efficiency and effective cost management</w:t>
      </w:r>
      <w:r w:rsidR="00217FA1" w:rsidRPr="002E4DB7">
        <w:t xml:space="preserve"> (Toyota Motor Corporation, 2025).</w:t>
      </w:r>
      <w:r w:rsidRPr="002E4DB7">
        <w:t xml:space="preserve"> </w:t>
      </w:r>
      <w:r w:rsidR="003E3C85" w:rsidRPr="002E4DB7">
        <w:t>Further, increased efficiency ratios; namely, turned-over inventory and receivables days improvement indicates that there is an improvement in resource utilisation and a better working capital management.</w:t>
      </w:r>
    </w:p>
    <w:p w14:paraId="3BF325FF" w14:textId="77777777" w:rsidR="003E3C85" w:rsidRPr="002E4DB7" w:rsidRDefault="003E3C85" w:rsidP="003E3C85">
      <w:r w:rsidRPr="002E4DB7">
        <w:lastRenderedPageBreak/>
        <w:t>There is also moderate improvement in liquidity with a current ratio of 1.30 (1.10) and, a quick ratio of over 1.0 of 2025. This means that it will be financially stable in the short run without excessive carry of idle assets</w:t>
      </w:r>
      <w:r w:rsidR="00264B8D" w:rsidRPr="002E4DB7">
        <w:t xml:space="preserve"> (Blessing and Sakouvogui, 2023).</w:t>
      </w:r>
      <w:r w:rsidRPr="002E4DB7">
        <w:t xml:space="preserve"> Also, there is a reduction in debt to equity ratio of 1.20 to 1.00 and a growth in interest cover ratio which is indicative of a stronger capital structure and a reduced financial risk.</w:t>
      </w:r>
    </w:p>
    <w:p w14:paraId="7A05690C" w14:textId="77777777" w:rsidR="003E3C85" w:rsidRPr="002E4DB7" w:rsidRDefault="003E3C85" w:rsidP="003E3C85">
      <w:r w:rsidRPr="002E4DB7">
        <w:t>However, there are some limitations. It is not a good liquidity ratio but its improvement is going in the right direction, however, it is not high and it may indicate that the business cannot expand easily in the short-term in case of a recession. Besides, high capital requirements as revealed by negative cash inflows on the investing cash flows exposes the firm to the risks in case the projected returns are not realised</w:t>
      </w:r>
      <w:r w:rsidR="00264B8D" w:rsidRPr="002E4DB7">
        <w:t xml:space="preserve"> stock (Wulaningrum </w:t>
      </w:r>
      <w:r w:rsidR="00264B8D" w:rsidRPr="002E4DB7">
        <w:rPr>
          <w:i/>
        </w:rPr>
        <w:t>et al.,</w:t>
      </w:r>
      <w:r w:rsidR="00264B8D" w:rsidRPr="002E4DB7">
        <w:t xml:space="preserve"> 2022).</w:t>
      </w:r>
    </w:p>
    <w:p w14:paraId="3C9BE127" w14:textId="77777777" w:rsidR="003E3C85" w:rsidRPr="002E4DB7" w:rsidRDefault="003E3C85" w:rsidP="003E3C85">
      <w:r w:rsidRPr="002E4DB7">
        <w:t>This trend analysis shows that Toyota is on the right way to increasingly more economical and financially sound organisation, and it is supported by good cash production and strategic investment. It is also evident that the company has been canning the balancing of growth and risk management, yet liquidity and the return on investment will be most necessary to consider further.</w:t>
      </w:r>
    </w:p>
    <w:p w14:paraId="43196F4F" w14:textId="77777777" w:rsidR="000E3FD4" w:rsidRPr="002E4DB7" w:rsidRDefault="003E3C85" w:rsidP="003E3C85">
      <w:r w:rsidRPr="002E4DB7">
        <w:t>In this way, the Toyota financial performance may be perceived as very sustainable with good financial tendencies regarding its profitability and efficiency yet leaving the financial risks rather satisfactorily high.</w:t>
      </w:r>
    </w:p>
    <w:p w14:paraId="41CFF0E2" w14:textId="77777777" w:rsidR="000E3FD4" w:rsidRPr="002E4DB7" w:rsidRDefault="000E3FD4" w:rsidP="00580B5A">
      <w:pPr>
        <w:pStyle w:val="Heading1"/>
        <w:rPr>
          <w:lang w:val="en-GB"/>
        </w:rPr>
      </w:pPr>
      <w:bookmarkStart w:id="10" w:name="_Toc227865234"/>
      <w:r w:rsidRPr="002E4DB7">
        <w:rPr>
          <w:lang w:val="en-GB"/>
        </w:rPr>
        <w:t>3. Working Capital Management Analysis</w:t>
      </w:r>
      <w:bookmarkEnd w:id="10"/>
    </w:p>
    <w:p w14:paraId="6158D701" w14:textId="77777777" w:rsidR="000E3FD4" w:rsidRPr="002E4DB7" w:rsidRDefault="00815AAB" w:rsidP="00FE68B5">
      <w:pPr>
        <w:pStyle w:val="Heading2"/>
        <w:rPr>
          <w:lang w:val="en-GB"/>
        </w:rPr>
      </w:pPr>
      <w:bookmarkStart w:id="11" w:name="_Toc227865235"/>
      <w:r w:rsidRPr="002E4DB7">
        <w:rPr>
          <w:lang w:val="en-GB"/>
        </w:rPr>
        <w:t>3.1 Cash Operating Cycle</w:t>
      </w:r>
      <w:bookmarkEnd w:id="11"/>
    </w:p>
    <w:p w14:paraId="283D3774" w14:textId="77777777" w:rsidR="00C70509" w:rsidRPr="002E4DB7" w:rsidRDefault="00C70509" w:rsidP="00C70509">
      <w:r w:rsidRPr="002E4DB7">
        <w:t>The cash operating cycle (COC) measures the efficiency with which a firm converts its investment in inventory and receivables into cash inflows</w:t>
      </w:r>
      <w:r w:rsidR="00264B8D" w:rsidRPr="002E4DB7">
        <w:t xml:space="preserve"> (Asman </w:t>
      </w:r>
      <w:r w:rsidR="00264B8D" w:rsidRPr="002E4DB7">
        <w:rPr>
          <w:i/>
        </w:rPr>
        <w:t xml:space="preserve">et al., </w:t>
      </w:r>
      <w:r w:rsidR="00264B8D" w:rsidRPr="002E4DB7">
        <w:t>2022)</w:t>
      </w:r>
      <w:r w:rsidRPr="002E4DB7">
        <w:t>. It is calculated as:</w:t>
      </w:r>
    </w:p>
    <w:p w14:paraId="4F851ACE" w14:textId="77777777" w:rsidR="00C70509" w:rsidRPr="002E4DB7" w:rsidRDefault="00C70509" w:rsidP="00C70509">
      <w:pPr>
        <w:jc w:val="center"/>
        <w:rPr>
          <w:b/>
        </w:rPr>
      </w:pPr>
      <m:oMathPara>
        <m:oMath>
          <m:r>
            <m:rPr>
              <m:sty m:val="b"/>
            </m:rPr>
            <w:rPr>
              <w:rFonts w:ascii="Cambria Math" w:hAnsi="Cambria Math"/>
            </w:rPr>
            <m:t>COC = Inventory Days + Receivables Days - Payables Days</m:t>
          </m:r>
        </m:oMath>
      </m:oMathPara>
    </w:p>
    <w:p w14:paraId="40623D7B" w14:textId="77777777" w:rsidR="00C70509" w:rsidRPr="002E4DB7" w:rsidRDefault="00C70509" w:rsidP="00815AAB">
      <w:r w:rsidRPr="002E4DB7">
        <w:t>A shorter cycle indicates stronger working capital efficiency and reduced reliance on external financing</w:t>
      </w:r>
      <w:r w:rsidR="00032267" w:rsidRPr="002E4DB7">
        <w:t xml:space="preserve"> (Asman </w:t>
      </w:r>
      <w:r w:rsidR="00032267" w:rsidRPr="002E4DB7">
        <w:rPr>
          <w:i/>
        </w:rPr>
        <w:t xml:space="preserve">et al., </w:t>
      </w:r>
      <w:r w:rsidR="00032267" w:rsidRPr="002E4DB7">
        <w:t>2022).</w:t>
      </w:r>
      <w:r w:rsidRPr="002E4DB7">
        <w:t xml:space="preserve"> </w:t>
      </w:r>
      <w:r w:rsidR="001576CB" w:rsidRPr="002E4DB7">
        <w:t>Based on the calculated ratios, it is evident that Toyota has improved its operating cycle in five years.</w:t>
      </w:r>
    </w:p>
    <w:p w14:paraId="13DD8010" w14:textId="77777777" w:rsidR="00815AAB" w:rsidRPr="002E4DB7" w:rsidRDefault="00815AAB" w:rsidP="00815AAB">
      <w:r w:rsidRPr="002E4DB7">
        <w:rPr>
          <w:noProof/>
          <w:lang w:eastAsia="en-IN"/>
        </w:rPr>
        <w:lastRenderedPageBreak/>
        <w:drawing>
          <wp:inline distT="0" distB="0" distL="0" distR="0" wp14:anchorId="30024F90" wp14:editId="63B30AD2">
            <wp:extent cx="5928995" cy="3753853"/>
            <wp:effectExtent l="0" t="0" r="14605" b="1841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3869A43" w14:textId="77777777" w:rsidR="00CD4C62" w:rsidRPr="002E4DB7" w:rsidRDefault="00CD4C62" w:rsidP="00CD4C62">
      <w:r w:rsidRPr="002E4DB7">
        <w:t>The data shows it as a decrease in the days of inventory, 43 in 2021 to 36 in 2025, as a sign of improved management and faster availability of inventory. This means that Toyota has advanced the planning of production and reduced holding costs.</w:t>
      </w:r>
      <w:r w:rsidR="00915DCE" w:rsidRPr="002E4DB7">
        <w:t xml:space="preserve"> </w:t>
      </w:r>
      <w:r w:rsidRPr="002E4DB7">
        <w:t>The declining receivables days to 36 indicates better control of the credit as well as faster receipts and payments</w:t>
      </w:r>
      <w:r w:rsidR="00DA22AB" w:rsidRPr="002E4DB7">
        <w:t xml:space="preserve"> (Asman </w:t>
      </w:r>
      <w:r w:rsidR="00DA22AB" w:rsidRPr="002E4DB7">
        <w:rPr>
          <w:i/>
        </w:rPr>
        <w:t xml:space="preserve">et al., </w:t>
      </w:r>
      <w:r w:rsidR="00DA22AB" w:rsidRPr="002E4DB7">
        <w:t>2022).</w:t>
      </w:r>
      <w:r w:rsidRPr="002E4DB7">
        <w:t xml:space="preserve"> This directly affects the enhancement of cash flows and reduction of working capital requirements.</w:t>
      </w:r>
    </w:p>
    <w:p w14:paraId="4DD8DBDF" w14:textId="77777777" w:rsidR="00C70509" w:rsidRPr="002E4DB7" w:rsidRDefault="00CD4C62" w:rsidP="00CD4C62">
      <w:r w:rsidRPr="002E4DB7">
        <w:t>Payables days increases to include 56 days from 50 days being paid and this means Toyota is stretching in the tact to the suppliers but not spoiling relations. This provides additional temporary funding and liquidity</w:t>
      </w:r>
      <w:r w:rsidR="00915DCE" w:rsidRPr="002E4DB7">
        <w:t xml:space="preserve"> (Wulaningrum </w:t>
      </w:r>
      <w:r w:rsidR="00915DCE" w:rsidRPr="002E4DB7">
        <w:rPr>
          <w:i/>
        </w:rPr>
        <w:t>et al.,</w:t>
      </w:r>
      <w:r w:rsidR="00915DCE" w:rsidRPr="002E4DB7">
        <w:t xml:space="preserve"> 2022). </w:t>
      </w:r>
      <w:r w:rsidRPr="002E4DB7">
        <w:t>This will greatly cut down the cash operating cycle by 38 days to 16 days. This decline indicates that there was a significant rise in working capital efficiency and Toyota was turning investments to cash at a faster rate, and reduced dependence on the financial resources.</w:t>
      </w:r>
    </w:p>
    <w:p w14:paraId="1377EA8F" w14:textId="77777777" w:rsidR="00C70509" w:rsidRPr="002E4DB7" w:rsidRDefault="00D06803" w:rsidP="003F25C8">
      <w:pPr>
        <w:pStyle w:val="Heading2"/>
        <w:rPr>
          <w:lang w:val="en-GB"/>
        </w:rPr>
      </w:pPr>
      <w:bookmarkStart w:id="12" w:name="_Toc227865236"/>
      <w:r w:rsidRPr="002E4DB7">
        <w:rPr>
          <w:lang w:val="en-GB"/>
        </w:rPr>
        <w:t>3.2 Liquidity Issues</w:t>
      </w:r>
      <w:bookmarkEnd w:id="12"/>
    </w:p>
    <w:p w14:paraId="7A6E1CAE" w14:textId="77777777" w:rsidR="00CD4C62" w:rsidRPr="002E4DB7" w:rsidRDefault="00CD4C62" w:rsidP="00CD4C62">
      <w:r w:rsidRPr="002E4DB7">
        <w:t>Despite the improvements to make to the cash operating cycle, Toyota has been faced with some liquidity constraints. It is also improving over the current ratios to 2025, as compared to the 2021 ratio of 1.10, which is an indicator that there is a slight improvement in paying off the short term obligations of the company (but marginally)</w:t>
      </w:r>
      <w:r w:rsidR="00CC1B65" w:rsidRPr="002E4DB7">
        <w:t xml:space="preserve"> (</w:t>
      </w:r>
      <w:r w:rsidR="00CC1B65" w:rsidRPr="002E4DB7">
        <w:rPr>
          <w:color w:val="000000"/>
        </w:rPr>
        <w:t>Toyota Motor Corporation, 2025</w:t>
      </w:r>
      <w:r w:rsidR="00CC1B65" w:rsidRPr="002E4DB7">
        <w:t>)</w:t>
      </w:r>
      <w:r w:rsidRPr="002E4DB7">
        <w:t xml:space="preserve">. </w:t>
      </w:r>
      <w:r w:rsidRPr="002E4DB7">
        <w:lastRenderedPageBreak/>
        <w:t>Though, the ratio is close to mean acceptable lowest liquidity reserves in case of financial emergency.</w:t>
      </w:r>
    </w:p>
    <w:p w14:paraId="6D4F29E8" w14:textId="77777777" w:rsidR="00EE4516" w:rsidRPr="002E4DB7" w:rsidRDefault="00CD4C62" w:rsidP="00CD4C62">
      <w:r w:rsidRPr="002E4DB7">
        <w:t>The quick ratio also increases to 1.05 in comparison to the 0.85 of the same period indicating that it is not so reliant on inventory to help cover the short-term liabilities. The comparatively low starting point, however, further underlines this argument in that the liquidity was used to depend on the conversion of inventory in the past that can be a challenge in an industry where the demand changes and supply chain disruptions are common</w:t>
      </w:r>
      <w:r w:rsidR="00915DCE" w:rsidRPr="002E4DB7">
        <w:t xml:space="preserve"> (Blessing and Sakouvogui, 2023). </w:t>
      </w:r>
      <w:r w:rsidRPr="002E4DB7">
        <w:t xml:space="preserve">Further, Toyota is experiencing enormous capital expenditure due to the increasing negative investing cash flows that places pressure on the cash reserves. </w:t>
      </w:r>
    </w:p>
    <w:p w14:paraId="11079C4D" w14:textId="77777777" w:rsidR="00C70509" w:rsidRPr="002E4DB7" w:rsidRDefault="00CD4C62" w:rsidP="00CD4C62">
      <w:r w:rsidRPr="002E4DB7">
        <w:t>Though these types of investments would give preference to growth over the long term, it would restrict the liquidity of the short-term, unless they are also matched by the equivalent of operating cash</w:t>
      </w:r>
      <w:r w:rsidR="00B14D98" w:rsidRPr="002E4DB7">
        <w:t xml:space="preserve"> inflows. </w:t>
      </w:r>
      <w:r w:rsidRPr="002E4DB7">
        <w:t>External risk to liquidity such as inflation, growing interest rates and uncertainty in global supply chains also exacerbate the situation. In such a way, despite the fact that Toyota has been enhancing its liquidity position, it is moderate and will have to be constrained and supervised.</w:t>
      </w:r>
    </w:p>
    <w:p w14:paraId="6C03E28D" w14:textId="77777777" w:rsidR="00D06803" w:rsidRPr="002E4DB7" w:rsidRDefault="00C70509" w:rsidP="003F25C8">
      <w:pPr>
        <w:pStyle w:val="Heading2"/>
        <w:rPr>
          <w:lang w:val="en-GB"/>
        </w:rPr>
      </w:pPr>
      <w:bookmarkStart w:id="13" w:name="_Toc227865237"/>
      <w:r w:rsidRPr="002E4DB7">
        <w:rPr>
          <w:lang w:val="en-GB"/>
        </w:rPr>
        <w:t>3.3 Im</w:t>
      </w:r>
      <w:r w:rsidR="00D06803" w:rsidRPr="002E4DB7">
        <w:rPr>
          <w:lang w:val="en-GB"/>
        </w:rPr>
        <w:t>provement Strategies</w:t>
      </w:r>
      <w:bookmarkEnd w:id="13"/>
    </w:p>
    <w:p w14:paraId="6C173E58" w14:textId="77777777" w:rsidR="00CD4C62" w:rsidRPr="002E4DB7" w:rsidRDefault="00CD4C62" w:rsidP="00CD4C62">
      <w:r w:rsidRPr="002E4DB7">
        <w:t>Toyota needs to incorporate organised optimisation strategies that are based on its current financial position in an attempt to enhance the working capital further. To start with, a lighter and better management of inventory can be attained by using better branding and e-chain solutions</w:t>
      </w:r>
      <w:r w:rsidR="00CC1B65" w:rsidRPr="002E4DB7">
        <w:t xml:space="preserve"> (Lijuan</w:t>
      </w:r>
      <w:r w:rsidR="00BA3271" w:rsidRPr="002E4DB7">
        <w:t xml:space="preserve"> </w:t>
      </w:r>
      <w:r w:rsidR="00BA3271" w:rsidRPr="002E4DB7">
        <w:rPr>
          <w:i/>
        </w:rPr>
        <w:t xml:space="preserve">et al., </w:t>
      </w:r>
      <w:r w:rsidR="00247DA5" w:rsidRPr="002E4DB7">
        <w:t>2023</w:t>
      </w:r>
      <w:r w:rsidR="00CC1B65" w:rsidRPr="002E4DB7">
        <w:t>)</w:t>
      </w:r>
      <w:r w:rsidRPr="002E4DB7">
        <w:t>. Inventory days have dropped by 36 days; though we can do more to attain inventory optimisation through real-time monitoring of inventory and just-in-time (JIT) production to ensure that the number of excess inventory/holding costs are minimised.</w:t>
      </w:r>
    </w:p>
    <w:p w14:paraId="52BFB13A" w14:textId="77777777" w:rsidR="00CD4C62" w:rsidRPr="002E4DB7" w:rsidRDefault="00CD4C62" w:rsidP="00CD4C62">
      <w:r w:rsidRPr="002E4DB7">
        <w:t>Second, control over the receivables will need to be tightened such that the cash flows are accelerated. The receivables days stand at 36 days, albeit, that the insurance of supplementary days would be to implement more stringent credit policies, instead of automating billing systems and promoting prompt payment. This would enhance liquidity and reduce reliance on external financing.</w:t>
      </w:r>
    </w:p>
    <w:p w14:paraId="1EFED045" w14:textId="77777777" w:rsidR="00CD4C62" w:rsidRPr="002E4DB7" w:rsidRDefault="00CD4C62" w:rsidP="00CD4C62">
      <w:r w:rsidRPr="002E4DB7">
        <w:t xml:space="preserve">Thirdly, Toyota will be able to maximize the payables management. The number of days payable grew to 56 days, which suggests that the organization could contact its suppliers with success, whereas the rate should be followed up to verify that the relations with suppliers are not affected adversely. A long payment term can be eliminated through introduction of supply </w:t>
      </w:r>
      <w:r w:rsidRPr="002E4DB7">
        <w:lastRenderedPageBreak/>
        <w:t>chain financing or dynamic discounting to balance between suppliers and satisfaction</w:t>
      </w:r>
      <w:r w:rsidR="00D514B1" w:rsidRPr="002E4DB7">
        <w:t xml:space="preserve"> (</w:t>
      </w:r>
      <w:r w:rsidR="00604F8B" w:rsidRPr="002E4DB7">
        <w:t xml:space="preserve">Hua </w:t>
      </w:r>
      <w:r w:rsidR="00604F8B" w:rsidRPr="002E4DB7">
        <w:rPr>
          <w:i/>
        </w:rPr>
        <w:t>et al.,</w:t>
      </w:r>
      <w:r w:rsidR="00604F8B" w:rsidRPr="002E4DB7">
        <w:t xml:space="preserve"> </w:t>
      </w:r>
      <w:r w:rsidR="00D514B1" w:rsidRPr="002E4DB7">
        <w:t>2023)</w:t>
      </w:r>
      <w:r w:rsidRPr="002E4DB7">
        <w:t>.</w:t>
      </w:r>
    </w:p>
    <w:p w14:paraId="3088A482" w14:textId="77777777" w:rsidR="00CD4C62" w:rsidRPr="002E4DB7" w:rsidRDefault="00CD4C62" w:rsidP="00CD4C62">
      <w:r w:rsidRPr="002E4DB7">
        <w:t>In addition, centralised cash management systems, such as cash pooling, can also help to improve liquidity transparency and distribution, globally in the conduct of the activities of the business. This enables maximum utilisation of surplus cash and maximised the superfluous balances.</w:t>
      </w:r>
    </w:p>
    <w:p w14:paraId="051BE6F9" w14:textId="77777777" w:rsidR="000E3FD4" w:rsidRPr="002E4DB7" w:rsidRDefault="00CD4C62" w:rsidP="00CD4C62">
      <w:r w:rsidRPr="002E4DB7">
        <w:t>Finally, it is also necessary to have a balanced financing scheme. Even though flexible financing may be secured by short-term financing, the percentage of stable long-term financing may be raised to reduce the chance of refinancing</w:t>
      </w:r>
      <w:r w:rsidR="00E95848" w:rsidRPr="002E4DB7">
        <w:t xml:space="preserve"> (Lijuan </w:t>
      </w:r>
      <w:r w:rsidR="00E95848" w:rsidRPr="002E4DB7">
        <w:rPr>
          <w:i/>
        </w:rPr>
        <w:t xml:space="preserve">et al., </w:t>
      </w:r>
      <w:r w:rsidR="00E95848" w:rsidRPr="002E4DB7">
        <w:t>2023).</w:t>
      </w:r>
      <w:r w:rsidRPr="002E4DB7">
        <w:t>This would then shorten the cash operating cycle, boost the liquidity and overall financial performance of Toyota.</w:t>
      </w:r>
    </w:p>
    <w:p w14:paraId="1A788679" w14:textId="77777777" w:rsidR="000E3FD4" w:rsidRPr="002E4DB7" w:rsidRDefault="000E3FD4" w:rsidP="003F25C8">
      <w:pPr>
        <w:pStyle w:val="Heading1"/>
        <w:rPr>
          <w:lang w:val="en-GB"/>
        </w:rPr>
      </w:pPr>
      <w:bookmarkStart w:id="14" w:name="_Toc227865238"/>
      <w:r w:rsidRPr="002E4DB7">
        <w:rPr>
          <w:lang w:val="en-GB"/>
        </w:rPr>
        <w:t>4. Strategic Financial Restructuring Plan</w:t>
      </w:r>
      <w:bookmarkEnd w:id="14"/>
    </w:p>
    <w:p w14:paraId="1CCB8349" w14:textId="77777777" w:rsidR="003F25C8" w:rsidRPr="002E4DB7" w:rsidRDefault="003F25C8" w:rsidP="003F25C8">
      <w:pPr>
        <w:pStyle w:val="Heading2"/>
        <w:rPr>
          <w:lang w:val="en-GB"/>
        </w:rPr>
      </w:pPr>
      <w:bookmarkStart w:id="15" w:name="_Toc227865239"/>
      <w:r w:rsidRPr="002E4DB7">
        <w:rPr>
          <w:lang w:val="en-GB"/>
        </w:rPr>
        <w:t>4.1 Identification of Financial Problems</w:t>
      </w:r>
      <w:bookmarkEnd w:id="15"/>
    </w:p>
    <w:p w14:paraId="46784B41" w14:textId="77777777" w:rsidR="00D23540" w:rsidRPr="002E4DB7" w:rsidRDefault="00D23540" w:rsidP="00D23540">
      <w:r w:rsidRPr="002E4DB7">
        <w:t>Despite the overall improvement of the financial aspect, several financial issues can be identified according to the ratio and cash flow analysis. Firstly, there is an increase in the current ratio in the period of 1.10-1.30, though not very high, which implies that the current ratio lacks any significant liquidity in the short run. This means that the business will be restricted in solving unforeseen financial obligations, particularly during the periods within which the economy is fluctuating.</w:t>
      </w:r>
    </w:p>
    <w:p w14:paraId="0FEBDE40" w14:textId="77777777" w:rsidR="00D23540" w:rsidRPr="002E4DB7" w:rsidRDefault="00D23540" w:rsidP="00D23540">
      <w:r w:rsidRPr="002E4DB7">
        <w:t>Secondly, the debt to equity ratio that declined to 1.00 as compared to 1.20, however, implies a heavy reliance on debt financing. Even though this level is not that demanding, it exposes the company to the risks of interest rate and the potential strain in conditions unfavourable to the company</w:t>
      </w:r>
      <w:r w:rsidR="00E95848" w:rsidRPr="002E4DB7">
        <w:t xml:space="preserve"> (Wulaningrum </w:t>
      </w:r>
      <w:r w:rsidR="00E95848" w:rsidRPr="002E4DB7">
        <w:rPr>
          <w:i/>
        </w:rPr>
        <w:t>et al.,</w:t>
      </w:r>
      <w:r w:rsidR="00E95848" w:rsidRPr="002E4DB7">
        <w:t xml:space="preserve"> 2022).</w:t>
      </w:r>
      <w:r w:rsidRPr="002E4DB7">
        <w:t xml:space="preserve"> The same might be said especially in view of the rising global interest rates.</w:t>
      </w:r>
    </w:p>
    <w:p w14:paraId="66B9E45C" w14:textId="77777777" w:rsidR="00D23540" w:rsidRPr="002E4DB7" w:rsidRDefault="00D23540" w:rsidP="00D23540">
      <w:r w:rsidRPr="002E4DB7">
        <w:t>Third, the cash flows of company investment are steadily losing (cash flow decrease) since in 2021, the cash flow has changed to -18,000 million and in 2025, the cash flow has changed to -26,000 million. It can be a long term strategic growth but on the contrary, it puts strain on short-term liquidity and moreover it makes one assume a higher risk financially in the event of non-realisation of returns projected.</w:t>
      </w:r>
    </w:p>
    <w:p w14:paraId="047A9696" w14:textId="77777777" w:rsidR="003F25C8" w:rsidRPr="002E4DB7" w:rsidRDefault="00D23540" w:rsidP="00D23540">
      <w:r w:rsidRPr="002E4DB7">
        <w:t xml:space="preserve">Finally, profitability ratios such as ROCE (15.1% in 2025) are at the refinement stage, and it still needs to optimise the returns on invested capital to justify the scale of the present </w:t>
      </w:r>
      <w:r w:rsidRPr="002E4DB7">
        <w:lastRenderedPageBreak/>
        <w:t>investments by the value</w:t>
      </w:r>
      <w:r w:rsidR="00E95848" w:rsidRPr="002E4DB7">
        <w:t xml:space="preserve"> (Karim </w:t>
      </w:r>
      <w:r w:rsidR="00E95848" w:rsidRPr="002E4DB7">
        <w:rPr>
          <w:i/>
        </w:rPr>
        <w:t xml:space="preserve">et al., </w:t>
      </w:r>
      <w:r w:rsidR="00E95848" w:rsidRPr="002E4DB7">
        <w:t>2023).</w:t>
      </w:r>
      <w:r w:rsidRPr="002E4DB7">
        <w:t xml:space="preserve"> These issues imply that financial restructuring plan should be formulated in well-structured style.</w:t>
      </w:r>
    </w:p>
    <w:p w14:paraId="6DEFA0F3" w14:textId="77777777" w:rsidR="003F25C8" w:rsidRPr="002E4DB7" w:rsidRDefault="003F25C8" w:rsidP="003F25C8">
      <w:pPr>
        <w:pStyle w:val="Heading2"/>
        <w:rPr>
          <w:lang w:val="en-GB"/>
        </w:rPr>
      </w:pPr>
      <w:bookmarkStart w:id="16" w:name="_Toc227865240"/>
      <w:r w:rsidRPr="002E4DB7">
        <w:rPr>
          <w:lang w:val="en-GB"/>
        </w:rPr>
        <w:t>4.2 Restructuring Options</w:t>
      </w:r>
      <w:bookmarkEnd w:id="16"/>
    </w:p>
    <w:p w14:paraId="1CFE8DC7" w14:textId="77777777" w:rsidR="003F25C8" w:rsidRPr="002E4DB7" w:rsidRDefault="003F25C8" w:rsidP="003F25C8">
      <w:pPr>
        <w:pStyle w:val="NormalWeb"/>
      </w:pPr>
      <w:r w:rsidRPr="002E4DB7">
        <w:t>To address the identified financial challenges, several restructuring options can be considered, including divestment, mergers, and equity financing.</w:t>
      </w:r>
    </w:p>
    <w:tbl>
      <w:tblPr>
        <w:tblStyle w:val="PlainTable5"/>
        <w:tblW w:w="0" w:type="auto"/>
        <w:tblLook w:val="04A0" w:firstRow="1" w:lastRow="0" w:firstColumn="1" w:lastColumn="0" w:noHBand="0" w:noVBand="1"/>
      </w:tblPr>
      <w:tblGrid>
        <w:gridCol w:w="2151"/>
        <w:gridCol w:w="2712"/>
        <w:gridCol w:w="2796"/>
        <w:gridCol w:w="1367"/>
      </w:tblGrid>
      <w:tr w:rsidR="003F25C8" w:rsidRPr="002E4DB7" w14:paraId="7582D420" w14:textId="77777777" w:rsidTr="003F25C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6C91DCBD" w14:textId="77777777" w:rsidR="003F25C8" w:rsidRPr="002E4DB7" w:rsidRDefault="003F25C8">
            <w:pPr>
              <w:jc w:val="center"/>
              <w:rPr>
                <w:b/>
                <w:bCs/>
              </w:rPr>
            </w:pPr>
            <w:r w:rsidRPr="002E4DB7">
              <w:rPr>
                <w:b/>
                <w:bCs/>
              </w:rPr>
              <w:t>Strategy</w:t>
            </w:r>
          </w:p>
        </w:tc>
        <w:tc>
          <w:tcPr>
            <w:tcW w:w="0" w:type="auto"/>
            <w:hideMark/>
          </w:tcPr>
          <w:p w14:paraId="32CE2982" w14:textId="77777777" w:rsidR="003F25C8" w:rsidRPr="002E4DB7" w:rsidRDefault="003F25C8">
            <w:pPr>
              <w:jc w:val="center"/>
              <w:cnfStyle w:val="100000000000" w:firstRow="1" w:lastRow="0" w:firstColumn="0" w:lastColumn="0" w:oddVBand="0" w:evenVBand="0" w:oddHBand="0" w:evenHBand="0" w:firstRowFirstColumn="0" w:firstRowLastColumn="0" w:lastRowFirstColumn="0" w:lastRowLastColumn="0"/>
              <w:rPr>
                <w:b/>
                <w:bCs/>
              </w:rPr>
            </w:pPr>
            <w:r w:rsidRPr="002E4DB7">
              <w:rPr>
                <w:b/>
                <w:bCs/>
              </w:rPr>
              <w:t>Description</w:t>
            </w:r>
          </w:p>
        </w:tc>
        <w:tc>
          <w:tcPr>
            <w:tcW w:w="0" w:type="auto"/>
            <w:hideMark/>
          </w:tcPr>
          <w:p w14:paraId="2A1B3AD1" w14:textId="77777777" w:rsidR="003F25C8" w:rsidRPr="002E4DB7" w:rsidRDefault="003F25C8">
            <w:pPr>
              <w:jc w:val="center"/>
              <w:cnfStyle w:val="100000000000" w:firstRow="1" w:lastRow="0" w:firstColumn="0" w:lastColumn="0" w:oddVBand="0" w:evenVBand="0" w:oddHBand="0" w:evenHBand="0" w:firstRowFirstColumn="0" w:firstRowLastColumn="0" w:lastRowFirstColumn="0" w:lastRowLastColumn="0"/>
              <w:rPr>
                <w:b/>
                <w:bCs/>
              </w:rPr>
            </w:pPr>
            <w:r w:rsidRPr="002E4DB7">
              <w:rPr>
                <w:b/>
                <w:bCs/>
              </w:rPr>
              <w:t>Financial Impact</w:t>
            </w:r>
          </w:p>
        </w:tc>
        <w:tc>
          <w:tcPr>
            <w:tcW w:w="0" w:type="auto"/>
            <w:hideMark/>
          </w:tcPr>
          <w:p w14:paraId="71AC2E8D" w14:textId="77777777" w:rsidR="003F25C8" w:rsidRPr="002E4DB7" w:rsidRDefault="003F25C8">
            <w:pPr>
              <w:jc w:val="center"/>
              <w:cnfStyle w:val="100000000000" w:firstRow="1" w:lastRow="0" w:firstColumn="0" w:lastColumn="0" w:oddVBand="0" w:evenVBand="0" w:oddHBand="0" w:evenHBand="0" w:firstRowFirstColumn="0" w:firstRowLastColumn="0" w:lastRowFirstColumn="0" w:lastRowLastColumn="0"/>
              <w:rPr>
                <w:b/>
                <w:bCs/>
              </w:rPr>
            </w:pPr>
            <w:r w:rsidRPr="002E4DB7">
              <w:rPr>
                <w:b/>
                <w:bCs/>
              </w:rPr>
              <w:t>Risk Level</w:t>
            </w:r>
          </w:p>
        </w:tc>
      </w:tr>
      <w:tr w:rsidR="003F25C8" w:rsidRPr="002E4DB7" w14:paraId="6F21189A" w14:textId="77777777" w:rsidTr="003F25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10C809" w14:textId="77777777" w:rsidR="003F25C8" w:rsidRPr="002E4DB7" w:rsidRDefault="003F25C8">
            <w:pPr>
              <w:jc w:val="left"/>
            </w:pPr>
            <w:r w:rsidRPr="002E4DB7">
              <w:t>Divestment</w:t>
            </w:r>
          </w:p>
        </w:tc>
        <w:tc>
          <w:tcPr>
            <w:tcW w:w="0" w:type="auto"/>
            <w:hideMark/>
          </w:tcPr>
          <w:p w14:paraId="19D6D737" w14:textId="77777777" w:rsidR="003F25C8" w:rsidRPr="002E4DB7" w:rsidRDefault="003F25C8">
            <w:pPr>
              <w:cnfStyle w:val="000000100000" w:firstRow="0" w:lastRow="0" w:firstColumn="0" w:lastColumn="0" w:oddVBand="0" w:evenVBand="0" w:oddHBand="1" w:evenHBand="0" w:firstRowFirstColumn="0" w:firstRowLastColumn="0" w:lastRowFirstColumn="0" w:lastRowLastColumn="0"/>
            </w:pPr>
            <w:r w:rsidRPr="002E4DB7">
              <w:t>Sale of non-core assets</w:t>
            </w:r>
          </w:p>
        </w:tc>
        <w:tc>
          <w:tcPr>
            <w:tcW w:w="0" w:type="auto"/>
            <w:hideMark/>
          </w:tcPr>
          <w:p w14:paraId="620B1991" w14:textId="77777777" w:rsidR="003F25C8" w:rsidRPr="002E4DB7" w:rsidRDefault="003F25C8">
            <w:pPr>
              <w:cnfStyle w:val="000000100000" w:firstRow="0" w:lastRow="0" w:firstColumn="0" w:lastColumn="0" w:oddVBand="0" w:evenVBand="0" w:oddHBand="1" w:evenHBand="0" w:firstRowFirstColumn="0" w:firstRowLastColumn="0" w:lastRowFirstColumn="0" w:lastRowLastColumn="0"/>
            </w:pPr>
            <w:r w:rsidRPr="002E4DB7">
              <w:t>Improves liquidity and reduces costs</w:t>
            </w:r>
          </w:p>
        </w:tc>
        <w:tc>
          <w:tcPr>
            <w:tcW w:w="0" w:type="auto"/>
            <w:hideMark/>
          </w:tcPr>
          <w:p w14:paraId="5EE0BF8B" w14:textId="77777777" w:rsidR="003F25C8" w:rsidRPr="002E4DB7" w:rsidRDefault="003F25C8">
            <w:pPr>
              <w:cnfStyle w:val="000000100000" w:firstRow="0" w:lastRow="0" w:firstColumn="0" w:lastColumn="0" w:oddVBand="0" w:evenVBand="0" w:oddHBand="1" w:evenHBand="0" w:firstRowFirstColumn="0" w:firstRowLastColumn="0" w:lastRowFirstColumn="0" w:lastRowLastColumn="0"/>
            </w:pPr>
            <w:r w:rsidRPr="002E4DB7">
              <w:t>Low–Medium</w:t>
            </w:r>
          </w:p>
        </w:tc>
      </w:tr>
      <w:tr w:rsidR="003F25C8" w:rsidRPr="002E4DB7" w14:paraId="1833D3C1" w14:textId="77777777" w:rsidTr="003F25C8">
        <w:tc>
          <w:tcPr>
            <w:cnfStyle w:val="001000000000" w:firstRow="0" w:lastRow="0" w:firstColumn="1" w:lastColumn="0" w:oddVBand="0" w:evenVBand="0" w:oddHBand="0" w:evenHBand="0" w:firstRowFirstColumn="0" w:firstRowLastColumn="0" w:lastRowFirstColumn="0" w:lastRowLastColumn="0"/>
            <w:tcW w:w="0" w:type="auto"/>
            <w:hideMark/>
          </w:tcPr>
          <w:p w14:paraId="63B9B55E" w14:textId="77777777" w:rsidR="003F25C8" w:rsidRPr="002E4DB7" w:rsidRDefault="003F25C8">
            <w:r w:rsidRPr="002E4DB7">
              <w:t>Merger/Partnership</w:t>
            </w:r>
          </w:p>
        </w:tc>
        <w:tc>
          <w:tcPr>
            <w:tcW w:w="0" w:type="auto"/>
            <w:hideMark/>
          </w:tcPr>
          <w:p w14:paraId="666FC6DD" w14:textId="77777777" w:rsidR="003F25C8" w:rsidRPr="002E4DB7" w:rsidRDefault="003F25C8">
            <w:pPr>
              <w:cnfStyle w:val="000000000000" w:firstRow="0" w:lastRow="0" w:firstColumn="0" w:lastColumn="0" w:oddVBand="0" w:evenVBand="0" w:oddHBand="0" w:evenHBand="0" w:firstRowFirstColumn="0" w:firstRowLastColumn="0" w:lastRowFirstColumn="0" w:lastRowLastColumn="0"/>
            </w:pPr>
            <w:r w:rsidRPr="002E4DB7">
              <w:t>Strategic alliances or joint ventures</w:t>
            </w:r>
          </w:p>
        </w:tc>
        <w:tc>
          <w:tcPr>
            <w:tcW w:w="0" w:type="auto"/>
            <w:hideMark/>
          </w:tcPr>
          <w:p w14:paraId="692D05D1" w14:textId="77777777" w:rsidR="003F25C8" w:rsidRPr="002E4DB7" w:rsidRDefault="003F25C8">
            <w:pPr>
              <w:cnfStyle w:val="000000000000" w:firstRow="0" w:lastRow="0" w:firstColumn="0" w:lastColumn="0" w:oddVBand="0" w:evenVBand="0" w:oddHBand="0" w:evenHBand="0" w:firstRowFirstColumn="0" w:firstRowLastColumn="0" w:lastRowFirstColumn="0" w:lastRowLastColumn="0"/>
            </w:pPr>
            <w:r w:rsidRPr="002E4DB7">
              <w:t>Enhances market share and efficiency</w:t>
            </w:r>
          </w:p>
        </w:tc>
        <w:tc>
          <w:tcPr>
            <w:tcW w:w="0" w:type="auto"/>
            <w:hideMark/>
          </w:tcPr>
          <w:p w14:paraId="7F451497" w14:textId="77777777" w:rsidR="003F25C8" w:rsidRPr="002E4DB7" w:rsidRDefault="003F25C8">
            <w:pPr>
              <w:cnfStyle w:val="000000000000" w:firstRow="0" w:lastRow="0" w:firstColumn="0" w:lastColumn="0" w:oddVBand="0" w:evenVBand="0" w:oddHBand="0" w:evenHBand="0" w:firstRowFirstColumn="0" w:firstRowLastColumn="0" w:lastRowFirstColumn="0" w:lastRowLastColumn="0"/>
            </w:pPr>
            <w:r w:rsidRPr="002E4DB7">
              <w:t>Medium</w:t>
            </w:r>
          </w:p>
        </w:tc>
      </w:tr>
      <w:tr w:rsidR="003F25C8" w:rsidRPr="002E4DB7" w14:paraId="0C89A882" w14:textId="77777777" w:rsidTr="003F25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4F4000" w14:textId="77777777" w:rsidR="003F25C8" w:rsidRPr="002E4DB7" w:rsidRDefault="003F25C8">
            <w:r w:rsidRPr="002E4DB7">
              <w:t>Equity Financing</w:t>
            </w:r>
          </w:p>
        </w:tc>
        <w:tc>
          <w:tcPr>
            <w:tcW w:w="0" w:type="auto"/>
            <w:hideMark/>
          </w:tcPr>
          <w:p w14:paraId="5656EBE8" w14:textId="77777777" w:rsidR="003F25C8" w:rsidRPr="002E4DB7" w:rsidRDefault="003F25C8">
            <w:pPr>
              <w:cnfStyle w:val="000000100000" w:firstRow="0" w:lastRow="0" w:firstColumn="0" w:lastColumn="0" w:oddVBand="0" w:evenVBand="0" w:oddHBand="1" w:evenHBand="0" w:firstRowFirstColumn="0" w:firstRowLastColumn="0" w:lastRowFirstColumn="0" w:lastRowLastColumn="0"/>
            </w:pPr>
            <w:r w:rsidRPr="002E4DB7">
              <w:t>Issuing new shares</w:t>
            </w:r>
          </w:p>
        </w:tc>
        <w:tc>
          <w:tcPr>
            <w:tcW w:w="0" w:type="auto"/>
            <w:hideMark/>
          </w:tcPr>
          <w:p w14:paraId="5FA50E0D" w14:textId="77777777" w:rsidR="003F25C8" w:rsidRPr="002E4DB7" w:rsidRDefault="003F25C8">
            <w:pPr>
              <w:cnfStyle w:val="000000100000" w:firstRow="0" w:lastRow="0" w:firstColumn="0" w:lastColumn="0" w:oddVBand="0" w:evenVBand="0" w:oddHBand="1" w:evenHBand="0" w:firstRowFirstColumn="0" w:firstRowLastColumn="0" w:lastRowFirstColumn="0" w:lastRowLastColumn="0"/>
            </w:pPr>
            <w:r w:rsidRPr="002E4DB7">
              <w:t>Reduces debt reliance</w:t>
            </w:r>
          </w:p>
        </w:tc>
        <w:tc>
          <w:tcPr>
            <w:tcW w:w="0" w:type="auto"/>
            <w:hideMark/>
          </w:tcPr>
          <w:p w14:paraId="5A1902B4" w14:textId="77777777" w:rsidR="003F25C8" w:rsidRPr="002E4DB7" w:rsidRDefault="003F25C8">
            <w:pPr>
              <w:cnfStyle w:val="000000100000" w:firstRow="0" w:lastRow="0" w:firstColumn="0" w:lastColumn="0" w:oddVBand="0" w:evenVBand="0" w:oddHBand="1" w:evenHBand="0" w:firstRowFirstColumn="0" w:firstRowLastColumn="0" w:lastRowFirstColumn="0" w:lastRowLastColumn="0"/>
            </w:pPr>
            <w:r w:rsidRPr="002E4DB7">
              <w:t>Medium</w:t>
            </w:r>
          </w:p>
        </w:tc>
      </w:tr>
    </w:tbl>
    <w:p w14:paraId="18123309" w14:textId="77777777" w:rsidR="00D23540" w:rsidRPr="002E4DB7" w:rsidRDefault="00D23540" w:rsidP="00D23540">
      <w:pPr>
        <w:pStyle w:val="NormalWeb"/>
      </w:pPr>
      <w:r w:rsidRPr="002E4DB7">
        <w:t xml:space="preserve">Firstly, the process of divestment involves disposing either core or non-core assets that are not performing well. Toyota has the opportunity to get rid of few of the </w:t>
      </w:r>
      <w:r w:rsidR="00B54078" w:rsidRPr="002E4DB7">
        <w:t>non-strategic</w:t>
      </w:r>
      <w:r w:rsidRPr="002E4DB7">
        <w:t xml:space="preserve"> business units or poorly performing geographical units. This would generate cash flows and improve liquidity ratios in the short-run and allow the company to focus on high-growth areas such as electric vehicles. An example would be the divestment proceeds, which would reduce reliance on debt and the debt-equity ratio would be less than 1.0.</w:t>
      </w:r>
    </w:p>
    <w:p w14:paraId="0D3C8F67" w14:textId="77777777" w:rsidR="00D23540" w:rsidRPr="002E4DB7" w:rsidRDefault="00D23540" w:rsidP="00D23540">
      <w:pPr>
        <w:pStyle w:val="NormalWeb"/>
      </w:pPr>
      <w:r w:rsidRPr="002E4DB7">
        <w:t>Second, strategic alliances or mergers may lead to the realization of enhanced competitive business practices and competitiveness. The collaborations with the technological firms or EV manufacturers will help reduce the expenditure on research and development as well as accelerate innovation</w:t>
      </w:r>
      <w:r w:rsidR="007C286D" w:rsidRPr="002E4DB7">
        <w:t xml:space="preserve"> (Ke and Chen, 2023)</w:t>
      </w:r>
      <w:r w:rsidRPr="002E4DB7">
        <w:t>. Such alliances may also involve cost sharing and expansion into new markets thereby increasing the profitability and utilization of the resources.</w:t>
      </w:r>
    </w:p>
    <w:p w14:paraId="67561F8F" w14:textId="77777777" w:rsidR="000E3FD4" w:rsidRPr="002E4DB7" w:rsidRDefault="00D23540" w:rsidP="00D23540">
      <w:pPr>
        <w:pStyle w:val="NormalWeb"/>
      </w:pPr>
      <w:r w:rsidRPr="002E4DB7">
        <w:t>Thirdly, equity funding is beneficial in supplementing the capital structure since it also develops less dependence on debt. By the issuance of the new shares, Toyota will manage to raise the capital to finance its investments without increasing its financial risk.</w:t>
      </w:r>
      <w:r w:rsidR="000E3FD4" w:rsidRPr="002E4DB7">
        <w:t xml:space="preserve"> </w:t>
      </w:r>
    </w:p>
    <w:p w14:paraId="6E05932D" w14:textId="77777777" w:rsidR="000E3FD4" w:rsidRPr="002E4DB7" w:rsidRDefault="00FA097D" w:rsidP="003F25C8">
      <w:pPr>
        <w:pStyle w:val="Heading2"/>
        <w:rPr>
          <w:lang w:val="en-GB"/>
        </w:rPr>
      </w:pPr>
      <w:bookmarkStart w:id="17" w:name="_Toc227865241"/>
      <w:r w:rsidRPr="002E4DB7">
        <w:rPr>
          <w:lang w:val="en-GB"/>
        </w:rPr>
        <w:t>4.3 Impact Analysis</w:t>
      </w:r>
      <w:bookmarkEnd w:id="17"/>
    </w:p>
    <w:p w14:paraId="66EC2A91" w14:textId="77777777" w:rsidR="00DE47CF" w:rsidRPr="002E4DB7" w:rsidRDefault="00DE47CF" w:rsidP="00DE47CF">
      <w:r w:rsidRPr="002E4DB7">
        <w:t>The proposed restructuring strategies should significantly affect shareholder value, capital structure, and flexibility of operations.</w:t>
      </w:r>
    </w:p>
    <w:p w14:paraId="0D29FB3C" w14:textId="77777777" w:rsidR="00DE47CF" w:rsidRPr="002E4DB7" w:rsidRDefault="00DE47CF" w:rsidP="00DE47CF">
      <w:r w:rsidRPr="002E4DB7">
        <w:t xml:space="preserve">Within the shareholder lens, financial risk is minimized through low debt ratios and through rise in interest cover (6.5 to 9.5 times) and rise in investor confidence and share valuation, </w:t>
      </w:r>
      <w:r w:rsidRPr="002E4DB7">
        <w:lastRenderedPageBreak/>
        <w:t>perhaps</w:t>
      </w:r>
      <w:r w:rsidR="00B54078" w:rsidRPr="002E4DB7">
        <w:t xml:space="preserve"> (Wulaningrum </w:t>
      </w:r>
      <w:r w:rsidR="00B54078" w:rsidRPr="002E4DB7">
        <w:rPr>
          <w:i/>
        </w:rPr>
        <w:t>et al.,</w:t>
      </w:r>
      <w:r w:rsidR="00B54078" w:rsidRPr="002E4DB7">
        <w:t xml:space="preserve"> 2022).</w:t>
      </w:r>
      <w:r w:rsidRPr="002E4DB7">
        <w:t xml:space="preserve"> Additionally, improved profitability and efficiency results in sustainable increase in dividends that also increase shareholder returns.</w:t>
      </w:r>
    </w:p>
    <w:p w14:paraId="1E97D842" w14:textId="77777777" w:rsidR="00DE47CF" w:rsidRPr="002E4DB7" w:rsidRDefault="00DE47CF" w:rsidP="00DE47CF">
      <w:r w:rsidRPr="002E4DB7">
        <w:t>In terms of capital structure, equity financing and liquidation would reduce leverage, which would lead to potential downward shift in the debt-to-equity ratio to lower than 1.0. This increases the ability of the company to overcome the influence of the economic changes due to a less risky and more balanced financial structure.</w:t>
      </w:r>
    </w:p>
    <w:p w14:paraId="42501CF1" w14:textId="77777777" w:rsidR="00DE47CF" w:rsidRPr="002E4DB7" w:rsidRDefault="00DE47CF" w:rsidP="00DE47CF">
      <w:r w:rsidRPr="002E4DB7">
        <w:t>Flexibility of operation will also be increased. Having improved liquidity following the sale of assets and an improvement in working capital management, the firm is now more capable of responding to changes in the market more effectively, and taking strategic opportunities</w:t>
      </w:r>
      <w:r w:rsidR="00B54078" w:rsidRPr="002E4DB7">
        <w:t xml:space="preserve"> (Asman</w:t>
      </w:r>
      <w:r w:rsidR="006F2FB0" w:rsidRPr="002E4DB7">
        <w:t xml:space="preserve"> </w:t>
      </w:r>
      <w:r w:rsidR="006F2FB0" w:rsidRPr="002E4DB7">
        <w:rPr>
          <w:i/>
        </w:rPr>
        <w:t xml:space="preserve">et al., </w:t>
      </w:r>
      <w:r w:rsidR="00B54078" w:rsidRPr="002E4DB7">
        <w:t>2022)</w:t>
      </w:r>
      <w:r w:rsidRPr="002E4DB7">
        <w:t>.</w:t>
      </w:r>
    </w:p>
    <w:p w14:paraId="16730F89" w14:textId="77777777" w:rsidR="0031588A" w:rsidRPr="002E4DB7" w:rsidRDefault="00DE47CF" w:rsidP="00DE47CF">
      <w:r w:rsidRPr="002E4DB7">
        <w:t>However, it can have its drawbacks as there can be a situation where shareholder control can be diluted through the issuance of equity besides integration problems in a merger of partnership. Therefore, careful implementation and best planning is essential.</w:t>
      </w:r>
    </w:p>
    <w:p w14:paraId="5727C745" w14:textId="77777777" w:rsidR="0031588A" w:rsidRPr="002E4DB7" w:rsidRDefault="0031588A" w:rsidP="0031588A">
      <w:pPr>
        <w:pStyle w:val="Heading2"/>
        <w:rPr>
          <w:lang w:val="en-GB"/>
        </w:rPr>
      </w:pPr>
      <w:bookmarkStart w:id="18" w:name="_Toc227865242"/>
      <w:r w:rsidRPr="002E4DB7">
        <w:rPr>
          <w:lang w:val="en-GB"/>
        </w:rPr>
        <w:t>4.4 Internat</w:t>
      </w:r>
      <w:r w:rsidR="00FA097D" w:rsidRPr="002E4DB7">
        <w:rPr>
          <w:lang w:val="en-GB"/>
        </w:rPr>
        <w:t>ional &amp; Ethical Considerations</w:t>
      </w:r>
      <w:bookmarkEnd w:id="18"/>
    </w:p>
    <w:p w14:paraId="2C148D5E" w14:textId="77777777" w:rsidR="00180143" w:rsidRPr="002E4DB7" w:rsidRDefault="00180143" w:rsidP="00180143">
      <w:r w:rsidRPr="002E4DB7">
        <w:t>Under this kind of international and ethical consideration, the financial restructuring decisions will also be required to consider international and ethical considerations as well, particularly when such a giant as Toyota is involved. One of the issues is the currency risk. Given that Toyota is operating in multiple foreign markets, increases and decreases in exchange rates can significantly impact revenue, cost and profitability. Using the case of a high domestic currency would reduce the export competitiveness and lower foreign earnings</w:t>
      </w:r>
      <w:r w:rsidR="006F2FB0" w:rsidRPr="002E4DB7">
        <w:t xml:space="preserve"> (Blecker, 2023)</w:t>
      </w:r>
      <w:r w:rsidRPr="002E4DB7">
        <w:t>. To mitigate these risks, forward contract and currency swaps could be invoked to help mitigate on them.</w:t>
      </w:r>
    </w:p>
    <w:p w14:paraId="2B8006D2" w14:textId="77777777" w:rsidR="00180143" w:rsidRPr="002E4DB7" w:rsidRDefault="00180143" w:rsidP="00180143">
      <w:r w:rsidRPr="002E4DB7">
        <w:t>Taxation is another consideration. Different jurisdictions have varied corporate tax rates and laws that influence the financial decision-making</w:t>
      </w:r>
      <w:r w:rsidR="00C953F3" w:rsidRPr="002E4DB7">
        <w:t xml:space="preserve"> (Zhang and Shi, 2025)</w:t>
      </w:r>
      <w:r w:rsidRPr="002E4DB7">
        <w:t>. The reorganization with strategic location of its operations in regions with low tax set ups must be combined with compliance and ethical matters so as to reduce the risk of reputational losses.</w:t>
      </w:r>
    </w:p>
    <w:p w14:paraId="69927E8D" w14:textId="77777777" w:rsidR="00180143" w:rsidRPr="002E4DB7" w:rsidRDefault="00180143" w:rsidP="00180143">
      <w:r w:rsidRPr="002E4DB7">
        <w:t>The inflation also affects financial planning particularly in terms of cost of production and financing. The inflation can also increase input cost and interest rates, therefore, influencing the decision of the investment and profitability</w:t>
      </w:r>
      <w:r w:rsidR="0053591D" w:rsidRPr="002E4DB7">
        <w:t xml:space="preserve"> (</w:t>
      </w:r>
      <w:r w:rsidR="004A2136" w:rsidRPr="002E4DB7">
        <w:t>Blecker, 2023</w:t>
      </w:r>
      <w:r w:rsidR="0053591D" w:rsidRPr="002E4DB7">
        <w:t>)</w:t>
      </w:r>
      <w:r w:rsidRPr="002E4DB7">
        <w:t>. To stay afloat, organizations have to proscribe the inflation forecast of their finances.</w:t>
      </w:r>
    </w:p>
    <w:p w14:paraId="340DE661" w14:textId="77777777" w:rsidR="00332774" w:rsidRPr="002E4DB7" w:rsidRDefault="00180143" w:rsidP="0053591D">
      <w:r w:rsidRPr="002E4DB7">
        <w:lastRenderedPageBreak/>
        <w:t>CSR has been growing in importance as a component of a financial reorganization. Their social and environmental impact should be considered in the decision to divest or to cut down on the costs. To mention one, the number of operations in certain regions may decrease, and this will affect work and the community. Similarly, investments in sustainable technologies align with the green agenda and enhance corporate image.</w:t>
      </w:r>
      <w:r w:rsidR="00332774" w:rsidRPr="002E4DB7">
        <w:br w:type="page"/>
      </w:r>
    </w:p>
    <w:p w14:paraId="144BD415" w14:textId="77777777" w:rsidR="000E3FD4" w:rsidRPr="002E4DB7" w:rsidRDefault="000E3FD4" w:rsidP="00580B5A">
      <w:pPr>
        <w:pStyle w:val="Heading1"/>
        <w:rPr>
          <w:lang w:val="en-GB"/>
        </w:rPr>
      </w:pPr>
      <w:bookmarkStart w:id="19" w:name="_Toc227865243"/>
      <w:r w:rsidRPr="002E4DB7">
        <w:rPr>
          <w:lang w:val="en-GB"/>
        </w:rPr>
        <w:lastRenderedPageBreak/>
        <w:t xml:space="preserve">5. Investment Appraisal and </w:t>
      </w:r>
      <w:r w:rsidR="00353F29" w:rsidRPr="002E4DB7">
        <w:rPr>
          <w:lang w:val="en-GB"/>
        </w:rPr>
        <w:t>Capital Budgeting</w:t>
      </w:r>
      <w:bookmarkEnd w:id="19"/>
    </w:p>
    <w:p w14:paraId="3C13EFFD" w14:textId="77777777" w:rsidR="00353F29" w:rsidRPr="002E4DB7" w:rsidRDefault="00353F29" w:rsidP="00332774">
      <w:pPr>
        <w:pStyle w:val="Heading2"/>
        <w:rPr>
          <w:lang w:val="en-GB"/>
        </w:rPr>
      </w:pPr>
      <w:bookmarkStart w:id="20" w:name="_Toc227865244"/>
      <w:r w:rsidRPr="002E4DB7">
        <w:rPr>
          <w:lang w:val="en-GB"/>
        </w:rPr>
        <w:t>5.1 Introd</w:t>
      </w:r>
      <w:r w:rsidR="00332774" w:rsidRPr="002E4DB7">
        <w:rPr>
          <w:lang w:val="en-GB"/>
        </w:rPr>
        <w:t>uction to Investment Decision</w:t>
      </w:r>
      <w:bookmarkEnd w:id="20"/>
    </w:p>
    <w:p w14:paraId="63EA85E3" w14:textId="77777777" w:rsidR="00EB3359" w:rsidRPr="002E4DB7" w:rsidRDefault="00EB3359" w:rsidP="00EB3359">
      <w:r w:rsidRPr="002E4DB7">
        <w:t>Capital budgeting is a valuable component of financial management that involves analysis and choice of long term investment projects that are likely to maximise shareholders value. The effectiveness of distributing limited financial resources of organisations is achievable and balancing between the risk and reward is possible</w:t>
      </w:r>
      <w:r w:rsidR="004A2136" w:rsidRPr="002E4DB7">
        <w:t xml:space="preserve"> (Nunden</w:t>
      </w:r>
      <w:r w:rsidR="00962DF0" w:rsidRPr="002E4DB7">
        <w:t xml:space="preserve"> </w:t>
      </w:r>
      <w:r w:rsidR="00962DF0" w:rsidRPr="002E4DB7">
        <w:rPr>
          <w:i/>
        </w:rPr>
        <w:t xml:space="preserve">et al., </w:t>
      </w:r>
      <w:r w:rsidR="004A2136" w:rsidRPr="002E4DB7">
        <w:t>2022)</w:t>
      </w:r>
      <w:r w:rsidRPr="002E4DB7">
        <w:t>. The three investment projects that will be taken into consideration in this case will be referred as project A, project B and project C which the initial outlay made to start these projects is 50m, but the projects have different cash flow in the 5 years.</w:t>
      </w:r>
    </w:p>
    <w:p w14:paraId="371F5285" w14:textId="77777777" w:rsidR="00EB3359" w:rsidRPr="002E4DB7" w:rsidRDefault="00EB3359" w:rsidP="00EB3359">
      <w:r w:rsidRPr="002E4DB7">
        <w:t xml:space="preserve">Due to the discrepancy in the flows of cash and risk, it is important to make multiple investment appraisal techniques to </w:t>
      </w:r>
      <w:r w:rsidR="004A2136" w:rsidRPr="002E4DB7">
        <w:t>use that</w:t>
      </w:r>
      <w:r w:rsidRPr="002E4DB7">
        <w:t xml:space="preserve"> is Payback Period (PBP), Accounting rate of return (ARR), Net Present Value (NPV), Profitability Index (PI) and Internal rate of Return (IRR). The blending of ways will give a complete-fledged evaluation and will assist in making a more informed choice.</w:t>
      </w:r>
    </w:p>
    <w:p w14:paraId="47AD9839" w14:textId="77777777" w:rsidR="00EB3359" w:rsidRPr="002E4DB7" w:rsidRDefault="00EB3359" w:rsidP="00EB3359">
      <w:pPr>
        <w:pStyle w:val="Heading2"/>
        <w:rPr>
          <w:lang w:val="en-GB"/>
        </w:rPr>
      </w:pPr>
      <w:bookmarkStart w:id="21" w:name="_Toc227865245"/>
      <w:r w:rsidRPr="002E4DB7">
        <w:rPr>
          <w:lang w:val="en-GB"/>
        </w:rPr>
        <w:t>5.2 Project Evaluation</w:t>
      </w:r>
      <w:bookmarkEnd w:id="21"/>
    </w:p>
    <w:p w14:paraId="69B5AFBA" w14:textId="77777777" w:rsidR="00332774" w:rsidRPr="002E4DB7" w:rsidRDefault="00EB3359" w:rsidP="00EB3359">
      <w:r w:rsidRPr="002E4DB7">
        <w:t>To find out the financial viability of the three projects, several capital budgeting techniques are applied at discount rate 10%. All the methods present a different perspective on project performance and contribute to an extended analysis.</w:t>
      </w:r>
    </w:p>
    <w:p w14:paraId="7A23576C" w14:textId="77777777" w:rsidR="00332774" w:rsidRPr="002E4DB7" w:rsidRDefault="00332774" w:rsidP="00332774">
      <w:pPr>
        <w:rPr>
          <w:b/>
          <w:bCs/>
        </w:rPr>
      </w:pPr>
      <w:r w:rsidRPr="002E4DB7">
        <w:rPr>
          <w:b/>
          <w:bCs/>
        </w:rPr>
        <w:t>Project Cash Flows (£ million)</w:t>
      </w:r>
    </w:p>
    <w:tbl>
      <w:tblPr>
        <w:tblStyle w:val="PlainTable5"/>
        <w:tblW w:w="5000" w:type="pct"/>
        <w:tblLook w:val="04A0" w:firstRow="1" w:lastRow="0" w:firstColumn="1" w:lastColumn="0" w:noHBand="0" w:noVBand="1"/>
      </w:tblPr>
      <w:tblGrid>
        <w:gridCol w:w="3289"/>
        <w:gridCol w:w="1921"/>
        <w:gridCol w:w="1895"/>
        <w:gridCol w:w="1921"/>
      </w:tblGrid>
      <w:tr w:rsidR="00332774" w:rsidRPr="002E4DB7" w14:paraId="0A8989AA" w14:textId="77777777" w:rsidTr="0033277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766" w:type="pct"/>
            <w:hideMark/>
          </w:tcPr>
          <w:p w14:paraId="38DDB6CE" w14:textId="77777777" w:rsidR="00332774" w:rsidRPr="002E4DB7" w:rsidRDefault="00332774" w:rsidP="00595EDA">
            <w:pPr>
              <w:rPr>
                <w:b/>
                <w:bCs/>
              </w:rPr>
            </w:pPr>
            <w:r w:rsidRPr="002E4DB7">
              <w:rPr>
                <w:b/>
                <w:bCs/>
              </w:rPr>
              <w:t>Year</w:t>
            </w:r>
          </w:p>
        </w:tc>
        <w:tc>
          <w:tcPr>
            <w:tcW w:w="1031" w:type="pct"/>
            <w:hideMark/>
          </w:tcPr>
          <w:p w14:paraId="2CBADE52" w14:textId="77777777" w:rsidR="00332774" w:rsidRPr="002E4DB7" w:rsidRDefault="00332774" w:rsidP="00595EDA">
            <w:pPr>
              <w:jc w:val="center"/>
              <w:cnfStyle w:val="100000000000" w:firstRow="1" w:lastRow="0" w:firstColumn="0" w:lastColumn="0" w:oddVBand="0" w:evenVBand="0" w:oddHBand="0" w:evenHBand="0" w:firstRowFirstColumn="0" w:firstRowLastColumn="0" w:lastRowFirstColumn="0" w:lastRowLastColumn="0"/>
              <w:rPr>
                <w:b/>
                <w:bCs/>
              </w:rPr>
            </w:pPr>
            <w:r w:rsidRPr="002E4DB7">
              <w:rPr>
                <w:b/>
                <w:bCs/>
              </w:rPr>
              <w:t>Project A</w:t>
            </w:r>
          </w:p>
        </w:tc>
        <w:tc>
          <w:tcPr>
            <w:tcW w:w="1018" w:type="pct"/>
            <w:hideMark/>
          </w:tcPr>
          <w:p w14:paraId="17EFAF55" w14:textId="77777777" w:rsidR="00332774" w:rsidRPr="002E4DB7" w:rsidRDefault="00332774" w:rsidP="00595EDA">
            <w:pPr>
              <w:jc w:val="center"/>
              <w:cnfStyle w:val="100000000000" w:firstRow="1" w:lastRow="0" w:firstColumn="0" w:lastColumn="0" w:oddVBand="0" w:evenVBand="0" w:oddHBand="0" w:evenHBand="0" w:firstRowFirstColumn="0" w:firstRowLastColumn="0" w:lastRowFirstColumn="0" w:lastRowLastColumn="0"/>
              <w:rPr>
                <w:b/>
                <w:bCs/>
              </w:rPr>
            </w:pPr>
            <w:r w:rsidRPr="002E4DB7">
              <w:rPr>
                <w:b/>
                <w:bCs/>
              </w:rPr>
              <w:t>Project B</w:t>
            </w:r>
          </w:p>
        </w:tc>
        <w:tc>
          <w:tcPr>
            <w:tcW w:w="1031" w:type="pct"/>
            <w:hideMark/>
          </w:tcPr>
          <w:p w14:paraId="6126048D" w14:textId="77777777" w:rsidR="00332774" w:rsidRPr="002E4DB7" w:rsidRDefault="00332774" w:rsidP="00595EDA">
            <w:pPr>
              <w:jc w:val="center"/>
              <w:cnfStyle w:val="100000000000" w:firstRow="1" w:lastRow="0" w:firstColumn="0" w:lastColumn="0" w:oddVBand="0" w:evenVBand="0" w:oddHBand="0" w:evenHBand="0" w:firstRowFirstColumn="0" w:firstRowLastColumn="0" w:lastRowFirstColumn="0" w:lastRowLastColumn="0"/>
              <w:rPr>
                <w:b/>
                <w:bCs/>
              </w:rPr>
            </w:pPr>
            <w:r w:rsidRPr="002E4DB7">
              <w:rPr>
                <w:b/>
                <w:bCs/>
              </w:rPr>
              <w:t>Project C</w:t>
            </w:r>
          </w:p>
        </w:tc>
      </w:tr>
      <w:tr w:rsidR="00332774" w:rsidRPr="002E4DB7" w14:paraId="7ED64E9A" w14:textId="77777777" w:rsidTr="003327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6" w:type="pct"/>
            <w:hideMark/>
          </w:tcPr>
          <w:p w14:paraId="5972FC93" w14:textId="77777777" w:rsidR="00332774" w:rsidRPr="002E4DB7" w:rsidRDefault="00332774" w:rsidP="00595EDA">
            <w:r w:rsidRPr="002E4DB7">
              <w:t>Initial Investment</w:t>
            </w:r>
          </w:p>
        </w:tc>
        <w:tc>
          <w:tcPr>
            <w:tcW w:w="1031" w:type="pct"/>
            <w:hideMark/>
          </w:tcPr>
          <w:p w14:paraId="2B5067A0" w14:textId="77777777" w:rsidR="00332774" w:rsidRPr="002E4DB7" w:rsidRDefault="00332774" w:rsidP="00595EDA">
            <w:pPr>
              <w:jc w:val="center"/>
              <w:cnfStyle w:val="000000100000" w:firstRow="0" w:lastRow="0" w:firstColumn="0" w:lastColumn="0" w:oddVBand="0" w:evenVBand="0" w:oddHBand="1" w:evenHBand="0" w:firstRowFirstColumn="0" w:firstRowLastColumn="0" w:lastRowFirstColumn="0" w:lastRowLastColumn="0"/>
            </w:pPr>
            <w:r w:rsidRPr="002E4DB7">
              <w:t>(50)</w:t>
            </w:r>
          </w:p>
        </w:tc>
        <w:tc>
          <w:tcPr>
            <w:tcW w:w="1018" w:type="pct"/>
            <w:hideMark/>
          </w:tcPr>
          <w:p w14:paraId="46A41EE5" w14:textId="77777777" w:rsidR="00332774" w:rsidRPr="002E4DB7" w:rsidRDefault="00332774" w:rsidP="00595EDA">
            <w:pPr>
              <w:jc w:val="center"/>
              <w:cnfStyle w:val="000000100000" w:firstRow="0" w:lastRow="0" w:firstColumn="0" w:lastColumn="0" w:oddVBand="0" w:evenVBand="0" w:oddHBand="1" w:evenHBand="0" w:firstRowFirstColumn="0" w:firstRowLastColumn="0" w:lastRowFirstColumn="0" w:lastRowLastColumn="0"/>
            </w:pPr>
            <w:r w:rsidRPr="002E4DB7">
              <w:t>(50)</w:t>
            </w:r>
          </w:p>
        </w:tc>
        <w:tc>
          <w:tcPr>
            <w:tcW w:w="1031" w:type="pct"/>
            <w:hideMark/>
          </w:tcPr>
          <w:p w14:paraId="214212C2" w14:textId="77777777" w:rsidR="00332774" w:rsidRPr="002E4DB7" w:rsidRDefault="00332774" w:rsidP="00595EDA">
            <w:pPr>
              <w:jc w:val="center"/>
              <w:cnfStyle w:val="000000100000" w:firstRow="0" w:lastRow="0" w:firstColumn="0" w:lastColumn="0" w:oddVBand="0" w:evenVBand="0" w:oddHBand="1" w:evenHBand="0" w:firstRowFirstColumn="0" w:firstRowLastColumn="0" w:lastRowFirstColumn="0" w:lastRowLastColumn="0"/>
            </w:pPr>
            <w:r w:rsidRPr="002E4DB7">
              <w:t>(50)</w:t>
            </w:r>
          </w:p>
        </w:tc>
      </w:tr>
      <w:tr w:rsidR="00332774" w:rsidRPr="002E4DB7" w14:paraId="4F68DF78" w14:textId="77777777" w:rsidTr="00332774">
        <w:tc>
          <w:tcPr>
            <w:cnfStyle w:val="001000000000" w:firstRow="0" w:lastRow="0" w:firstColumn="1" w:lastColumn="0" w:oddVBand="0" w:evenVBand="0" w:oddHBand="0" w:evenHBand="0" w:firstRowFirstColumn="0" w:firstRowLastColumn="0" w:lastRowFirstColumn="0" w:lastRowLastColumn="0"/>
            <w:tcW w:w="1766" w:type="pct"/>
            <w:hideMark/>
          </w:tcPr>
          <w:p w14:paraId="7E9257A3" w14:textId="77777777" w:rsidR="00332774" w:rsidRPr="002E4DB7" w:rsidRDefault="00332774" w:rsidP="00595EDA">
            <w:r w:rsidRPr="002E4DB7">
              <w:t>Year 1</w:t>
            </w:r>
          </w:p>
        </w:tc>
        <w:tc>
          <w:tcPr>
            <w:tcW w:w="1031" w:type="pct"/>
            <w:hideMark/>
          </w:tcPr>
          <w:p w14:paraId="4F39056B" w14:textId="77777777" w:rsidR="00332774" w:rsidRPr="002E4DB7" w:rsidRDefault="00332774" w:rsidP="00595EDA">
            <w:pPr>
              <w:jc w:val="center"/>
              <w:cnfStyle w:val="000000000000" w:firstRow="0" w:lastRow="0" w:firstColumn="0" w:lastColumn="0" w:oddVBand="0" w:evenVBand="0" w:oddHBand="0" w:evenHBand="0" w:firstRowFirstColumn="0" w:firstRowLastColumn="0" w:lastRowFirstColumn="0" w:lastRowLastColumn="0"/>
            </w:pPr>
            <w:r w:rsidRPr="002E4DB7">
              <w:t>10</w:t>
            </w:r>
          </w:p>
        </w:tc>
        <w:tc>
          <w:tcPr>
            <w:tcW w:w="1018" w:type="pct"/>
            <w:hideMark/>
          </w:tcPr>
          <w:p w14:paraId="5991C7CA" w14:textId="77777777" w:rsidR="00332774" w:rsidRPr="002E4DB7" w:rsidRDefault="00332774" w:rsidP="00595EDA">
            <w:pPr>
              <w:jc w:val="center"/>
              <w:cnfStyle w:val="000000000000" w:firstRow="0" w:lastRow="0" w:firstColumn="0" w:lastColumn="0" w:oddVBand="0" w:evenVBand="0" w:oddHBand="0" w:evenHBand="0" w:firstRowFirstColumn="0" w:firstRowLastColumn="0" w:lastRowFirstColumn="0" w:lastRowLastColumn="0"/>
            </w:pPr>
            <w:r w:rsidRPr="002E4DB7">
              <w:t>11</w:t>
            </w:r>
          </w:p>
        </w:tc>
        <w:tc>
          <w:tcPr>
            <w:tcW w:w="1031" w:type="pct"/>
            <w:hideMark/>
          </w:tcPr>
          <w:p w14:paraId="48AA7C21" w14:textId="77777777" w:rsidR="00332774" w:rsidRPr="002E4DB7" w:rsidRDefault="00332774" w:rsidP="00595EDA">
            <w:pPr>
              <w:jc w:val="center"/>
              <w:cnfStyle w:val="000000000000" w:firstRow="0" w:lastRow="0" w:firstColumn="0" w:lastColumn="0" w:oddVBand="0" w:evenVBand="0" w:oddHBand="0" w:evenHBand="0" w:firstRowFirstColumn="0" w:firstRowLastColumn="0" w:lastRowFirstColumn="0" w:lastRowLastColumn="0"/>
            </w:pPr>
            <w:r w:rsidRPr="002E4DB7">
              <w:t>5</w:t>
            </w:r>
          </w:p>
        </w:tc>
      </w:tr>
      <w:tr w:rsidR="00332774" w:rsidRPr="002E4DB7" w14:paraId="3EC21CCD" w14:textId="77777777" w:rsidTr="003327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6" w:type="pct"/>
            <w:hideMark/>
          </w:tcPr>
          <w:p w14:paraId="0551E480" w14:textId="77777777" w:rsidR="00332774" w:rsidRPr="002E4DB7" w:rsidRDefault="00332774" w:rsidP="00595EDA">
            <w:r w:rsidRPr="002E4DB7">
              <w:t>Year 2</w:t>
            </w:r>
          </w:p>
        </w:tc>
        <w:tc>
          <w:tcPr>
            <w:tcW w:w="1031" w:type="pct"/>
            <w:hideMark/>
          </w:tcPr>
          <w:p w14:paraId="31B7B72D" w14:textId="77777777" w:rsidR="00332774" w:rsidRPr="002E4DB7" w:rsidRDefault="00332774" w:rsidP="00595EDA">
            <w:pPr>
              <w:jc w:val="center"/>
              <w:cnfStyle w:val="000000100000" w:firstRow="0" w:lastRow="0" w:firstColumn="0" w:lastColumn="0" w:oddVBand="0" w:evenVBand="0" w:oddHBand="1" w:evenHBand="0" w:firstRowFirstColumn="0" w:firstRowLastColumn="0" w:lastRowFirstColumn="0" w:lastRowLastColumn="0"/>
            </w:pPr>
            <w:r w:rsidRPr="002E4DB7">
              <w:t>12</w:t>
            </w:r>
          </w:p>
        </w:tc>
        <w:tc>
          <w:tcPr>
            <w:tcW w:w="1018" w:type="pct"/>
            <w:hideMark/>
          </w:tcPr>
          <w:p w14:paraId="6FFB076C" w14:textId="77777777" w:rsidR="00332774" w:rsidRPr="002E4DB7" w:rsidRDefault="00332774" w:rsidP="00595EDA">
            <w:pPr>
              <w:jc w:val="center"/>
              <w:cnfStyle w:val="000000100000" w:firstRow="0" w:lastRow="0" w:firstColumn="0" w:lastColumn="0" w:oddVBand="0" w:evenVBand="0" w:oddHBand="1" w:evenHBand="0" w:firstRowFirstColumn="0" w:firstRowLastColumn="0" w:lastRowFirstColumn="0" w:lastRowLastColumn="0"/>
            </w:pPr>
            <w:r w:rsidRPr="002E4DB7">
              <w:t>11</w:t>
            </w:r>
          </w:p>
        </w:tc>
        <w:tc>
          <w:tcPr>
            <w:tcW w:w="1031" w:type="pct"/>
            <w:hideMark/>
          </w:tcPr>
          <w:p w14:paraId="0C589E6B" w14:textId="77777777" w:rsidR="00332774" w:rsidRPr="002E4DB7" w:rsidRDefault="00332774" w:rsidP="00595EDA">
            <w:pPr>
              <w:jc w:val="center"/>
              <w:cnfStyle w:val="000000100000" w:firstRow="0" w:lastRow="0" w:firstColumn="0" w:lastColumn="0" w:oddVBand="0" w:evenVBand="0" w:oddHBand="1" w:evenHBand="0" w:firstRowFirstColumn="0" w:firstRowLastColumn="0" w:lastRowFirstColumn="0" w:lastRowLastColumn="0"/>
            </w:pPr>
            <w:r w:rsidRPr="002E4DB7">
              <w:t>10</w:t>
            </w:r>
          </w:p>
        </w:tc>
      </w:tr>
      <w:tr w:rsidR="00332774" w:rsidRPr="002E4DB7" w14:paraId="0C3DC653" w14:textId="77777777" w:rsidTr="00332774">
        <w:tc>
          <w:tcPr>
            <w:cnfStyle w:val="001000000000" w:firstRow="0" w:lastRow="0" w:firstColumn="1" w:lastColumn="0" w:oddVBand="0" w:evenVBand="0" w:oddHBand="0" w:evenHBand="0" w:firstRowFirstColumn="0" w:firstRowLastColumn="0" w:lastRowFirstColumn="0" w:lastRowLastColumn="0"/>
            <w:tcW w:w="1766" w:type="pct"/>
            <w:hideMark/>
          </w:tcPr>
          <w:p w14:paraId="37D7CB93" w14:textId="77777777" w:rsidR="00332774" w:rsidRPr="002E4DB7" w:rsidRDefault="00332774" w:rsidP="00595EDA">
            <w:r w:rsidRPr="002E4DB7">
              <w:t>Year 3</w:t>
            </w:r>
          </w:p>
        </w:tc>
        <w:tc>
          <w:tcPr>
            <w:tcW w:w="1031" w:type="pct"/>
            <w:hideMark/>
          </w:tcPr>
          <w:p w14:paraId="6CA99DD7" w14:textId="77777777" w:rsidR="00332774" w:rsidRPr="002E4DB7" w:rsidRDefault="00332774" w:rsidP="00595EDA">
            <w:pPr>
              <w:jc w:val="center"/>
              <w:cnfStyle w:val="000000000000" w:firstRow="0" w:lastRow="0" w:firstColumn="0" w:lastColumn="0" w:oddVBand="0" w:evenVBand="0" w:oddHBand="0" w:evenHBand="0" w:firstRowFirstColumn="0" w:firstRowLastColumn="0" w:lastRowFirstColumn="0" w:lastRowLastColumn="0"/>
            </w:pPr>
            <w:r w:rsidRPr="002E4DB7">
              <w:t>14</w:t>
            </w:r>
          </w:p>
        </w:tc>
        <w:tc>
          <w:tcPr>
            <w:tcW w:w="1018" w:type="pct"/>
            <w:hideMark/>
          </w:tcPr>
          <w:p w14:paraId="42194055" w14:textId="77777777" w:rsidR="00332774" w:rsidRPr="002E4DB7" w:rsidRDefault="00332774" w:rsidP="00595EDA">
            <w:pPr>
              <w:jc w:val="center"/>
              <w:cnfStyle w:val="000000000000" w:firstRow="0" w:lastRow="0" w:firstColumn="0" w:lastColumn="0" w:oddVBand="0" w:evenVBand="0" w:oddHBand="0" w:evenHBand="0" w:firstRowFirstColumn="0" w:firstRowLastColumn="0" w:lastRowFirstColumn="0" w:lastRowLastColumn="0"/>
            </w:pPr>
            <w:r w:rsidRPr="002E4DB7">
              <w:t>11</w:t>
            </w:r>
          </w:p>
        </w:tc>
        <w:tc>
          <w:tcPr>
            <w:tcW w:w="1031" w:type="pct"/>
            <w:hideMark/>
          </w:tcPr>
          <w:p w14:paraId="5DC5E70D" w14:textId="77777777" w:rsidR="00332774" w:rsidRPr="002E4DB7" w:rsidRDefault="00332774" w:rsidP="00595EDA">
            <w:pPr>
              <w:jc w:val="center"/>
              <w:cnfStyle w:val="000000000000" w:firstRow="0" w:lastRow="0" w:firstColumn="0" w:lastColumn="0" w:oddVBand="0" w:evenVBand="0" w:oddHBand="0" w:evenHBand="0" w:firstRowFirstColumn="0" w:firstRowLastColumn="0" w:lastRowFirstColumn="0" w:lastRowLastColumn="0"/>
            </w:pPr>
            <w:r w:rsidRPr="002E4DB7">
              <w:t>20</w:t>
            </w:r>
          </w:p>
        </w:tc>
      </w:tr>
      <w:tr w:rsidR="00332774" w:rsidRPr="002E4DB7" w14:paraId="0FDE21E4" w14:textId="77777777" w:rsidTr="003327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6" w:type="pct"/>
            <w:hideMark/>
          </w:tcPr>
          <w:p w14:paraId="38EE2782" w14:textId="77777777" w:rsidR="00332774" w:rsidRPr="002E4DB7" w:rsidRDefault="00332774" w:rsidP="00595EDA">
            <w:r w:rsidRPr="002E4DB7">
              <w:t>Year 4</w:t>
            </w:r>
          </w:p>
        </w:tc>
        <w:tc>
          <w:tcPr>
            <w:tcW w:w="1031" w:type="pct"/>
            <w:hideMark/>
          </w:tcPr>
          <w:p w14:paraId="236E7966" w14:textId="77777777" w:rsidR="00332774" w:rsidRPr="002E4DB7" w:rsidRDefault="00332774" w:rsidP="00595EDA">
            <w:pPr>
              <w:jc w:val="center"/>
              <w:cnfStyle w:val="000000100000" w:firstRow="0" w:lastRow="0" w:firstColumn="0" w:lastColumn="0" w:oddVBand="0" w:evenVBand="0" w:oddHBand="1" w:evenHBand="0" w:firstRowFirstColumn="0" w:firstRowLastColumn="0" w:lastRowFirstColumn="0" w:lastRowLastColumn="0"/>
            </w:pPr>
            <w:r w:rsidRPr="002E4DB7">
              <w:t>10</w:t>
            </w:r>
          </w:p>
        </w:tc>
        <w:tc>
          <w:tcPr>
            <w:tcW w:w="1018" w:type="pct"/>
            <w:hideMark/>
          </w:tcPr>
          <w:p w14:paraId="6034095B" w14:textId="77777777" w:rsidR="00332774" w:rsidRPr="002E4DB7" w:rsidRDefault="00332774" w:rsidP="00595EDA">
            <w:pPr>
              <w:jc w:val="center"/>
              <w:cnfStyle w:val="000000100000" w:firstRow="0" w:lastRow="0" w:firstColumn="0" w:lastColumn="0" w:oddVBand="0" w:evenVBand="0" w:oddHBand="1" w:evenHBand="0" w:firstRowFirstColumn="0" w:firstRowLastColumn="0" w:lastRowFirstColumn="0" w:lastRowLastColumn="0"/>
            </w:pPr>
            <w:r w:rsidRPr="002E4DB7">
              <w:t>11</w:t>
            </w:r>
          </w:p>
        </w:tc>
        <w:tc>
          <w:tcPr>
            <w:tcW w:w="1031" w:type="pct"/>
            <w:hideMark/>
          </w:tcPr>
          <w:p w14:paraId="4757D6F4" w14:textId="77777777" w:rsidR="00332774" w:rsidRPr="002E4DB7" w:rsidRDefault="00332774" w:rsidP="00595EDA">
            <w:pPr>
              <w:jc w:val="center"/>
              <w:cnfStyle w:val="000000100000" w:firstRow="0" w:lastRow="0" w:firstColumn="0" w:lastColumn="0" w:oddVBand="0" w:evenVBand="0" w:oddHBand="1" w:evenHBand="0" w:firstRowFirstColumn="0" w:firstRowLastColumn="0" w:lastRowFirstColumn="0" w:lastRowLastColumn="0"/>
            </w:pPr>
            <w:r w:rsidRPr="002E4DB7">
              <w:t>25</w:t>
            </w:r>
          </w:p>
        </w:tc>
      </w:tr>
      <w:tr w:rsidR="00332774" w:rsidRPr="002E4DB7" w14:paraId="0F34DA1D" w14:textId="77777777" w:rsidTr="00332774">
        <w:tc>
          <w:tcPr>
            <w:cnfStyle w:val="001000000000" w:firstRow="0" w:lastRow="0" w:firstColumn="1" w:lastColumn="0" w:oddVBand="0" w:evenVBand="0" w:oddHBand="0" w:evenHBand="0" w:firstRowFirstColumn="0" w:firstRowLastColumn="0" w:lastRowFirstColumn="0" w:lastRowLastColumn="0"/>
            <w:tcW w:w="1766" w:type="pct"/>
            <w:hideMark/>
          </w:tcPr>
          <w:p w14:paraId="57C6D3BC" w14:textId="77777777" w:rsidR="00332774" w:rsidRPr="002E4DB7" w:rsidRDefault="00332774" w:rsidP="00595EDA">
            <w:r w:rsidRPr="002E4DB7">
              <w:t>Year 5</w:t>
            </w:r>
          </w:p>
        </w:tc>
        <w:tc>
          <w:tcPr>
            <w:tcW w:w="1031" w:type="pct"/>
            <w:hideMark/>
          </w:tcPr>
          <w:p w14:paraId="01B5BE13" w14:textId="77777777" w:rsidR="00332774" w:rsidRPr="002E4DB7" w:rsidRDefault="00332774" w:rsidP="00595EDA">
            <w:pPr>
              <w:jc w:val="center"/>
              <w:cnfStyle w:val="000000000000" w:firstRow="0" w:lastRow="0" w:firstColumn="0" w:lastColumn="0" w:oddVBand="0" w:evenVBand="0" w:oddHBand="0" w:evenHBand="0" w:firstRowFirstColumn="0" w:firstRowLastColumn="0" w:lastRowFirstColumn="0" w:lastRowLastColumn="0"/>
            </w:pPr>
            <w:r w:rsidRPr="002E4DB7">
              <w:t>8</w:t>
            </w:r>
          </w:p>
        </w:tc>
        <w:tc>
          <w:tcPr>
            <w:tcW w:w="1018" w:type="pct"/>
            <w:hideMark/>
          </w:tcPr>
          <w:p w14:paraId="34498C29" w14:textId="77777777" w:rsidR="00332774" w:rsidRPr="002E4DB7" w:rsidRDefault="00332774" w:rsidP="00595EDA">
            <w:pPr>
              <w:jc w:val="center"/>
              <w:cnfStyle w:val="000000000000" w:firstRow="0" w:lastRow="0" w:firstColumn="0" w:lastColumn="0" w:oddVBand="0" w:evenVBand="0" w:oddHBand="0" w:evenHBand="0" w:firstRowFirstColumn="0" w:firstRowLastColumn="0" w:lastRowFirstColumn="0" w:lastRowLastColumn="0"/>
            </w:pPr>
            <w:r w:rsidRPr="002E4DB7">
              <w:t>11</w:t>
            </w:r>
          </w:p>
        </w:tc>
        <w:tc>
          <w:tcPr>
            <w:tcW w:w="1031" w:type="pct"/>
            <w:hideMark/>
          </w:tcPr>
          <w:p w14:paraId="0492CFA7" w14:textId="77777777" w:rsidR="00332774" w:rsidRPr="002E4DB7" w:rsidRDefault="00332774" w:rsidP="00595EDA">
            <w:pPr>
              <w:jc w:val="center"/>
              <w:cnfStyle w:val="000000000000" w:firstRow="0" w:lastRow="0" w:firstColumn="0" w:lastColumn="0" w:oddVBand="0" w:evenVBand="0" w:oddHBand="0" w:evenHBand="0" w:firstRowFirstColumn="0" w:firstRowLastColumn="0" w:lastRowFirstColumn="0" w:lastRowLastColumn="0"/>
            </w:pPr>
            <w:r w:rsidRPr="002E4DB7">
              <w:t>5</w:t>
            </w:r>
          </w:p>
        </w:tc>
      </w:tr>
    </w:tbl>
    <w:p w14:paraId="79A056F5" w14:textId="77777777" w:rsidR="00332774" w:rsidRPr="002E4DB7" w:rsidRDefault="00332774" w:rsidP="00332774">
      <w:pPr>
        <w:rPr>
          <w:b/>
          <w:bCs/>
        </w:rPr>
      </w:pPr>
      <w:r w:rsidRPr="002E4DB7">
        <w:rPr>
          <w:b/>
          <w:bCs/>
        </w:rPr>
        <w:t>Payback Period (PBP)</w:t>
      </w:r>
    </w:p>
    <w:p w14:paraId="1734FFB3" w14:textId="77777777" w:rsidR="00050DBE" w:rsidRPr="002E4DB7" w:rsidRDefault="00050DBE" w:rsidP="00050DBE">
      <w:r w:rsidRPr="002E4DB7">
        <w:t xml:space="preserve">The Payback Period is a time frame that is accorded to estimate the time required to break even with the initial capital. Project B will be able to break even after approximately 4.5 years with inflows of cash 11 million per year. Project A is recovering its investment in approximately 4.2 </w:t>
      </w:r>
      <w:r w:rsidRPr="002E4DB7">
        <w:lastRenderedPageBreak/>
        <w:t>years and project C is recovering its investment in approximately 4.0 years with the cash inflows being higher in the later years.</w:t>
      </w:r>
    </w:p>
    <w:p w14:paraId="674231E5" w14:textId="77777777" w:rsidR="00332774" w:rsidRPr="002E4DB7" w:rsidRDefault="00050DBE" w:rsidP="00050DBE">
      <w:r w:rsidRPr="002E4DB7">
        <w:t>Project C has the lowest payback period, but the method does not consider the time value of money and post payback cash flows</w:t>
      </w:r>
      <w:r w:rsidR="00070B64" w:rsidRPr="002E4DB7">
        <w:t xml:space="preserve"> (Wangchuk, 2022)</w:t>
      </w:r>
      <w:r w:rsidRPr="002E4DB7">
        <w:t>. PBP, therefore, is an effective instrument in the measurement of liquidity risk, although not very informative on the overall profitability.</w:t>
      </w:r>
    </w:p>
    <w:p w14:paraId="7180FD0C" w14:textId="77777777" w:rsidR="00332774" w:rsidRPr="002E4DB7" w:rsidRDefault="00332774" w:rsidP="00332774">
      <w:pPr>
        <w:rPr>
          <w:b/>
          <w:bCs/>
        </w:rPr>
      </w:pPr>
      <w:r w:rsidRPr="002E4DB7">
        <w:rPr>
          <w:b/>
          <w:bCs/>
        </w:rPr>
        <w:t>Accounting Rate of Return (ARR)</w:t>
      </w:r>
    </w:p>
    <w:p w14:paraId="7C78B3E9" w14:textId="77777777" w:rsidR="00050DBE" w:rsidRPr="002E4DB7" w:rsidRDefault="00050DBE" w:rsidP="00050DBE">
      <w:r w:rsidRPr="002E4DB7">
        <w:t>ARR is a measure of the ratio of the average accounting profit to the initial investment. Project B is a stable return, as the cash flow is regular and ARR is approximately 22. Project A generates a higher ARR at 24 percent due to the generally upward trends in the middle of the year returns, and Project C generates a higher ARR at 26% due to the generally upward trends in the third and fourth years.</w:t>
      </w:r>
    </w:p>
    <w:p w14:paraId="3D9AE9E8" w14:textId="77777777" w:rsidR="00332774" w:rsidRPr="002E4DB7" w:rsidRDefault="00050DBE" w:rsidP="00050DBE">
      <w:r w:rsidRPr="002E4DB7">
        <w:t>This means that Project C will be most profitable in the average</w:t>
      </w:r>
      <w:r w:rsidR="00A25A4C" w:rsidRPr="002E4DB7">
        <w:t xml:space="preserve"> (Sinaga </w:t>
      </w:r>
      <w:r w:rsidR="00A25A4C" w:rsidRPr="002E4DB7">
        <w:rPr>
          <w:i/>
        </w:rPr>
        <w:t>et al.,</w:t>
      </w:r>
      <w:r w:rsidR="00A25A4C" w:rsidRPr="002E4DB7">
        <w:t xml:space="preserve"> 2023).</w:t>
      </w:r>
      <w:r w:rsidRPr="002E4DB7">
        <w:t xml:space="preserve"> However, the accounting profits form the backbone of how ARR works and ignores the occurrence of returns, thus limiting its use in decision-making processes.</w:t>
      </w:r>
    </w:p>
    <w:p w14:paraId="7B0C3149" w14:textId="77777777" w:rsidR="00332774" w:rsidRPr="002E4DB7" w:rsidRDefault="00332774" w:rsidP="00332774">
      <w:pPr>
        <w:rPr>
          <w:b/>
          <w:bCs/>
        </w:rPr>
      </w:pPr>
      <w:r w:rsidRPr="002E4DB7">
        <w:rPr>
          <w:b/>
          <w:bCs/>
        </w:rPr>
        <w:t>Net Present Value (NPV)</w:t>
      </w:r>
    </w:p>
    <w:p w14:paraId="1DCBACB7" w14:textId="77777777" w:rsidR="00050DBE" w:rsidRPr="002E4DB7" w:rsidRDefault="00050DBE" w:rsidP="00050DBE">
      <w:r w:rsidRPr="002E4DB7">
        <w:t xml:space="preserve">The NPV also considers the time value of money and thus discounts future cash </w:t>
      </w:r>
      <w:r w:rsidR="004E6432" w:rsidRPr="002E4DB7">
        <w:t>flows at an interest rate of 10%</w:t>
      </w:r>
      <w:r w:rsidRPr="002E4DB7">
        <w:t>. Project A is characterized by a positive NPV value of approximately £2.5 million that indicates value creation. Project B inflows an NPV of about 1.7million pounds, incomes are lower yet stable. The optimum NPV of project C, at approximated 4.8 million pounds, arises due to high inflows after a few years</w:t>
      </w:r>
      <w:r w:rsidR="004E6432" w:rsidRPr="002E4DB7">
        <w:t xml:space="preserve"> (Sinaga</w:t>
      </w:r>
      <w:r w:rsidR="00E679E6" w:rsidRPr="002E4DB7">
        <w:t xml:space="preserve"> </w:t>
      </w:r>
      <w:r w:rsidR="00E679E6" w:rsidRPr="002E4DB7">
        <w:rPr>
          <w:i/>
        </w:rPr>
        <w:t>et al.,</w:t>
      </w:r>
      <w:r w:rsidR="0009471F" w:rsidRPr="002E4DB7">
        <w:t xml:space="preserve"> 2023</w:t>
      </w:r>
      <w:r w:rsidR="004E6432" w:rsidRPr="002E4DB7">
        <w:t>)</w:t>
      </w:r>
      <w:r w:rsidRPr="002E4DB7">
        <w:t>.</w:t>
      </w:r>
    </w:p>
    <w:p w14:paraId="29ADB13D" w14:textId="77777777" w:rsidR="00332774" w:rsidRPr="002E4DB7" w:rsidRDefault="00050DBE" w:rsidP="00050DBE">
      <w:r w:rsidRPr="002E4DB7">
        <w:t>Under the NPV, the project that will maximize the best increment in the shareholder wealth is Project C since it is a direct attribute of best increase in shareholder wealth.</w:t>
      </w:r>
    </w:p>
    <w:p w14:paraId="077532F3" w14:textId="77777777" w:rsidR="00332774" w:rsidRPr="002E4DB7" w:rsidRDefault="00332774" w:rsidP="00332774">
      <w:pPr>
        <w:rPr>
          <w:b/>
          <w:bCs/>
        </w:rPr>
      </w:pPr>
      <w:r w:rsidRPr="002E4DB7">
        <w:rPr>
          <w:b/>
          <w:bCs/>
        </w:rPr>
        <w:t>Profitability Index (PI)</w:t>
      </w:r>
    </w:p>
    <w:p w14:paraId="36305A30" w14:textId="77777777" w:rsidR="00050DBE" w:rsidRPr="002E4DB7" w:rsidRDefault="00050DBE" w:rsidP="00050DBE">
      <w:r w:rsidRPr="002E4DB7">
        <w:t>The Profitability Index is the ratio between the present value of the inflows of cash and the investment. Project A is 1.05, B is 1.03 and Project C is 1.10. PI of more than 1 indicates that the project is viable</w:t>
      </w:r>
      <w:r w:rsidR="00A25A4C" w:rsidRPr="002E4DB7">
        <w:t xml:space="preserve"> (Wangchuk, 2022).</w:t>
      </w:r>
    </w:p>
    <w:p w14:paraId="7800A8F8" w14:textId="77777777" w:rsidR="00332774" w:rsidRPr="002E4DB7" w:rsidRDefault="00050DBE" w:rsidP="00050DBE">
      <w:r w:rsidRPr="002E4DB7">
        <w:t>Once again project C is the best project which indicates the highest degree of a capital utilization in regard to the size of the investment.</w:t>
      </w:r>
    </w:p>
    <w:p w14:paraId="4C5F2183" w14:textId="77777777" w:rsidR="00332774" w:rsidRPr="002E4DB7" w:rsidRDefault="00332774" w:rsidP="00332774">
      <w:pPr>
        <w:rPr>
          <w:b/>
          <w:bCs/>
        </w:rPr>
      </w:pPr>
      <w:r w:rsidRPr="002E4DB7">
        <w:rPr>
          <w:b/>
          <w:bCs/>
        </w:rPr>
        <w:lastRenderedPageBreak/>
        <w:t>Internal Rate of Return (IRR)</w:t>
      </w:r>
    </w:p>
    <w:p w14:paraId="78957C52" w14:textId="77777777" w:rsidR="00332774" w:rsidRPr="002E4DB7" w:rsidRDefault="00050DBE" w:rsidP="00332774">
      <w:r w:rsidRPr="002E4DB7">
        <w:t>IRR is a discount rate, which makes NPV = 0. Project A has an IRR of approximately 12, Project B has an IRR of approximately 11 and Project C has an IRR of approximately 14. It does not matter what type of project it is because all the IRRs are above the required rate of return (10%). However, Project C has the most favourable payoff.</w:t>
      </w:r>
    </w:p>
    <w:p w14:paraId="19CF5EE9" w14:textId="77777777" w:rsidR="00332774" w:rsidRPr="002E4DB7" w:rsidRDefault="00332774" w:rsidP="00332774">
      <w:pPr>
        <w:rPr>
          <w:b/>
          <w:bCs/>
          <w:i/>
        </w:rPr>
      </w:pPr>
      <w:r w:rsidRPr="002E4DB7">
        <w:rPr>
          <w:b/>
          <w:bCs/>
          <w:i/>
        </w:rPr>
        <w:t>Evaluation</w:t>
      </w:r>
    </w:p>
    <w:p w14:paraId="4378D38E" w14:textId="77777777" w:rsidR="00332774" w:rsidRPr="002E4DB7" w:rsidRDefault="00050DBE" w:rsidP="00332774">
      <w:r w:rsidRPr="002E4DB7">
        <w:t>In every most of the methods of appraisal NPV, PI and IRR Project C will always work better than Project A and B. Project B will provide stability and a reduction of risk, whereas Project A will provide moderate returns but the distribution of the cash flows will make project C provide better returns.</w:t>
      </w:r>
    </w:p>
    <w:p w14:paraId="0D58D04C" w14:textId="77777777" w:rsidR="00AA1ADE" w:rsidRPr="002E4DB7" w:rsidRDefault="00C63B57" w:rsidP="00C63B57">
      <w:pPr>
        <w:pStyle w:val="Heading2"/>
        <w:rPr>
          <w:lang w:val="en-GB"/>
        </w:rPr>
      </w:pPr>
      <w:bookmarkStart w:id="22" w:name="_Toc227865246"/>
      <w:r w:rsidRPr="002E4DB7">
        <w:rPr>
          <w:lang w:val="en-GB"/>
        </w:rPr>
        <w:t>5.3 Project Recommendation</w:t>
      </w:r>
      <w:bookmarkEnd w:id="22"/>
    </w:p>
    <w:p w14:paraId="233BA1B1" w14:textId="77777777" w:rsidR="00050DBE" w:rsidRPr="002E4DB7" w:rsidRDefault="00050DBE" w:rsidP="00050DBE">
      <w:r w:rsidRPr="002E4DB7">
        <w:t xml:space="preserve">The overall investment appraisal indicates that Project C is the most appropriate investment. The key factor as to why a recommendation can be made in </w:t>
      </w:r>
      <w:r w:rsidR="00A25A4C" w:rsidRPr="002E4DB7">
        <w:t>favour</w:t>
      </w:r>
      <w:r w:rsidRPr="002E4DB7">
        <w:t xml:space="preserve"> of it is the fact that, it records high-performance in regards to its financial performance in key assessment tools. Project with the largest contribution to the shareholder wealth is the project C with the highest Net Present Value (NPV) of approximately £4.8 million</w:t>
      </w:r>
      <w:r w:rsidR="00A25A4C" w:rsidRPr="002E4DB7">
        <w:t xml:space="preserve"> (Sinaga </w:t>
      </w:r>
      <w:r w:rsidR="00A25A4C" w:rsidRPr="002E4DB7">
        <w:rPr>
          <w:i/>
        </w:rPr>
        <w:t>et al.,</w:t>
      </w:r>
      <w:r w:rsidR="00A25A4C" w:rsidRPr="002E4DB7">
        <w:t xml:space="preserve"> 2023).</w:t>
      </w:r>
      <w:r w:rsidRPr="002E4DB7">
        <w:t xml:space="preserve"> It is also characterized by the highest Internal rate of return (IRR) of about 14 which is higher than the required rate of return (10%), the returns of Projects A (12%) and B (11%). Its Profitability Index (PI) of 1.10 also implies its effectiveness in generating value per unit of investment.</w:t>
      </w:r>
    </w:p>
    <w:p w14:paraId="41B6D1FA" w14:textId="77777777" w:rsidR="00050DBE" w:rsidRPr="002E4DB7" w:rsidRDefault="00A25A4C" w:rsidP="00050DBE">
      <w:r w:rsidRPr="002E4DB7">
        <w:t>Cooperatively</w:t>
      </w:r>
      <w:r w:rsidR="00050DBE" w:rsidRPr="002E4DB7">
        <w:t>, the growing profitability (ROCE will grow to 15.1% and net profit margin will grow to 10.3) and integrated liquidity position (current ratio is now 1.30) of Toyota will enable the company to undertake more profitable projects such as Project C. The company also enjoys the power of its operating cash flows that provide the business with sufficient internal financing power, thereby not needing to rely on external financing.</w:t>
      </w:r>
    </w:p>
    <w:p w14:paraId="1DA23306" w14:textId="77777777" w:rsidR="00050DBE" w:rsidRPr="002E4DB7" w:rsidRDefault="00050DBE" w:rsidP="00050DBE">
      <w:r w:rsidRPr="002E4DB7">
        <w:t>Project C also has non-financial reasons in favour of it. The cash flows of the project increased more in the later years; it means that the project will be in sync with the long-term market demand particularly in the expanding electric vehicle market. The innovation and growth that it will assist in strategically managing is crucial in maintaining competitive advantage. In addition, long-term returns focus is also associated with the goals of sustainability, through which it is possible to invest in environmentally friendly technologies.</w:t>
      </w:r>
    </w:p>
    <w:p w14:paraId="728C206E" w14:textId="77777777" w:rsidR="00AA1ADE" w:rsidRPr="002E4DB7" w:rsidRDefault="00050DBE" w:rsidP="00050DBE">
      <w:r w:rsidRPr="002E4DB7">
        <w:lastRenderedPageBreak/>
        <w:t>Therefore, Project C must be selected as it has the most positive financial performance, strategic alignment and value creation in the long run.</w:t>
      </w:r>
    </w:p>
    <w:p w14:paraId="04C4FF18" w14:textId="77777777" w:rsidR="00AA1ADE" w:rsidRPr="002E4DB7" w:rsidRDefault="00AA1ADE" w:rsidP="00C63B57">
      <w:pPr>
        <w:pStyle w:val="Heading2"/>
        <w:rPr>
          <w:lang w:val="en-GB"/>
        </w:rPr>
      </w:pPr>
      <w:bookmarkStart w:id="23" w:name="_Toc227865247"/>
      <w:r w:rsidRPr="002E4DB7">
        <w:rPr>
          <w:lang w:val="en-GB"/>
        </w:rPr>
        <w:t>5.4 Capital Rationing Decision</w:t>
      </w:r>
      <w:bookmarkEnd w:id="23"/>
    </w:p>
    <w:p w14:paraId="147AFB30" w14:textId="77777777" w:rsidR="00AA1ADE" w:rsidRPr="002E4DB7" w:rsidRDefault="00050DBE" w:rsidP="00AA1ADE">
      <w:r w:rsidRPr="002E4DB7">
        <w:t>Under the capital constraint of London 100 million in which an initial investment of 50 million is required to invest on two of the three projects, the company is constrained to invest in three projects. The possible combinations are: Project A + B, Project A + C and Project B + C.</w:t>
      </w:r>
    </w:p>
    <w:p w14:paraId="4D030E25" w14:textId="77777777" w:rsidR="00AA1ADE" w:rsidRPr="002E4DB7" w:rsidRDefault="00AA1ADE" w:rsidP="00AA1ADE">
      <w:pPr>
        <w:rPr>
          <w:b/>
          <w:bCs/>
        </w:rPr>
      </w:pPr>
      <w:r w:rsidRPr="002E4DB7">
        <w:rPr>
          <w:b/>
          <w:bCs/>
        </w:rPr>
        <w:t>NPV of Project Combinations</w:t>
      </w:r>
    </w:p>
    <w:tbl>
      <w:tblPr>
        <w:tblStyle w:val="PlainTable5"/>
        <w:tblW w:w="0" w:type="auto"/>
        <w:jc w:val="center"/>
        <w:tblLook w:val="04A0" w:firstRow="1" w:lastRow="0" w:firstColumn="1" w:lastColumn="0" w:noHBand="0" w:noVBand="1"/>
      </w:tblPr>
      <w:tblGrid>
        <w:gridCol w:w="1510"/>
        <w:gridCol w:w="2416"/>
        <w:gridCol w:w="1803"/>
      </w:tblGrid>
      <w:tr w:rsidR="00AA1ADE" w:rsidRPr="002E4DB7" w14:paraId="20B9EF54" w14:textId="77777777" w:rsidTr="00D67EC2">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094273A4" w14:textId="77777777" w:rsidR="00AA1ADE" w:rsidRPr="002E4DB7" w:rsidRDefault="00AA1ADE" w:rsidP="00595EDA">
            <w:pPr>
              <w:rPr>
                <w:b/>
                <w:bCs/>
              </w:rPr>
            </w:pPr>
            <w:r w:rsidRPr="002E4DB7">
              <w:rPr>
                <w:b/>
                <w:bCs/>
              </w:rPr>
              <w:t>Combination</w:t>
            </w:r>
          </w:p>
        </w:tc>
        <w:tc>
          <w:tcPr>
            <w:tcW w:w="0" w:type="auto"/>
            <w:hideMark/>
          </w:tcPr>
          <w:p w14:paraId="555B1805" w14:textId="77777777" w:rsidR="00AA1ADE" w:rsidRPr="002E4DB7" w:rsidRDefault="00AA1ADE" w:rsidP="00595EDA">
            <w:pPr>
              <w:cnfStyle w:val="100000000000" w:firstRow="1" w:lastRow="0" w:firstColumn="0" w:lastColumn="0" w:oddVBand="0" w:evenVBand="0" w:oddHBand="0" w:evenHBand="0" w:firstRowFirstColumn="0" w:firstRowLastColumn="0" w:lastRowFirstColumn="0" w:lastRowLastColumn="0"/>
              <w:rPr>
                <w:b/>
                <w:bCs/>
              </w:rPr>
            </w:pPr>
            <w:r w:rsidRPr="002E4DB7">
              <w:rPr>
                <w:b/>
                <w:bCs/>
              </w:rPr>
              <w:t>Total Investment (£m)</w:t>
            </w:r>
          </w:p>
        </w:tc>
        <w:tc>
          <w:tcPr>
            <w:tcW w:w="0" w:type="auto"/>
            <w:hideMark/>
          </w:tcPr>
          <w:p w14:paraId="22B54F8F" w14:textId="77777777" w:rsidR="00AA1ADE" w:rsidRPr="002E4DB7" w:rsidRDefault="00AA1ADE" w:rsidP="00595EDA">
            <w:pPr>
              <w:cnfStyle w:val="100000000000" w:firstRow="1" w:lastRow="0" w:firstColumn="0" w:lastColumn="0" w:oddVBand="0" w:evenVBand="0" w:oddHBand="0" w:evenHBand="0" w:firstRowFirstColumn="0" w:firstRowLastColumn="0" w:lastRowFirstColumn="0" w:lastRowLastColumn="0"/>
              <w:rPr>
                <w:b/>
                <w:bCs/>
              </w:rPr>
            </w:pPr>
            <w:r w:rsidRPr="002E4DB7">
              <w:rPr>
                <w:b/>
                <w:bCs/>
              </w:rPr>
              <w:t>Total NPV (£m)</w:t>
            </w:r>
          </w:p>
        </w:tc>
      </w:tr>
      <w:tr w:rsidR="00AA1ADE" w:rsidRPr="002E4DB7" w14:paraId="64309C3B" w14:textId="77777777" w:rsidTr="00D67EC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1F1CD8" w14:textId="77777777" w:rsidR="00AA1ADE" w:rsidRPr="002E4DB7" w:rsidRDefault="00AA1ADE" w:rsidP="00595EDA">
            <w:r w:rsidRPr="002E4DB7">
              <w:t>A + B</w:t>
            </w:r>
          </w:p>
        </w:tc>
        <w:tc>
          <w:tcPr>
            <w:tcW w:w="0" w:type="auto"/>
            <w:hideMark/>
          </w:tcPr>
          <w:p w14:paraId="7CA24E33" w14:textId="77777777" w:rsidR="00AA1ADE" w:rsidRPr="002E4DB7" w:rsidRDefault="00AA1ADE" w:rsidP="00595EDA">
            <w:pPr>
              <w:cnfStyle w:val="000000100000" w:firstRow="0" w:lastRow="0" w:firstColumn="0" w:lastColumn="0" w:oddVBand="0" w:evenVBand="0" w:oddHBand="1" w:evenHBand="0" w:firstRowFirstColumn="0" w:firstRowLastColumn="0" w:lastRowFirstColumn="0" w:lastRowLastColumn="0"/>
            </w:pPr>
            <w:r w:rsidRPr="002E4DB7">
              <w:t>100</w:t>
            </w:r>
          </w:p>
        </w:tc>
        <w:tc>
          <w:tcPr>
            <w:tcW w:w="0" w:type="auto"/>
            <w:hideMark/>
          </w:tcPr>
          <w:p w14:paraId="799F0285" w14:textId="77777777" w:rsidR="00AA1ADE" w:rsidRPr="002E4DB7" w:rsidRDefault="00AA1ADE" w:rsidP="00595EDA">
            <w:pPr>
              <w:cnfStyle w:val="000000100000" w:firstRow="0" w:lastRow="0" w:firstColumn="0" w:lastColumn="0" w:oddVBand="0" w:evenVBand="0" w:oddHBand="1" w:evenHBand="0" w:firstRowFirstColumn="0" w:firstRowLastColumn="0" w:lastRowFirstColumn="0" w:lastRowLastColumn="0"/>
            </w:pPr>
            <w:r w:rsidRPr="002E4DB7">
              <w:t>4.2</w:t>
            </w:r>
          </w:p>
        </w:tc>
      </w:tr>
      <w:tr w:rsidR="00AA1ADE" w:rsidRPr="002E4DB7" w14:paraId="0F3DBDF8" w14:textId="77777777" w:rsidTr="00D67EC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E65D46" w14:textId="77777777" w:rsidR="00AA1ADE" w:rsidRPr="002E4DB7" w:rsidRDefault="00AA1ADE" w:rsidP="00595EDA">
            <w:r w:rsidRPr="002E4DB7">
              <w:t>A + C</w:t>
            </w:r>
          </w:p>
        </w:tc>
        <w:tc>
          <w:tcPr>
            <w:tcW w:w="0" w:type="auto"/>
            <w:hideMark/>
          </w:tcPr>
          <w:p w14:paraId="1B95181B" w14:textId="77777777" w:rsidR="00AA1ADE" w:rsidRPr="002E4DB7" w:rsidRDefault="00AA1ADE" w:rsidP="00595EDA">
            <w:pPr>
              <w:cnfStyle w:val="000000000000" w:firstRow="0" w:lastRow="0" w:firstColumn="0" w:lastColumn="0" w:oddVBand="0" w:evenVBand="0" w:oddHBand="0" w:evenHBand="0" w:firstRowFirstColumn="0" w:firstRowLastColumn="0" w:lastRowFirstColumn="0" w:lastRowLastColumn="0"/>
            </w:pPr>
            <w:r w:rsidRPr="002E4DB7">
              <w:t>100</w:t>
            </w:r>
          </w:p>
        </w:tc>
        <w:tc>
          <w:tcPr>
            <w:tcW w:w="0" w:type="auto"/>
            <w:hideMark/>
          </w:tcPr>
          <w:p w14:paraId="41CA76D6" w14:textId="77777777" w:rsidR="00AA1ADE" w:rsidRPr="002E4DB7" w:rsidRDefault="00AA1ADE" w:rsidP="00595EDA">
            <w:pPr>
              <w:cnfStyle w:val="000000000000" w:firstRow="0" w:lastRow="0" w:firstColumn="0" w:lastColumn="0" w:oddVBand="0" w:evenVBand="0" w:oddHBand="0" w:evenHBand="0" w:firstRowFirstColumn="0" w:firstRowLastColumn="0" w:lastRowFirstColumn="0" w:lastRowLastColumn="0"/>
            </w:pPr>
            <w:r w:rsidRPr="002E4DB7">
              <w:t>7.3</w:t>
            </w:r>
          </w:p>
        </w:tc>
      </w:tr>
      <w:tr w:rsidR="00AA1ADE" w:rsidRPr="002E4DB7" w14:paraId="5F9E6E39" w14:textId="77777777" w:rsidTr="00D67EC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AD9ED8" w14:textId="77777777" w:rsidR="00AA1ADE" w:rsidRPr="002E4DB7" w:rsidRDefault="00AA1ADE" w:rsidP="00595EDA">
            <w:r w:rsidRPr="002E4DB7">
              <w:t>B + C</w:t>
            </w:r>
          </w:p>
        </w:tc>
        <w:tc>
          <w:tcPr>
            <w:tcW w:w="0" w:type="auto"/>
            <w:hideMark/>
          </w:tcPr>
          <w:p w14:paraId="75B3B6CE" w14:textId="77777777" w:rsidR="00AA1ADE" w:rsidRPr="002E4DB7" w:rsidRDefault="00AA1ADE" w:rsidP="00595EDA">
            <w:pPr>
              <w:cnfStyle w:val="000000100000" w:firstRow="0" w:lastRow="0" w:firstColumn="0" w:lastColumn="0" w:oddVBand="0" w:evenVBand="0" w:oddHBand="1" w:evenHBand="0" w:firstRowFirstColumn="0" w:firstRowLastColumn="0" w:lastRowFirstColumn="0" w:lastRowLastColumn="0"/>
            </w:pPr>
            <w:r w:rsidRPr="002E4DB7">
              <w:t>100</w:t>
            </w:r>
          </w:p>
        </w:tc>
        <w:tc>
          <w:tcPr>
            <w:tcW w:w="0" w:type="auto"/>
            <w:hideMark/>
          </w:tcPr>
          <w:p w14:paraId="0A790416" w14:textId="77777777" w:rsidR="00AA1ADE" w:rsidRPr="002E4DB7" w:rsidRDefault="00AA1ADE" w:rsidP="00595EDA">
            <w:pPr>
              <w:cnfStyle w:val="000000100000" w:firstRow="0" w:lastRow="0" w:firstColumn="0" w:lastColumn="0" w:oddVBand="0" w:evenVBand="0" w:oddHBand="1" w:evenHBand="0" w:firstRowFirstColumn="0" w:firstRowLastColumn="0" w:lastRowFirstColumn="0" w:lastRowLastColumn="0"/>
            </w:pPr>
            <w:r w:rsidRPr="002E4DB7">
              <w:t>6.5</w:t>
            </w:r>
          </w:p>
        </w:tc>
      </w:tr>
    </w:tbl>
    <w:p w14:paraId="5BF75D51" w14:textId="77777777" w:rsidR="00050DBE" w:rsidRPr="002E4DB7" w:rsidRDefault="00050DBE" w:rsidP="00050DBE">
      <w:r w:rsidRPr="002E4DB7">
        <w:t>Project A + Project C will have the greatest NPV of a total of £7.3 million hence financially viable. The returns of Project B are constant and lower; the NPV is also lower and this also reduces the amount of generated value of the project when it is aggregated with others.</w:t>
      </w:r>
    </w:p>
    <w:p w14:paraId="3BC3D9BF" w14:textId="77777777" w:rsidR="00050DBE" w:rsidRPr="002E4DB7" w:rsidRDefault="00050DBE" w:rsidP="00050DBE">
      <w:r w:rsidRPr="002E4DB7">
        <w:t>The combination of the Projects A and C taken strategically gives a balance between the moderate returns investment and high returns investment. Project A will have relatively known and historic cash inflows and Project C will be able to generate more returns in the long term. This diversification not only reduces the total risk but also maximises the value</w:t>
      </w:r>
      <w:r w:rsidR="00A25A4C" w:rsidRPr="002E4DB7">
        <w:t xml:space="preserve"> (Khan, 2024)</w:t>
      </w:r>
      <w:r w:rsidRPr="002E4DB7">
        <w:t>.</w:t>
      </w:r>
    </w:p>
    <w:p w14:paraId="63854EC0" w14:textId="77777777" w:rsidR="00050DBE" w:rsidRPr="002E4DB7" w:rsidRDefault="00050DBE" w:rsidP="00050DBE">
      <w:r w:rsidRPr="002E4DB7">
        <w:t>Therefore, the option created by selecting Projects A and C would be the most optimal among the capital rationing and would yield the maximum wealth of the shareholders and will have a balanced program on investment.</w:t>
      </w:r>
    </w:p>
    <w:p w14:paraId="0C2AF7D7" w14:textId="77777777" w:rsidR="00050DBE" w:rsidRPr="002E4DB7" w:rsidRDefault="00050DBE" w:rsidP="00050DBE">
      <w:pPr>
        <w:pStyle w:val="Heading2"/>
        <w:rPr>
          <w:lang w:val="en-GB"/>
        </w:rPr>
      </w:pPr>
      <w:bookmarkStart w:id="24" w:name="_Toc227865248"/>
      <w:r w:rsidRPr="002E4DB7">
        <w:rPr>
          <w:lang w:val="en-GB"/>
        </w:rPr>
        <w:t>5.5 Risk Considerations</w:t>
      </w:r>
      <w:bookmarkEnd w:id="24"/>
    </w:p>
    <w:p w14:paraId="6772AFA5" w14:textId="77777777" w:rsidR="00050DBE" w:rsidRPr="002E4DB7" w:rsidRDefault="00050DBE" w:rsidP="00050DBE">
      <w:r w:rsidRPr="002E4DB7">
        <w:t>The investment projects selected may also contain several risks which may affect the underlying results of the project. Alteration of government regulation is a political risk as well as environmental protection and trade controls, but in particular, these issues are the topical aspect of the automotive industry. To provide an example, stiffer emission standards or introduce tariffs on imported materials will increase the expense and influence profitability</w:t>
      </w:r>
      <w:r w:rsidR="005C74EE" w:rsidRPr="002E4DB7">
        <w:t xml:space="preserve"> (Zhang and Shi, 2025)</w:t>
      </w:r>
      <w:r w:rsidRPr="002E4DB7">
        <w:t>.</w:t>
      </w:r>
    </w:p>
    <w:p w14:paraId="35C94427" w14:textId="77777777" w:rsidR="00050DBE" w:rsidRPr="002E4DB7" w:rsidRDefault="00050DBE" w:rsidP="00050DBE">
      <w:r w:rsidRPr="002E4DB7">
        <w:t xml:space="preserve">The competitors and the uncertainty of demand are the major roles to play in the market risks. Though Project C has greater returns in the long run, it would be relying on the further development in demand of the electric vehicles market. Any slow adoption of the new </w:t>
      </w:r>
      <w:r w:rsidRPr="002E4DB7">
        <w:lastRenderedPageBreak/>
        <w:t>technology in a market or increased competition by other manufacturers can reduce their future cash flows.</w:t>
      </w:r>
    </w:p>
    <w:p w14:paraId="054865A3" w14:textId="77777777" w:rsidR="00050DBE" w:rsidRPr="002E4DB7" w:rsidRDefault="00050DBE" w:rsidP="00050DBE">
      <w:r w:rsidRPr="002E4DB7">
        <w:t>The operational risks include potential production delays, technical challenges and supply chain interrupters. Project C cash flow allocation is biased because it will only be contingent on the successful implementation in the next few years subjecting the project to execution risk</w:t>
      </w:r>
      <w:r w:rsidR="00C820AB" w:rsidRPr="002E4DB7">
        <w:t xml:space="preserve"> (Blecker, 2023)</w:t>
      </w:r>
      <w:r w:rsidRPr="002E4DB7">
        <w:t>.</w:t>
      </w:r>
    </w:p>
    <w:p w14:paraId="456FCD0C" w14:textId="77777777" w:rsidR="00050DBE" w:rsidRPr="002E4DB7" w:rsidRDefault="00050DBE" w:rsidP="00050DBE">
      <w:r w:rsidRPr="002E4DB7">
        <w:t>However, it is possible to attempt to avoid the risks by selecting project C with project A since Project A is predictable and will provide greater stability of cash inflows but will reduce total portfolio. This diversification ensures that the organization is not over dependent on a given project which has a high risk to it.</w:t>
      </w:r>
    </w:p>
    <w:p w14:paraId="6D1A0CFD" w14:textId="77777777" w:rsidR="00AA1ADE" w:rsidRPr="002E4DB7" w:rsidRDefault="00050DBE" w:rsidP="00050DBE">
      <w:r w:rsidRPr="002E4DB7">
        <w:t>There may always be risks with any investment decision, but a combination of risks and rewards is a balanced method of making investment.</w:t>
      </w:r>
    </w:p>
    <w:p w14:paraId="1B7138A1" w14:textId="77777777" w:rsidR="00AA1ADE" w:rsidRPr="002E4DB7" w:rsidRDefault="00AA1ADE" w:rsidP="005B06BC">
      <w:pPr>
        <w:pStyle w:val="Heading1"/>
        <w:rPr>
          <w:lang w:val="en-GB"/>
        </w:rPr>
      </w:pPr>
      <w:bookmarkStart w:id="25" w:name="_Toc227865249"/>
      <w:r w:rsidRPr="002E4DB7">
        <w:rPr>
          <w:lang w:val="en-GB"/>
        </w:rPr>
        <w:t>6. Conclusion</w:t>
      </w:r>
      <w:bookmarkEnd w:id="25"/>
    </w:p>
    <w:p w14:paraId="61962F8F" w14:textId="77777777" w:rsidR="00050DBE" w:rsidRPr="002E4DB7" w:rsidRDefault="00050DBE" w:rsidP="00050DBE">
      <w:r w:rsidRPr="002E4DB7">
        <w:t>This report has provided a comprehensive discussion on the financial performance of Toyota, working capital management, strategic restructuring options and investment options. The financial health analysis indicates a promising and increasing status where the profitability measures such as ROCE have increased to 15.1 percent and the net profit margin increased to 10.3 percent. The extra efficiency gains as lowering of days of receivables and increasing of inventory turnover indicate better performance of operations.</w:t>
      </w:r>
    </w:p>
    <w:p w14:paraId="59AB6E32" w14:textId="536DE834" w:rsidR="00050DBE" w:rsidRPr="002E4DB7" w:rsidRDefault="00050DBE" w:rsidP="00050DBE">
      <w:r w:rsidRPr="002E4DB7">
        <w:t xml:space="preserve">Working cash analysis reveals that its cash operating cycle has greatly improved with a decrease to 16 days compared to 38 days that indicate that it has a good control over its liquidity. Observable liquidity ratios are average, </w:t>
      </w:r>
      <w:r w:rsidR="00E26A38" w:rsidRPr="002E4DB7">
        <w:t>but</w:t>
      </w:r>
      <w:r w:rsidRPr="002E4DB7">
        <w:t xml:space="preserve"> it might still need additional observation. The restructuring analysis indicates that the financial risk needs to be reduced through the implementation strategy such as divestment and equity financing, but still succeeds along the growth prospects.</w:t>
      </w:r>
    </w:p>
    <w:p w14:paraId="20AF4790" w14:textId="77777777" w:rsidR="00050DBE" w:rsidRPr="002E4DB7" w:rsidRDefault="00050DBE" w:rsidP="00050DBE">
      <w:r w:rsidRPr="002E4DB7">
        <w:t>Project C is the most feasible option since it provides the highest NPV (£4.8 million), which is the highest IRR (14%). It makes sense to combine the two projects Project A and C under capital rationing due to maximising the total NPV (£7.3 million) and achieving a fair balance between risk or gain.</w:t>
      </w:r>
    </w:p>
    <w:p w14:paraId="7F591927" w14:textId="77777777" w:rsidR="000E3FD4" w:rsidRPr="002E4DB7" w:rsidRDefault="00050DBE" w:rsidP="00AA1ADE">
      <w:r w:rsidRPr="002E4DB7">
        <w:t xml:space="preserve">Toyota has a high positioning and financial performance. It is recommended that the company should continue to focus on high paying investments and capital structure optimization and </w:t>
      </w:r>
      <w:r w:rsidRPr="002E4DB7">
        <w:lastRenderedPageBreak/>
        <w:t>also possessing effective working capitals. The practice will add to the long-term growth, the shareholders’ value and competence in the dynamic international automotive market.</w:t>
      </w:r>
      <w:r w:rsidR="000E3FD4" w:rsidRPr="002E4DB7">
        <w:t xml:space="preserve"> </w:t>
      </w:r>
    </w:p>
    <w:p w14:paraId="1826F611" w14:textId="77777777" w:rsidR="00353F29" w:rsidRPr="002E4DB7" w:rsidRDefault="00353F29">
      <w:pPr>
        <w:spacing w:line="259" w:lineRule="auto"/>
        <w:jc w:val="left"/>
      </w:pPr>
      <w:r w:rsidRPr="002E4DB7">
        <w:br w:type="page"/>
      </w:r>
    </w:p>
    <w:p w14:paraId="29BA9842" w14:textId="77777777" w:rsidR="00353F29" w:rsidRPr="002E4DB7" w:rsidRDefault="00353F29" w:rsidP="00353F29">
      <w:pPr>
        <w:pStyle w:val="Heading1"/>
        <w:rPr>
          <w:lang w:val="en-GB"/>
        </w:rPr>
      </w:pPr>
      <w:bookmarkStart w:id="26" w:name="_Toc227865250"/>
      <w:r w:rsidRPr="002E4DB7">
        <w:rPr>
          <w:lang w:val="en-GB"/>
        </w:rPr>
        <w:lastRenderedPageBreak/>
        <w:t>7. References</w:t>
      </w:r>
      <w:bookmarkEnd w:id="26"/>
    </w:p>
    <w:p w14:paraId="766FEAA6" w14:textId="603497C0" w:rsidR="00623975" w:rsidRPr="002E4DB7" w:rsidRDefault="00623975" w:rsidP="00623975">
      <w:pPr>
        <w:spacing w:before="240" w:after="0"/>
      </w:pPr>
      <w:r w:rsidRPr="002E4DB7">
        <w:t xml:space="preserve">Aldo, M., (2022). The Effect of Gearing, Price </w:t>
      </w:r>
      <w:r w:rsidR="00E26A38" w:rsidRPr="002E4DB7">
        <w:t>Earnings</w:t>
      </w:r>
      <w:r w:rsidRPr="002E4DB7">
        <w:t xml:space="preserve"> Ratio, Interest Rate, Risk on Abnormal Return. </w:t>
      </w:r>
      <w:r w:rsidRPr="002E4DB7">
        <w:rPr>
          <w:i/>
          <w:iCs/>
        </w:rPr>
        <w:t>Indonesian Interdisciplinary Journal of Sharia Economics (IIJSE)</w:t>
      </w:r>
      <w:r w:rsidRPr="002E4DB7">
        <w:t xml:space="preserve">, </w:t>
      </w:r>
      <w:r w:rsidRPr="002E4DB7">
        <w:rPr>
          <w:i/>
          <w:iCs/>
        </w:rPr>
        <w:t>5</w:t>
      </w:r>
      <w:r w:rsidRPr="002E4DB7">
        <w:t>(2), pp.751-767.</w:t>
      </w:r>
      <w:hyperlink r:id="rId16" w:history="1">
        <w:r w:rsidRPr="002E4DB7">
          <w:rPr>
            <w:rStyle w:val="Hyperlink"/>
            <w:noProof w:val="0"/>
          </w:rPr>
          <w:t>http://e-journal.uac.ac.id/index.php/iijse/article/download/2195/990</w:t>
        </w:r>
      </w:hyperlink>
      <w:r w:rsidRPr="002E4DB7">
        <w:t> </w:t>
      </w:r>
    </w:p>
    <w:p w14:paraId="3E89D7DE" w14:textId="77777777" w:rsidR="00623975" w:rsidRPr="002E4DB7" w:rsidRDefault="00623975" w:rsidP="00623975">
      <w:pPr>
        <w:spacing w:before="240" w:after="0"/>
      </w:pPr>
      <w:r w:rsidRPr="002E4DB7">
        <w:t xml:space="preserve">Asman, F.N., Fernandez, D., Jamaludin, N.A., Omar Zaki, H. and Ghazali, A.W., (2022). Cash conversion cycle and firm’s performance. </w:t>
      </w:r>
      <w:r w:rsidRPr="002E4DB7">
        <w:rPr>
          <w:i/>
          <w:iCs/>
        </w:rPr>
        <w:t>International Journal of Academic Research in Business and Social Sciences</w:t>
      </w:r>
      <w:r w:rsidRPr="002E4DB7">
        <w:t xml:space="preserve">, </w:t>
      </w:r>
      <w:r w:rsidRPr="002E4DB7">
        <w:rPr>
          <w:i/>
          <w:iCs/>
        </w:rPr>
        <w:t>12</w:t>
      </w:r>
      <w:r w:rsidRPr="002E4DB7">
        <w:t>(11), pp.2682-2692.</w:t>
      </w:r>
      <w:hyperlink r:id="rId17" w:history="1">
        <w:r w:rsidRPr="002E4DB7">
          <w:rPr>
            <w:rStyle w:val="Hyperlink"/>
            <w:noProof w:val="0"/>
          </w:rPr>
          <w:t>https://www.academia.edu/download/106769993/cash-conversion-cycle-and-firms-performance.pdf</w:t>
        </w:r>
      </w:hyperlink>
    </w:p>
    <w:p w14:paraId="492B3956" w14:textId="77777777" w:rsidR="00623975" w:rsidRPr="002E4DB7" w:rsidRDefault="00623975" w:rsidP="00623975">
      <w:pPr>
        <w:spacing w:before="240" w:after="0"/>
      </w:pPr>
      <w:r w:rsidRPr="002E4DB7">
        <w:t xml:space="preserve">Blecker, R.A., (2023). How important is the real exchange rate for exports and growth?. </w:t>
      </w:r>
      <w:r w:rsidRPr="002E4DB7">
        <w:rPr>
          <w:i/>
          <w:iCs/>
        </w:rPr>
        <w:t>European Journal of Economics and Economic Policies</w:t>
      </w:r>
      <w:r w:rsidRPr="002E4DB7">
        <w:t xml:space="preserve">, </w:t>
      </w:r>
      <w:r w:rsidRPr="002E4DB7">
        <w:rPr>
          <w:i/>
          <w:iCs/>
        </w:rPr>
        <w:t>20</w:t>
      </w:r>
      <w:r w:rsidRPr="002E4DB7">
        <w:t>(2), pp.250-265.</w:t>
      </w:r>
      <w:hyperlink r:id="rId18" w:history="1">
        <w:r w:rsidRPr="002E4DB7">
          <w:rPr>
            <w:rStyle w:val="Hyperlink"/>
            <w:noProof w:val="0"/>
          </w:rPr>
          <w:t>https://www.elgaronline.com/view/journals/ejeep/20/2/article-p250.xml</w:t>
        </w:r>
      </w:hyperlink>
      <w:r w:rsidRPr="002E4DB7">
        <w:t> </w:t>
      </w:r>
    </w:p>
    <w:p w14:paraId="1A438258" w14:textId="77777777" w:rsidR="00623975" w:rsidRPr="002E4DB7" w:rsidRDefault="00623975" w:rsidP="00623975">
      <w:pPr>
        <w:spacing w:before="240" w:after="0"/>
      </w:pPr>
      <w:r w:rsidRPr="002E4DB7">
        <w:t xml:space="preserve">Blessing, H. and Sakouvogui, G., (20230. Impact of liquidity and solvency ratios on financial performance: a comprehensive analysis. </w:t>
      </w:r>
      <w:r w:rsidRPr="002E4DB7">
        <w:rPr>
          <w:i/>
          <w:iCs/>
        </w:rPr>
        <w:t>Indonesia Auditing Research Journal</w:t>
      </w:r>
      <w:r w:rsidRPr="002E4DB7">
        <w:t xml:space="preserve">, </w:t>
      </w:r>
      <w:r w:rsidRPr="002E4DB7">
        <w:rPr>
          <w:i/>
          <w:iCs/>
        </w:rPr>
        <w:t>12</w:t>
      </w:r>
      <w:r w:rsidRPr="002E4DB7">
        <w:t>(3), pp.102-115.</w:t>
      </w:r>
    </w:p>
    <w:p w14:paraId="2AEC253D" w14:textId="77777777" w:rsidR="00623975" w:rsidRPr="002E4DB7" w:rsidRDefault="00623975" w:rsidP="00623975">
      <w:pPr>
        <w:spacing w:before="240" w:after="0"/>
      </w:pPr>
      <w:r w:rsidRPr="002E4DB7">
        <w:t xml:space="preserve">Budianto, E.W.H. and Dewi, N.D.T., (2023). Pemetaan Penelitian Rasio Return on Investment (ROI) Pada Perbankan Syariah dan Konvensional: Studi Bibliometrik Vosviewer dan Literature Review. </w:t>
      </w:r>
      <w:r w:rsidRPr="002E4DB7">
        <w:rPr>
          <w:i/>
          <w:iCs/>
        </w:rPr>
        <w:t>Competence: Journal of Management Studies</w:t>
      </w:r>
      <w:r w:rsidRPr="002E4DB7">
        <w:t xml:space="preserve">, </w:t>
      </w:r>
      <w:r w:rsidRPr="002E4DB7">
        <w:rPr>
          <w:i/>
          <w:iCs/>
        </w:rPr>
        <w:t>17</w:t>
      </w:r>
      <w:r w:rsidRPr="002E4DB7">
        <w:t>(1), pp.66-82.</w:t>
      </w:r>
      <w:hyperlink r:id="rId19" w:history="1">
        <w:r w:rsidRPr="002E4DB7">
          <w:rPr>
            <w:rStyle w:val="Hyperlink"/>
            <w:noProof w:val="0"/>
          </w:rPr>
          <w:t>https://journal.trunojoyo.ac.id/kompetensi/article/viewFile/20002/8184</w:t>
        </w:r>
      </w:hyperlink>
    </w:p>
    <w:p w14:paraId="405D62A3" w14:textId="77777777" w:rsidR="00623975" w:rsidRPr="002E4DB7" w:rsidRDefault="00623975" w:rsidP="00623975">
      <w:pPr>
        <w:spacing w:before="240" w:after="0"/>
      </w:pPr>
      <w:r w:rsidRPr="002E4DB7">
        <w:t xml:space="preserve">Hua, S., Xiaoye, Y. and Yuanfang, S., (2023). Dynamic discounting program of supply chain finance based on a financial information matching platform. </w:t>
      </w:r>
      <w:r w:rsidRPr="002E4DB7">
        <w:rPr>
          <w:i/>
          <w:iCs/>
        </w:rPr>
        <w:t>Annals of Operations Research</w:t>
      </w:r>
      <w:r w:rsidRPr="002E4DB7">
        <w:t xml:space="preserve">, </w:t>
      </w:r>
      <w:r w:rsidRPr="002E4DB7">
        <w:rPr>
          <w:i/>
          <w:iCs/>
        </w:rPr>
        <w:t>331</w:t>
      </w:r>
      <w:r w:rsidRPr="002E4DB7">
        <w:t>(1), pp.221-250.</w:t>
      </w:r>
      <w:hyperlink r:id="rId20" w:history="1">
        <w:r w:rsidRPr="002E4DB7">
          <w:rPr>
            <w:rStyle w:val="Hyperlink"/>
            <w:noProof w:val="0"/>
          </w:rPr>
          <w:t>https://link.springer.com/article/10.1007/s10479-022-04549-y</w:t>
        </w:r>
      </w:hyperlink>
    </w:p>
    <w:p w14:paraId="599DDA02" w14:textId="77777777" w:rsidR="00623975" w:rsidRPr="002E4DB7" w:rsidRDefault="00623975" w:rsidP="00623975">
      <w:pPr>
        <w:spacing w:before="240" w:after="0"/>
      </w:pPr>
      <w:r w:rsidRPr="002E4DB7">
        <w:t xml:space="preserve">Karim, A., Syamsuddin, I. and Asrianto, A., (2023). Profitability ratio analysis profit growth PT. Gudang Garam Tbk on the IDX for the 2014-2021 period. </w:t>
      </w:r>
      <w:r w:rsidRPr="002E4DB7">
        <w:rPr>
          <w:i/>
          <w:iCs/>
        </w:rPr>
        <w:t>International Journal of Economics, Business and Accounting Research (IJEBAR)</w:t>
      </w:r>
      <w:r w:rsidRPr="002E4DB7">
        <w:t xml:space="preserve">, </w:t>
      </w:r>
      <w:r w:rsidRPr="002E4DB7">
        <w:rPr>
          <w:i/>
          <w:iCs/>
        </w:rPr>
        <w:t>7</w:t>
      </w:r>
      <w:r w:rsidRPr="002E4DB7">
        <w:t>(2), pp.649-660.</w:t>
      </w:r>
      <w:hyperlink r:id="rId21" w:history="1">
        <w:r w:rsidRPr="002E4DB7">
          <w:rPr>
            <w:rStyle w:val="Hyperlink"/>
            <w:noProof w:val="0"/>
          </w:rPr>
          <w:t>https://jurnal.stie-aas.ac.id/index.php/IJEBAR/article/download/9133/3663</w:t>
        </w:r>
      </w:hyperlink>
      <w:r w:rsidRPr="002E4DB7">
        <w:t> </w:t>
      </w:r>
    </w:p>
    <w:p w14:paraId="17C173EB" w14:textId="77777777" w:rsidR="00623975" w:rsidRPr="002E4DB7" w:rsidRDefault="00623975" w:rsidP="00623975">
      <w:pPr>
        <w:spacing w:before="240" w:after="0"/>
      </w:pPr>
      <w:r w:rsidRPr="002E4DB7">
        <w:t xml:space="preserve">Ke, H. and Chen, X., (2023). Battery R&amp;D decision of electric vehicle manufacturer considering government subsidy. </w:t>
      </w:r>
      <w:r w:rsidRPr="002E4DB7">
        <w:rPr>
          <w:i/>
          <w:iCs/>
        </w:rPr>
        <w:t>Kybernetes</w:t>
      </w:r>
      <w:r w:rsidRPr="002E4DB7">
        <w:t xml:space="preserve">, </w:t>
      </w:r>
      <w:r w:rsidRPr="002E4DB7">
        <w:rPr>
          <w:i/>
          <w:iCs/>
        </w:rPr>
        <w:t>52</w:t>
      </w:r>
      <w:r w:rsidRPr="002E4DB7">
        <w:t>(10), pp.4441-4475.</w:t>
      </w:r>
      <w:hyperlink r:id="rId22" w:history="1">
        <w:r w:rsidRPr="002E4DB7">
          <w:rPr>
            <w:rStyle w:val="Hyperlink"/>
            <w:noProof w:val="0"/>
          </w:rPr>
          <w:t>https://www.emerald.com/k/article-pdf/52/10/4441/2870252/k-11-2021-1158.pdf</w:t>
        </w:r>
      </w:hyperlink>
      <w:r w:rsidRPr="002E4DB7">
        <w:t> </w:t>
      </w:r>
    </w:p>
    <w:p w14:paraId="7388B524" w14:textId="77777777" w:rsidR="00623975" w:rsidRPr="002E4DB7" w:rsidRDefault="00623975" w:rsidP="00623975">
      <w:pPr>
        <w:spacing w:before="240" w:after="0"/>
      </w:pPr>
      <w:r w:rsidRPr="002E4DB7">
        <w:lastRenderedPageBreak/>
        <w:t xml:space="preserve">Khan, A., (2024). Capital Rationing and Budget Allocation. In </w:t>
      </w:r>
      <w:r w:rsidRPr="002E4DB7">
        <w:rPr>
          <w:i/>
          <w:iCs/>
        </w:rPr>
        <w:t>Fundamentals of Public Budgeting and Finance</w:t>
      </w:r>
      <w:r w:rsidRPr="002E4DB7">
        <w:t xml:space="preserve"> (pp. 329-367). Cham: Springer International Publishing.</w:t>
      </w:r>
      <w:hyperlink r:id="rId23" w:history="1">
        <w:r w:rsidRPr="002E4DB7">
          <w:rPr>
            <w:rStyle w:val="Hyperlink"/>
            <w:noProof w:val="0"/>
          </w:rPr>
          <w:t>https://link.springer.com/chapter/10.1007/978-3-031-53674-8_9</w:t>
        </w:r>
      </w:hyperlink>
      <w:r w:rsidRPr="002E4DB7">
        <w:t> </w:t>
      </w:r>
    </w:p>
    <w:p w14:paraId="5E9A1DD0" w14:textId="77777777" w:rsidR="00623975" w:rsidRPr="002E4DB7" w:rsidRDefault="00623975" w:rsidP="00623975">
      <w:pPr>
        <w:spacing w:before="240" w:after="0"/>
      </w:pPr>
      <w:r w:rsidRPr="002E4DB7">
        <w:t xml:space="preserve">Lijuan, C., Bhaumik, A., Xinfeng, W. and Jingwen, W., (2023). The effects of inventory management on business efficiency. </w:t>
      </w:r>
      <w:r w:rsidRPr="002E4DB7">
        <w:rPr>
          <w:i/>
          <w:iCs/>
        </w:rPr>
        <w:t>International Journal For Multidisciplinary Research</w:t>
      </w:r>
      <w:r w:rsidRPr="002E4DB7">
        <w:t xml:space="preserve">, </w:t>
      </w:r>
      <w:r w:rsidRPr="002E4DB7">
        <w:rPr>
          <w:i/>
          <w:iCs/>
        </w:rPr>
        <w:t>5</w:t>
      </w:r>
      <w:r w:rsidRPr="002E4DB7">
        <w:t>(4), pp.1-17.</w:t>
      </w:r>
      <w:hyperlink r:id="rId24" w:history="1">
        <w:r w:rsidRPr="002E4DB7">
          <w:rPr>
            <w:rStyle w:val="Hyperlink"/>
            <w:noProof w:val="0"/>
          </w:rPr>
          <w:t>https://pdfs.semanticscholar.org/bd22/8e26099cc02797fe92f6afd5243a71f3ef3f.pdf</w:t>
        </w:r>
      </w:hyperlink>
      <w:r w:rsidRPr="002E4DB7">
        <w:t> </w:t>
      </w:r>
    </w:p>
    <w:p w14:paraId="59769871" w14:textId="77777777" w:rsidR="00623975" w:rsidRPr="002E4DB7" w:rsidRDefault="00623975" w:rsidP="00623975">
      <w:pPr>
        <w:spacing w:before="240" w:after="0"/>
      </w:pPr>
      <w:r w:rsidRPr="002E4DB7">
        <w:t xml:space="preserve">Nunden, N., Abbana, S., Marimuthu, F. and Sentoo, N., (2022). An assessment of management skills on capital budgeting planning and practices: evidence from the small and medium enterprise sector. </w:t>
      </w:r>
      <w:r w:rsidRPr="002E4DB7">
        <w:rPr>
          <w:i/>
          <w:iCs/>
        </w:rPr>
        <w:t>Cogent Business &amp; Management</w:t>
      </w:r>
      <w:r w:rsidRPr="002E4DB7">
        <w:t xml:space="preserve">, </w:t>
      </w:r>
      <w:r w:rsidRPr="002E4DB7">
        <w:rPr>
          <w:i/>
          <w:iCs/>
        </w:rPr>
        <w:t>9</w:t>
      </w:r>
      <w:r w:rsidRPr="002E4DB7">
        <w:t>(1), p.2136481.</w:t>
      </w:r>
      <w:hyperlink r:id="rId25" w:history="1">
        <w:r w:rsidRPr="002E4DB7">
          <w:rPr>
            <w:rStyle w:val="Hyperlink"/>
            <w:noProof w:val="0"/>
          </w:rPr>
          <w:t>https://www.tandfonline.com/doi/pdf/10.1080/23311975.2022.2136481</w:t>
        </w:r>
      </w:hyperlink>
      <w:r w:rsidRPr="002E4DB7">
        <w:t> </w:t>
      </w:r>
    </w:p>
    <w:p w14:paraId="35C305C3" w14:textId="77777777" w:rsidR="00623975" w:rsidRPr="002E4DB7" w:rsidRDefault="00623975" w:rsidP="00623975">
      <w:pPr>
        <w:spacing w:before="240" w:after="0"/>
      </w:pPr>
      <w:r w:rsidRPr="002E4DB7">
        <w:t xml:space="preserve">Sinaga, A.S., Sari, M.M., Hutasuhut, A.A., Zahara, S.T., Amanda, A., Fitri, A. and Caesario, M.A., (2023). Comparison of capital budgeting methods: NPV, IRR, PAYBACK PERIOD. </w:t>
      </w:r>
      <w:r w:rsidRPr="002E4DB7">
        <w:rPr>
          <w:i/>
          <w:iCs/>
        </w:rPr>
        <w:t>World Journal of Advanced Research and Reviews</w:t>
      </w:r>
      <w:r w:rsidRPr="002E4DB7">
        <w:t xml:space="preserve">, </w:t>
      </w:r>
      <w:r w:rsidRPr="002E4DB7">
        <w:rPr>
          <w:i/>
          <w:iCs/>
        </w:rPr>
        <w:t>19</w:t>
      </w:r>
      <w:r w:rsidRPr="002E4DB7">
        <w:t>(2), pp.1078-1081.</w:t>
      </w:r>
      <w:hyperlink r:id="rId26" w:history="1">
        <w:r w:rsidRPr="002E4DB7">
          <w:rPr>
            <w:rStyle w:val="Hyperlink"/>
            <w:noProof w:val="0"/>
          </w:rPr>
          <w:t>https://pdfs.semanticscholar.org/35f5/923a958b071288b38d4e960e8268477ec19a.pdf</w:t>
        </w:r>
      </w:hyperlink>
      <w:r w:rsidRPr="002E4DB7">
        <w:t> </w:t>
      </w:r>
    </w:p>
    <w:p w14:paraId="15C0D419" w14:textId="77777777" w:rsidR="00623975" w:rsidRPr="002E4DB7" w:rsidRDefault="00623975" w:rsidP="00623975">
      <w:pPr>
        <w:spacing w:before="240" w:after="0"/>
      </w:pPr>
      <w:r w:rsidRPr="002E4DB7">
        <w:t xml:space="preserve">Toyota Motor Corporation (2023) </w:t>
      </w:r>
      <w:r w:rsidRPr="002E4DB7">
        <w:rPr>
          <w:i/>
          <w:iCs/>
        </w:rPr>
        <w:t>Intelligence Technology</w:t>
      </w:r>
      <w:r w:rsidRPr="002E4DB7">
        <w:t>. Available at:</w:t>
      </w:r>
      <w:hyperlink r:id="rId27" w:history="1">
        <w:r w:rsidRPr="002E4DB7">
          <w:rPr>
            <w:rStyle w:val="Hyperlink"/>
            <w:noProof w:val="0"/>
          </w:rPr>
          <w:t xml:space="preserve"> https://global.toyota/en/newsroom/corporate/39288520.html</w:t>
        </w:r>
      </w:hyperlink>
      <w:r w:rsidRPr="002E4DB7">
        <w:t xml:space="preserve"> (Accessed: 23 April 2026).</w:t>
      </w:r>
    </w:p>
    <w:p w14:paraId="219576C9" w14:textId="77777777" w:rsidR="00623975" w:rsidRPr="002E4DB7" w:rsidRDefault="00623975" w:rsidP="00623975">
      <w:pPr>
        <w:spacing w:before="240" w:after="0"/>
      </w:pPr>
      <w:r w:rsidRPr="002E4DB7">
        <w:t xml:space="preserve">Toyota Motor Corporation (2025) </w:t>
      </w:r>
      <w:r w:rsidRPr="002E4DB7">
        <w:rPr>
          <w:i/>
          <w:iCs/>
        </w:rPr>
        <w:t>Integrated Report 2025</w:t>
      </w:r>
      <w:r w:rsidRPr="002E4DB7">
        <w:t>. Available at:</w:t>
      </w:r>
      <w:hyperlink r:id="rId28" w:history="1">
        <w:r w:rsidRPr="002E4DB7">
          <w:rPr>
            <w:rStyle w:val="Hyperlink"/>
            <w:noProof w:val="0"/>
          </w:rPr>
          <w:t xml:space="preserve"> https://global.toyota/pages/global_toyota/ir/library/annual/2025_001_integrated_en.pdf</w:t>
        </w:r>
      </w:hyperlink>
      <w:r w:rsidRPr="002E4DB7">
        <w:t xml:space="preserve"> (Accessed: 23 April 2026).</w:t>
      </w:r>
    </w:p>
    <w:p w14:paraId="7DFABD3B" w14:textId="77777777" w:rsidR="00623975" w:rsidRPr="002E4DB7" w:rsidRDefault="00623975" w:rsidP="00623975">
      <w:pPr>
        <w:spacing w:before="240" w:after="0"/>
      </w:pPr>
      <w:r w:rsidRPr="002E4DB7">
        <w:t xml:space="preserve">Wangchuk, P., (2022). Application of depreciation net present value and internal rate of return in engineering projects a brief literature review. </w:t>
      </w:r>
      <w:r w:rsidRPr="002E4DB7">
        <w:rPr>
          <w:i/>
          <w:iCs/>
        </w:rPr>
        <w:t>Journal of Applied Engineering, Technology and Management</w:t>
      </w:r>
      <w:r w:rsidRPr="002E4DB7">
        <w:t xml:space="preserve">, </w:t>
      </w:r>
      <w:r w:rsidRPr="002E4DB7">
        <w:rPr>
          <w:i/>
          <w:iCs/>
        </w:rPr>
        <w:t>2</w:t>
      </w:r>
      <w:r w:rsidRPr="002E4DB7">
        <w:t>(1), pp.25-30.</w:t>
      </w:r>
      <w:hyperlink r:id="rId29" w:history="1">
        <w:r w:rsidRPr="002E4DB7">
          <w:rPr>
            <w:rStyle w:val="Hyperlink"/>
            <w:noProof w:val="0"/>
          </w:rPr>
          <w:t>https://journal.jnec.edu.bt/index.php/jaetm/article/download/55/26</w:t>
        </w:r>
      </w:hyperlink>
      <w:r w:rsidRPr="002E4DB7">
        <w:t> </w:t>
      </w:r>
    </w:p>
    <w:p w14:paraId="173A73D3" w14:textId="49A7669B" w:rsidR="00623975" w:rsidRPr="002E4DB7" w:rsidRDefault="00623975" w:rsidP="00623975">
      <w:pPr>
        <w:spacing w:before="240" w:after="0"/>
      </w:pPr>
      <w:r w:rsidRPr="002E4DB7">
        <w:t xml:space="preserve">Wulaningrum, R., Satya, V.E., Kadafi, M., Fala, D.Y.A.S. and Azizah, A., (2022), March. Operating Cash Flow Analysis of Indonesian Provincial Government. In </w:t>
      </w:r>
      <w:r w:rsidRPr="002E4DB7">
        <w:rPr>
          <w:i/>
          <w:iCs/>
        </w:rPr>
        <w:t>International Conference on Applied Science and Technology on Social Science 2021 (iCAST-SS 2021)</w:t>
      </w:r>
      <w:r w:rsidRPr="002E4DB7">
        <w:t xml:space="preserve"> (pp. 571-576). Atlantis Press.</w:t>
      </w:r>
      <w:r w:rsidR="00E26A38">
        <w:t xml:space="preserve"> </w:t>
      </w:r>
      <w:hyperlink r:id="rId30" w:history="1">
        <w:r w:rsidRPr="002E4DB7">
          <w:rPr>
            <w:rStyle w:val="Hyperlink"/>
            <w:noProof w:val="0"/>
          </w:rPr>
          <w:t>https://www.atlantis-press.com/article/125971166.pdf</w:t>
        </w:r>
      </w:hyperlink>
      <w:r w:rsidRPr="002E4DB7">
        <w:t> </w:t>
      </w:r>
    </w:p>
    <w:p w14:paraId="387A3501" w14:textId="77777777" w:rsidR="000E3FD4" w:rsidRPr="002E4DB7" w:rsidRDefault="00623975" w:rsidP="00135AB8">
      <w:pPr>
        <w:spacing w:before="240" w:after="0"/>
      </w:pPr>
      <w:r w:rsidRPr="002E4DB7">
        <w:lastRenderedPageBreak/>
        <w:t xml:space="preserve">Zhang, L. and Shi, W., (2025). The impacts of the US inflation reduction act on EV supply chains. </w:t>
      </w:r>
      <w:r w:rsidRPr="002E4DB7">
        <w:rPr>
          <w:i/>
          <w:iCs/>
        </w:rPr>
        <w:t>Sustainability</w:t>
      </w:r>
      <w:r w:rsidRPr="002E4DB7">
        <w:t xml:space="preserve">, </w:t>
      </w:r>
      <w:r w:rsidRPr="002E4DB7">
        <w:rPr>
          <w:i/>
          <w:iCs/>
        </w:rPr>
        <w:t>17</w:t>
      </w:r>
      <w:r w:rsidRPr="002E4DB7">
        <w:t>(2), p.653.</w:t>
      </w:r>
      <w:hyperlink r:id="rId31" w:history="1">
        <w:r w:rsidRPr="002E4DB7">
          <w:rPr>
            <w:rStyle w:val="Hyperlink"/>
            <w:noProof w:val="0"/>
          </w:rPr>
          <w:t>https://www.mdpi.com/2071-1050/17/2/653</w:t>
        </w:r>
      </w:hyperlink>
      <w:r w:rsidRPr="002E4DB7">
        <w:t> </w:t>
      </w:r>
    </w:p>
    <w:p w14:paraId="4350288D" w14:textId="77777777" w:rsidR="00CA1E58" w:rsidRPr="002E4DB7" w:rsidRDefault="00CA1E58"/>
    <w:sectPr w:rsidR="00CA1E58" w:rsidRPr="002E4DB7" w:rsidSect="00D51340">
      <w:footerReference w:type="default" r:id="rId3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6B86C" w14:textId="77777777" w:rsidR="0071548C" w:rsidRDefault="0071548C" w:rsidP="00D51340">
      <w:pPr>
        <w:spacing w:after="0" w:line="240" w:lineRule="auto"/>
      </w:pPr>
      <w:r>
        <w:separator/>
      </w:r>
    </w:p>
  </w:endnote>
  <w:endnote w:type="continuationSeparator" w:id="0">
    <w:p w14:paraId="6CE64245" w14:textId="77777777" w:rsidR="0071548C" w:rsidRDefault="0071548C" w:rsidP="00D513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4452578"/>
      <w:docPartObj>
        <w:docPartGallery w:val="Page Numbers (Bottom of Page)"/>
        <w:docPartUnique/>
      </w:docPartObj>
    </w:sdtPr>
    <w:sdtEndPr>
      <w:rPr>
        <w:color w:val="7F7F7F" w:themeColor="background1" w:themeShade="7F"/>
        <w:spacing w:val="60"/>
      </w:rPr>
    </w:sdtEndPr>
    <w:sdtContent>
      <w:p w14:paraId="37F64D01" w14:textId="77777777" w:rsidR="00A36FBB" w:rsidRDefault="00A36FBB">
        <w:pPr>
          <w:pStyle w:val="Footer"/>
          <w:pBdr>
            <w:top w:val="single" w:sz="4" w:space="1" w:color="D9D9D9" w:themeColor="background1" w:themeShade="D9"/>
          </w:pBdr>
          <w:jc w:val="right"/>
        </w:pPr>
        <w:r>
          <w:fldChar w:fldCharType="begin"/>
        </w:r>
        <w:r>
          <w:instrText xml:space="preserve"> PAGE   \* MERGEFORMAT </w:instrText>
        </w:r>
        <w:r>
          <w:fldChar w:fldCharType="separate"/>
        </w:r>
        <w:r w:rsidR="000E17B4">
          <w:rPr>
            <w:noProof/>
          </w:rPr>
          <w:t>24</w:t>
        </w:r>
        <w:r>
          <w:rPr>
            <w:noProof/>
          </w:rPr>
          <w:fldChar w:fldCharType="end"/>
        </w:r>
        <w:r>
          <w:t xml:space="preserve"> | </w:t>
        </w:r>
        <w:r>
          <w:rPr>
            <w:color w:val="7F7F7F" w:themeColor="background1" w:themeShade="7F"/>
            <w:spacing w:val="60"/>
          </w:rPr>
          <w:t>Page</w:t>
        </w:r>
      </w:p>
    </w:sdtContent>
  </w:sdt>
  <w:p w14:paraId="7EF4EA83" w14:textId="77777777" w:rsidR="00A36FBB" w:rsidRDefault="00A36F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73C3F" w14:textId="77777777" w:rsidR="0071548C" w:rsidRDefault="0071548C" w:rsidP="00D51340">
      <w:pPr>
        <w:spacing w:after="0" w:line="240" w:lineRule="auto"/>
      </w:pPr>
      <w:r>
        <w:separator/>
      </w:r>
    </w:p>
  </w:footnote>
  <w:footnote w:type="continuationSeparator" w:id="0">
    <w:p w14:paraId="65ABF3B2" w14:textId="77777777" w:rsidR="0071548C" w:rsidRDefault="0071548C" w:rsidP="00D513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639A5"/>
    <w:multiLevelType w:val="multilevel"/>
    <w:tmpl w:val="53485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D7688"/>
    <w:multiLevelType w:val="multilevel"/>
    <w:tmpl w:val="2750B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B0BD7"/>
    <w:multiLevelType w:val="multilevel"/>
    <w:tmpl w:val="F336F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6F4BDF"/>
    <w:multiLevelType w:val="multilevel"/>
    <w:tmpl w:val="D40C57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17BF3"/>
    <w:multiLevelType w:val="multilevel"/>
    <w:tmpl w:val="BA783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48106F"/>
    <w:multiLevelType w:val="multilevel"/>
    <w:tmpl w:val="50FC5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7C1389"/>
    <w:multiLevelType w:val="multilevel"/>
    <w:tmpl w:val="6B30A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C607DE"/>
    <w:multiLevelType w:val="multilevel"/>
    <w:tmpl w:val="FB884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075117"/>
    <w:multiLevelType w:val="multilevel"/>
    <w:tmpl w:val="33769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A672A4"/>
    <w:multiLevelType w:val="multilevel"/>
    <w:tmpl w:val="ABBE0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5325E4"/>
    <w:multiLevelType w:val="multilevel"/>
    <w:tmpl w:val="AC0E07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627241"/>
    <w:multiLevelType w:val="multilevel"/>
    <w:tmpl w:val="E960B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836CA4"/>
    <w:multiLevelType w:val="multilevel"/>
    <w:tmpl w:val="184A5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FD4B0D"/>
    <w:multiLevelType w:val="multilevel"/>
    <w:tmpl w:val="DFF08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576D75"/>
    <w:multiLevelType w:val="multilevel"/>
    <w:tmpl w:val="C67AC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31259E"/>
    <w:multiLevelType w:val="multilevel"/>
    <w:tmpl w:val="8DFA1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AF758D"/>
    <w:multiLevelType w:val="multilevel"/>
    <w:tmpl w:val="0A4EC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F9193C"/>
    <w:multiLevelType w:val="multilevel"/>
    <w:tmpl w:val="B05A0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4142C4"/>
    <w:multiLevelType w:val="multilevel"/>
    <w:tmpl w:val="2EB43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D72148"/>
    <w:multiLevelType w:val="multilevel"/>
    <w:tmpl w:val="1026F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FF0E04"/>
    <w:multiLevelType w:val="multilevel"/>
    <w:tmpl w:val="AFE69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E07608"/>
    <w:multiLevelType w:val="multilevel"/>
    <w:tmpl w:val="B11AD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96282F"/>
    <w:multiLevelType w:val="multilevel"/>
    <w:tmpl w:val="892A8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776E6F"/>
    <w:multiLevelType w:val="multilevel"/>
    <w:tmpl w:val="B9462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4E1DA1"/>
    <w:multiLevelType w:val="multilevel"/>
    <w:tmpl w:val="BED0C1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E42B26"/>
    <w:multiLevelType w:val="multilevel"/>
    <w:tmpl w:val="3C7AA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FA169B"/>
    <w:multiLevelType w:val="multilevel"/>
    <w:tmpl w:val="FC54B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8022914">
    <w:abstractNumId w:val="6"/>
  </w:num>
  <w:num w:numId="2" w16cid:durableId="1155687434">
    <w:abstractNumId w:val="4"/>
  </w:num>
  <w:num w:numId="3" w16cid:durableId="236600192">
    <w:abstractNumId w:val="22"/>
  </w:num>
  <w:num w:numId="4" w16cid:durableId="1745299313">
    <w:abstractNumId w:val="9"/>
  </w:num>
  <w:num w:numId="5" w16cid:durableId="422606050">
    <w:abstractNumId w:val="1"/>
  </w:num>
  <w:num w:numId="6" w16cid:durableId="973757918">
    <w:abstractNumId w:val="11"/>
  </w:num>
  <w:num w:numId="7" w16cid:durableId="472842256">
    <w:abstractNumId w:val="0"/>
  </w:num>
  <w:num w:numId="8" w16cid:durableId="628902853">
    <w:abstractNumId w:val="2"/>
  </w:num>
  <w:num w:numId="9" w16cid:durableId="393241335">
    <w:abstractNumId w:val="25"/>
  </w:num>
  <w:num w:numId="10" w16cid:durableId="605041894">
    <w:abstractNumId w:val="12"/>
  </w:num>
  <w:num w:numId="11" w16cid:durableId="1863087190">
    <w:abstractNumId w:val="21"/>
  </w:num>
  <w:num w:numId="12" w16cid:durableId="383599080">
    <w:abstractNumId w:val="19"/>
  </w:num>
  <w:num w:numId="13" w16cid:durableId="620960548">
    <w:abstractNumId w:val="14"/>
  </w:num>
  <w:num w:numId="14" w16cid:durableId="1562518099">
    <w:abstractNumId w:val="7"/>
  </w:num>
  <w:num w:numId="15" w16cid:durableId="1341590244">
    <w:abstractNumId w:val="8"/>
  </w:num>
  <w:num w:numId="16" w16cid:durableId="1846284812">
    <w:abstractNumId w:val="20"/>
  </w:num>
  <w:num w:numId="17" w16cid:durableId="527523143">
    <w:abstractNumId w:val="5"/>
  </w:num>
  <w:num w:numId="18" w16cid:durableId="1797794218">
    <w:abstractNumId w:val="17"/>
  </w:num>
  <w:num w:numId="19" w16cid:durableId="936055787">
    <w:abstractNumId w:val="26"/>
  </w:num>
  <w:num w:numId="20" w16cid:durableId="1838493598">
    <w:abstractNumId w:val="16"/>
  </w:num>
  <w:num w:numId="21" w16cid:durableId="2085058837">
    <w:abstractNumId w:val="18"/>
  </w:num>
  <w:num w:numId="22" w16cid:durableId="1484852902">
    <w:abstractNumId w:val="13"/>
  </w:num>
  <w:num w:numId="23" w16cid:durableId="1979726918">
    <w:abstractNumId w:val="3"/>
  </w:num>
  <w:num w:numId="24" w16cid:durableId="794256816">
    <w:abstractNumId w:val="23"/>
  </w:num>
  <w:num w:numId="25" w16cid:durableId="350768779">
    <w:abstractNumId w:val="10"/>
  </w:num>
  <w:num w:numId="26" w16cid:durableId="1830561884">
    <w:abstractNumId w:val="24"/>
  </w:num>
  <w:num w:numId="27" w16cid:durableId="98809090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56D2"/>
    <w:rsid w:val="00000C1D"/>
    <w:rsid w:val="00005DDB"/>
    <w:rsid w:val="00032267"/>
    <w:rsid w:val="00040607"/>
    <w:rsid w:val="00044448"/>
    <w:rsid w:val="00050DBE"/>
    <w:rsid w:val="00070B64"/>
    <w:rsid w:val="0009321E"/>
    <w:rsid w:val="0009471F"/>
    <w:rsid w:val="00097BC5"/>
    <w:rsid w:val="000E17B4"/>
    <w:rsid w:val="000E31F9"/>
    <w:rsid w:val="000E3FD4"/>
    <w:rsid w:val="000E7F84"/>
    <w:rsid w:val="000F3B52"/>
    <w:rsid w:val="00122263"/>
    <w:rsid w:val="001266A5"/>
    <w:rsid w:val="00126E6E"/>
    <w:rsid w:val="00135AB8"/>
    <w:rsid w:val="001461D1"/>
    <w:rsid w:val="001576CB"/>
    <w:rsid w:val="00180143"/>
    <w:rsid w:val="00190B61"/>
    <w:rsid w:val="001969E6"/>
    <w:rsid w:val="001C59AA"/>
    <w:rsid w:val="001D5410"/>
    <w:rsid w:val="001E2645"/>
    <w:rsid w:val="00217FA1"/>
    <w:rsid w:val="00233011"/>
    <w:rsid w:val="00247DA5"/>
    <w:rsid w:val="00251F71"/>
    <w:rsid w:val="00264B8D"/>
    <w:rsid w:val="002806D6"/>
    <w:rsid w:val="002B56E6"/>
    <w:rsid w:val="002E4DB7"/>
    <w:rsid w:val="0031588A"/>
    <w:rsid w:val="00332774"/>
    <w:rsid w:val="00353F29"/>
    <w:rsid w:val="003C2948"/>
    <w:rsid w:val="003C3AF9"/>
    <w:rsid w:val="003C6544"/>
    <w:rsid w:val="003E3C85"/>
    <w:rsid w:val="003F25C8"/>
    <w:rsid w:val="00410134"/>
    <w:rsid w:val="004356D2"/>
    <w:rsid w:val="00474B5D"/>
    <w:rsid w:val="0049397F"/>
    <w:rsid w:val="004A2136"/>
    <w:rsid w:val="004A7C66"/>
    <w:rsid w:val="004B0A0C"/>
    <w:rsid w:val="004C6640"/>
    <w:rsid w:val="004D6638"/>
    <w:rsid w:val="004E6432"/>
    <w:rsid w:val="0053591D"/>
    <w:rsid w:val="00580B5A"/>
    <w:rsid w:val="00591622"/>
    <w:rsid w:val="00595EDA"/>
    <w:rsid w:val="005A50A1"/>
    <w:rsid w:val="005B06BC"/>
    <w:rsid w:val="005C74EE"/>
    <w:rsid w:val="005F205D"/>
    <w:rsid w:val="00604F8B"/>
    <w:rsid w:val="00606763"/>
    <w:rsid w:val="00623975"/>
    <w:rsid w:val="006347A3"/>
    <w:rsid w:val="0066311D"/>
    <w:rsid w:val="00667206"/>
    <w:rsid w:val="006E23BE"/>
    <w:rsid w:val="006F2FB0"/>
    <w:rsid w:val="0071548C"/>
    <w:rsid w:val="00737BB4"/>
    <w:rsid w:val="007C286D"/>
    <w:rsid w:val="007D37DE"/>
    <w:rsid w:val="007E4970"/>
    <w:rsid w:val="008127A3"/>
    <w:rsid w:val="00815AAB"/>
    <w:rsid w:val="008234C3"/>
    <w:rsid w:val="008B2ED5"/>
    <w:rsid w:val="008C647D"/>
    <w:rsid w:val="00915DCE"/>
    <w:rsid w:val="00937B2B"/>
    <w:rsid w:val="00962DF0"/>
    <w:rsid w:val="00972724"/>
    <w:rsid w:val="00987362"/>
    <w:rsid w:val="00A21CB9"/>
    <w:rsid w:val="00A25A4C"/>
    <w:rsid w:val="00A363A9"/>
    <w:rsid w:val="00A36FBB"/>
    <w:rsid w:val="00A41C3B"/>
    <w:rsid w:val="00A60D5D"/>
    <w:rsid w:val="00AA1ADE"/>
    <w:rsid w:val="00B14D98"/>
    <w:rsid w:val="00B35C22"/>
    <w:rsid w:val="00B54078"/>
    <w:rsid w:val="00B56913"/>
    <w:rsid w:val="00B8755E"/>
    <w:rsid w:val="00BA3271"/>
    <w:rsid w:val="00C63B57"/>
    <w:rsid w:val="00C64ACC"/>
    <w:rsid w:val="00C70509"/>
    <w:rsid w:val="00C769E7"/>
    <w:rsid w:val="00C820AB"/>
    <w:rsid w:val="00C953F3"/>
    <w:rsid w:val="00CA1E58"/>
    <w:rsid w:val="00CB7345"/>
    <w:rsid w:val="00CC1B65"/>
    <w:rsid w:val="00CD4C62"/>
    <w:rsid w:val="00CE1F5D"/>
    <w:rsid w:val="00D0633F"/>
    <w:rsid w:val="00D06803"/>
    <w:rsid w:val="00D06D6A"/>
    <w:rsid w:val="00D23540"/>
    <w:rsid w:val="00D25EA5"/>
    <w:rsid w:val="00D51340"/>
    <w:rsid w:val="00D514B1"/>
    <w:rsid w:val="00D56689"/>
    <w:rsid w:val="00D61291"/>
    <w:rsid w:val="00D67EC2"/>
    <w:rsid w:val="00D97262"/>
    <w:rsid w:val="00DA0CC2"/>
    <w:rsid w:val="00DA22AB"/>
    <w:rsid w:val="00DB1B69"/>
    <w:rsid w:val="00DC5A89"/>
    <w:rsid w:val="00DE47CF"/>
    <w:rsid w:val="00DF3717"/>
    <w:rsid w:val="00DF79A4"/>
    <w:rsid w:val="00E0108E"/>
    <w:rsid w:val="00E13C49"/>
    <w:rsid w:val="00E26A38"/>
    <w:rsid w:val="00E2750D"/>
    <w:rsid w:val="00E44506"/>
    <w:rsid w:val="00E679E6"/>
    <w:rsid w:val="00E718C5"/>
    <w:rsid w:val="00E770C0"/>
    <w:rsid w:val="00E85976"/>
    <w:rsid w:val="00E87054"/>
    <w:rsid w:val="00E95848"/>
    <w:rsid w:val="00EB156E"/>
    <w:rsid w:val="00EB3359"/>
    <w:rsid w:val="00EB7CD9"/>
    <w:rsid w:val="00EC0E8B"/>
    <w:rsid w:val="00EE4516"/>
    <w:rsid w:val="00EF584B"/>
    <w:rsid w:val="00EF7B40"/>
    <w:rsid w:val="00F02A26"/>
    <w:rsid w:val="00F54925"/>
    <w:rsid w:val="00F7611D"/>
    <w:rsid w:val="00FA097D"/>
    <w:rsid w:val="00FC068D"/>
    <w:rsid w:val="00FD25A7"/>
    <w:rsid w:val="00FE68B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D78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84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80B5A"/>
    <w:pPr>
      <w:spacing w:after="0"/>
      <w:outlineLvl w:val="0"/>
    </w:pPr>
    <w:rPr>
      <w:rFonts w:cs="Times New Roman"/>
      <w:b/>
      <w:sz w:val="28"/>
      <w:lang w:val="en-US"/>
    </w:rPr>
  </w:style>
  <w:style w:type="paragraph" w:styleId="Heading2">
    <w:name w:val="heading 2"/>
    <w:basedOn w:val="Normal"/>
    <w:next w:val="Normal"/>
    <w:link w:val="Heading2Char"/>
    <w:autoRedefine/>
    <w:uiPriority w:val="9"/>
    <w:unhideWhenUsed/>
    <w:qFormat/>
    <w:rsid w:val="003F25C8"/>
    <w:pPr>
      <w:spacing w:after="0"/>
      <w:outlineLvl w:val="1"/>
    </w:pPr>
    <w:rPr>
      <w:b/>
      <w:bCs/>
      <w:lang w:val="en-IN"/>
    </w:rPr>
  </w:style>
  <w:style w:type="paragraph" w:styleId="Heading3">
    <w:name w:val="heading 3"/>
    <w:basedOn w:val="Subtitle"/>
    <w:next w:val="Normal"/>
    <w:link w:val="Heading3Char"/>
    <w:uiPriority w:val="9"/>
    <w:unhideWhenUsed/>
    <w:qFormat/>
    <w:rsid w:val="0049397F"/>
    <w:pPr>
      <w:jc w:val="left"/>
      <w:outlineLvl w:val="2"/>
    </w:pPr>
    <w:rPr>
      <w:b w:val="0"/>
      <w:sz w:val="24"/>
    </w:rPr>
  </w:style>
  <w:style w:type="paragraph" w:styleId="Heading4">
    <w:name w:val="heading 4"/>
    <w:basedOn w:val="Normal"/>
    <w:next w:val="Normal"/>
    <w:link w:val="Heading4Char"/>
    <w:qFormat/>
    <w:rsid w:val="00233011"/>
    <w:pPr>
      <w:keepNext/>
      <w:keepLines/>
      <w:spacing w:before="280" w:after="80"/>
      <w:jc w:val="center"/>
      <w:outlineLvl w:val="3"/>
    </w:pPr>
    <w:rPr>
      <w:rFonts w:eastAsia="Times New Roman" w:cs="Times New Roman"/>
      <w:b/>
      <w:color w:val="000000" w:themeColor="text1"/>
      <w:szCs w:val="24"/>
      <w:lang w:val="en-IN" w:eastAsia="en-IN"/>
    </w:rPr>
  </w:style>
  <w:style w:type="paragraph" w:styleId="Heading5">
    <w:name w:val="heading 5"/>
    <w:basedOn w:val="Normal"/>
    <w:next w:val="Normal"/>
    <w:link w:val="Heading5Char"/>
    <w:qFormat/>
    <w:rsid w:val="00233011"/>
    <w:pPr>
      <w:keepNext/>
      <w:keepLines/>
      <w:spacing w:before="240" w:after="80"/>
      <w:outlineLvl w:val="4"/>
    </w:pPr>
    <w:rPr>
      <w:rFonts w:eastAsia="Times New Roman" w:cs="Times New Roman"/>
      <w:b/>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0B5A"/>
    <w:rPr>
      <w:rFonts w:ascii="Times New Roman" w:hAnsi="Times New Roman" w:cs="Times New Roman"/>
      <w:b/>
      <w:sz w:val="28"/>
      <w:lang w:val="en-US"/>
    </w:rPr>
  </w:style>
  <w:style w:type="character" w:customStyle="1" w:styleId="Heading2Char">
    <w:name w:val="Heading 2 Char"/>
    <w:basedOn w:val="DefaultParagraphFont"/>
    <w:link w:val="Heading2"/>
    <w:uiPriority w:val="9"/>
    <w:rsid w:val="003F25C8"/>
    <w:rPr>
      <w:rFonts w:ascii="Times New Roman" w:hAnsi="Times New Roman"/>
      <w:b/>
      <w:bCs/>
      <w:sz w:val="24"/>
    </w:rPr>
  </w:style>
  <w:style w:type="character" w:customStyle="1" w:styleId="Heading3Char">
    <w:name w:val="Heading 3 Char"/>
    <w:basedOn w:val="DefaultParagraphFont"/>
    <w:link w:val="Heading3"/>
    <w:uiPriority w:val="9"/>
    <w:rsid w:val="0049397F"/>
    <w:rPr>
      <w:rFonts w:ascii="Times New Roman" w:hAnsi="Times New Roman" w:cs="Times New Roman"/>
      <w:b/>
      <w:sz w:val="24"/>
      <w:lang w:val="en-US"/>
    </w:rPr>
  </w:style>
  <w:style w:type="paragraph" w:styleId="Subtitle">
    <w:name w:val="Subtitle"/>
    <w:basedOn w:val="Normal"/>
    <w:next w:val="Normal"/>
    <w:link w:val="SubtitleChar"/>
    <w:uiPriority w:val="11"/>
    <w:qFormat/>
    <w:rsid w:val="008C647D"/>
    <w:pPr>
      <w:jc w:val="center"/>
    </w:pPr>
    <w:rPr>
      <w:b/>
      <w:sz w:val="32"/>
    </w:rPr>
  </w:style>
  <w:style w:type="character" w:customStyle="1" w:styleId="SubtitleChar">
    <w:name w:val="Subtitle Char"/>
    <w:basedOn w:val="DefaultParagraphFont"/>
    <w:link w:val="Subtitle"/>
    <w:uiPriority w:val="11"/>
    <w:rsid w:val="008C647D"/>
    <w:rPr>
      <w:rFonts w:ascii="Times New Roman" w:hAnsi="Times New Roman"/>
      <w:b/>
      <w:sz w:val="32"/>
      <w:lang w:val="en-GB"/>
    </w:rPr>
  </w:style>
  <w:style w:type="paragraph" w:styleId="Title">
    <w:name w:val="Title"/>
    <w:basedOn w:val="Normal"/>
    <w:next w:val="Normal"/>
    <w:link w:val="TitleChar"/>
    <w:uiPriority w:val="10"/>
    <w:qFormat/>
    <w:rsid w:val="00C769E7"/>
    <w:pPr>
      <w:jc w:val="center"/>
    </w:pPr>
    <w:rPr>
      <w:b/>
      <w:sz w:val="36"/>
    </w:rPr>
  </w:style>
  <w:style w:type="character" w:customStyle="1" w:styleId="TitleChar">
    <w:name w:val="Title Char"/>
    <w:basedOn w:val="DefaultParagraphFont"/>
    <w:link w:val="Title"/>
    <w:uiPriority w:val="10"/>
    <w:rsid w:val="00C769E7"/>
    <w:rPr>
      <w:rFonts w:ascii="Times New Roman" w:hAnsi="Times New Roman"/>
      <w:b/>
      <w:sz w:val="36"/>
      <w:lang w:val="en-GB"/>
    </w:rPr>
  </w:style>
  <w:style w:type="paragraph" w:styleId="TOCHeading">
    <w:name w:val="TOC Heading"/>
    <w:basedOn w:val="Normal"/>
    <w:next w:val="Normal"/>
    <w:uiPriority w:val="39"/>
    <w:unhideWhenUsed/>
    <w:qFormat/>
    <w:rsid w:val="0049397F"/>
    <w:pPr>
      <w:jc w:val="center"/>
    </w:pPr>
    <w:rPr>
      <w:b/>
    </w:rPr>
  </w:style>
  <w:style w:type="paragraph" w:styleId="TOC1">
    <w:name w:val="toc 1"/>
    <w:basedOn w:val="Normal"/>
    <w:next w:val="Normal"/>
    <w:autoRedefine/>
    <w:uiPriority w:val="39"/>
    <w:unhideWhenUsed/>
    <w:qFormat/>
    <w:rsid w:val="00DB1B69"/>
    <w:pPr>
      <w:tabs>
        <w:tab w:val="right" w:leader="dot" w:pos="9016"/>
      </w:tabs>
      <w:spacing w:after="120"/>
      <w:jc w:val="left"/>
    </w:pPr>
    <w:rPr>
      <w:rFonts w:eastAsiaTheme="minorEastAsia" w:cs="Times New Roman"/>
      <w:szCs w:val="24"/>
      <w:lang w:val="en-US"/>
    </w:rPr>
  </w:style>
  <w:style w:type="character" w:styleId="Hyperlink">
    <w:name w:val="Hyperlink"/>
    <w:basedOn w:val="DefaultParagraphFont"/>
    <w:uiPriority w:val="99"/>
    <w:unhideWhenUsed/>
    <w:qFormat/>
    <w:rsid w:val="0066311D"/>
    <w:rPr>
      <w:rFonts w:ascii="Times New Roman" w:hAnsi="Times New Roman"/>
      <w:noProof/>
      <w:color w:val="0563C1" w:themeColor="hyperlink"/>
      <w:sz w:val="24"/>
      <w:u w:val="single"/>
    </w:rPr>
  </w:style>
  <w:style w:type="paragraph" w:styleId="TableofFigures">
    <w:name w:val="table of figures"/>
    <w:basedOn w:val="Normal"/>
    <w:next w:val="Normal"/>
    <w:uiPriority w:val="99"/>
    <w:unhideWhenUsed/>
    <w:qFormat/>
    <w:rsid w:val="0066311D"/>
    <w:pPr>
      <w:spacing w:after="0"/>
    </w:pPr>
  </w:style>
  <w:style w:type="character" w:customStyle="1" w:styleId="Heading4Char">
    <w:name w:val="Heading 4 Char"/>
    <w:basedOn w:val="DefaultParagraphFont"/>
    <w:link w:val="Heading4"/>
    <w:rsid w:val="00233011"/>
    <w:rPr>
      <w:rFonts w:ascii="Times New Roman" w:eastAsia="Times New Roman" w:hAnsi="Times New Roman" w:cs="Times New Roman"/>
      <w:b/>
      <w:color w:val="000000" w:themeColor="text1"/>
      <w:sz w:val="24"/>
      <w:szCs w:val="24"/>
      <w:lang w:eastAsia="en-IN"/>
    </w:rPr>
  </w:style>
  <w:style w:type="character" w:customStyle="1" w:styleId="Heading5Char">
    <w:name w:val="Heading 5 Char"/>
    <w:basedOn w:val="DefaultParagraphFont"/>
    <w:link w:val="Heading5"/>
    <w:rsid w:val="00233011"/>
    <w:rPr>
      <w:rFonts w:ascii="Times New Roman" w:eastAsia="Times New Roman" w:hAnsi="Times New Roman" w:cs="Times New Roman"/>
      <w:b/>
      <w:sz w:val="24"/>
      <w:lang w:eastAsia="en-IN"/>
    </w:rPr>
  </w:style>
  <w:style w:type="paragraph" w:styleId="Header">
    <w:name w:val="header"/>
    <w:basedOn w:val="Normal"/>
    <w:link w:val="HeaderChar"/>
    <w:uiPriority w:val="99"/>
    <w:unhideWhenUsed/>
    <w:rsid w:val="00D513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1340"/>
    <w:rPr>
      <w:rFonts w:ascii="Times New Roman" w:hAnsi="Times New Roman"/>
      <w:sz w:val="24"/>
      <w:lang w:val="en-GB"/>
    </w:rPr>
  </w:style>
  <w:style w:type="paragraph" w:styleId="Footer">
    <w:name w:val="footer"/>
    <w:basedOn w:val="Normal"/>
    <w:link w:val="FooterChar"/>
    <w:uiPriority w:val="99"/>
    <w:unhideWhenUsed/>
    <w:rsid w:val="00D513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1340"/>
    <w:rPr>
      <w:rFonts w:ascii="Times New Roman" w:hAnsi="Times New Roman"/>
      <w:sz w:val="24"/>
      <w:lang w:val="en-GB"/>
    </w:rPr>
  </w:style>
  <w:style w:type="paragraph" w:styleId="NormalWeb">
    <w:name w:val="Normal (Web)"/>
    <w:basedOn w:val="Normal"/>
    <w:uiPriority w:val="99"/>
    <w:unhideWhenUsed/>
    <w:rsid w:val="00C70509"/>
    <w:rPr>
      <w:rFonts w:cs="Times New Roman"/>
      <w:szCs w:val="24"/>
    </w:rPr>
  </w:style>
  <w:style w:type="character" w:styleId="Strong">
    <w:name w:val="Strong"/>
    <w:basedOn w:val="DefaultParagraphFont"/>
    <w:uiPriority w:val="22"/>
    <w:qFormat/>
    <w:rsid w:val="003F25C8"/>
    <w:rPr>
      <w:b/>
      <w:bCs/>
    </w:rPr>
  </w:style>
  <w:style w:type="table" w:styleId="PlainTable5">
    <w:name w:val="Plain Table 5"/>
    <w:basedOn w:val="TableNormal"/>
    <w:uiPriority w:val="45"/>
    <w:rsid w:val="003F25C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2">
    <w:name w:val="toc 2"/>
    <w:basedOn w:val="Normal"/>
    <w:next w:val="Normal"/>
    <w:autoRedefine/>
    <w:uiPriority w:val="39"/>
    <w:unhideWhenUsed/>
    <w:rsid w:val="00937B2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5210">
      <w:bodyDiv w:val="1"/>
      <w:marLeft w:val="0"/>
      <w:marRight w:val="0"/>
      <w:marTop w:val="0"/>
      <w:marBottom w:val="0"/>
      <w:divBdr>
        <w:top w:val="none" w:sz="0" w:space="0" w:color="auto"/>
        <w:left w:val="none" w:sz="0" w:space="0" w:color="auto"/>
        <w:bottom w:val="none" w:sz="0" w:space="0" w:color="auto"/>
        <w:right w:val="none" w:sz="0" w:space="0" w:color="auto"/>
      </w:divBdr>
    </w:div>
    <w:div w:id="131018716">
      <w:bodyDiv w:val="1"/>
      <w:marLeft w:val="0"/>
      <w:marRight w:val="0"/>
      <w:marTop w:val="0"/>
      <w:marBottom w:val="0"/>
      <w:divBdr>
        <w:top w:val="none" w:sz="0" w:space="0" w:color="auto"/>
        <w:left w:val="none" w:sz="0" w:space="0" w:color="auto"/>
        <w:bottom w:val="none" w:sz="0" w:space="0" w:color="auto"/>
        <w:right w:val="none" w:sz="0" w:space="0" w:color="auto"/>
      </w:divBdr>
    </w:div>
    <w:div w:id="274099558">
      <w:bodyDiv w:val="1"/>
      <w:marLeft w:val="0"/>
      <w:marRight w:val="0"/>
      <w:marTop w:val="0"/>
      <w:marBottom w:val="0"/>
      <w:divBdr>
        <w:top w:val="none" w:sz="0" w:space="0" w:color="auto"/>
        <w:left w:val="none" w:sz="0" w:space="0" w:color="auto"/>
        <w:bottom w:val="none" w:sz="0" w:space="0" w:color="auto"/>
        <w:right w:val="none" w:sz="0" w:space="0" w:color="auto"/>
      </w:divBdr>
      <w:divsChild>
        <w:div w:id="189413437">
          <w:marLeft w:val="0"/>
          <w:marRight w:val="0"/>
          <w:marTop w:val="0"/>
          <w:marBottom w:val="0"/>
          <w:divBdr>
            <w:top w:val="none" w:sz="0" w:space="0" w:color="auto"/>
            <w:left w:val="none" w:sz="0" w:space="0" w:color="auto"/>
            <w:bottom w:val="none" w:sz="0" w:space="0" w:color="auto"/>
            <w:right w:val="none" w:sz="0" w:space="0" w:color="auto"/>
          </w:divBdr>
          <w:divsChild>
            <w:div w:id="56741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732581">
      <w:bodyDiv w:val="1"/>
      <w:marLeft w:val="0"/>
      <w:marRight w:val="0"/>
      <w:marTop w:val="0"/>
      <w:marBottom w:val="0"/>
      <w:divBdr>
        <w:top w:val="none" w:sz="0" w:space="0" w:color="auto"/>
        <w:left w:val="none" w:sz="0" w:space="0" w:color="auto"/>
        <w:bottom w:val="none" w:sz="0" w:space="0" w:color="auto"/>
        <w:right w:val="none" w:sz="0" w:space="0" w:color="auto"/>
      </w:divBdr>
      <w:divsChild>
        <w:div w:id="2055351523">
          <w:marLeft w:val="0"/>
          <w:marRight w:val="0"/>
          <w:marTop w:val="0"/>
          <w:marBottom w:val="0"/>
          <w:divBdr>
            <w:top w:val="none" w:sz="0" w:space="0" w:color="auto"/>
            <w:left w:val="none" w:sz="0" w:space="0" w:color="auto"/>
            <w:bottom w:val="none" w:sz="0" w:space="0" w:color="auto"/>
            <w:right w:val="none" w:sz="0" w:space="0" w:color="auto"/>
          </w:divBdr>
          <w:divsChild>
            <w:div w:id="57805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049227">
      <w:bodyDiv w:val="1"/>
      <w:marLeft w:val="0"/>
      <w:marRight w:val="0"/>
      <w:marTop w:val="0"/>
      <w:marBottom w:val="0"/>
      <w:divBdr>
        <w:top w:val="none" w:sz="0" w:space="0" w:color="auto"/>
        <w:left w:val="none" w:sz="0" w:space="0" w:color="auto"/>
        <w:bottom w:val="none" w:sz="0" w:space="0" w:color="auto"/>
        <w:right w:val="none" w:sz="0" w:space="0" w:color="auto"/>
      </w:divBdr>
    </w:div>
    <w:div w:id="422844288">
      <w:bodyDiv w:val="1"/>
      <w:marLeft w:val="0"/>
      <w:marRight w:val="0"/>
      <w:marTop w:val="0"/>
      <w:marBottom w:val="0"/>
      <w:divBdr>
        <w:top w:val="none" w:sz="0" w:space="0" w:color="auto"/>
        <w:left w:val="none" w:sz="0" w:space="0" w:color="auto"/>
        <w:bottom w:val="none" w:sz="0" w:space="0" w:color="auto"/>
        <w:right w:val="none" w:sz="0" w:space="0" w:color="auto"/>
      </w:divBdr>
    </w:div>
    <w:div w:id="470949935">
      <w:bodyDiv w:val="1"/>
      <w:marLeft w:val="0"/>
      <w:marRight w:val="0"/>
      <w:marTop w:val="0"/>
      <w:marBottom w:val="0"/>
      <w:divBdr>
        <w:top w:val="none" w:sz="0" w:space="0" w:color="auto"/>
        <w:left w:val="none" w:sz="0" w:space="0" w:color="auto"/>
        <w:bottom w:val="none" w:sz="0" w:space="0" w:color="auto"/>
        <w:right w:val="none" w:sz="0" w:space="0" w:color="auto"/>
      </w:divBdr>
    </w:div>
    <w:div w:id="491484575">
      <w:bodyDiv w:val="1"/>
      <w:marLeft w:val="0"/>
      <w:marRight w:val="0"/>
      <w:marTop w:val="0"/>
      <w:marBottom w:val="0"/>
      <w:divBdr>
        <w:top w:val="none" w:sz="0" w:space="0" w:color="auto"/>
        <w:left w:val="none" w:sz="0" w:space="0" w:color="auto"/>
        <w:bottom w:val="none" w:sz="0" w:space="0" w:color="auto"/>
        <w:right w:val="none" w:sz="0" w:space="0" w:color="auto"/>
      </w:divBdr>
    </w:div>
    <w:div w:id="636767835">
      <w:bodyDiv w:val="1"/>
      <w:marLeft w:val="0"/>
      <w:marRight w:val="0"/>
      <w:marTop w:val="0"/>
      <w:marBottom w:val="0"/>
      <w:divBdr>
        <w:top w:val="none" w:sz="0" w:space="0" w:color="auto"/>
        <w:left w:val="none" w:sz="0" w:space="0" w:color="auto"/>
        <w:bottom w:val="none" w:sz="0" w:space="0" w:color="auto"/>
        <w:right w:val="none" w:sz="0" w:space="0" w:color="auto"/>
      </w:divBdr>
    </w:div>
    <w:div w:id="704133207">
      <w:bodyDiv w:val="1"/>
      <w:marLeft w:val="0"/>
      <w:marRight w:val="0"/>
      <w:marTop w:val="0"/>
      <w:marBottom w:val="0"/>
      <w:divBdr>
        <w:top w:val="none" w:sz="0" w:space="0" w:color="auto"/>
        <w:left w:val="none" w:sz="0" w:space="0" w:color="auto"/>
        <w:bottom w:val="none" w:sz="0" w:space="0" w:color="auto"/>
        <w:right w:val="none" w:sz="0" w:space="0" w:color="auto"/>
      </w:divBdr>
    </w:div>
    <w:div w:id="973411254">
      <w:bodyDiv w:val="1"/>
      <w:marLeft w:val="0"/>
      <w:marRight w:val="0"/>
      <w:marTop w:val="0"/>
      <w:marBottom w:val="0"/>
      <w:divBdr>
        <w:top w:val="none" w:sz="0" w:space="0" w:color="auto"/>
        <w:left w:val="none" w:sz="0" w:space="0" w:color="auto"/>
        <w:bottom w:val="none" w:sz="0" w:space="0" w:color="auto"/>
        <w:right w:val="none" w:sz="0" w:space="0" w:color="auto"/>
      </w:divBdr>
    </w:div>
    <w:div w:id="1016275893">
      <w:bodyDiv w:val="1"/>
      <w:marLeft w:val="0"/>
      <w:marRight w:val="0"/>
      <w:marTop w:val="0"/>
      <w:marBottom w:val="0"/>
      <w:divBdr>
        <w:top w:val="none" w:sz="0" w:space="0" w:color="auto"/>
        <w:left w:val="none" w:sz="0" w:space="0" w:color="auto"/>
        <w:bottom w:val="none" w:sz="0" w:space="0" w:color="auto"/>
        <w:right w:val="none" w:sz="0" w:space="0" w:color="auto"/>
      </w:divBdr>
    </w:div>
    <w:div w:id="1071392327">
      <w:bodyDiv w:val="1"/>
      <w:marLeft w:val="0"/>
      <w:marRight w:val="0"/>
      <w:marTop w:val="0"/>
      <w:marBottom w:val="0"/>
      <w:divBdr>
        <w:top w:val="none" w:sz="0" w:space="0" w:color="auto"/>
        <w:left w:val="none" w:sz="0" w:space="0" w:color="auto"/>
        <w:bottom w:val="none" w:sz="0" w:space="0" w:color="auto"/>
        <w:right w:val="none" w:sz="0" w:space="0" w:color="auto"/>
      </w:divBdr>
    </w:div>
    <w:div w:id="1274216736">
      <w:bodyDiv w:val="1"/>
      <w:marLeft w:val="0"/>
      <w:marRight w:val="0"/>
      <w:marTop w:val="0"/>
      <w:marBottom w:val="0"/>
      <w:divBdr>
        <w:top w:val="none" w:sz="0" w:space="0" w:color="auto"/>
        <w:left w:val="none" w:sz="0" w:space="0" w:color="auto"/>
        <w:bottom w:val="none" w:sz="0" w:space="0" w:color="auto"/>
        <w:right w:val="none" w:sz="0" w:space="0" w:color="auto"/>
      </w:divBdr>
    </w:div>
    <w:div w:id="1333870076">
      <w:bodyDiv w:val="1"/>
      <w:marLeft w:val="0"/>
      <w:marRight w:val="0"/>
      <w:marTop w:val="0"/>
      <w:marBottom w:val="0"/>
      <w:divBdr>
        <w:top w:val="none" w:sz="0" w:space="0" w:color="auto"/>
        <w:left w:val="none" w:sz="0" w:space="0" w:color="auto"/>
        <w:bottom w:val="none" w:sz="0" w:space="0" w:color="auto"/>
        <w:right w:val="none" w:sz="0" w:space="0" w:color="auto"/>
      </w:divBdr>
    </w:div>
    <w:div w:id="1401825070">
      <w:bodyDiv w:val="1"/>
      <w:marLeft w:val="0"/>
      <w:marRight w:val="0"/>
      <w:marTop w:val="0"/>
      <w:marBottom w:val="0"/>
      <w:divBdr>
        <w:top w:val="none" w:sz="0" w:space="0" w:color="auto"/>
        <w:left w:val="none" w:sz="0" w:space="0" w:color="auto"/>
        <w:bottom w:val="none" w:sz="0" w:space="0" w:color="auto"/>
        <w:right w:val="none" w:sz="0" w:space="0" w:color="auto"/>
      </w:divBdr>
    </w:div>
    <w:div w:id="1548957266">
      <w:bodyDiv w:val="1"/>
      <w:marLeft w:val="0"/>
      <w:marRight w:val="0"/>
      <w:marTop w:val="0"/>
      <w:marBottom w:val="0"/>
      <w:divBdr>
        <w:top w:val="none" w:sz="0" w:space="0" w:color="auto"/>
        <w:left w:val="none" w:sz="0" w:space="0" w:color="auto"/>
        <w:bottom w:val="none" w:sz="0" w:space="0" w:color="auto"/>
        <w:right w:val="none" w:sz="0" w:space="0" w:color="auto"/>
      </w:divBdr>
    </w:div>
    <w:div w:id="1777942665">
      <w:bodyDiv w:val="1"/>
      <w:marLeft w:val="0"/>
      <w:marRight w:val="0"/>
      <w:marTop w:val="0"/>
      <w:marBottom w:val="0"/>
      <w:divBdr>
        <w:top w:val="none" w:sz="0" w:space="0" w:color="auto"/>
        <w:left w:val="none" w:sz="0" w:space="0" w:color="auto"/>
        <w:bottom w:val="none" w:sz="0" w:space="0" w:color="auto"/>
        <w:right w:val="none" w:sz="0" w:space="0" w:color="auto"/>
      </w:divBdr>
      <w:divsChild>
        <w:div w:id="1474903190">
          <w:marLeft w:val="0"/>
          <w:marRight w:val="0"/>
          <w:marTop w:val="0"/>
          <w:marBottom w:val="0"/>
          <w:divBdr>
            <w:top w:val="none" w:sz="0" w:space="0" w:color="auto"/>
            <w:left w:val="none" w:sz="0" w:space="0" w:color="auto"/>
            <w:bottom w:val="none" w:sz="0" w:space="0" w:color="auto"/>
            <w:right w:val="none" w:sz="0" w:space="0" w:color="auto"/>
          </w:divBdr>
          <w:divsChild>
            <w:div w:id="717632468">
              <w:marLeft w:val="0"/>
              <w:marRight w:val="0"/>
              <w:marTop w:val="0"/>
              <w:marBottom w:val="0"/>
              <w:divBdr>
                <w:top w:val="none" w:sz="0" w:space="0" w:color="auto"/>
                <w:left w:val="none" w:sz="0" w:space="0" w:color="auto"/>
                <w:bottom w:val="none" w:sz="0" w:space="0" w:color="auto"/>
                <w:right w:val="none" w:sz="0" w:space="0" w:color="auto"/>
              </w:divBdr>
              <w:divsChild>
                <w:div w:id="742416625">
                  <w:marLeft w:val="0"/>
                  <w:marRight w:val="0"/>
                  <w:marTop w:val="0"/>
                  <w:marBottom w:val="0"/>
                  <w:divBdr>
                    <w:top w:val="none" w:sz="0" w:space="0" w:color="auto"/>
                    <w:left w:val="none" w:sz="0" w:space="0" w:color="auto"/>
                    <w:bottom w:val="none" w:sz="0" w:space="0" w:color="auto"/>
                    <w:right w:val="none" w:sz="0" w:space="0" w:color="auto"/>
                  </w:divBdr>
                  <w:divsChild>
                    <w:div w:id="1816070993">
                      <w:marLeft w:val="0"/>
                      <w:marRight w:val="0"/>
                      <w:marTop w:val="0"/>
                      <w:marBottom w:val="0"/>
                      <w:divBdr>
                        <w:top w:val="none" w:sz="0" w:space="0" w:color="auto"/>
                        <w:left w:val="none" w:sz="0" w:space="0" w:color="auto"/>
                        <w:bottom w:val="none" w:sz="0" w:space="0" w:color="auto"/>
                        <w:right w:val="none" w:sz="0" w:space="0" w:color="auto"/>
                      </w:divBdr>
                      <w:divsChild>
                        <w:div w:id="992757734">
                          <w:marLeft w:val="0"/>
                          <w:marRight w:val="0"/>
                          <w:marTop w:val="0"/>
                          <w:marBottom w:val="0"/>
                          <w:divBdr>
                            <w:top w:val="none" w:sz="0" w:space="0" w:color="auto"/>
                            <w:left w:val="none" w:sz="0" w:space="0" w:color="auto"/>
                            <w:bottom w:val="none" w:sz="0" w:space="0" w:color="auto"/>
                            <w:right w:val="none" w:sz="0" w:space="0" w:color="auto"/>
                          </w:divBdr>
                          <w:divsChild>
                            <w:div w:id="1794445748">
                              <w:marLeft w:val="0"/>
                              <w:marRight w:val="0"/>
                              <w:marTop w:val="0"/>
                              <w:marBottom w:val="0"/>
                              <w:divBdr>
                                <w:top w:val="none" w:sz="0" w:space="0" w:color="auto"/>
                                <w:left w:val="none" w:sz="0" w:space="0" w:color="auto"/>
                                <w:bottom w:val="none" w:sz="0" w:space="0" w:color="auto"/>
                                <w:right w:val="none" w:sz="0" w:space="0" w:color="auto"/>
                              </w:divBdr>
                              <w:divsChild>
                                <w:div w:id="138046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1059563">
      <w:bodyDiv w:val="1"/>
      <w:marLeft w:val="0"/>
      <w:marRight w:val="0"/>
      <w:marTop w:val="0"/>
      <w:marBottom w:val="0"/>
      <w:divBdr>
        <w:top w:val="none" w:sz="0" w:space="0" w:color="auto"/>
        <w:left w:val="none" w:sz="0" w:space="0" w:color="auto"/>
        <w:bottom w:val="none" w:sz="0" w:space="0" w:color="auto"/>
        <w:right w:val="none" w:sz="0" w:space="0" w:color="auto"/>
      </w:divBdr>
      <w:divsChild>
        <w:div w:id="664701">
          <w:marLeft w:val="0"/>
          <w:marRight w:val="0"/>
          <w:marTop w:val="0"/>
          <w:marBottom w:val="0"/>
          <w:divBdr>
            <w:top w:val="none" w:sz="0" w:space="0" w:color="auto"/>
            <w:left w:val="none" w:sz="0" w:space="0" w:color="auto"/>
            <w:bottom w:val="none" w:sz="0" w:space="0" w:color="auto"/>
            <w:right w:val="none" w:sz="0" w:space="0" w:color="auto"/>
          </w:divBdr>
          <w:divsChild>
            <w:div w:id="52036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577433">
      <w:bodyDiv w:val="1"/>
      <w:marLeft w:val="0"/>
      <w:marRight w:val="0"/>
      <w:marTop w:val="0"/>
      <w:marBottom w:val="0"/>
      <w:divBdr>
        <w:top w:val="none" w:sz="0" w:space="0" w:color="auto"/>
        <w:left w:val="none" w:sz="0" w:space="0" w:color="auto"/>
        <w:bottom w:val="none" w:sz="0" w:space="0" w:color="auto"/>
        <w:right w:val="none" w:sz="0" w:space="0" w:color="auto"/>
      </w:divBdr>
      <w:divsChild>
        <w:div w:id="920716655">
          <w:marLeft w:val="0"/>
          <w:marRight w:val="0"/>
          <w:marTop w:val="0"/>
          <w:marBottom w:val="0"/>
          <w:divBdr>
            <w:top w:val="none" w:sz="0" w:space="0" w:color="auto"/>
            <w:left w:val="none" w:sz="0" w:space="0" w:color="auto"/>
            <w:bottom w:val="none" w:sz="0" w:space="0" w:color="auto"/>
            <w:right w:val="none" w:sz="0" w:space="0" w:color="auto"/>
          </w:divBdr>
          <w:divsChild>
            <w:div w:id="50987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624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hyperlink" Target="https://www.elgaronline.com/view/journals/ejeep/20/2/article-p250.xml" TargetMode="External"/><Relationship Id="rId26" Type="http://schemas.openxmlformats.org/officeDocument/2006/relationships/hyperlink" Target="https://pdfs.semanticscholar.org/35f5/923a958b071288b38d4e960e8268477ec19a.pdf" TargetMode="External"/><Relationship Id="rId3" Type="http://schemas.openxmlformats.org/officeDocument/2006/relationships/styles" Target="styles.xml"/><Relationship Id="rId21" Type="http://schemas.openxmlformats.org/officeDocument/2006/relationships/hyperlink" Target="https://jurnal.stie-aas.ac.id/index.php/IJEBAR/article/download/9133/3663"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s://www.academia.edu/download/106769993/cash-conversion-cycle-and-firms-performance.pdf" TargetMode="External"/><Relationship Id="rId25" Type="http://schemas.openxmlformats.org/officeDocument/2006/relationships/hyperlink" Target="https://www.tandfonline.com/doi/pdf/10.1080/23311975.2022.2136481"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e-journal.uac.ac.id/index.php/iijse/article/download/2195/990" TargetMode="External"/><Relationship Id="rId20" Type="http://schemas.openxmlformats.org/officeDocument/2006/relationships/hyperlink" Target="https://link.springer.com/article/10.1007/s10479-022-04549-y" TargetMode="External"/><Relationship Id="rId29" Type="http://schemas.openxmlformats.org/officeDocument/2006/relationships/hyperlink" Target="https://journal.jnec.edu.bt/index.php/jaetm/article/download/55/2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pdfs.semanticscholar.org/bd22/8e26099cc02797fe92f6afd5243a71f3ef3f.pdf"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yperlink" Target="https://link.springer.com/chapter/10.1007/978-3-031-53674-8_9" TargetMode="External"/><Relationship Id="rId28" Type="http://schemas.openxmlformats.org/officeDocument/2006/relationships/hyperlink" Target="https://global.toyota/pages/global_toyota/ir/library/annual/2025_001_integrated_en.pdf?utm_source=chatgpt.com" TargetMode="External"/><Relationship Id="rId10" Type="http://schemas.openxmlformats.org/officeDocument/2006/relationships/chart" Target="charts/chart2.xml"/><Relationship Id="rId19" Type="http://schemas.openxmlformats.org/officeDocument/2006/relationships/hyperlink" Target="https://journal.trunojoyo.ac.id/kompetensi/article/viewFile/20002/8184" TargetMode="External"/><Relationship Id="rId31" Type="http://schemas.openxmlformats.org/officeDocument/2006/relationships/hyperlink" Target="https://www.mdpi.com/2071-1050/17/2/653"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www.emerald.com/k/article-pdf/52/10/4441/2870252/k-11-2021-1158.pdf" TargetMode="External"/><Relationship Id="rId27" Type="http://schemas.openxmlformats.org/officeDocument/2006/relationships/hyperlink" Target="https://global.toyota/en/newsroom/corporate/39288520.html" TargetMode="External"/><Relationship Id="rId30" Type="http://schemas.openxmlformats.org/officeDocument/2006/relationships/hyperlink" Target="https://www.atlantis-press.com/article/125971166.pdf" TargetMode="Externa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lenovo\Documents\Financial%20Managem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enovo\Documents\Financial%20Managemen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enovo\Documents\Financial%20Managemen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lenovo\Documents\Financial%20Managemen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lenovo\Documents\Financial%20Managemen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lenovo\Documents\Financial%20Management.xlsx"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IN" sz="1800" b="1"/>
              <a:t>Profitability Ratios</a:t>
            </a:r>
          </a:p>
        </c:rich>
      </c:tx>
      <c:overlay val="0"/>
      <c:spPr>
        <a:noFill/>
        <a:ln>
          <a:noFill/>
        </a:ln>
        <a:effectLst/>
      </c:spPr>
      <c:txPr>
        <a:bodyPr rot="0" spcFirstLastPara="1" vertOverflow="ellipsis" vert="horz" wrap="square" anchor="ctr" anchorCtr="1"/>
        <a:lstStyle/>
        <a:p>
          <a:pPr>
            <a:defRPr sz="18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'[Financial Management.xlsx]Sheet2'!$A$11</c:f>
              <c:strCache>
                <c:ptCount val="1"/>
                <c:pt idx="0">
                  <c:v>ROCE (%)</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'[Financial Management.xlsx]Sheet2'!$B$10:$F$10</c:f>
              <c:numCache>
                <c:formatCode>General</c:formatCode>
                <c:ptCount val="5"/>
                <c:pt idx="0">
                  <c:v>2021</c:v>
                </c:pt>
                <c:pt idx="1">
                  <c:v>2022</c:v>
                </c:pt>
                <c:pt idx="2">
                  <c:v>2023</c:v>
                </c:pt>
                <c:pt idx="3">
                  <c:v>2024</c:v>
                </c:pt>
                <c:pt idx="4">
                  <c:v>2025</c:v>
                </c:pt>
              </c:numCache>
            </c:numRef>
          </c:cat>
          <c:val>
            <c:numRef>
              <c:f>'[Financial Management.xlsx]Sheet2'!$B$11:$F$11</c:f>
              <c:numCache>
                <c:formatCode>General</c:formatCode>
                <c:ptCount val="5"/>
                <c:pt idx="0">
                  <c:v>10.5</c:v>
                </c:pt>
                <c:pt idx="1">
                  <c:v>11.8</c:v>
                </c:pt>
                <c:pt idx="2">
                  <c:v>13.2</c:v>
                </c:pt>
                <c:pt idx="3">
                  <c:v>14.6</c:v>
                </c:pt>
                <c:pt idx="4">
                  <c:v>15.1</c:v>
                </c:pt>
              </c:numCache>
            </c:numRef>
          </c:val>
          <c:extLst>
            <c:ext xmlns:c16="http://schemas.microsoft.com/office/drawing/2014/chart" uri="{C3380CC4-5D6E-409C-BE32-E72D297353CC}">
              <c16:uniqueId val="{00000000-CA4B-40C9-83A6-CCC93772DE95}"/>
            </c:ext>
          </c:extLst>
        </c:ser>
        <c:ser>
          <c:idx val="1"/>
          <c:order val="1"/>
          <c:tx>
            <c:strRef>
              <c:f>'[Financial Management.xlsx]Sheet2'!$A$12</c:f>
              <c:strCache>
                <c:ptCount val="1"/>
                <c:pt idx="0">
                  <c:v>Net Profit Margin (%)</c:v>
                </c:pt>
              </c:strCache>
            </c:strRef>
          </c:tx>
          <c:spPr>
            <a:solidFill>
              <a:schemeClr val="accent4"/>
            </a:solidFill>
            <a:ln>
              <a:noFill/>
            </a:ln>
            <a:effectLst/>
          </c:spPr>
          <c:invertIfNegative val="0"/>
          <c:dLbls>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'[Financial Management.xlsx]Sheet2'!$B$10:$F$10</c:f>
              <c:numCache>
                <c:formatCode>General</c:formatCode>
                <c:ptCount val="5"/>
                <c:pt idx="0">
                  <c:v>2021</c:v>
                </c:pt>
                <c:pt idx="1">
                  <c:v>2022</c:v>
                </c:pt>
                <c:pt idx="2">
                  <c:v>2023</c:v>
                </c:pt>
                <c:pt idx="3">
                  <c:v>2024</c:v>
                </c:pt>
                <c:pt idx="4">
                  <c:v>2025</c:v>
                </c:pt>
              </c:numCache>
            </c:numRef>
          </c:cat>
          <c:val>
            <c:numRef>
              <c:f>'[Financial Management.xlsx]Sheet2'!$B$12:$F$12</c:f>
              <c:numCache>
                <c:formatCode>General</c:formatCode>
                <c:ptCount val="5"/>
                <c:pt idx="0">
                  <c:v>7.2</c:v>
                </c:pt>
                <c:pt idx="1">
                  <c:v>8</c:v>
                </c:pt>
                <c:pt idx="2">
                  <c:v>9.1</c:v>
                </c:pt>
                <c:pt idx="3">
                  <c:v>9.8000000000000007</c:v>
                </c:pt>
                <c:pt idx="4">
                  <c:v>10.3</c:v>
                </c:pt>
              </c:numCache>
            </c:numRef>
          </c:val>
          <c:extLst>
            <c:ext xmlns:c16="http://schemas.microsoft.com/office/drawing/2014/chart" uri="{C3380CC4-5D6E-409C-BE32-E72D297353CC}">
              <c16:uniqueId val="{00000001-CA4B-40C9-83A6-CCC93772DE95}"/>
            </c:ext>
          </c:extLst>
        </c:ser>
        <c:ser>
          <c:idx val="2"/>
          <c:order val="2"/>
          <c:tx>
            <c:strRef>
              <c:f>'[Financial Management.xlsx]Sheet2'!$A$13</c:f>
              <c:strCache>
                <c:ptCount val="1"/>
                <c:pt idx="0">
                  <c:v>Gross Margin (%)</c:v>
                </c:pt>
              </c:strCache>
            </c:strRef>
          </c:tx>
          <c:spPr>
            <a:solidFill>
              <a:schemeClr val="accent6"/>
            </a:solidFill>
            <a:ln>
              <a:noFill/>
            </a:ln>
            <a:effectLst/>
          </c:spPr>
          <c:invertIfNegative val="0"/>
          <c:dLbls>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'[Financial Management.xlsx]Sheet2'!$B$10:$F$10</c:f>
              <c:numCache>
                <c:formatCode>General</c:formatCode>
                <c:ptCount val="5"/>
                <c:pt idx="0">
                  <c:v>2021</c:v>
                </c:pt>
                <c:pt idx="1">
                  <c:v>2022</c:v>
                </c:pt>
                <c:pt idx="2">
                  <c:v>2023</c:v>
                </c:pt>
                <c:pt idx="3">
                  <c:v>2024</c:v>
                </c:pt>
                <c:pt idx="4">
                  <c:v>2025</c:v>
                </c:pt>
              </c:numCache>
            </c:numRef>
          </c:cat>
          <c:val>
            <c:numRef>
              <c:f>'[Financial Management.xlsx]Sheet2'!$B$13:$F$13</c:f>
              <c:numCache>
                <c:formatCode>General</c:formatCode>
                <c:ptCount val="5"/>
                <c:pt idx="0">
                  <c:v>19.5</c:v>
                </c:pt>
                <c:pt idx="1">
                  <c:v>20.2</c:v>
                </c:pt>
                <c:pt idx="2">
                  <c:v>21</c:v>
                </c:pt>
                <c:pt idx="3">
                  <c:v>21.8</c:v>
                </c:pt>
                <c:pt idx="4">
                  <c:v>22.4</c:v>
                </c:pt>
              </c:numCache>
            </c:numRef>
          </c:val>
          <c:extLst>
            <c:ext xmlns:c16="http://schemas.microsoft.com/office/drawing/2014/chart" uri="{C3380CC4-5D6E-409C-BE32-E72D297353CC}">
              <c16:uniqueId val="{00000002-CA4B-40C9-83A6-CCC93772DE95}"/>
            </c:ext>
          </c:extLst>
        </c:ser>
        <c:dLbls>
          <c:dLblPos val="outEnd"/>
          <c:showLegendKey val="0"/>
          <c:showVal val="1"/>
          <c:showCatName val="0"/>
          <c:showSerName val="0"/>
          <c:showPercent val="0"/>
          <c:showBubbleSize val="0"/>
        </c:dLbls>
        <c:gapWidth val="219"/>
        <c:overlap val="-27"/>
        <c:axId val="2080452159"/>
        <c:axId val="2080452575"/>
      </c:barChart>
      <c:catAx>
        <c:axId val="20804521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080452575"/>
        <c:crosses val="autoZero"/>
        <c:auto val="1"/>
        <c:lblAlgn val="ctr"/>
        <c:lblOffset val="100"/>
        <c:noMultiLvlLbl val="0"/>
      </c:catAx>
      <c:valAx>
        <c:axId val="2080452575"/>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0804521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IN" sz="1800" b="1"/>
              <a:t>Liquidity Ratios</a:t>
            </a:r>
          </a:p>
        </c:rich>
      </c:tx>
      <c:overlay val="0"/>
      <c:spPr>
        <a:noFill/>
        <a:ln>
          <a:noFill/>
        </a:ln>
        <a:effectLst/>
      </c:spPr>
      <c:txPr>
        <a:bodyPr rot="0" spcFirstLastPara="1" vertOverflow="ellipsis" vert="horz" wrap="square" anchor="ctr" anchorCtr="1"/>
        <a:lstStyle/>
        <a:p>
          <a:pPr>
            <a:defRPr sz="18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Sheet2!$A$12</c:f>
              <c:strCache>
                <c:ptCount val="1"/>
                <c:pt idx="0">
                  <c:v>Current Ratio</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Sheet2!$B$11:$F$11</c:f>
              <c:numCache>
                <c:formatCode>General</c:formatCode>
                <c:ptCount val="5"/>
                <c:pt idx="0">
                  <c:v>2021</c:v>
                </c:pt>
                <c:pt idx="1">
                  <c:v>2022</c:v>
                </c:pt>
                <c:pt idx="2">
                  <c:v>2023</c:v>
                </c:pt>
                <c:pt idx="3">
                  <c:v>2024</c:v>
                </c:pt>
                <c:pt idx="4">
                  <c:v>2025</c:v>
                </c:pt>
              </c:numCache>
            </c:numRef>
          </c:cat>
          <c:val>
            <c:numRef>
              <c:f>Sheet2!$B$12:$F$12</c:f>
              <c:numCache>
                <c:formatCode>General</c:formatCode>
                <c:ptCount val="5"/>
                <c:pt idx="0">
                  <c:v>1.1000000000000001</c:v>
                </c:pt>
                <c:pt idx="1">
                  <c:v>1.1499999999999999</c:v>
                </c:pt>
                <c:pt idx="2">
                  <c:v>1.2</c:v>
                </c:pt>
                <c:pt idx="3">
                  <c:v>1.25</c:v>
                </c:pt>
                <c:pt idx="4">
                  <c:v>1.3</c:v>
                </c:pt>
              </c:numCache>
            </c:numRef>
          </c:val>
          <c:extLst>
            <c:ext xmlns:c16="http://schemas.microsoft.com/office/drawing/2014/chart" uri="{C3380CC4-5D6E-409C-BE32-E72D297353CC}">
              <c16:uniqueId val="{00000000-D69E-4536-8070-603C0F5A4315}"/>
            </c:ext>
          </c:extLst>
        </c:ser>
        <c:ser>
          <c:idx val="1"/>
          <c:order val="1"/>
          <c:tx>
            <c:strRef>
              <c:f>Sheet2!$A$13</c:f>
              <c:strCache>
                <c:ptCount val="1"/>
                <c:pt idx="0">
                  <c:v>Quick Ratio</c:v>
                </c:pt>
              </c:strCache>
            </c:strRef>
          </c:tx>
          <c:spPr>
            <a:solidFill>
              <a:schemeClr val="accent4"/>
            </a:solidFill>
            <a:ln>
              <a:noFill/>
            </a:ln>
            <a:effectLst/>
          </c:spPr>
          <c:invertIfNegative val="0"/>
          <c:dLbls>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Sheet2!$B$11:$F$11</c:f>
              <c:numCache>
                <c:formatCode>General</c:formatCode>
                <c:ptCount val="5"/>
                <c:pt idx="0">
                  <c:v>2021</c:v>
                </c:pt>
                <c:pt idx="1">
                  <c:v>2022</c:v>
                </c:pt>
                <c:pt idx="2">
                  <c:v>2023</c:v>
                </c:pt>
                <c:pt idx="3">
                  <c:v>2024</c:v>
                </c:pt>
                <c:pt idx="4">
                  <c:v>2025</c:v>
                </c:pt>
              </c:numCache>
            </c:numRef>
          </c:cat>
          <c:val>
            <c:numRef>
              <c:f>Sheet2!$B$13:$F$13</c:f>
              <c:numCache>
                <c:formatCode>General</c:formatCode>
                <c:ptCount val="5"/>
                <c:pt idx="0">
                  <c:v>0.85</c:v>
                </c:pt>
                <c:pt idx="1">
                  <c:v>0.9</c:v>
                </c:pt>
                <c:pt idx="2">
                  <c:v>0.95</c:v>
                </c:pt>
                <c:pt idx="3">
                  <c:v>1</c:v>
                </c:pt>
                <c:pt idx="4">
                  <c:v>1.05</c:v>
                </c:pt>
              </c:numCache>
            </c:numRef>
          </c:val>
          <c:extLst>
            <c:ext xmlns:c16="http://schemas.microsoft.com/office/drawing/2014/chart" uri="{C3380CC4-5D6E-409C-BE32-E72D297353CC}">
              <c16:uniqueId val="{00000001-D69E-4536-8070-603C0F5A4315}"/>
            </c:ext>
          </c:extLst>
        </c:ser>
        <c:dLbls>
          <c:dLblPos val="outEnd"/>
          <c:showLegendKey val="0"/>
          <c:showVal val="1"/>
          <c:showCatName val="0"/>
          <c:showSerName val="0"/>
          <c:showPercent val="0"/>
          <c:showBubbleSize val="0"/>
        </c:dLbls>
        <c:gapWidth val="219"/>
        <c:overlap val="-27"/>
        <c:axId val="2073780671"/>
        <c:axId val="2073783167"/>
      </c:barChart>
      <c:catAx>
        <c:axId val="20737806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073783167"/>
        <c:crosses val="autoZero"/>
        <c:auto val="1"/>
        <c:lblAlgn val="ctr"/>
        <c:lblOffset val="100"/>
        <c:noMultiLvlLbl val="0"/>
      </c:catAx>
      <c:valAx>
        <c:axId val="2073783167"/>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0737806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IN" sz="1800" b="1"/>
              <a:t>Efficiency Ratios</a:t>
            </a:r>
          </a:p>
        </c:rich>
      </c:tx>
      <c:overlay val="0"/>
      <c:spPr>
        <a:noFill/>
        <a:ln>
          <a:noFill/>
        </a:ln>
        <a:effectLst/>
      </c:spPr>
      <c:txPr>
        <a:bodyPr rot="0" spcFirstLastPara="1" vertOverflow="ellipsis" vert="horz" wrap="square" anchor="ctr" anchorCtr="1"/>
        <a:lstStyle/>
        <a:p>
          <a:pPr>
            <a:defRPr sz="18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Sheet2!$B$18</c:f>
              <c:strCache>
                <c:ptCount val="1"/>
                <c:pt idx="0">
                  <c:v>2021</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Sheet2!$A$19:$A$21</c:f>
              <c:strCache>
                <c:ptCount val="3"/>
                <c:pt idx="0">
                  <c:v>Inventory Turnover (times)</c:v>
                </c:pt>
                <c:pt idx="1">
                  <c:v>Receivables (days)</c:v>
                </c:pt>
                <c:pt idx="2">
                  <c:v>Asset Turnover (times)</c:v>
                </c:pt>
              </c:strCache>
            </c:strRef>
          </c:cat>
          <c:val>
            <c:numRef>
              <c:f>Sheet2!$B$19:$B$21</c:f>
              <c:numCache>
                <c:formatCode>General</c:formatCode>
                <c:ptCount val="3"/>
                <c:pt idx="0">
                  <c:v>8.5</c:v>
                </c:pt>
                <c:pt idx="1">
                  <c:v>45</c:v>
                </c:pt>
                <c:pt idx="2">
                  <c:v>0.65</c:v>
                </c:pt>
              </c:numCache>
            </c:numRef>
          </c:val>
          <c:extLst>
            <c:ext xmlns:c16="http://schemas.microsoft.com/office/drawing/2014/chart" uri="{C3380CC4-5D6E-409C-BE32-E72D297353CC}">
              <c16:uniqueId val="{00000000-9DE0-4AA5-A1DB-D1544001B546}"/>
            </c:ext>
          </c:extLst>
        </c:ser>
        <c:ser>
          <c:idx val="1"/>
          <c:order val="1"/>
          <c:tx>
            <c:strRef>
              <c:f>Sheet2!$C$18</c:f>
              <c:strCache>
                <c:ptCount val="1"/>
                <c:pt idx="0">
                  <c:v>2022</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Sheet2!$A$19:$A$21</c:f>
              <c:strCache>
                <c:ptCount val="3"/>
                <c:pt idx="0">
                  <c:v>Inventory Turnover (times)</c:v>
                </c:pt>
                <c:pt idx="1">
                  <c:v>Receivables (days)</c:v>
                </c:pt>
                <c:pt idx="2">
                  <c:v>Asset Turnover (times)</c:v>
                </c:pt>
              </c:strCache>
            </c:strRef>
          </c:cat>
          <c:val>
            <c:numRef>
              <c:f>Sheet2!$C$19:$C$21</c:f>
              <c:numCache>
                <c:formatCode>General</c:formatCode>
                <c:ptCount val="3"/>
                <c:pt idx="0">
                  <c:v>8.8000000000000007</c:v>
                </c:pt>
                <c:pt idx="1">
                  <c:v>43</c:v>
                </c:pt>
                <c:pt idx="2">
                  <c:v>0.68</c:v>
                </c:pt>
              </c:numCache>
            </c:numRef>
          </c:val>
          <c:extLst>
            <c:ext xmlns:c16="http://schemas.microsoft.com/office/drawing/2014/chart" uri="{C3380CC4-5D6E-409C-BE32-E72D297353CC}">
              <c16:uniqueId val="{00000001-9DE0-4AA5-A1DB-D1544001B546}"/>
            </c:ext>
          </c:extLst>
        </c:ser>
        <c:ser>
          <c:idx val="2"/>
          <c:order val="2"/>
          <c:tx>
            <c:strRef>
              <c:f>Sheet2!$D$18</c:f>
              <c:strCache>
                <c:ptCount val="1"/>
                <c:pt idx="0">
                  <c:v>2023</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Sheet2!$A$19:$A$21</c:f>
              <c:strCache>
                <c:ptCount val="3"/>
                <c:pt idx="0">
                  <c:v>Inventory Turnover (times)</c:v>
                </c:pt>
                <c:pt idx="1">
                  <c:v>Receivables (days)</c:v>
                </c:pt>
                <c:pt idx="2">
                  <c:v>Asset Turnover (times)</c:v>
                </c:pt>
              </c:strCache>
            </c:strRef>
          </c:cat>
          <c:val>
            <c:numRef>
              <c:f>Sheet2!$D$19:$D$21</c:f>
              <c:numCache>
                <c:formatCode>General</c:formatCode>
                <c:ptCount val="3"/>
                <c:pt idx="0">
                  <c:v>9.1999999999999993</c:v>
                </c:pt>
                <c:pt idx="1">
                  <c:v>40</c:v>
                </c:pt>
                <c:pt idx="2">
                  <c:v>0.72</c:v>
                </c:pt>
              </c:numCache>
            </c:numRef>
          </c:val>
          <c:extLst>
            <c:ext xmlns:c16="http://schemas.microsoft.com/office/drawing/2014/chart" uri="{C3380CC4-5D6E-409C-BE32-E72D297353CC}">
              <c16:uniqueId val="{00000002-9DE0-4AA5-A1DB-D1544001B546}"/>
            </c:ext>
          </c:extLst>
        </c:ser>
        <c:ser>
          <c:idx val="3"/>
          <c:order val="3"/>
          <c:tx>
            <c:strRef>
              <c:f>Sheet2!$E$18</c:f>
              <c:strCache>
                <c:ptCount val="1"/>
                <c:pt idx="0">
                  <c:v>2024</c:v>
                </c:pt>
              </c:strCache>
            </c:strRef>
          </c:tx>
          <c:spPr>
            <a:solidFill>
              <a:schemeClr val="accent4"/>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Sheet2!$A$19:$A$21</c:f>
              <c:strCache>
                <c:ptCount val="3"/>
                <c:pt idx="0">
                  <c:v>Inventory Turnover (times)</c:v>
                </c:pt>
                <c:pt idx="1">
                  <c:v>Receivables (days)</c:v>
                </c:pt>
                <c:pt idx="2">
                  <c:v>Asset Turnover (times)</c:v>
                </c:pt>
              </c:strCache>
            </c:strRef>
          </c:cat>
          <c:val>
            <c:numRef>
              <c:f>Sheet2!$E$19:$E$21</c:f>
              <c:numCache>
                <c:formatCode>General</c:formatCode>
                <c:ptCount val="3"/>
                <c:pt idx="0">
                  <c:v>9.6</c:v>
                </c:pt>
                <c:pt idx="1">
                  <c:v>38</c:v>
                </c:pt>
                <c:pt idx="2">
                  <c:v>0.75</c:v>
                </c:pt>
              </c:numCache>
            </c:numRef>
          </c:val>
          <c:extLst>
            <c:ext xmlns:c16="http://schemas.microsoft.com/office/drawing/2014/chart" uri="{C3380CC4-5D6E-409C-BE32-E72D297353CC}">
              <c16:uniqueId val="{00000003-9DE0-4AA5-A1DB-D1544001B546}"/>
            </c:ext>
          </c:extLst>
        </c:ser>
        <c:ser>
          <c:idx val="4"/>
          <c:order val="4"/>
          <c:tx>
            <c:strRef>
              <c:f>Sheet2!$F$18</c:f>
              <c:strCache>
                <c:ptCount val="1"/>
                <c:pt idx="0">
                  <c:v>2025</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Sheet2!$A$19:$A$21</c:f>
              <c:strCache>
                <c:ptCount val="3"/>
                <c:pt idx="0">
                  <c:v>Inventory Turnover (times)</c:v>
                </c:pt>
                <c:pt idx="1">
                  <c:v>Receivables (days)</c:v>
                </c:pt>
                <c:pt idx="2">
                  <c:v>Asset Turnover (times)</c:v>
                </c:pt>
              </c:strCache>
            </c:strRef>
          </c:cat>
          <c:val>
            <c:numRef>
              <c:f>Sheet2!$F$19:$F$21</c:f>
              <c:numCache>
                <c:formatCode>General</c:formatCode>
                <c:ptCount val="3"/>
                <c:pt idx="0">
                  <c:v>10</c:v>
                </c:pt>
                <c:pt idx="1">
                  <c:v>36</c:v>
                </c:pt>
                <c:pt idx="2">
                  <c:v>0.78</c:v>
                </c:pt>
              </c:numCache>
            </c:numRef>
          </c:val>
          <c:extLst>
            <c:ext xmlns:c16="http://schemas.microsoft.com/office/drawing/2014/chart" uri="{C3380CC4-5D6E-409C-BE32-E72D297353CC}">
              <c16:uniqueId val="{00000004-9DE0-4AA5-A1DB-D1544001B546}"/>
            </c:ext>
          </c:extLst>
        </c:ser>
        <c:dLbls>
          <c:dLblPos val="outEnd"/>
          <c:showLegendKey val="0"/>
          <c:showVal val="1"/>
          <c:showCatName val="0"/>
          <c:showSerName val="0"/>
          <c:showPercent val="0"/>
          <c:showBubbleSize val="0"/>
        </c:dLbls>
        <c:gapWidth val="219"/>
        <c:overlap val="-27"/>
        <c:axId val="159230575"/>
        <c:axId val="159230159"/>
      </c:barChart>
      <c:catAx>
        <c:axId val="1592305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9230159"/>
        <c:crosses val="autoZero"/>
        <c:auto val="1"/>
        <c:lblAlgn val="ctr"/>
        <c:lblOffset val="100"/>
        <c:noMultiLvlLbl val="0"/>
      </c:catAx>
      <c:valAx>
        <c:axId val="159230159"/>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92305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1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IN" sz="1800" b="1" i="0"/>
              <a:t>Gearing Ratios</a:t>
            </a:r>
          </a:p>
        </c:rich>
      </c:tx>
      <c:overlay val="0"/>
      <c:spPr>
        <a:noFill/>
        <a:ln>
          <a:noFill/>
        </a:ln>
        <a:effectLst/>
      </c:spPr>
      <c:txPr>
        <a:bodyPr rot="0" spcFirstLastPara="1" vertOverflow="ellipsis" vert="horz" wrap="square" anchor="ctr" anchorCtr="1"/>
        <a:lstStyle/>
        <a:p>
          <a:pPr>
            <a:defRPr sz="18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bar"/>
        <c:grouping val="clustered"/>
        <c:varyColors val="0"/>
        <c:ser>
          <c:idx val="0"/>
          <c:order val="0"/>
          <c:tx>
            <c:strRef>
              <c:f>Sheet2!$B$26</c:f>
              <c:strCache>
                <c:ptCount val="1"/>
                <c:pt idx="0">
                  <c:v>2021</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Sheet2!$A$27:$A$28</c:f>
              <c:strCache>
                <c:ptCount val="2"/>
                <c:pt idx="0">
                  <c:v>Debt-to-Equity</c:v>
                </c:pt>
                <c:pt idx="1">
                  <c:v>Interest Cover (times)</c:v>
                </c:pt>
              </c:strCache>
            </c:strRef>
          </c:cat>
          <c:val>
            <c:numRef>
              <c:f>Sheet2!$B$27:$B$28</c:f>
              <c:numCache>
                <c:formatCode>General</c:formatCode>
                <c:ptCount val="2"/>
                <c:pt idx="0">
                  <c:v>1.2</c:v>
                </c:pt>
                <c:pt idx="1">
                  <c:v>6.5</c:v>
                </c:pt>
              </c:numCache>
            </c:numRef>
          </c:val>
          <c:extLst>
            <c:ext xmlns:c16="http://schemas.microsoft.com/office/drawing/2014/chart" uri="{C3380CC4-5D6E-409C-BE32-E72D297353CC}">
              <c16:uniqueId val="{00000000-9C21-4F35-A2DE-7520E597FB4C}"/>
            </c:ext>
          </c:extLst>
        </c:ser>
        <c:ser>
          <c:idx val="1"/>
          <c:order val="1"/>
          <c:tx>
            <c:strRef>
              <c:f>Sheet2!$C$26</c:f>
              <c:strCache>
                <c:ptCount val="1"/>
                <c:pt idx="0">
                  <c:v>2022</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Sheet2!$A$27:$A$28</c:f>
              <c:strCache>
                <c:ptCount val="2"/>
                <c:pt idx="0">
                  <c:v>Debt-to-Equity</c:v>
                </c:pt>
                <c:pt idx="1">
                  <c:v>Interest Cover (times)</c:v>
                </c:pt>
              </c:strCache>
            </c:strRef>
          </c:cat>
          <c:val>
            <c:numRef>
              <c:f>Sheet2!$C$27:$C$28</c:f>
              <c:numCache>
                <c:formatCode>General</c:formatCode>
                <c:ptCount val="2"/>
                <c:pt idx="0">
                  <c:v>1.1499999999999999</c:v>
                </c:pt>
                <c:pt idx="1">
                  <c:v>7.2</c:v>
                </c:pt>
              </c:numCache>
            </c:numRef>
          </c:val>
          <c:extLst>
            <c:ext xmlns:c16="http://schemas.microsoft.com/office/drawing/2014/chart" uri="{C3380CC4-5D6E-409C-BE32-E72D297353CC}">
              <c16:uniqueId val="{00000001-9C21-4F35-A2DE-7520E597FB4C}"/>
            </c:ext>
          </c:extLst>
        </c:ser>
        <c:ser>
          <c:idx val="2"/>
          <c:order val="2"/>
          <c:tx>
            <c:strRef>
              <c:f>Sheet2!$D$26</c:f>
              <c:strCache>
                <c:ptCount val="1"/>
                <c:pt idx="0">
                  <c:v>2023</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Sheet2!$A$27:$A$28</c:f>
              <c:strCache>
                <c:ptCount val="2"/>
                <c:pt idx="0">
                  <c:v>Debt-to-Equity</c:v>
                </c:pt>
                <c:pt idx="1">
                  <c:v>Interest Cover (times)</c:v>
                </c:pt>
              </c:strCache>
            </c:strRef>
          </c:cat>
          <c:val>
            <c:numRef>
              <c:f>Sheet2!$D$27:$D$28</c:f>
              <c:numCache>
                <c:formatCode>General</c:formatCode>
                <c:ptCount val="2"/>
                <c:pt idx="0">
                  <c:v>1.1000000000000001</c:v>
                </c:pt>
                <c:pt idx="1">
                  <c:v>8</c:v>
                </c:pt>
              </c:numCache>
            </c:numRef>
          </c:val>
          <c:extLst>
            <c:ext xmlns:c16="http://schemas.microsoft.com/office/drawing/2014/chart" uri="{C3380CC4-5D6E-409C-BE32-E72D297353CC}">
              <c16:uniqueId val="{00000002-9C21-4F35-A2DE-7520E597FB4C}"/>
            </c:ext>
          </c:extLst>
        </c:ser>
        <c:ser>
          <c:idx val="3"/>
          <c:order val="3"/>
          <c:tx>
            <c:strRef>
              <c:f>Sheet2!$E$26</c:f>
              <c:strCache>
                <c:ptCount val="1"/>
                <c:pt idx="0">
                  <c:v>2024</c:v>
                </c:pt>
              </c:strCache>
            </c:strRef>
          </c:tx>
          <c:spPr>
            <a:solidFill>
              <a:schemeClr val="accent4"/>
            </a:solidFill>
            <a:ln>
              <a:noFill/>
            </a:ln>
            <a:effectLst/>
          </c:spPr>
          <c:invertIfNegative val="0"/>
          <c:dLbls>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Sheet2!$A$27:$A$28</c:f>
              <c:strCache>
                <c:ptCount val="2"/>
                <c:pt idx="0">
                  <c:v>Debt-to-Equity</c:v>
                </c:pt>
                <c:pt idx="1">
                  <c:v>Interest Cover (times)</c:v>
                </c:pt>
              </c:strCache>
            </c:strRef>
          </c:cat>
          <c:val>
            <c:numRef>
              <c:f>Sheet2!$E$27:$E$28</c:f>
              <c:numCache>
                <c:formatCode>General</c:formatCode>
                <c:ptCount val="2"/>
                <c:pt idx="0">
                  <c:v>1.05</c:v>
                </c:pt>
                <c:pt idx="1">
                  <c:v>8.8000000000000007</c:v>
                </c:pt>
              </c:numCache>
            </c:numRef>
          </c:val>
          <c:extLst>
            <c:ext xmlns:c16="http://schemas.microsoft.com/office/drawing/2014/chart" uri="{C3380CC4-5D6E-409C-BE32-E72D297353CC}">
              <c16:uniqueId val="{00000003-9C21-4F35-A2DE-7520E597FB4C}"/>
            </c:ext>
          </c:extLst>
        </c:ser>
        <c:ser>
          <c:idx val="4"/>
          <c:order val="4"/>
          <c:tx>
            <c:strRef>
              <c:f>Sheet2!$F$26</c:f>
              <c:strCache>
                <c:ptCount val="1"/>
                <c:pt idx="0">
                  <c:v>2025</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Sheet2!$A$27:$A$28</c:f>
              <c:strCache>
                <c:ptCount val="2"/>
                <c:pt idx="0">
                  <c:v>Debt-to-Equity</c:v>
                </c:pt>
                <c:pt idx="1">
                  <c:v>Interest Cover (times)</c:v>
                </c:pt>
              </c:strCache>
            </c:strRef>
          </c:cat>
          <c:val>
            <c:numRef>
              <c:f>Sheet2!$F$27:$F$28</c:f>
              <c:numCache>
                <c:formatCode>General</c:formatCode>
                <c:ptCount val="2"/>
                <c:pt idx="0">
                  <c:v>1</c:v>
                </c:pt>
                <c:pt idx="1">
                  <c:v>9.5</c:v>
                </c:pt>
              </c:numCache>
            </c:numRef>
          </c:val>
          <c:extLst>
            <c:ext xmlns:c16="http://schemas.microsoft.com/office/drawing/2014/chart" uri="{C3380CC4-5D6E-409C-BE32-E72D297353CC}">
              <c16:uniqueId val="{00000004-9C21-4F35-A2DE-7520E597FB4C}"/>
            </c:ext>
          </c:extLst>
        </c:ser>
        <c:dLbls>
          <c:dLblPos val="outEnd"/>
          <c:showLegendKey val="0"/>
          <c:showVal val="1"/>
          <c:showCatName val="0"/>
          <c:showSerName val="0"/>
          <c:showPercent val="0"/>
          <c:showBubbleSize val="0"/>
        </c:dLbls>
        <c:gapWidth val="182"/>
        <c:axId val="158446751"/>
        <c:axId val="158435935"/>
      </c:barChart>
      <c:catAx>
        <c:axId val="15844675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8435935"/>
        <c:crosses val="autoZero"/>
        <c:auto val="1"/>
        <c:lblAlgn val="ctr"/>
        <c:lblOffset val="100"/>
        <c:noMultiLvlLbl val="0"/>
      </c:catAx>
      <c:valAx>
        <c:axId val="15843593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84467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IN" sz="1800" b="1"/>
              <a:t>Investment Ratios </a:t>
            </a:r>
          </a:p>
        </c:rich>
      </c:tx>
      <c:overlay val="0"/>
      <c:spPr>
        <a:noFill/>
        <a:ln>
          <a:noFill/>
        </a:ln>
        <a:effectLst/>
      </c:spPr>
      <c:txPr>
        <a:bodyPr rot="0" spcFirstLastPara="1" vertOverflow="ellipsis" vert="horz" wrap="square" anchor="ctr" anchorCtr="1"/>
        <a:lstStyle/>
        <a:p>
          <a:pPr>
            <a:defRPr sz="18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Sheet2!$A$34</c:f>
              <c:strCache>
                <c:ptCount val="1"/>
                <c:pt idx="0">
                  <c:v>EPS (£)</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Sheet2!$B$33:$F$33</c:f>
              <c:numCache>
                <c:formatCode>General</c:formatCode>
                <c:ptCount val="5"/>
                <c:pt idx="0">
                  <c:v>2021</c:v>
                </c:pt>
                <c:pt idx="1">
                  <c:v>2022</c:v>
                </c:pt>
                <c:pt idx="2">
                  <c:v>2023</c:v>
                </c:pt>
                <c:pt idx="3">
                  <c:v>2024</c:v>
                </c:pt>
                <c:pt idx="4">
                  <c:v>2025</c:v>
                </c:pt>
              </c:numCache>
            </c:numRef>
          </c:cat>
          <c:val>
            <c:numRef>
              <c:f>Sheet2!$B$34:$F$34</c:f>
              <c:numCache>
                <c:formatCode>General</c:formatCode>
                <c:ptCount val="5"/>
                <c:pt idx="0">
                  <c:v>2.1</c:v>
                </c:pt>
                <c:pt idx="1">
                  <c:v>2.35</c:v>
                </c:pt>
                <c:pt idx="2">
                  <c:v>2.8</c:v>
                </c:pt>
                <c:pt idx="3">
                  <c:v>3.1</c:v>
                </c:pt>
                <c:pt idx="4">
                  <c:v>3.4</c:v>
                </c:pt>
              </c:numCache>
            </c:numRef>
          </c:val>
          <c:extLst>
            <c:ext xmlns:c16="http://schemas.microsoft.com/office/drawing/2014/chart" uri="{C3380CC4-5D6E-409C-BE32-E72D297353CC}">
              <c16:uniqueId val="{00000000-6BE3-420E-848E-8DF1D7B6F414}"/>
            </c:ext>
          </c:extLst>
        </c:ser>
        <c:ser>
          <c:idx val="1"/>
          <c:order val="1"/>
          <c:tx>
            <c:strRef>
              <c:f>Sheet2!$A$35</c:f>
              <c:strCache>
                <c:ptCount val="1"/>
                <c:pt idx="0">
                  <c:v>Dividend Yield (%)</c:v>
                </c:pt>
              </c:strCache>
            </c:strRef>
          </c:tx>
          <c:spPr>
            <a:solidFill>
              <a:schemeClr val="accent4"/>
            </a:solidFill>
            <a:ln>
              <a:noFill/>
            </a:ln>
            <a:effectLst/>
          </c:spPr>
          <c:invertIfNegative val="0"/>
          <c:dLbls>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Sheet2!$B$33:$F$33</c:f>
              <c:numCache>
                <c:formatCode>General</c:formatCode>
                <c:ptCount val="5"/>
                <c:pt idx="0">
                  <c:v>2021</c:v>
                </c:pt>
                <c:pt idx="1">
                  <c:v>2022</c:v>
                </c:pt>
                <c:pt idx="2">
                  <c:v>2023</c:v>
                </c:pt>
                <c:pt idx="3">
                  <c:v>2024</c:v>
                </c:pt>
                <c:pt idx="4">
                  <c:v>2025</c:v>
                </c:pt>
              </c:numCache>
            </c:numRef>
          </c:cat>
          <c:val>
            <c:numRef>
              <c:f>Sheet2!$B$35:$F$35</c:f>
              <c:numCache>
                <c:formatCode>General</c:formatCode>
                <c:ptCount val="5"/>
                <c:pt idx="0">
                  <c:v>2.5</c:v>
                </c:pt>
                <c:pt idx="1">
                  <c:v>2.7</c:v>
                </c:pt>
                <c:pt idx="2">
                  <c:v>3</c:v>
                </c:pt>
                <c:pt idx="3">
                  <c:v>3.2</c:v>
                </c:pt>
                <c:pt idx="4">
                  <c:v>3.5</c:v>
                </c:pt>
              </c:numCache>
            </c:numRef>
          </c:val>
          <c:extLst>
            <c:ext xmlns:c16="http://schemas.microsoft.com/office/drawing/2014/chart" uri="{C3380CC4-5D6E-409C-BE32-E72D297353CC}">
              <c16:uniqueId val="{00000001-6BE3-420E-848E-8DF1D7B6F414}"/>
            </c:ext>
          </c:extLst>
        </c:ser>
        <c:dLbls>
          <c:dLblPos val="outEnd"/>
          <c:showLegendKey val="0"/>
          <c:showVal val="1"/>
          <c:showCatName val="0"/>
          <c:showSerName val="0"/>
          <c:showPercent val="0"/>
          <c:showBubbleSize val="0"/>
        </c:dLbls>
        <c:gapWidth val="219"/>
        <c:overlap val="-27"/>
        <c:axId val="158434271"/>
        <c:axId val="158445503"/>
      </c:barChart>
      <c:catAx>
        <c:axId val="1584342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8445503"/>
        <c:crosses val="autoZero"/>
        <c:auto val="1"/>
        <c:lblAlgn val="ctr"/>
        <c:lblOffset val="100"/>
        <c:noMultiLvlLbl val="0"/>
      </c:catAx>
      <c:valAx>
        <c:axId val="158445503"/>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84342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IN" sz="1800" b="1"/>
              <a:t>Cash Flow Analysis</a:t>
            </a:r>
          </a:p>
        </c:rich>
      </c:tx>
      <c:overlay val="0"/>
      <c:spPr>
        <a:noFill/>
        <a:ln>
          <a:noFill/>
        </a:ln>
        <a:effectLst/>
      </c:spPr>
      <c:txPr>
        <a:bodyPr rot="0" spcFirstLastPara="1" vertOverflow="ellipsis" vert="horz" wrap="square" anchor="ctr" anchorCtr="1"/>
        <a:lstStyle/>
        <a:p>
          <a:pPr>
            <a:defRPr sz="18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bar"/>
        <c:grouping val="clustered"/>
        <c:varyColors val="0"/>
        <c:ser>
          <c:idx val="0"/>
          <c:order val="0"/>
          <c:tx>
            <c:strRef>
              <c:f>Sheet2!$A$41</c:f>
              <c:strCache>
                <c:ptCount val="1"/>
                <c:pt idx="0">
                  <c:v>Operating Cash Flows (£m)</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Sheet2!$B$40:$F$40</c:f>
              <c:numCache>
                <c:formatCode>General</c:formatCode>
                <c:ptCount val="5"/>
                <c:pt idx="0">
                  <c:v>2021</c:v>
                </c:pt>
                <c:pt idx="1">
                  <c:v>2022</c:v>
                </c:pt>
                <c:pt idx="2">
                  <c:v>2023</c:v>
                </c:pt>
                <c:pt idx="3">
                  <c:v>2024</c:v>
                </c:pt>
                <c:pt idx="4">
                  <c:v>2025</c:v>
                </c:pt>
              </c:numCache>
            </c:numRef>
          </c:cat>
          <c:val>
            <c:numRef>
              <c:f>Sheet2!$B$41:$F$41</c:f>
              <c:numCache>
                <c:formatCode>#,##0</c:formatCode>
                <c:ptCount val="5"/>
                <c:pt idx="0">
                  <c:v>25000</c:v>
                </c:pt>
                <c:pt idx="1">
                  <c:v>27500</c:v>
                </c:pt>
                <c:pt idx="2">
                  <c:v>30000</c:v>
                </c:pt>
                <c:pt idx="3">
                  <c:v>32500</c:v>
                </c:pt>
                <c:pt idx="4">
                  <c:v>35000</c:v>
                </c:pt>
              </c:numCache>
            </c:numRef>
          </c:val>
          <c:extLst>
            <c:ext xmlns:c16="http://schemas.microsoft.com/office/drawing/2014/chart" uri="{C3380CC4-5D6E-409C-BE32-E72D297353CC}">
              <c16:uniqueId val="{00000000-5358-4FFC-A05D-EC28502F96A5}"/>
            </c:ext>
          </c:extLst>
        </c:ser>
        <c:ser>
          <c:idx val="1"/>
          <c:order val="1"/>
          <c:tx>
            <c:strRef>
              <c:f>Sheet2!$A$42</c:f>
              <c:strCache>
                <c:ptCount val="1"/>
                <c:pt idx="0">
                  <c:v>Investing Cash Flows (£m)</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Sheet2!$B$40:$F$40</c:f>
              <c:numCache>
                <c:formatCode>General</c:formatCode>
                <c:ptCount val="5"/>
                <c:pt idx="0">
                  <c:v>2021</c:v>
                </c:pt>
                <c:pt idx="1">
                  <c:v>2022</c:v>
                </c:pt>
                <c:pt idx="2">
                  <c:v>2023</c:v>
                </c:pt>
                <c:pt idx="3">
                  <c:v>2024</c:v>
                </c:pt>
                <c:pt idx="4">
                  <c:v>2025</c:v>
                </c:pt>
              </c:numCache>
            </c:numRef>
          </c:cat>
          <c:val>
            <c:numRef>
              <c:f>Sheet2!$B$42:$F$42</c:f>
              <c:numCache>
                <c:formatCode>#,##0</c:formatCode>
                <c:ptCount val="5"/>
                <c:pt idx="0">
                  <c:v>-18000</c:v>
                </c:pt>
                <c:pt idx="1">
                  <c:v>-20000</c:v>
                </c:pt>
                <c:pt idx="2">
                  <c:v>-22500</c:v>
                </c:pt>
                <c:pt idx="3">
                  <c:v>-24000</c:v>
                </c:pt>
                <c:pt idx="4">
                  <c:v>-26000</c:v>
                </c:pt>
              </c:numCache>
            </c:numRef>
          </c:val>
          <c:extLst>
            <c:ext xmlns:c16="http://schemas.microsoft.com/office/drawing/2014/chart" uri="{C3380CC4-5D6E-409C-BE32-E72D297353CC}">
              <c16:uniqueId val="{00000001-5358-4FFC-A05D-EC28502F96A5}"/>
            </c:ext>
          </c:extLst>
        </c:ser>
        <c:ser>
          <c:idx val="2"/>
          <c:order val="2"/>
          <c:tx>
            <c:strRef>
              <c:f>Sheet2!$A$43</c:f>
              <c:strCache>
                <c:ptCount val="1"/>
                <c:pt idx="0">
                  <c:v>Financing Cash Flows (£m)</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Sheet2!$B$40:$F$40</c:f>
              <c:numCache>
                <c:formatCode>General</c:formatCode>
                <c:ptCount val="5"/>
                <c:pt idx="0">
                  <c:v>2021</c:v>
                </c:pt>
                <c:pt idx="1">
                  <c:v>2022</c:v>
                </c:pt>
                <c:pt idx="2">
                  <c:v>2023</c:v>
                </c:pt>
                <c:pt idx="3">
                  <c:v>2024</c:v>
                </c:pt>
                <c:pt idx="4">
                  <c:v>2025</c:v>
                </c:pt>
              </c:numCache>
            </c:numRef>
          </c:cat>
          <c:val>
            <c:numRef>
              <c:f>Sheet2!$B$43:$F$43</c:f>
              <c:numCache>
                <c:formatCode>#,##0</c:formatCode>
                <c:ptCount val="5"/>
                <c:pt idx="0">
                  <c:v>-5000</c:v>
                </c:pt>
                <c:pt idx="1">
                  <c:v>-6000</c:v>
                </c:pt>
                <c:pt idx="2">
                  <c:v>-6500</c:v>
                </c:pt>
                <c:pt idx="3">
                  <c:v>-7000</c:v>
                </c:pt>
                <c:pt idx="4">
                  <c:v>-7500</c:v>
                </c:pt>
              </c:numCache>
            </c:numRef>
          </c:val>
          <c:extLst>
            <c:ext xmlns:c16="http://schemas.microsoft.com/office/drawing/2014/chart" uri="{C3380CC4-5D6E-409C-BE32-E72D297353CC}">
              <c16:uniqueId val="{00000002-5358-4FFC-A05D-EC28502F96A5}"/>
            </c:ext>
          </c:extLst>
        </c:ser>
        <c:dLbls>
          <c:dLblPos val="outEnd"/>
          <c:showLegendKey val="0"/>
          <c:showVal val="1"/>
          <c:showCatName val="0"/>
          <c:showSerName val="0"/>
          <c:showPercent val="0"/>
          <c:showBubbleSize val="0"/>
        </c:dLbls>
        <c:gapWidth val="182"/>
        <c:axId val="158439679"/>
        <c:axId val="158445919"/>
      </c:barChart>
      <c:catAx>
        <c:axId val="15843967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8445919"/>
        <c:crosses val="autoZero"/>
        <c:auto val="1"/>
        <c:lblAlgn val="ctr"/>
        <c:lblOffset val="100"/>
        <c:noMultiLvlLbl val="0"/>
      </c:catAx>
      <c:valAx>
        <c:axId val="158445919"/>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584396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5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IN" sz="1800" b="1"/>
              <a:t>Cash Operating Cycle  </a:t>
            </a:r>
          </a:p>
        </c:rich>
      </c:tx>
      <c:overlay val="0"/>
      <c:spPr>
        <a:noFill/>
        <a:ln>
          <a:noFill/>
        </a:ln>
        <a:effectLst/>
      </c:spPr>
      <c:txPr>
        <a:bodyPr rot="0" spcFirstLastPara="1" vertOverflow="ellipsis" vert="horz" wrap="square" anchor="ctr" anchorCtr="1"/>
        <a:lstStyle/>
        <a:p>
          <a:pPr>
            <a:defRPr sz="180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Sheet2!$A$49</c:f>
              <c:strCache>
                <c:ptCount val="1"/>
                <c:pt idx="0">
                  <c:v>Inventory Days</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Sheet2!$B$48:$F$48</c:f>
              <c:numCache>
                <c:formatCode>General</c:formatCode>
                <c:ptCount val="5"/>
                <c:pt idx="0">
                  <c:v>2021</c:v>
                </c:pt>
                <c:pt idx="1">
                  <c:v>2022</c:v>
                </c:pt>
                <c:pt idx="2">
                  <c:v>2023</c:v>
                </c:pt>
                <c:pt idx="3">
                  <c:v>2024</c:v>
                </c:pt>
                <c:pt idx="4">
                  <c:v>2025</c:v>
                </c:pt>
              </c:numCache>
            </c:numRef>
          </c:cat>
          <c:val>
            <c:numRef>
              <c:f>Sheet2!$B$49:$F$49</c:f>
              <c:numCache>
                <c:formatCode>General</c:formatCode>
                <c:ptCount val="5"/>
                <c:pt idx="0">
                  <c:v>43</c:v>
                </c:pt>
                <c:pt idx="1">
                  <c:v>41</c:v>
                </c:pt>
                <c:pt idx="2">
                  <c:v>40</c:v>
                </c:pt>
                <c:pt idx="3">
                  <c:v>38</c:v>
                </c:pt>
                <c:pt idx="4">
                  <c:v>36</c:v>
                </c:pt>
              </c:numCache>
            </c:numRef>
          </c:val>
          <c:extLst>
            <c:ext xmlns:c16="http://schemas.microsoft.com/office/drawing/2014/chart" uri="{C3380CC4-5D6E-409C-BE32-E72D297353CC}">
              <c16:uniqueId val="{00000000-8F94-47DA-96FD-D5F90FFA5D1D}"/>
            </c:ext>
          </c:extLst>
        </c:ser>
        <c:ser>
          <c:idx val="1"/>
          <c:order val="1"/>
          <c:tx>
            <c:strRef>
              <c:f>Sheet2!$A$50</c:f>
              <c:strCache>
                <c:ptCount val="1"/>
                <c:pt idx="0">
                  <c:v>Receivables Days</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Sheet2!$B$48:$F$48</c:f>
              <c:numCache>
                <c:formatCode>General</c:formatCode>
                <c:ptCount val="5"/>
                <c:pt idx="0">
                  <c:v>2021</c:v>
                </c:pt>
                <c:pt idx="1">
                  <c:v>2022</c:v>
                </c:pt>
                <c:pt idx="2">
                  <c:v>2023</c:v>
                </c:pt>
                <c:pt idx="3">
                  <c:v>2024</c:v>
                </c:pt>
                <c:pt idx="4">
                  <c:v>2025</c:v>
                </c:pt>
              </c:numCache>
            </c:numRef>
          </c:cat>
          <c:val>
            <c:numRef>
              <c:f>Sheet2!$B$50:$F$50</c:f>
              <c:numCache>
                <c:formatCode>General</c:formatCode>
                <c:ptCount val="5"/>
                <c:pt idx="0">
                  <c:v>45</c:v>
                </c:pt>
                <c:pt idx="1">
                  <c:v>43</c:v>
                </c:pt>
                <c:pt idx="2">
                  <c:v>40</c:v>
                </c:pt>
                <c:pt idx="3">
                  <c:v>38</c:v>
                </c:pt>
                <c:pt idx="4">
                  <c:v>36</c:v>
                </c:pt>
              </c:numCache>
            </c:numRef>
          </c:val>
          <c:extLst>
            <c:ext xmlns:c16="http://schemas.microsoft.com/office/drawing/2014/chart" uri="{C3380CC4-5D6E-409C-BE32-E72D297353CC}">
              <c16:uniqueId val="{00000001-8F94-47DA-96FD-D5F90FFA5D1D}"/>
            </c:ext>
          </c:extLst>
        </c:ser>
        <c:ser>
          <c:idx val="2"/>
          <c:order val="2"/>
          <c:tx>
            <c:strRef>
              <c:f>Sheet2!$A$51</c:f>
              <c:strCache>
                <c:ptCount val="1"/>
                <c:pt idx="0">
                  <c:v>Payables Days</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Sheet2!$B$48:$F$48</c:f>
              <c:numCache>
                <c:formatCode>General</c:formatCode>
                <c:ptCount val="5"/>
                <c:pt idx="0">
                  <c:v>2021</c:v>
                </c:pt>
                <c:pt idx="1">
                  <c:v>2022</c:v>
                </c:pt>
                <c:pt idx="2">
                  <c:v>2023</c:v>
                </c:pt>
                <c:pt idx="3">
                  <c:v>2024</c:v>
                </c:pt>
                <c:pt idx="4">
                  <c:v>2025</c:v>
                </c:pt>
              </c:numCache>
            </c:numRef>
          </c:cat>
          <c:val>
            <c:numRef>
              <c:f>Sheet2!$B$51:$F$51</c:f>
              <c:numCache>
                <c:formatCode>General</c:formatCode>
                <c:ptCount val="5"/>
                <c:pt idx="0">
                  <c:v>50</c:v>
                </c:pt>
                <c:pt idx="1">
                  <c:v>52</c:v>
                </c:pt>
                <c:pt idx="2">
                  <c:v>53</c:v>
                </c:pt>
                <c:pt idx="3">
                  <c:v>55</c:v>
                </c:pt>
                <c:pt idx="4">
                  <c:v>56</c:v>
                </c:pt>
              </c:numCache>
            </c:numRef>
          </c:val>
          <c:extLst>
            <c:ext xmlns:c16="http://schemas.microsoft.com/office/drawing/2014/chart" uri="{C3380CC4-5D6E-409C-BE32-E72D297353CC}">
              <c16:uniqueId val="{00000002-8F94-47DA-96FD-D5F90FFA5D1D}"/>
            </c:ext>
          </c:extLst>
        </c:ser>
        <c:ser>
          <c:idx val="3"/>
          <c:order val="3"/>
          <c:tx>
            <c:strRef>
              <c:f>Sheet2!$A$52</c:f>
              <c:strCache>
                <c:ptCount val="1"/>
                <c:pt idx="0">
                  <c:v>Cash Operating Cycle</c:v>
                </c:pt>
              </c:strCache>
            </c:strRef>
          </c:tx>
          <c:spPr>
            <a:solidFill>
              <a:schemeClr val="accent4"/>
            </a:solidFill>
            <a:ln>
              <a:noFill/>
            </a:ln>
            <a:effectLst/>
          </c:spPr>
          <c:invertIfNegative val="0"/>
          <c:dLbls>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Sheet2!$B$48:$F$48</c:f>
              <c:numCache>
                <c:formatCode>General</c:formatCode>
                <c:ptCount val="5"/>
                <c:pt idx="0">
                  <c:v>2021</c:v>
                </c:pt>
                <c:pt idx="1">
                  <c:v>2022</c:v>
                </c:pt>
                <c:pt idx="2">
                  <c:v>2023</c:v>
                </c:pt>
                <c:pt idx="3">
                  <c:v>2024</c:v>
                </c:pt>
                <c:pt idx="4">
                  <c:v>2025</c:v>
                </c:pt>
              </c:numCache>
            </c:numRef>
          </c:cat>
          <c:val>
            <c:numRef>
              <c:f>Sheet2!$B$52:$F$52</c:f>
              <c:numCache>
                <c:formatCode>General</c:formatCode>
                <c:ptCount val="5"/>
                <c:pt idx="0">
                  <c:v>38</c:v>
                </c:pt>
                <c:pt idx="1">
                  <c:v>32</c:v>
                </c:pt>
                <c:pt idx="2">
                  <c:v>27</c:v>
                </c:pt>
                <c:pt idx="3">
                  <c:v>21</c:v>
                </c:pt>
                <c:pt idx="4">
                  <c:v>16</c:v>
                </c:pt>
              </c:numCache>
            </c:numRef>
          </c:val>
          <c:extLst>
            <c:ext xmlns:c16="http://schemas.microsoft.com/office/drawing/2014/chart" uri="{C3380CC4-5D6E-409C-BE32-E72D297353CC}">
              <c16:uniqueId val="{00000003-8F94-47DA-96FD-D5F90FFA5D1D}"/>
            </c:ext>
          </c:extLst>
        </c:ser>
        <c:dLbls>
          <c:showLegendKey val="0"/>
          <c:showVal val="1"/>
          <c:showCatName val="0"/>
          <c:showSerName val="0"/>
          <c:showPercent val="0"/>
          <c:showBubbleSize val="0"/>
        </c:dLbls>
        <c:gapWidth val="150"/>
        <c:axId val="38138976"/>
        <c:axId val="38145216"/>
      </c:barChart>
      <c:catAx>
        <c:axId val="38138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8145216"/>
        <c:crosses val="autoZero"/>
        <c:auto val="1"/>
        <c:lblAlgn val="ctr"/>
        <c:lblOffset val="100"/>
        <c:noMultiLvlLbl val="0"/>
      </c:catAx>
      <c:valAx>
        <c:axId val="3814521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8138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89A96-BFFF-48EF-ADBE-9EC009B84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27</Pages>
  <Words>7071</Words>
  <Characters>40306</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129</cp:revision>
  <dcterms:created xsi:type="dcterms:W3CDTF">2026-04-23T10:59:00Z</dcterms:created>
  <dcterms:modified xsi:type="dcterms:W3CDTF">2026-04-24T08:55:00Z</dcterms:modified>
</cp:coreProperties>
</file>