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68550" w14:textId="31380EC7" w:rsidR="000264A1" w:rsidRDefault="000264A1" w:rsidP="000264A1">
      <w:r>
        <w:fldChar w:fldCharType="begin"/>
      </w:r>
      <w:r w:rsidR="00694FAF">
        <w:instrText xml:space="preserve"> INCLUDEPICTURE "C:\\Users\\biancasanfilippo\\Library\\Group Containers\\UBF8T346G9.ms\\WebArchiveCopyPasteTempFiles\\com.microsoft.Word\\UWTSD-Logo.jpg" \* MERGEFORMAT </w:instrText>
      </w:r>
      <w:r>
        <w:fldChar w:fldCharType="separate"/>
      </w:r>
      <w:r>
        <w:rPr>
          <w:noProof/>
        </w:rPr>
        <w:drawing>
          <wp:inline distT="0" distB="0" distL="0" distR="0" wp14:anchorId="351214E0" wp14:editId="7163A632">
            <wp:extent cx="3347049" cy="1339785"/>
            <wp:effectExtent l="0" t="0" r="0" b="0"/>
            <wp:docPr id="644124987"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29590" cy="1412854"/>
                    </a:xfrm>
                    <a:prstGeom prst="rect">
                      <a:avLst/>
                    </a:prstGeom>
                    <a:noFill/>
                    <a:ln>
                      <a:noFill/>
                    </a:ln>
                  </pic:spPr>
                </pic:pic>
              </a:graphicData>
            </a:graphic>
          </wp:inline>
        </w:drawing>
      </w:r>
      <w:r>
        <w:fldChar w:fldCharType="end"/>
      </w:r>
    </w:p>
    <w:p w14:paraId="26F548A6" w14:textId="77777777" w:rsidR="000264A1" w:rsidRDefault="000264A1" w:rsidP="000264A1">
      <w:pPr>
        <w:rPr>
          <w:rStyle w:val="Strong"/>
          <w:rFonts w:ascii="Segoe UI" w:hAnsi="Segoe UI" w:cs="Segoe UI"/>
          <w:color w:val="1D2125"/>
        </w:rPr>
      </w:pPr>
    </w:p>
    <w:p w14:paraId="5CD81D6D" w14:textId="77777777" w:rsidR="000264A1" w:rsidRPr="000264A1" w:rsidRDefault="000264A1" w:rsidP="000264A1">
      <w:pPr>
        <w:rPr>
          <w:rStyle w:val="Strong"/>
          <w:rFonts w:ascii="Arial" w:hAnsi="Arial" w:cs="Arial"/>
          <w:color w:val="1D2125"/>
          <w:sz w:val="36"/>
          <w:szCs w:val="36"/>
        </w:rPr>
      </w:pPr>
    </w:p>
    <w:p w14:paraId="63EE22A3" w14:textId="77777777" w:rsidR="000264A1" w:rsidRPr="000264A1" w:rsidRDefault="000264A1" w:rsidP="000264A1">
      <w:pPr>
        <w:jc w:val="center"/>
        <w:rPr>
          <w:rStyle w:val="Strong"/>
          <w:rFonts w:ascii="Arial" w:hAnsi="Arial" w:cs="Arial"/>
          <w:color w:val="1D2125"/>
          <w:sz w:val="36"/>
          <w:szCs w:val="36"/>
        </w:rPr>
      </w:pPr>
    </w:p>
    <w:p w14:paraId="195602A5" w14:textId="1473614C" w:rsidR="00722ABC" w:rsidRPr="000264A1" w:rsidRDefault="000264A1" w:rsidP="000264A1">
      <w:pPr>
        <w:jc w:val="center"/>
        <w:rPr>
          <w:rStyle w:val="Strong"/>
          <w:rFonts w:ascii="Arial" w:hAnsi="Arial" w:cs="Arial"/>
          <w:color w:val="1D2125"/>
          <w:sz w:val="36"/>
          <w:szCs w:val="36"/>
        </w:rPr>
      </w:pPr>
      <w:r w:rsidRPr="000264A1">
        <w:rPr>
          <w:rStyle w:val="Strong"/>
          <w:rFonts w:ascii="Arial" w:hAnsi="Arial" w:cs="Arial"/>
          <w:color w:val="1D2125"/>
          <w:sz w:val="36"/>
          <w:szCs w:val="36"/>
        </w:rPr>
        <w:t>BMHP6029-Psychopathological Classifications and Provisions</w:t>
      </w:r>
    </w:p>
    <w:p w14:paraId="2A88E453" w14:textId="77777777" w:rsidR="000264A1" w:rsidRDefault="000264A1" w:rsidP="000264A1">
      <w:pPr>
        <w:jc w:val="center"/>
        <w:rPr>
          <w:rStyle w:val="Strong"/>
          <w:rFonts w:ascii="Arial" w:hAnsi="Arial" w:cs="Arial"/>
          <w:color w:val="1D2125"/>
          <w:sz w:val="36"/>
          <w:szCs w:val="36"/>
        </w:rPr>
      </w:pPr>
    </w:p>
    <w:p w14:paraId="34AAAB14" w14:textId="77777777" w:rsidR="000264A1" w:rsidRDefault="000264A1" w:rsidP="000264A1">
      <w:pPr>
        <w:jc w:val="center"/>
        <w:rPr>
          <w:rStyle w:val="Strong"/>
          <w:rFonts w:ascii="Arial" w:hAnsi="Arial" w:cs="Arial"/>
          <w:color w:val="1D2125"/>
          <w:sz w:val="36"/>
          <w:szCs w:val="36"/>
        </w:rPr>
      </w:pPr>
    </w:p>
    <w:p w14:paraId="723DF23E" w14:textId="77777777" w:rsidR="000264A1" w:rsidRPr="000264A1" w:rsidRDefault="000264A1" w:rsidP="000264A1">
      <w:pPr>
        <w:jc w:val="center"/>
        <w:rPr>
          <w:rStyle w:val="Strong"/>
          <w:rFonts w:ascii="Arial" w:hAnsi="Arial" w:cs="Arial"/>
          <w:color w:val="1D2125"/>
          <w:sz w:val="36"/>
          <w:szCs w:val="36"/>
        </w:rPr>
      </w:pPr>
    </w:p>
    <w:p w14:paraId="25159706" w14:textId="77777777" w:rsidR="000264A1" w:rsidRPr="000264A1" w:rsidRDefault="000264A1" w:rsidP="000264A1">
      <w:pPr>
        <w:rPr>
          <w:rStyle w:val="Strong"/>
          <w:rFonts w:ascii="Arial" w:hAnsi="Arial" w:cs="Arial"/>
          <w:b w:val="0"/>
          <w:bCs w:val="0"/>
          <w:color w:val="1D2125"/>
          <w:sz w:val="32"/>
          <w:szCs w:val="32"/>
        </w:rPr>
      </w:pPr>
      <w:r w:rsidRPr="000264A1">
        <w:rPr>
          <w:rFonts w:ascii="Arial" w:hAnsi="Arial" w:cs="Arial"/>
          <w:b/>
          <w:bCs/>
          <w:color w:val="000000"/>
          <w:sz w:val="32"/>
          <w:szCs w:val="32"/>
        </w:rPr>
        <w:t>Component 2: Written Assignment (Report)</w:t>
      </w:r>
      <w:r w:rsidRPr="000264A1">
        <w:rPr>
          <w:rStyle w:val="Strong"/>
          <w:rFonts w:ascii="Arial" w:hAnsi="Arial" w:cs="Arial"/>
          <w:b w:val="0"/>
          <w:bCs w:val="0"/>
          <w:color w:val="1D2125"/>
          <w:sz w:val="32"/>
          <w:szCs w:val="32"/>
        </w:rPr>
        <w:t xml:space="preserve"> </w:t>
      </w:r>
    </w:p>
    <w:p w14:paraId="3DB89340" w14:textId="57A30C24" w:rsidR="000264A1" w:rsidRPr="000264A1" w:rsidRDefault="000264A1" w:rsidP="000264A1">
      <w:pPr>
        <w:rPr>
          <w:rStyle w:val="Strong"/>
          <w:rFonts w:ascii="Arial" w:hAnsi="Arial" w:cs="Arial"/>
          <w:color w:val="1D2125"/>
          <w:sz w:val="32"/>
          <w:szCs w:val="32"/>
        </w:rPr>
      </w:pPr>
      <w:r w:rsidRPr="000264A1">
        <w:rPr>
          <w:rStyle w:val="Strong"/>
          <w:rFonts w:ascii="Arial" w:hAnsi="Arial" w:cs="Arial"/>
          <w:color w:val="1D2125"/>
          <w:sz w:val="32"/>
          <w:szCs w:val="32"/>
        </w:rPr>
        <w:t xml:space="preserve">Student name </w:t>
      </w:r>
    </w:p>
    <w:p w14:paraId="3F25C99D" w14:textId="29C18ECA" w:rsidR="000264A1" w:rsidRPr="000264A1" w:rsidRDefault="000264A1" w:rsidP="000264A1">
      <w:pPr>
        <w:rPr>
          <w:rStyle w:val="Strong"/>
          <w:rFonts w:ascii="Arial" w:hAnsi="Arial" w:cs="Arial"/>
          <w:color w:val="1D2125"/>
          <w:sz w:val="32"/>
          <w:szCs w:val="32"/>
        </w:rPr>
      </w:pPr>
      <w:r w:rsidRPr="000264A1">
        <w:rPr>
          <w:rStyle w:val="Strong"/>
          <w:rFonts w:ascii="Arial" w:hAnsi="Arial" w:cs="Arial"/>
          <w:color w:val="1D2125"/>
          <w:sz w:val="32"/>
          <w:szCs w:val="32"/>
        </w:rPr>
        <w:t xml:space="preserve">Student number </w:t>
      </w:r>
    </w:p>
    <w:p w14:paraId="7DD82387" w14:textId="77777777" w:rsidR="000264A1" w:rsidRDefault="000264A1" w:rsidP="000264A1">
      <w:pPr>
        <w:rPr>
          <w:rFonts w:ascii="Arial" w:hAnsi="Arial" w:cs="Arial"/>
          <w:sz w:val="36"/>
          <w:szCs w:val="36"/>
        </w:rPr>
      </w:pPr>
    </w:p>
    <w:p w14:paraId="563A7395" w14:textId="77777777" w:rsidR="000264A1" w:rsidRDefault="000264A1" w:rsidP="000264A1">
      <w:pPr>
        <w:rPr>
          <w:rFonts w:ascii="Arial" w:hAnsi="Arial" w:cs="Arial"/>
          <w:sz w:val="36"/>
          <w:szCs w:val="36"/>
        </w:rPr>
      </w:pPr>
    </w:p>
    <w:p w14:paraId="5805392B" w14:textId="77777777" w:rsidR="000264A1" w:rsidRDefault="000264A1" w:rsidP="000264A1">
      <w:pPr>
        <w:rPr>
          <w:rFonts w:ascii="Arial" w:hAnsi="Arial" w:cs="Arial"/>
          <w:sz w:val="36"/>
          <w:szCs w:val="36"/>
        </w:rPr>
      </w:pPr>
    </w:p>
    <w:p w14:paraId="4F5FBEC9" w14:textId="77777777" w:rsidR="000264A1" w:rsidRDefault="000264A1" w:rsidP="000264A1">
      <w:pPr>
        <w:rPr>
          <w:rFonts w:ascii="Arial" w:hAnsi="Arial" w:cs="Arial"/>
          <w:sz w:val="36"/>
          <w:szCs w:val="36"/>
        </w:rPr>
      </w:pPr>
    </w:p>
    <w:p w14:paraId="1DC432D4" w14:textId="77777777" w:rsidR="000264A1" w:rsidRDefault="000264A1" w:rsidP="000264A1">
      <w:pPr>
        <w:rPr>
          <w:rFonts w:ascii="Arial" w:hAnsi="Arial" w:cs="Arial"/>
          <w:sz w:val="36"/>
          <w:szCs w:val="36"/>
        </w:rPr>
      </w:pPr>
    </w:p>
    <w:p w14:paraId="7242BE1A" w14:textId="77777777" w:rsidR="00BB2B80" w:rsidRDefault="00BB2B80">
      <w:pPr>
        <w:pStyle w:val="TOCHeading"/>
      </w:pPr>
    </w:p>
    <w:p w14:paraId="2CFD5EC8" w14:textId="77777777" w:rsidR="00BB2B80" w:rsidRDefault="00BB2B80">
      <w:pPr>
        <w:pStyle w:val="TOCHeading"/>
      </w:pPr>
    </w:p>
    <w:sdt>
      <w:sdtPr>
        <w:rPr>
          <w:rFonts w:asciiTheme="minorHAnsi" w:eastAsiaTheme="minorHAnsi" w:hAnsiTheme="minorHAnsi" w:cstheme="minorBidi"/>
          <w:color w:val="auto"/>
          <w:kern w:val="2"/>
          <w:sz w:val="24"/>
          <w:szCs w:val="24"/>
          <w:lang w:val="en-GB"/>
          <w14:ligatures w14:val="standardContextual"/>
        </w:rPr>
        <w:id w:val="-1696926376"/>
        <w:docPartObj>
          <w:docPartGallery w:val="Table of Contents"/>
          <w:docPartUnique/>
        </w:docPartObj>
      </w:sdtPr>
      <w:sdtEndPr>
        <w:rPr>
          <w:b/>
          <w:bCs/>
          <w:noProof/>
        </w:rPr>
      </w:sdtEndPr>
      <w:sdtContent>
        <w:p w14:paraId="6B403368" w14:textId="0583D134" w:rsidR="00BB2B80" w:rsidRDefault="00BB2B80">
          <w:pPr>
            <w:pStyle w:val="TOCHeading"/>
          </w:pPr>
          <w:r>
            <w:t>Contents</w:t>
          </w:r>
        </w:p>
        <w:p w14:paraId="0C7F0D23" w14:textId="3BEF4B56" w:rsidR="00BB2B80" w:rsidRDefault="00BB2B80">
          <w:pPr>
            <w:pStyle w:val="TOC1"/>
            <w:tabs>
              <w:tab w:val="right" w:leader="dot" w:pos="9016"/>
            </w:tabs>
            <w:rPr>
              <w:noProof/>
            </w:rPr>
          </w:pPr>
          <w:r>
            <w:fldChar w:fldCharType="begin"/>
          </w:r>
          <w:r>
            <w:instrText xml:space="preserve"> TOC \o "1-3" \h \z \u </w:instrText>
          </w:r>
          <w:r>
            <w:fldChar w:fldCharType="separate"/>
          </w:r>
          <w:hyperlink w:anchor="_Toc216899641" w:history="1">
            <w:r w:rsidRPr="00907E7D">
              <w:rPr>
                <w:rStyle w:val="Hyperlink"/>
                <w:noProof/>
              </w:rPr>
              <w:t>Introduction</w:t>
            </w:r>
            <w:r>
              <w:rPr>
                <w:noProof/>
                <w:webHidden/>
              </w:rPr>
              <w:tab/>
            </w:r>
            <w:r>
              <w:rPr>
                <w:noProof/>
                <w:webHidden/>
              </w:rPr>
              <w:fldChar w:fldCharType="begin"/>
            </w:r>
            <w:r>
              <w:rPr>
                <w:noProof/>
                <w:webHidden/>
              </w:rPr>
              <w:instrText xml:space="preserve"> PAGEREF _Toc216899641 \h </w:instrText>
            </w:r>
            <w:r>
              <w:rPr>
                <w:noProof/>
                <w:webHidden/>
              </w:rPr>
            </w:r>
            <w:r>
              <w:rPr>
                <w:noProof/>
                <w:webHidden/>
              </w:rPr>
              <w:fldChar w:fldCharType="separate"/>
            </w:r>
            <w:r>
              <w:rPr>
                <w:noProof/>
                <w:webHidden/>
              </w:rPr>
              <w:t>2</w:t>
            </w:r>
            <w:r>
              <w:rPr>
                <w:noProof/>
                <w:webHidden/>
              </w:rPr>
              <w:fldChar w:fldCharType="end"/>
            </w:r>
          </w:hyperlink>
        </w:p>
        <w:p w14:paraId="0127B037" w14:textId="72E0ECFF" w:rsidR="00BB2B80" w:rsidRDefault="00BB2B80">
          <w:pPr>
            <w:pStyle w:val="TOC1"/>
            <w:tabs>
              <w:tab w:val="right" w:leader="dot" w:pos="9016"/>
            </w:tabs>
            <w:rPr>
              <w:noProof/>
            </w:rPr>
          </w:pPr>
          <w:hyperlink w:anchor="_Toc216899642" w:history="1">
            <w:r w:rsidRPr="00907E7D">
              <w:rPr>
                <w:rStyle w:val="Hyperlink"/>
                <w:noProof/>
              </w:rPr>
              <w:t>Classification of Autism Spectrum Disorder in ICD</w:t>
            </w:r>
            <w:r w:rsidRPr="00907E7D">
              <w:rPr>
                <w:rStyle w:val="Hyperlink"/>
                <w:rFonts w:ascii="Cambria Math" w:hAnsi="Cambria Math" w:cs="Cambria Math"/>
                <w:noProof/>
              </w:rPr>
              <w:t>‑</w:t>
            </w:r>
            <w:r w:rsidRPr="00907E7D">
              <w:rPr>
                <w:rStyle w:val="Hyperlink"/>
                <w:noProof/>
              </w:rPr>
              <w:t>11</w:t>
            </w:r>
            <w:r>
              <w:rPr>
                <w:noProof/>
                <w:webHidden/>
              </w:rPr>
              <w:tab/>
            </w:r>
            <w:r>
              <w:rPr>
                <w:noProof/>
                <w:webHidden/>
              </w:rPr>
              <w:fldChar w:fldCharType="begin"/>
            </w:r>
            <w:r>
              <w:rPr>
                <w:noProof/>
                <w:webHidden/>
              </w:rPr>
              <w:instrText xml:space="preserve"> PAGEREF _Toc216899642 \h </w:instrText>
            </w:r>
            <w:r>
              <w:rPr>
                <w:noProof/>
                <w:webHidden/>
              </w:rPr>
            </w:r>
            <w:r>
              <w:rPr>
                <w:noProof/>
                <w:webHidden/>
              </w:rPr>
              <w:fldChar w:fldCharType="separate"/>
            </w:r>
            <w:r>
              <w:rPr>
                <w:noProof/>
                <w:webHidden/>
              </w:rPr>
              <w:t>3</w:t>
            </w:r>
            <w:r>
              <w:rPr>
                <w:noProof/>
                <w:webHidden/>
              </w:rPr>
              <w:fldChar w:fldCharType="end"/>
            </w:r>
          </w:hyperlink>
        </w:p>
        <w:p w14:paraId="6A9FDFCE" w14:textId="6BE310F3" w:rsidR="00BB2B80" w:rsidRDefault="00BB2B80">
          <w:pPr>
            <w:pStyle w:val="TOC2"/>
            <w:tabs>
              <w:tab w:val="right" w:leader="dot" w:pos="9016"/>
            </w:tabs>
            <w:rPr>
              <w:noProof/>
            </w:rPr>
          </w:pPr>
          <w:hyperlink w:anchor="_Toc216899643" w:history="1">
            <w:r w:rsidRPr="00907E7D">
              <w:rPr>
                <w:rStyle w:val="Hyperlink"/>
                <w:noProof/>
                <w:kern w:val="0"/>
                <w:lang w:eastAsia="en-GB"/>
                <w14:ligatures w14:val="none"/>
              </w:rPr>
              <w:t>Diagnostic Criteria and Processes</w:t>
            </w:r>
            <w:r>
              <w:rPr>
                <w:noProof/>
                <w:webHidden/>
              </w:rPr>
              <w:tab/>
            </w:r>
            <w:r>
              <w:rPr>
                <w:noProof/>
                <w:webHidden/>
              </w:rPr>
              <w:fldChar w:fldCharType="begin"/>
            </w:r>
            <w:r>
              <w:rPr>
                <w:noProof/>
                <w:webHidden/>
              </w:rPr>
              <w:instrText xml:space="preserve"> PAGEREF _Toc216899643 \h </w:instrText>
            </w:r>
            <w:r>
              <w:rPr>
                <w:noProof/>
                <w:webHidden/>
              </w:rPr>
            </w:r>
            <w:r>
              <w:rPr>
                <w:noProof/>
                <w:webHidden/>
              </w:rPr>
              <w:fldChar w:fldCharType="separate"/>
            </w:r>
            <w:r>
              <w:rPr>
                <w:noProof/>
                <w:webHidden/>
              </w:rPr>
              <w:t>3</w:t>
            </w:r>
            <w:r>
              <w:rPr>
                <w:noProof/>
                <w:webHidden/>
              </w:rPr>
              <w:fldChar w:fldCharType="end"/>
            </w:r>
          </w:hyperlink>
        </w:p>
        <w:p w14:paraId="1259DA06" w14:textId="1936FA66" w:rsidR="00BB2B80" w:rsidRDefault="00BB2B80">
          <w:pPr>
            <w:pStyle w:val="TOC2"/>
            <w:tabs>
              <w:tab w:val="right" w:leader="dot" w:pos="9016"/>
            </w:tabs>
            <w:rPr>
              <w:noProof/>
            </w:rPr>
          </w:pPr>
          <w:hyperlink w:anchor="_Toc216899644" w:history="1">
            <w:r w:rsidRPr="00907E7D">
              <w:rPr>
                <w:rStyle w:val="Hyperlink"/>
                <w:noProof/>
              </w:rPr>
              <w:t>The diagnostic process typically involves:</w:t>
            </w:r>
            <w:r>
              <w:rPr>
                <w:noProof/>
                <w:webHidden/>
              </w:rPr>
              <w:tab/>
            </w:r>
            <w:r>
              <w:rPr>
                <w:noProof/>
                <w:webHidden/>
              </w:rPr>
              <w:fldChar w:fldCharType="begin"/>
            </w:r>
            <w:r>
              <w:rPr>
                <w:noProof/>
                <w:webHidden/>
              </w:rPr>
              <w:instrText xml:space="preserve"> PAGEREF _Toc216899644 \h </w:instrText>
            </w:r>
            <w:r>
              <w:rPr>
                <w:noProof/>
                <w:webHidden/>
              </w:rPr>
            </w:r>
            <w:r>
              <w:rPr>
                <w:noProof/>
                <w:webHidden/>
              </w:rPr>
              <w:fldChar w:fldCharType="separate"/>
            </w:r>
            <w:r>
              <w:rPr>
                <w:noProof/>
                <w:webHidden/>
              </w:rPr>
              <w:t>4</w:t>
            </w:r>
            <w:r>
              <w:rPr>
                <w:noProof/>
                <w:webHidden/>
              </w:rPr>
              <w:fldChar w:fldCharType="end"/>
            </w:r>
          </w:hyperlink>
        </w:p>
        <w:p w14:paraId="1C0DE49C" w14:textId="03E33AEC" w:rsidR="00BB2B80" w:rsidRDefault="00BB2B80">
          <w:pPr>
            <w:pStyle w:val="TOC2"/>
            <w:tabs>
              <w:tab w:val="right" w:leader="dot" w:pos="9016"/>
            </w:tabs>
            <w:rPr>
              <w:noProof/>
            </w:rPr>
          </w:pPr>
          <w:hyperlink w:anchor="_Toc216899645" w:history="1">
            <w:r w:rsidRPr="00907E7D">
              <w:rPr>
                <w:rStyle w:val="Hyperlink"/>
                <w:noProof/>
              </w:rPr>
              <w:t>Language Used in ICD</w:t>
            </w:r>
            <w:r w:rsidRPr="00907E7D">
              <w:rPr>
                <w:rStyle w:val="Hyperlink"/>
                <w:rFonts w:ascii="Cambria Math" w:hAnsi="Cambria Math" w:cs="Cambria Math"/>
                <w:noProof/>
              </w:rPr>
              <w:t>‑</w:t>
            </w:r>
            <w:r w:rsidRPr="00907E7D">
              <w:rPr>
                <w:rStyle w:val="Hyperlink"/>
                <w:noProof/>
              </w:rPr>
              <w:t>11 Classification</w:t>
            </w:r>
            <w:r>
              <w:rPr>
                <w:noProof/>
                <w:webHidden/>
              </w:rPr>
              <w:tab/>
            </w:r>
            <w:r>
              <w:rPr>
                <w:noProof/>
                <w:webHidden/>
              </w:rPr>
              <w:fldChar w:fldCharType="begin"/>
            </w:r>
            <w:r>
              <w:rPr>
                <w:noProof/>
                <w:webHidden/>
              </w:rPr>
              <w:instrText xml:space="preserve"> PAGEREF _Toc216899645 \h </w:instrText>
            </w:r>
            <w:r>
              <w:rPr>
                <w:noProof/>
                <w:webHidden/>
              </w:rPr>
            </w:r>
            <w:r>
              <w:rPr>
                <w:noProof/>
                <w:webHidden/>
              </w:rPr>
              <w:fldChar w:fldCharType="separate"/>
            </w:r>
            <w:r>
              <w:rPr>
                <w:noProof/>
                <w:webHidden/>
              </w:rPr>
              <w:t>4</w:t>
            </w:r>
            <w:r>
              <w:rPr>
                <w:noProof/>
                <w:webHidden/>
              </w:rPr>
              <w:fldChar w:fldCharType="end"/>
            </w:r>
          </w:hyperlink>
        </w:p>
        <w:p w14:paraId="5C07F2A3" w14:textId="3134F858" w:rsidR="00BB2B80" w:rsidRDefault="00BB2B80">
          <w:pPr>
            <w:pStyle w:val="TOC1"/>
            <w:tabs>
              <w:tab w:val="right" w:leader="dot" w:pos="9016"/>
            </w:tabs>
            <w:rPr>
              <w:noProof/>
            </w:rPr>
          </w:pPr>
          <w:hyperlink w:anchor="_Toc216899646" w:history="1">
            <w:r w:rsidRPr="00907E7D">
              <w:rPr>
                <w:rStyle w:val="Hyperlink"/>
                <w:noProof/>
              </w:rPr>
              <w:t>Treatment and Rehabilitation Approaches for Autism Spectrum Disorder (ASD)</w:t>
            </w:r>
            <w:r>
              <w:rPr>
                <w:noProof/>
                <w:webHidden/>
              </w:rPr>
              <w:tab/>
            </w:r>
            <w:r>
              <w:rPr>
                <w:noProof/>
                <w:webHidden/>
              </w:rPr>
              <w:fldChar w:fldCharType="begin"/>
            </w:r>
            <w:r>
              <w:rPr>
                <w:noProof/>
                <w:webHidden/>
              </w:rPr>
              <w:instrText xml:space="preserve"> PAGEREF _Toc216899646 \h </w:instrText>
            </w:r>
            <w:r>
              <w:rPr>
                <w:noProof/>
                <w:webHidden/>
              </w:rPr>
            </w:r>
            <w:r>
              <w:rPr>
                <w:noProof/>
                <w:webHidden/>
              </w:rPr>
              <w:fldChar w:fldCharType="separate"/>
            </w:r>
            <w:r>
              <w:rPr>
                <w:noProof/>
                <w:webHidden/>
              </w:rPr>
              <w:t>4</w:t>
            </w:r>
            <w:r>
              <w:rPr>
                <w:noProof/>
                <w:webHidden/>
              </w:rPr>
              <w:fldChar w:fldCharType="end"/>
            </w:r>
          </w:hyperlink>
        </w:p>
        <w:p w14:paraId="37F4395F" w14:textId="1677D5F1" w:rsidR="00BB2B80" w:rsidRDefault="00BB2B80">
          <w:pPr>
            <w:pStyle w:val="TOC2"/>
            <w:tabs>
              <w:tab w:val="right" w:leader="dot" w:pos="9016"/>
            </w:tabs>
            <w:rPr>
              <w:noProof/>
            </w:rPr>
          </w:pPr>
          <w:hyperlink w:anchor="_Toc216899647" w:history="1">
            <w:r w:rsidRPr="00907E7D">
              <w:rPr>
                <w:rStyle w:val="Hyperlink"/>
                <w:noProof/>
              </w:rPr>
              <w:t>Critical Synthesis</w:t>
            </w:r>
            <w:r>
              <w:rPr>
                <w:noProof/>
                <w:webHidden/>
              </w:rPr>
              <w:tab/>
            </w:r>
            <w:r>
              <w:rPr>
                <w:noProof/>
                <w:webHidden/>
              </w:rPr>
              <w:fldChar w:fldCharType="begin"/>
            </w:r>
            <w:r>
              <w:rPr>
                <w:noProof/>
                <w:webHidden/>
              </w:rPr>
              <w:instrText xml:space="preserve"> PAGEREF _Toc216899647 \h </w:instrText>
            </w:r>
            <w:r>
              <w:rPr>
                <w:noProof/>
                <w:webHidden/>
              </w:rPr>
            </w:r>
            <w:r>
              <w:rPr>
                <w:noProof/>
                <w:webHidden/>
              </w:rPr>
              <w:fldChar w:fldCharType="separate"/>
            </w:r>
            <w:r>
              <w:rPr>
                <w:noProof/>
                <w:webHidden/>
              </w:rPr>
              <w:t>5</w:t>
            </w:r>
            <w:r>
              <w:rPr>
                <w:noProof/>
                <w:webHidden/>
              </w:rPr>
              <w:fldChar w:fldCharType="end"/>
            </w:r>
          </w:hyperlink>
        </w:p>
        <w:p w14:paraId="2F49C967" w14:textId="46379966" w:rsidR="00BB2B80" w:rsidRDefault="00BB2B80">
          <w:pPr>
            <w:pStyle w:val="TOC1"/>
            <w:tabs>
              <w:tab w:val="right" w:leader="dot" w:pos="9016"/>
            </w:tabs>
            <w:rPr>
              <w:noProof/>
            </w:rPr>
          </w:pPr>
          <w:hyperlink w:anchor="_Toc216899648" w:history="1">
            <w:r w:rsidRPr="00907E7D">
              <w:rPr>
                <w:rStyle w:val="Hyperlink"/>
                <w:noProof/>
              </w:rPr>
              <w:t>Current Debates and Emerging Issues in ASD</w:t>
            </w:r>
            <w:r>
              <w:rPr>
                <w:noProof/>
                <w:webHidden/>
              </w:rPr>
              <w:tab/>
            </w:r>
            <w:r>
              <w:rPr>
                <w:noProof/>
                <w:webHidden/>
              </w:rPr>
              <w:fldChar w:fldCharType="begin"/>
            </w:r>
            <w:r>
              <w:rPr>
                <w:noProof/>
                <w:webHidden/>
              </w:rPr>
              <w:instrText xml:space="preserve"> PAGEREF _Toc216899648 \h </w:instrText>
            </w:r>
            <w:r>
              <w:rPr>
                <w:noProof/>
                <w:webHidden/>
              </w:rPr>
            </w:r>
            <w:r>
              <w:rPr>
                <w:noProof/>
                <w:webHidden/>
              </w:rPr>
              <w:fldChar w:fldCharType="separate"/>
            </w:r>
            <w:r>
              <w:rPr>
                <w:noProof/>
                <w:webHidden/>
              </w:rPr>
              <w:t>6</w:t>
            </w:r>
            <w:r>
              <w:rPr>
                <w:noProof/>
                <w:webHidden/>
              </w:rPr>
              <w:fldChar w:fldCharType="end"/>
            </w:r>
          </w:hyperlink>
        </w:p>
        <w:p w14:paraId="3CC050BB" w14:textId="76A51723" w:rsidR="00BB2B80" w:rsidRDefault="00BB2B80">
          <w:pPr>
            <w:pStyle w:val="TOC2"/>
            <w:tabs>
              <w:tab w:val="right" w:leader="dot" w:pos="9016"/>
            </w:tabs>
            <w:rPr>
              <w:noProof/>
            </w:rPr>
          </w:pPr>
          <w:hyperlink w:anchor="_Toc216899649" w:history="1">
            <w:r w:rsidRPr="00907E7D">
              <w:rPr>
                <w:rStyle w:val="Hyperlink"/>
                <w:noProof/>
              </w:rPr>
              <w:t>Treatment controversies and emerging approaches</w:t>
            </w:r>
            <w:r>
              <w:rPr>
                <w:noProof/>
                <w:webHidden/>
              </w:rPr>
              <w:tab/>
            </w:r>
            <w:r>
              <w:rPr>
                <w:noProof/>
                <w:webHidden/>
              </w:rPr>
              <w:fldChar w:fldCharType="begin"/>
            </w:r>
            <w:r>
              <w:rPr>
                <w:noProof/>
                <w:webHidden/>
              </w:rPr>
              <w:instrText xml:space="preserve"> PAGEREF _Toc216899649 \h </w:instrText>
            </w:r>
            <w:r>
              <w:rPr>
                <w:noProof/>
                <w:webHidden/>
              </w:rPr>
            </w:r>
            <w:r>
              <w:rPr>
                <w:noProof/>
                <w:webHidden/>
              </w:rPr>
              <w:fldChar w:fldCharType="separate"/>
            </w:r>
            <w:r>
              <w:rPr>
                <w:noProof/>
                <w:webHidden/>
              </w:rPr>
              <w:t>7</w:t>
            </w:r>
            <w:r>
              <w:rPr>
                <w:noProof/>
                <w:webHidden/>
              </w:rPr>
              <w:fldChar w:fldCharType="end"/>
            </w:r>
          </w:hyperlink>
        </w:p>
        <w:p w14:paraId="38E5E762" w14:textId="552F05B1" w:rsidR="00BB2B80" w:rsidRDefault="00BB2B80">
          <w:pPr>
            <w:pStyle w:val="TOC2"/>
            <w:tabs>
              <w:tab w:val="right" w:leader="dot" w:pos="9016"/>
            </w:tabs>
            <w:rPr>
              <w:noProof/>
            </w:rPr>
          </w:pPr>
          <w:hyperlink w:anchor="_Toc216899650" w:history="1">
            <w:r w:rsidRPr="00907E7D">
              <w:rPr>
                <w:rStyle w:val="Hyperlink"/>
                <w:noProof/>
              </w:rPr>
              <w:t>Impact on Practice and Policy</w:t>
            </w:r>
            <w:r>
              <w:rPr>
                <w:noProof/>
                <w:webHidden/>
              </w:rPr>
              <w:tab/>
            </w:r>
            <w:r>
              <w:rPr>
                <w:noProof/>
                <w:webHidden/>
              </w:rPr>
              <w:fldChar w:fldCharType="begin"/>
            </w:r>
            <w:r>
              <w:rPr>
                <w:noProof/>
                <w:webHidden/>
              </w:rPr>
              <w:instrText xml:space="preserve"> PAGEREF _Toc216899650 \h </w:instrText>
            </w:r>
            <w:r>
              <w:rPr>
                <w:noProof/>
                <w:webHidden/>
              </w:rPr>
            </w:r>
            <w:r>
              <w:rPr>
                <w:noProof/>
                <w:webHidden/>
              </w:rPr>
              <w:fldChar w:fldCharType="separate"/>
            </w:r>
            <w:r>
              <w:rPr>
                <w:noProof/>
                <w:webHidden/>
              </w:rPr>
              <w:t>8</w:t>
            </w:r>
            <w:r>
              <w:rPr>
                <w:noProof/>
                <w:webHidden/>
              </w:rPr>
              <w:fldChar w:fldCharType="end"/>
            </w:r>
          </w:hyperlink>
        </w:p>
        <w:p w14:paraId="66EA5F15" w14:textId="24786109" w:rsidR="00BB2B80" w:rsidRDefault="00BB2B80">
          <w:pPr>
            <w:pStyle w:val="TOC2"/>
            <w:tabs>
              <w:tab w:val="right" w:leader="dot" w:pos="9016"/>
            </w:tabs>
            <w:rPr>
              <w:noProof/>
            </w:rPr>
          </w:pPr>
          <w:hyperlink w:anchor="_Toc216899651" w:history="1">
            <w:r w:rsidRPr="00907E7D">
              <w:rPr>
                <w:rStyle w:val="Hyperlink"/>
                <w:noProof/>
              </w:rPr>
              <w:t>Critical Synthesis</w:t>
            </w:r>
            <w:r>
              <w:rPr>
                <w:noProof/>
                <w:webHidden/>
              </w:rPr>
              <w:tab/>
            </w:r>
            <w:r>
              <w:rPr>
                <w:noProof/>
                <w:webHidden/>
              </w:rPr>
              <w:fldChar w:fldCharType="begin"/>
            </w:r>
            <w:r>
              <w:rPr>
                <w:noProof/>
                <w:webHidden/>
              </w:rPr>
              <w:instrText xml:space="preserve"> PAGEREF _Toc216899651 \h </w:instrText>
            </w:r>
            <w:r>
              <w:rPr>
                <w:noProof/>
                <w:webHidden/>
              </w:rPr>
            </w:r>
            <w:r>
              <w:rPr>
                <w:noProof/>
                <w:webHidden/>
              </w:rPr>
              <w:fldChar w:fldCharType="separate"/>
            </w:r>
            <w:r>
              <w:rPr>
                <w:noProof/>
                <w:webHidden/>
              </w:rPr>
              <w:t>8</w:t>
            </w:r>
            <w:r>
              <w:rPr>
                <w:noProof/>
                <w:webHidden/>
              </w:rPr>
              <w:fldChar w:fldCharType="end"/>
            </w:r>
          </w:hyperlink>
        </w:p>
        <w:p w14:paraId="484EA995" w14:textId="6A62E58F" w:rsidR="00BB2B80" w:rsidRDefault="00BB2B80">
          <w:pPr>
            <w:pStyle w:val="TOC1"/>
            <w:tabs>
              <w:tab w:val="right" w:leader="dot" w:pos="9016"/>
            </w:tabs>
            <w:rPr>
              <w:noProof/>
            </w:rPr>
          </w:pPr>
          <w:hyperlink w:anchor="_Toc216899652" w:history="1">
            <w:r w:rsidRPr="00907E7D">
              <w:rPr>
                <w:rStyle w:val="Hyperlink"/>
                <w:noProof/>
              </w:rPr>
              <w:t>Recommendations for Improving Autism Spectrum Disorder Classification, Diagnosis, Treatment and Rehabilitation</w:t>
            </w:r>
            <w:r>
              <w:rPr>
                <w:noProof/>
                <w:webHidden/>
              </w:rPr>
              <w:tab/>
            </w:r>
            <w:r>
              <w:rPr>
                <w:noProof/>
                <w:webHidden/>
              </w:rPr>
              <w:fldChar w:fldCharType="begin"/>
            </w:r>
            <w:r>
              <w:rPr>
                <w:noProof/>
                <w:webHidden/>
              </w:rPr>
              <w:instrText xml:space="preserve"> PAGEREF _Toc216899652 \h </w:instrText>
            </w:r>
            <w:r>
              <w:rPr>
                <w:noProof/>
                <w:webHidden/>
              </w:rPr>
            </w:r>
            <w:r>
              <w:rPr>
                <w:noProof/>
                <w:webHidden/>
              </w:rPr>
              <w:fldChar w:fldCharType="separate"/>
            </w:r>
            <w:r>
              <w:rPr>
                <w:noProof/>
                <w:webHidden/>
              </w:rPr>
              <w:t>9</w:t>
            </w:r>
            <w:r>
              <w:rPr>
                <w:noProof/>
                <w:webHidden/>
              </w:rPr>
              <w:fldChar w:fldCharType="end"/>
            </w:r>
          </w:hyperlink>
        </w:p>
        <w:p w14:paraId="0CCC83C3" w14:textId="76ED605D" w:rsidR="00BB2B80" w:rsidRDefault="00BB2B80">
          <w:pPr>
            <w:pStyle w:val="TOC1"/>
            <w:tabs>
              <w:tab w:val="right" w:leader="dot" w:pos="9016"/>
            </w:tabs>
            <w:rPr>
              <w:noProof/>
            </w:rPr>
          </w:pPr>
          <w:hyperlink w:anchor="_Toc216899653" w:history="1">
            <w:r w:rsidRPr="00907E7D">
              <w:rPr>
                <w:rStyle w:val="Hyperlink"/>
                <w:noProof/>
              </w:rPr>
              <w:t>Conclusion</w:t>
            </w:r>
            <w:r>
              <w:rPr>
                <w:noProof/>
                <w:webHidden/>
              </w:rPr>
              <w:tab/>
            </w:r>
            <w:r>
              <w:rPr>
                <w:noProof/>
                <w:webHidden/>
              </w:rPr>
              <w:fldChar w:fldCharType="begin"/>
            </w:r>
            <w:r>
              <w:rPr>
                <w:noProof/>
                <w:webHidden/>
              </w:rPr>
              <w:instrText xml:space="preserve"> PAGEREF _Toc216899653 \h </w:instrText>
            </w:r>
            <w:r>
              <w:rPr>
                <w:noProof/>
                <w:webHidden/>
              </w:rPr>
            </w:r>
            <w:r>
              <w:rPr>
                <w:noProof/>
                <w:webHidden/>
              </w:rPr>
              <w:fldChar w:fldCharType="separate"/>
            </w:r>
            <w:r>
              <w:rPr>
                <w:noProof/>
                <w:webHidden/>
              </w:rPr>
              <w:t>10</w:t>
            </w:r>
            <w:r>
              <w:rPr>
                <w:noProof/>
                <w:webHidden/>
              </w:rPr>
              <w:fldChar w:fldCharType="end"/>
            </w:r>
          </w:hyperlink>
        </w:p>
        <w:p w14:paraId="1CE78005" w14:textId="34EC60B1" w:rsidR="00BB2B80" w:rsidRDefault="00BB2B80">
          <w:pPr>
            <w:pStyle w:val="TOC1"/>
            <w:tabs>
              <w:tab w:val="right" w:leader="dot" w:pos="9016"/>
            </w:tabs>
            <w:rPr>
              <w:noProof/>
            </w:rPr>
          </w:pPr>
          <w:hyperlink w:anchor="_Toc216899654" w:history="1">
            <w:r w:rsidRPr="00907E7D">
              <w:rPr>
                <w:rStyle w:val="Hyperlink"/>
                <w:noProof/>
              </w:rPr>
              <w:t>References</w:t>
            </w:r>
            <w:r>
              <w:rPr>
                <w:noProof/>
                <w:webHidden/>
              </w:rPr>
              <w:tab/>
            </w:r>
            <w:r>
              <w:rPr>
                <w:noProof/>
                <w:webHidden/>
              </w:rPr>
              <w:fldChar w:fldCharType="begin"/>
            </w:r>
            <w:r>
              <w:rPr>
                <w:noProof/>
                <w:webHidden/>
              </w:rPr>
              <w:instrText xml:space="preserve"> PAGEREF _Toc216899654 \h </w:instrText>
            </w:r>
            <w:r>
              <w:rPr>
                <w:noProof/>
                <w:webHidden/>
              </w:rPr>
            </w:r>
            <w:r>
              <w:rPr>
                <w:noProof/>
                <w:webHidden/>
              </w:rPr>
              <w:fldChar w:fldCharType="separate"/>
            </w:r>
            <w:r>
              <w:rPr>
                <w:noProof/>
                <w:webHidden/>
              </w:rPr>
              <w:t>10</w:t>
            </w:r>
            <w:r>
              <w:rPr>
                <w:noProof/>
                <w:webHidden/>
              </w:rPr>
              <w:fldChar w:fldCharType="end"/>
            </w:r>
          </w:hyperlink>
        </w:p>
        <w:p w14:paraId="190108AE" w14:textId="782711C9" w:rsidR="00BB2B80" w:rsidRDefault="00BB2B80">
          <w:r>
            <w:rPr>
              <w:b/>
              <w:bCs/>
              <w:noProof/>
            </w:rPr>
            <w:fldChar w:fldCharType="end"/>
          </w:r>
        </w:p>
      </w:sdtContent>
    </w:sdt>
    <w:p w14:paraId="1DEC40D5" w14:textId="77777777" w:rsidR="000264A1" w:rsidRDefault="000264A1" w:rsidP="000264A1">
      <w:pPr>
        <w:rPr>
          <w:rFonts w:ascii="Arial" w:hAnsi="Arial" w:cs="Arial"/>
          <w:sz w:val="36"/>
          <w:szCs w:val="36"/>
        </w:rPr>
      </w:pPr>
    </w:p>
    <w:p w14:paraId="432AEE04" w14:textId="77777777" w:rsidR="000264A1" w:rsidRDefault="000264A1" w:rsidP="000264A1">
      <w:pPr>
        <w:rPr>
          <w:rFonts w:ascii="Arial" w:hAnsi="Arial" w:cs="Arial"/>
          <w:sz w:val="36"/>
          <w:szCs w:val="36"/>
        </w:rPr>
      </w:pPr>
    </w:p>
    <w:p w14:paraId="452692C2" w14:textId="77777777" w:rsidR="00EF4897" w:rsidRPr="00BB2B80" w:rsidRDefault="00EF4897" w:rsidP="00BB2B80">
      <w:pPr>
        <w:pStyle w:val="Heading1"/>
      </w:pPr>
      <w:bookmarkStart w:id="0" w:name="_Toc216899641"/>
      <w:r w:rsidRPr="00BB2B80">
        <w:t>Introduction</w:t>
      </w:r>
      <w:bookmarkEnd w:id="0"/>
    </w:p>
    <w:p w14:paraId="1D561C63" w14:textId="0D3D5960" w:rsidR="00811329" w:rsidRDefault="00811329" w:rsidP="00BB2B80">
      <w:pPr>
        <w:pStyle w:val="NormalWeb"/>
        <w:spacing w:before="0" w:beforeAutospacing="0" w:after="0" w:afterAutospacing="0" w:line="360" w:lineRule="auto"/>
        <w:rPr>
          <w:rFonts w:ascii="Arial" w:hAnsi="Arial" w:cs="Arial"/>
          <w:sz w:val="22"/>
          <w:szCs w:val="22"/>
        </w:rPr>
      </w:pPr>
      <w:r w:rsidRPr="00811329">
        <w:rPr>
          <w:rFonts w:ascii="Arial" w:hAnsi="Arial" w:cs="Arial"/>
          <w:sz w:val="22"/>
          <w:szCs w:val="22"/>
        </w:rPr>
        <w:t>Autism Spectrum Disorder (ASD) is recognised as a neurodevelopmental condition involving ongoing challenges in social communication and interaction, together with repetitive or restricted behaviours, interests, and activities (WHO, 202</w:t>
      </w:r>
      <w:r>
        <w:rPr>
          <w:rFonts w:ascii="Arial" w:hAnsi="Arial" w:cs="Arial"/>
          <w:sz w:val="22"/>
          <w:szCs w:val="22"/>
        </w:rPr>
        <w:t>5</w:t>
      </w:r>
      <w:r w:rsidRPr="00811329">
        <w:rPr>
          <w:rFonts w:ascii="Arial" w:hAnsi="Arial" w:cs="Arial"/>
          <w:sz w:val="22"/>
          <w:szCs w:val="22"/>
        </w:rPr>
        <w:t>). Approaches to understanding and supporting autism have evolved considerably, mirroring wider transformations in mental health care.</w:t>
      </w:r>
    </w:p>
    <w:p w14:paraId="6F15A700" w14:textId="77777777" w:rsidR="00811329" w:rsidRDefault="00EF4897" w:rsidP="00BB2B80">
      <w:pPr>
        <w:pStyle w:val="NormalWeb"/>
        <w:spacing w:before="0" w:beforeAutospacing="0" w:after="0" w:afterAutospacing="0" w:line="360" w:lineRule="auto"/>
        <w:rPr>
          <w:rFonts w:ascii="Arial" w:hAnsi="Arial" w:cs="Arial"/>
          <w:sz w:val="22"/>
          <w:szCs w:val="22"/>
        </w:rPr>
      </w:pPr>
      <w:r w:rsidRPr="00BB2B80">
        <w:rPr>
          <w:rFonts w:ascii="Arial" w:hAnsi="Arial" w:cs="Arial"/>
          <w:sz w:val="22"/>
          <w:szCs w:val="22"/>
        </w:rPr>
        <w:t xml:space="preserve">Historically, autism was poorly understood and often misclassified. In the early 20th century, children displaying autistic traits were frequently diagnosed with childhood schizophrenia, with care largely custodial and institutional in nature (Porter, 2002). </w:t>
      </w:r>
    </w:p>
    <w:p w14:paraId="25A94EA6" w14:textId="77777777" w:rsidR="00811329" w:rsidRDefault="00811329" w:rsidP="00BB2B80">
      <w:pPr>
        <w:pStyle w:val="NormalWeb"/>
        <w:spacing w:before="0" w:beforeAutospacing="0" w:after="0" w:afterAutospacing="0" w:line="360" w:lineRule="auto"/>
        <w:rPr>
          <w:rFonts w:ascii="Arial" w:hAnsi="Arial" w:cs="Arial"/>
          <w:sz w:val="22"/>
          <w:szCs w:val="22"/>
        </w:rPr>
      </w:pPr>
      <w:r w:rsidRPr="00811329">
        <w:rPr>
          <w:rFonts w:ascii="Arial" w:hAnsi="Arial" w:cs="Arial"/>
          <w:sz w:val="22"/>
          <w:szCs w:val="22"/>
        </w:rPr>
        <w:lastRenderedPageBreak/>
        <w:t xml:space="preserve">Leo Kanner first used the term autism in 1943 to describe children showing marked differences in social interaction and communication. Around the same time, Hans Asperger identified comparable characteristics in children who retained language skills (Matson, 2016). </w:t>
      </w:r>
    </w:p>
    <w:p w14:paraId="77CACEA8" w14:textId="49EA47F9" w:rsidR="00EF4897" w:rsidRPr="00BB2B80" w:rsidRDefault="00811329" w:rsidP="00BB2B80">
      <w:pPr>
        <w:pStyle w:val="NormalWeb"/>
        <w:spacing w:before="0" w:beforeAutospacing="0" w:after="0" w:afterAutospacing="0" w:line="360" w:lineRule="auto"/>
        <w:rPr>
          <w:rFonts w:ascii="Arial" w:hAnsi="Arial" w:cs="Arial"/>
          <w:sz w:val="22"/>
          <w:szCs w:val="22"/>
        </w:rPr>
      </w:pPr>
      <w:r w:rsidRPr="00811329">
        <w:rPr>
          <w:rFonts w:ascii="Arial" w:hAnsi="Arial" w:cs="Arial"/>
          <w:sz w:val="22"/>
          <w:szCs w:val="22"/>
        </w:rPr>
        <w:t>Throughout the mid</w:t>
      </w:r>
      <w:r w:rsidRPr="00811329">
        <w:rPr>
          <w:rFonts w:ascii="Cambria Math" w:hAnsi="Cambria Math" w:cs="Cambria Math"/>
          <w:sz w:val="22"/>
          <w:szCs w:val="22"/>
        </w:rPr>
        <w:t>‑</w:t>
      </w:r>
      <w:r w:rsidRPr="00811329">
        <w:rPr>
          <w:rFonts w:ascii="Arial" w:hAnsi="Arial" w:cs="Arial"/>
          <w:sz w:val="22"/>
          <w:szCs w:val="22"/>
        </w:rPr>
        <w:t xml:space="preserve">20th century, support was largely centred on containment rather than therapeutic approaches, reflecting prevailing stigma and limited scientific </w:t>
      </w:r>
      <w:r w:rsidRPr="00811329">
        <w:rPr>
          <w:rFonts w:ascii="Arial" w:hAnsi="Arial" w:cs="Arial"/>
          <w:sz w:val="22"/>
          <w:szCs w:val="22"/>
        </w:rPr>
        <w:t>knowledge.</w:t>
      </w:r>
      <w:r w:rsidRPr="00BB2B80">
        <w:rPr>
          <w:rFonts w:ascii="Arial" w:hAnsi="Arial" w:cs="Arial"/>
          <w:sz w:val="22"/>
          <w:szCs w:val="22"/>
        </w:rPr>
        <w:t xml:space="preserve"> Contemporary</w:t>
      </w:r>
      <w:r w:rsidR="00EF4897" w:rsidRPr="00BB2B80">
        <w:rPr>
          <w:rFonts w:ascii="Arial" w:hAnsi="Arial" w:cs="Arial"/>
          <w:sz w:val="22"/>
          <w:szCs w:val="22"/>
        </w:rPr>
        <w:t xml:space="preserve"> frameworks, particularly the International Classification of Diseases, 11th Revision (ICD</w:t>
      </w:r>
      <w:r w:rsidR="00EF4897" w:rsidRPr="00BB2B80">
        <w:rPr>
          <w:rFonts w:ascii="Cambria Math" w:hAnsi="Cambria Math" w:cs="Cambria Math"/>
          <w:sz w:val="22"/>
          <w:szCs w:val="22"/>
        </w:rPr>
        <w:t>‑</w:t>
      </w:r>
      <w:r w:rsidR="00EF4897" w:rsidRPr="00BB2B80">
        <w:rPr>
          <w:rFonts w:ascii="Arial" w:hAnsi="Arial" w:cs="Arial"/>
          <w:sz w:val="22"/>
          <w:szCs w:val="22"/>
        </w:rPr>
        <w:t>11), reconceptualise autism as a spectrum of neurodevelopmental differences with varying levels of support needs (WHO, 20</w:t>
      </w:r>
      <w:r w:rsidR="00FA0A79">
        <w:rPr>
          <w:rFonts w:ascii="Arial" w:hAnsi="Arial" w:cs="Arial"/>
          <w:sz w:val="22"/>
          <w:szCs w:val="22"/>
        </w:rPr>
        <w:t>25</w:t>
      </w:r>
      <w:r w:rsidR="00EF4897" w:rsidRPr="00BB2B80">
        <w:rPr>
          <w:rFonts w:ascii="Arial" w:hAnsi="Arial" w:cs="Arial"/>
          <w:sz w:val="22"/>
          <w:szCs w:val="22"/>
        </w:rPr>
        <w:t xml:space="preserve">). </w:t>
      </w:r>
      <w:r w:rsidR="00BB2B80">
        <w:rPr>
          <w:rFonts w:ascii="Arial" w:hAnsi="Arial" w:cs="Arial"/>
          <w:sz w:val="22"/>
          <w:szCs w:val="22"/>
        </w:rPr>
        <w:t>ICD-11 consolidates previously distinct categories, such as childhood autism and Asperger’s syndrome, into a single spectrum, acknowledging heterogeneity and aligning provision with individualised, multidisciplinary, and community-based care (Greaves-Lord, Skuse,</w:t>
      </w:r>
      <w:r w:rsidR="00EF4897" w:rsidRPr="00BB2B80">
        <w:rPr>
          <w:rFonts w:ascii="Arial" w:hAnsi="Arial" w:cs="Arial"/>
          <w:sz w:val="22"/>
          <w:szCs w:val="22"/>
        </w:rPr>
        <w:t xml:space="preserve"> &amp; Mandy, 2022). This reclassification has profound implications for diagnosis, treatment, and rehabilitation, supporting a shift from deficit</w:t>
      </w:r>
      <w:r w:rsidR="00EF4897" w:rsidRPr="00BB2B80">
        <w:rPr>
          <w:rFonts w:ascii="Cambria Math" w:hAnsi="Cambria Math" w:cs="Cambria Math"/>
          <w:sz w:val="22"/>
          <w:szCs w:val="22"/>
        </w:rPr>
        <w:t>‑</w:t>
      </w:r>
      <w:r w:rsidR="00EF4897" w:rsidRPr="00BB2B80">
        <w:rPr>
          <w:rFonts w:ascii="Arial" w:hAnsi="Arial" w:cs="Arial"/>
          <w:sz w:val="22"/>
          <w:szCs w:val="22"/>
        </w:rPr>
        <w:t>based models toward neurodiversity</w:t>
      </w:r>
      <w:r w:rsidR="00EF4897" w:rsidRPr="00BB2B80">
        <w:rPr>
          <w:rFonts w:ascii="Cambria Math" w:hAnsi="Cambria Math" w:cs="Cambria Math"/>
          <w:sz w:val="22"/>
          <w:szCs w:val="22"/>
        </w:rPr>
        <w:t>‑</w:t>
      </w:r>
      <w:r w:rsidR="00EF4897" w:rsidRPr="00BB2B80">
        <w:rPr>
          <w:rFonts w:ascii="Arial" w:hAnsi="Arial" w:cs="Arial"/>
          <w:sz w:val="22"/>
          <w:szCs w:val="22"/>
        </w:rPr>
        <w:t>affirming approaches that emphasise autonomy, communication accessibility, and dignity (Boucher, 2022).</w:t>
      </w:r>
    </w:p>
    <w:p w14:paraId="562722A2" w14:textId="3A66EFD4" w:rsidR="00EF4897" w:rsidRPr="00BB2B80" w:rsidRDefault="00EF4897" w:rsidP="00BB2B80">
      <w:pPr>
        <w:pStyle w:val="NormalWeb"/>
        <w:spacing w:before="0" w:beforeAutospacing="0" w:after="0" w:afterAutospacing="0" w:line="360" w:lineRule="auto"/>
        <w:rPr>
          <w:rFonts w:ascii="Arial" w:hAnsi="Arial" w:cs="Arial"/>
          <w:sz w:val="22"/>
          <w:szCs w:val="22"/>
        </w:rPr>
      </w:pPr>
      <w:r w:rsidRPr="00BB2B80">
        <w:rPr>
          <w:rFonts w:ascii="Arial" w:hAnsi="Arial" w:cs="Arial"/>
          <w:sz w:val="22"/>
          <w:szCs w:val="22"/>
        </w:rPr>
        <w:t>This report situates ASD within the broader trajectory of mental health provision, critically examining classification, diagnosis, treatment, rehabilitation, current debates, and recommendations. By integrating historical context with contemporary frameworks, it aims to provide a balanced analysis that informs both academic understanding and practical application.</w:t>
      </w:r>
    </w:p>
    <w:p w14:paraId="65707958" w14:textId="77777777" w:rsidR="00EF4897" w:rsidRPr="00BB2B80" w:rsidRDefault="00EF4897" w:rsidP="00BB2B80">
      <w:pPr>
        <w:pStyle w:val="NormalWeb"/>
        <w:spacing w:before="0" w:beforeAutospacing="0" w:after="0" w:afterAutospacing="0" w:line="360" w:lineRule="auto"/>
        <w:rPr>
          <w:rFonts w:ascii="Arial" w:hAnsi="Arial" w:cs="Arial"/>
          <w:b/>
          <w:bCs/>
          <w:sz w:val="22"/>
          <w:szCs w:val="22"/>
        </w:rPr>
      </w:pPr>
    </w:p>
    <w:p w14:paraId="4A0AB54C" w14:textId="77777777" w:rsidR="00EF4897" w:rsidRPr="00BB2B80" w:rsidRDefault="00EF4897" w:rsidP="00BB2B80">
      <w:pPr>
        <w:pStyle w:val="NormalWeb"/>
        <w:spacing w:before="0" w:beforeAutospacing="0" w:after="0" w:afterAutospacing="0" w:line="360" w:lineRule="auto"/>
        <w:rPr>
          <w:rFonts w:ascii="Arial" w:hAnsi="Arial" w:cs="Arial"/>
          <w:b/>
          <w:bCs/>
          <w:sz w:val="22"/>
          <w:szCs w:val="22"/>
        </w:rPr>
      </w:pPr>
    </w:p>
    <w:p w14:paraId="2205FA16" w14:textId="67387564" w:rsidR="0003597A" w:rsidRPr="00BB2B80" w:rsidRDefault="0003597A" w:rsidP="00BB2B80">
      <w:pPr>
        <w:pStyle w:val="Heading1"/>
      </w:pPr>
      <w:bookmarkStart w:id="1" w:name="_Toc216899642"/>
      <w:r w:rsidRPr="00BB2B80">
        <w:t>Classification of Autism Spectrum Disorder in ICD</w:t>
      </w:r>
      <w:r w:rsidRPr="00BB2B80">
        <w:rPr>
          <w:rFonts w:ascii="Cambria Math" w:hAnsi="Cambria Math" w:cs="Cambria Math"/>
        </w:rPr>
        <w:t>‑</w:t>
      </w:r>
      <w:r w:rsidRPr="00BB2B80">
        <w:t>11</w:t>
      </w:r>
      <w:bookmarkEnd w:id="1"/>
    </w:p>
    <w:p w14:paraId="743D6EA5" w14:textId="77777777" w:rsidR="007B6A1E" w:rsidRPr="00BB2B80" w:rsidRDefault="007B6A1E" w:rsidP="00BB2B80">
      <w:pPr>
        <w:pStyle w:val="NormalWeb"/>
        <w:spacing w:before="0" w:beforeAutospacing="0" w:after="0" w:afterAutospacing="0" w:line="360" w:lineRule="auto"/>
        <w:rPr>
          <w:rFonts w:ascii="Arial" w:hAnsi="Arial" w:cs="Arial"/>
          <w:sz w:val="22"/>
          <w:szCs w:val="22"/>
        </w:rPr>
      </w:pPr>
    </w:p>
    <w:p w14:paraId="2A6E002A" w14:textId="77777777" w:rsidR="00811329" w:rsidRDefault="00811329" w:rsidP="00BB2B80">
      <w:pPr>
        <w:pStyle w:val="NormalWeb"/>
        <w:spacing w:before="0" w:beforeAutospacing="0" w:after="0" w:afterAutospacing="0" w:line="360" w:lineRule="auto"/>
        <w:rPr>
          <w:rFonts w:ascii="Arial" w:hAnsi="Arial" w:cs="Arial"/>
          <w:sz w:val="22"/>
          <w:szCs w:val="22"/>
        </w:rPr>
      </w:pPr>
      <w:bookmarkStart w:id="2" w:name="_Toc216899643"/>
      <w:r w:rsidRPr="00811329">
        <w:rPr>
          <w:rFonts w:ascii="Arial" w:hAnsi="Arial" w:cs="Arial"/>
          <w:sz w:val="22"/>
          <w:szCs w:val="22"/>
        </w:rPr>
        <w:t>In the International Classification of Diseases, 11th Revision (ICD</w:t>
      </w:r>
      <w:r w:rsidRPr="00811329">
        <w:rPr>
          <w:rFonts w:ascii="Cambria Math" w:hAnsi="Cambria Math" w:cs="Cambria Math"/>
          <w:sz w:val="22"/>
          <w:szCs w:val="22"/>
        </w:rPr>
        <w:t>‑</w:t>
      </w:r>
      <w:r w:rsidRPr="00811329">
        <w:rPr>
          <w:rFonts w:ascii="Arial" w:hAnsi="Arial" w:cs="Arial"/>
          <w:sz w:val="22"/>
          <w:szCs w:val="22"/>
        </w:rPr>
        <w:t xml:space="preserve">11), the World Health Organization (WHO) categorises </w:t>
      </w:r>
      <w:proofErr w:type="gramStart"/>
      <w:r w:rsidRPr="00811329">
        <w:rPr>
          <w:rFonts w:ascii="Arial" w:hAnsi="Arial" w:cs="Arial"/>
          <w:sz w:val="22"/>
          <w:szCs w:val="22"/>
        </w:rPr>
        <w:t>Autism Spectrum Disorder</w:t>
      </w:r>
      <w:proofErr w:type="gramEnd"/>
      <w:r w:rsidRPr="00811329">
        <w:rPr>
          <w:rFonts w:ascii="Arial" w:hAnsi="Arial" w:cs="Arial"/>
          <w:sz w:val="22"/>
          <w:szCs w:val="22"/>
        </w:rPr>
        <w:t xml:space="preserve"> (ASD) under Chapter 6: Mental, Behavioural or Neurodevelopmental Disorders. It is designated by the code 6A02, recognising ASD as a neurodevelopmental condition (WHO, 2025). The ICD</w:t>
      </w:r>
      <w:r w:rsidRPr="00811329">
        <w:rPr>
          <w:rFonts w:ascii="Cambria Math" w:hAnsi="Cambria Math" w:cs="Cambria Math"/>
          <w:sz w:val="22"/>
          <w:szCs w:val="22"/>
        </w:rPr>
        <w:t>‑</w:t>
      </w:r>
      <w:r w:rsidRPr="00811329">
        <w:rPr>
          <w:rFonts w:ascii="Arial" w:hAnsi="Arial" w:cs="Arial"/>
          <w:sz w:val="22"/>
          <w:szCs w:val="22"/>
        </w:rPr>
        <w:t>11 framework merges previously distinct diagnoses</w:t>
      </w:r>
      <w:r>
        <w:rPr>
          <w:rFonts w:ascii="Arial" w:hAnsi="Arial" w:cs="Arial"/>
          <w:sz w:val="22"/>
          <w:szCs w:val="22"/>
        </w:rPr>
        <w:t xml:space="preserve">, </w:t>
      </w:r>
      <w:r w:rsidRPr="00811329">
        <w:rPr>
          <w:rFonts w:ascii="Arial" w:hAnsi="Arial" w:cs="Arial"/>
          <w:sz w:val="22"/>
          <w:szCs w:val="22"/>
        </w:rPr>
        <w:t>including childhood autism, Asperger’s syndrome, and atypical autism</w:t>
      </w:r>
      <w:r>
        <w:rPr>
          <w:rFonts w:ascii="Arial" w:hAnsi="Arial" w:cs="Arial"/>
          <w:sz w:val="22"/>
          <w:szCs w:val="22"/>
        </w:rPr>
        <w:t xml:space="preserve">, </w:t>
      </w:r>
      <w:r w:rsidRPr="00811329">
        <w:rPr>
          <w:rFonts w:ascii="Arial" w:hAnsi="Arial" w:cs="Arial"/>
          <w:sz w:val="22"/>
          <w:szCs w:val="22"/>
        </w:rPr>
        <w:t xml:space="preserve">into one spectrum, reflecting the diversity of autistic presentations while reducing diagnostic fragmentation (Matson, 2016; Volkmar, Pelphrey &amp; </w:t>
      </w:r>
      <w:proofErr w:type="spellStart"/>
      <w:r w:rsidRPr="00811329">
        <w:rPr>
          <w:rFonts w:ascii="Arial" w:hAnsi="Arial" w:cs="Arial"/>
          <w:sz w:val="22"/>
          <w:szCs w:val="22"/>
        </w:rPr>
        <w:t>Vivanti</w:t>
      </w:r>
      <w:proofErr w:type="spellEnd"/>
      <w:r w:rsidRPr="00811329">
        <w:rPr>
          <w:rFonts w:ascii="Arial" w:hAnsi="Arial" w:cs="Arial"/>
          <w:sz w:val="22"/>
          <w:szCs w:val="22"/>
        </w:rPr>
        <w:t>, 2026)</w:t>
      </w:r>
    </w:p>
    <w:p w14:paraId="6C09B915" w14:textId="59091BF4" w:rsidR="0003597A" w:rsidRPr="00BB2B80" w:rsidRDefault="00811329" w:rsidP="00BB2B80">
      <w:pPr>
        <w:pStyle w:val="NormalWeb"/>
        <w:spacing w:before="0" w:beforeAutospacing="0" w:after="0" w:afterAutospacing="0" w:line="360" w:lineRule="auto"/>
        <w:rPr>
          <w:rFonts w:ascii="Arial" w:hAnsi="Arial" w:cs="Arial"/>
          <w:sz w:val="22"/>
          <w:szCs w:val="22"/>
        </w:rPr>
      </w:pPr>
      <w:r w:rsidRPr="00811329">
        <w:rPr>
          <w:rFonts w:ascii="Arial" w:hAnsi="Arial" w:cs="Arial"/>
          <w:sz w:val="22"/>
          <w:szCs w:val="22"/>
        </w:rPr>
        <w:t>.</w:t>
      </w:r>
      <w:r w:rsidR="0003597A" w:rsidRPr="00BB2B80">
        <w:rPr>
          <w:rStyle w:val="Heading2Char"/>
        </w:rPr>
        <w:t>Diagnostic Criteria and Processes</w:t>
      </w:r>
      <w:bookmarkEnd w:id="2"/>
      <w:r w:rsidR="00A47690" w:rsidRPr="00BB2B80">
        <w:rPr>
          <w:rFonts w:ascii="Arial" w:hAnsi="Arial" w:cs="Arial"/>
          <w:sz w:val="22"/>
          <w:szCs w:val="22"/>
        </w:rPr>
        <w:t>:</w:t>
      </w:r>
    </w:p>
    <w:p w14:paraId="58B4C944" w14:textId="77777777" w:rsidR="0003597A" w:rsidRPr="00BB2B80" w:rsidRDefault="0003597A" w:rsidP="00BB2B80">
      <w:pPr>
        <w:pStyle w:val="NormalWeb"/>
        <w:spacing w:before="0" w:beforeAutospacing="0" w:after="0" w:afterAutospacing="0" w:line="360" w:lineRule="auto"/>
        <w:rPr>
          <w:rFonts w:ascii="Arial" w:hAnsi="Arial" w:cs="Arial"/>
          <w:sz w:val="22"/>
          <w:szCs w:val="22"/>
        </w:rPr>
      </w:pPr>
      <w:r w:rsidRPr="00BB2B80">
        <w:rPr>
          <w:rFonts w:ascii="Arial" w:hAnsi="Arial" w:cs="Arial"/>
          <w:sz w:val="22"/>
          <w:szCs w:val="22"/>
        </w:rPr>
        <w:t xml:space="preserve">• </w:t>
      </w:r>
      <w:r w:rsidRPr="00BB2B80">
        <w:rPr>
          <w:rFonts w:ascii="Arial" w:hAnsi="Arial" w:cs="Arial"/>
          <w:sz w:val="22"/>
          <w:szCs w:val="22"/>
        </w:rPr>
        <w:tab/>
        <w:t>Deficits in social reciprocity and communication, including difficulties in initiating or sustaining conversation, understanding nonverbal cues, and developing peer relationships.</w:t>
      </w:r>
    </w:p>
    <w:p w14:paraId="2A9A25F3" w14:textId="18CF1A14" w:rsidR="0003597A" w:rsidRPr="00BB2B80" w:rsidRDefault="0003597A" w:rsidP="00BB2B80">
      <w:pPr>
        <w:pStyle w:val="NormalWeb"/>
        <w:spacing w:before="0" w:beforeAutospacing="0" w:after="0" w:afterAutospacing="0" w:line="360" w:lineRule="auto"/>
        <w:rPr>
          <w:rFonts w:ascii="Arial" w:hAnsi="Arial" w:cs="Arial"/>
          <w:sz w:val="22"/>
          <w:szCs w:val="22"/>
        </w:rPr>
      </w:pPr>
      <w:r w:rsidRPr="00BB2B80">
        <w:rPr>
          <w:rFonts w:ascii="Arial" w:hAnsi="Arial" w:cs="Arial"/>
          <w:sz w:val="22"/>
          <w:szCs w:val="22"/>
        </w:rPr>
        <w:lastRenderedPageBreak/>
        <w:t xml:space="preserve">• </w:t>
      </w:r>
      <w:r w:rsidRPr="00BB2B80">
        <w:rPr>
          <w:rFonts w:ascii="Arial" w:hAnsi="Arial" w:cs="Arial"/>
          <w:sz w:val="22"/>
          <w:szCs w:val="22"/>
        </w:rPr>
        <w:tab/>
      </w:r>
      <w:r w:rsidR="00811329" w:rsidRPr="00811329">
        <w:rPr>
          <w:rFonts w:ascii="Arial" w:hAnsi="Arial" w:cs="Arial"/>
          <w:sz w:val="22"/>
          <w:szCs w:val="22"/>
        </w:rPr>
        <w:t>Patterns of restricted and repetitive behaviour may include repetitive movements, a strong preference for routine, intensely focused interests, or atypical reactions to sensory input.</w:t>
      </w:r>
    </w:p>
    <w:p w14:paraId="76AE927F" w14:textId="77777777" w:rsidR="0003597A" w:rsidRPr="00BB2B80" w:rsidRDefault="0003597A" w:rsidP="00BB2B80">
      <w:pPr>
        <w:pStyle w:val="NormalWeb"/>
        <w:spacing w:before="0" w:beforeAutospacing="0" w:after="0" w:afterAutospacing="0" w:line="360" w:lineRule="auto"/>
        <w:rPr>
          <w:rFonts w:ascii="Arial" w:hAnsi="Arial" w:cs="Arial"/>
          <w:sz w:val="22"/>
          <w:szCs w:val="22"/>
        </w:rPr>
      </w:pPr>
      <w:r w:rsidRPr="00BB2B80">
        <w:rPr>
          <w:rFonts w:ascii="Arial" w:hAnsi="Arial" w:cs="Arial"/>
          <w:sz w:val="22"/>
          <w:szCs w:val="22"/>
        </w:rPr>
        <w:t xml:space="preserve">• </w:t>
      </w:r>
      <w:r w:rsidRPr="00BB2B80">
        <w:rPr>
          <w:rFonts w:ascii="Arial" w:hAnsi="Arial" w:cs="Arial"/>
          <w:sz w:val="22"/>
          <w:szCs w:val="22"/>
        </w:rPr>
        <w:tab/>
        <w:t>Onset in the developmental period, with symptoms manifesting early but sometimes only becoming evident when environmental demands increase.</w:t>
      </w:r>
    </w:p>
    <w:p w14:paraId="22370D52" w14:textId="7525C408" w:rsidR="0003597A" w:rsidRPr="00BB2B80" w:rsidRDefault="0003597A" w:rsidP="00BB2B80">
      <w:pPr>
        <w:pStyle w:val="NormalWeb"/>
        <w:spacing w:before="0" w:beforeAutospacing="0" w:after="0" w:afterAutospacing="0" w:line="360" w:lineRule="auto"/>
        <w:rPr>
          <w:rFonts w:ascii="Arial" w:hAnsi="Arial" w:cs="Arial"/>
          <w:sz w:val="22"/>
          <w:szCs w:val="22"/>
        </w:rPr>
      </w:pPr>
    </w:p>
    <w:p w14:paraId="3506CDF1" w14:textId="77777777" w:rsidR="0003597A" w:rsidRPr="00BB2B80" w:rsidRDefault="0003597A" w:rsidP="00BB2B80">
      <w:pPr>
        <w:pStyle w:val="Heading2"/>
      </w:pPr>
      <w:bookmarkStart w:id="3" w:name="_Toc216899644"/>
      <w:r w:rsidRPr="00BB2B80">
        <w:t>The diagnostic process typically involves:</w:t>
      </w:r>
      <w:bookmarkEnd w:id="3"/>
    </w:p>
    <w:p w14:paraId="61177782" w14:textId="77777777" w:rsidR="0003597A" w:rsidRPr="00BB2B80" w:rsidRDefault="0003597A" w:rsidP="00BB2B80">
      <w:pPr>
        <w:pStyle w:val="NormalWeb"/>
        <w:spacing w:before="0" w:beforeAutospacing="0" w:after="0" w:afterAutospacing="0" w:line="360" w:lineRule="auto"/>
        <w:rPr>
          <w:rFonts w:ascii="Arial" w:hAnsi="Arial" w:cs="Arial"/>
          <w:sz w:val="22"/>
          <w:szCs w:val="22"/>
        </w:rPr>
      </w:pPr>
      <w:r w:rsidRPr="00BB2B80">
        <w:rPr>
          <w:rFonts w:ascii="Arial" w:hAnsi="Arial" w:cs="Arial"/>
          <w:sz w:val="22"/>
          <w:szCs w:val="22"/>
        </w:rPr>
        <w:t xml:space="preserve">• </w:t>
      </w:r>
      <w:r w:rsidRPr="00BB2B80">
        <w:rPr>
          <w:rFonts w:ascii="Arial" w:hAnsi="Arial" w:cs="Arial"/>
          <w:sz w:val="22"/>
          <w:szCs w:val="22"/>
        </w:rPr>
        <w:tab/>
        <w:t>Clinical interviews with caregivers and individuals.</w:t>
      </w:r>
    </w:p>
    <w:p w14:paraId="5C5091B6" w14:textId="77777777" w:rsidR="0003597A" w:rsidRPr="00BB2B80" w:rsidRDefault="0003597A" w:rsidP="00BB2B80">
      <w:pPr>
        <w:pStyle w:val="NormalWeb"/>
        <w:spacing w:before="0" w:beforeAutospacing="0" w:after="0" w:afterAutospacing="0" w:line="360" w:lineRule="auto"/>
        <w:rPr>
          <w:rFonts w:ascii="Arial" w:hAnsi="Arial" w:cs="Arial"/>
          <w:sz w:val="22"/>
          <w:szCs w:val="22"/>
        </w:rPr>
      </w:pPr>
      <w:r w:rsidRPr="00BB2B80">
        <w:rPr>
          <w:rFonts w:ascii="Arial" w:hAnsi="Arial" w:cs="Arial"/>
          <w:sz w:val="22"/>
          <w:szCs w:val="22"/>
        </w:rPr>
        <w:t xml:space="preserve">• </w:t>
      </w:r>
      <w:r w:rsidRPr="00BB2B80">
        <w:rPr>
          <w:rFonts w:ascii="Arial" w:hAnsi="Arial" w:cs="Arial"/>
          <w:sz w:val="22"/>
          <w:szCs w:val="22"/>
        </w:rPr>
        <w:tab/>
        <w:t>Developmental history review to establish early onset.</w:t>
      </w:r>
    </w:p>
    <w:p w14:paraId="19F2EB01" w14:textId="40C33966" w:rsidR="0003597A" w:rsidRPr="00BB2B80" w:rsidRDefault="0003597A" w:rsidP="00BB2B80">
      <w:pPr>
        <w:pStyle w:val="NormalWeb"/>
        <w:spacing w:before="0" w:beforeAutospacing="0" w:after="0" w:afterAutospacing="0" w:line="360" w:lineRule="auto"/>
        <w:rPr>
          <w:rFonts w:ascii="Arial" w:hAnsi="Arial" w:cs="Arial"/>
          <w:sz w:val="22"/>
          <w:szCs w:val="22"/>
        </w:rPr>
      </w:pPr>
      <w:r w:rsidRPr="00BB2B80">
        <w:rPr>
          <w:rFonts w:ascii="Arial" w:hAnsi="Arial" w:cs="Arial"/>
          <w:sz w:val="22"/>
          <w:szCs w:val="22"/>
        </w:rPr>
        <w:t xml:space="preserve">• </w:t>
      </w:r>
      <w:r w:rsidRPr="00BB2B80">
        <w:rPr>
          <w:rFonts w:ascii="Arial" w:hAnsi="Arial" w:cs="Arial"/>
          <w:sz w:val="22"/>
          <w:szCs w:val="22"/>
        </w:rPr>
        <w:tab/>
      </w:r>
      <w:r w:rsidR="007B6A1E" w:rsidRPr="00BB2B80">
        <w:rPr>
          <w:rFonts w:ascii="Arial" w:hAnsi="Arial" w:cs="Arial"/>
          <w:sz w:val="22"/>
          <w:szCs w:val="22"/>
        </w:rPr>
        <w:t>Standardised</w:t>
      </w:r>
      <w:r w:rsidRPr="00BB2B80">
        <w:rPr>
          <w:rFonts w:ascii="Arial" w:hAnsi="Arial" w:cs="Arial"/>
          <w:sz w:val="22"/>
          <w:szCs w:val="22"/>
        </w:rPr>
        <w:t xml:space="preserve"> assessment tools, such as the Autism Diagnostic Observation Schedule (ADOS) and Autism Diagnostic Interview–Revised (ADI</w:t>
      </w:r>
      <w:r w:rsidRPr="00BB2B80">
        <w:rPr>
          <w:rFonts w:ascii="Cambria Math" w:hAnsi="Cambria Math" w:cs="Cambria Math"/>
          <w:sz w:val="22"/>
          <w:szCs w:val="22"/>
        </w:rPr>
        <w:t>‑</w:t>
      </w:r>
      <w:r w:rsidRPr="00BB2B80">
        <w:rPr>
          <w:rFonts w:ascii="Arial" w:hAnsi="Arial" w:cs="Arial"/>
          <w:sz w:val="22"/>
          <w:szCs w:val="22"/>
        </w:rPr>
        <w:t>R), used alongside ICD</w:t>
      </w:r>
      <w:r w:rsidRPr="00BB2B80">
        <w:rPr>
          <w:rFonts w:ascii="Cambria Math" w:hAnsi="Cambria Math" w:cs="Cambria Math"/>
          <w:sz w:val="22"/>
          <w:szCs w:val="22"/>
        </w:rPr>
        <w:t>‑</w:t>
      </w:r>
      <w:r w:rsidRPr="00BB2B80">
        <w:rPr>
          <w:rFonts w:ascii="Arial" w:hAnsi="Arial" w:cs="Arial"/>
          <w:sz w:val="22"/>
          <w:szCs w:val="22"/>
        </w:rPr>
        <w:t>11 criteria (Matson, 2016).</w:t>
      </w:r>
    </w:p>
    <w:p w14:paraId="66DF3864" w14:textId="0A40CE13" w:rsidR="0003597A" w:rsidRPr="00BB2B80" w:rsidRDefault="0003597A" w:rsidP="00BB2B80">
      <w:pPr>
        <w:pStyle w:val="NormalWeb"/>
        <w:spacing w:before="0" w:beforeAutospacing="0" w:after="0" w:afterAutospacing="0" w:line="360" w:lineRule="auto"/>
        <w:rPr>
          <w:rFonts w:ascii="Arial" w:hAnsi="Arial" w:cs="Arial"/>
          <w:sz w:val="22"/>
          <w:szCs w:val="22"/>
        </w:rPr>
      </w:pPr>
      <w:r w:rsidRPr="00BB2B80">
        <w:rPr>
          <w:rFonts w:ascii="Arial" w:hAnsi="Arial" w:cs="Arial"/>
          <w:sz w:val="22"/>
          <w:szCs w:val="22"/>
        </w:rPr>
        <w:t xml:space="preserve">• </w:t>
      </w:r>
      <w:r w:rsidRPr="00BB2B80">
        <w:rPr>
          <w:rFonts w:ascii="Arial" w:hAnsi="Arial" w:cs="Arial"/>
          <w:sz w:val="22"/>
          <w:szCs w:val="22"/>
        </w:rPr>
        <w:tab/>
      </w:r>
      <w:r w:rsidR="00811329" w:rsidRPr="00811329">
        <w:rPr>
          <w:rFonts w:ascii="Arial" w:hAnsi="Arial" w:cs="Arial"/>
          <w:sz w:val="22"/>
          <w:szCs w:val="22"/>
        </w:rPr>
        <w:t>A thorough assessment typically involves a multidisciplinary team, which may include psychologists, psychiatrists, and speech and language specialists, to provide a holistic evaluation (Stavropoulos &amp; McPartland, 2022).</w:t>
      </w:r>
    </w:p>
    <w:p w14:paraId="1C8345B2" w14:textId="77777777" w:rsidR="0003597A" w:rsidRPr="00BB2B80" w:rsidRDefault="0003597A" w:rsidP="00BB2B80">
      <w:pPr>
        <w:pStyle w:val="Heading2"/>
      </w:pPr>
      <w:bookmarkStart w:id="4" w:name="_Toc216899645"/>
      <w:r w:rsidRPr="00BB2B80">
        <w:t>Language Used in ICD</w:t>
      </w:r>
      <w:r w:rsidRPr="00BB2B80">
        <w:rPr>
          <w:rFonts w:ascii="Cambria Math" w:hAnsi="Cambria Math" w:cs="Cambria Math"/>
        </w:rPr>
        <w:t>‑</w:t>
      </w:r>
      <w:r w:rsidRPr="00BB2B80">
        <w:t>11 Classification</w:t>
      </w:r>
      <w:bookmarkEnd w:id="4"/>
    </w:p>
    <w:p w14:paraId="12CBA632" w14:textId="0244F796" w:rsidR="008A6D32" w:rsidRPr="00BB2B80" w:rsidRDefault="0003597A" w:rsidP="00BB2B80">
      <w:pPr>
        <w:pStyle w:val="NormalWeb"/>
        <w:spacing w:before="0" w:beforeAutospacing="0" w:after="0" w:afterAutospacing="0" w:line="360" w:lineRule="auto"/>
        <w:rPr>
          <w:rFonts w:ascii="Arial" w:hAnsi="Arial" w:cs="Arial"/>
          <w:sz w:val="22"/>
          <w:szCs w:val="22"/>
        </w:rPr>
      </w:pPr>
      <w:r w:rsidRPr="00BB2B80">
        <w:rPr>
          <w:rFonts w:ascii="Arial" w:hAnsi="Arial" w:cs="Arial"/>
          <w:sz w:val="22"/>
          <w:szCs w:val="22"/>
        </w:rPr>
        <w:t>ICD</w:t>
      </w:r>
      <w:r w:rsidRPr="00BB2B80">
        <w:rPr>
          <w:rFonts w:ascii="Cambria Math" w:hAnsi="Cambria Math" w:cs="Cambria Math"/>
          <w:sz w:val="22"/>
          <w:szCs w:val="22"/>
        </w:rPr>
        <w:t>‑</w:t>
      </w:r>
      <w:r w:rsidRPr="00BB2B80">
        <w:rPr>
          <w:rFonts w:ascii="Arial" w:hAnsi="Arial" w:cs="Arial"/>
          <w:sz w:val="22"/>
          <w:szCs w:val="22"/>
        </w:rPr>
        <w:t>11 explicitly uses the term “</w:t>
      </w:r>
      <w:r w:rsidR="00BB2B80" w:rsidRPr="00BB2B80">
        <w:rPr>
          <w:rFonts w:ascii="Arial" w:hAnsi="Arial" w:cs="Arial"/>
          <w:sz w:val="22"/>
          <w:szCs w:val="22"/>
        </w:rPr>
        <w:t>autism spectrum disorder</w:t>
      </w:r>
      <w:r w:rsidRPr="00BB2B80">
        <w:rPr>
          <w:rFonts w:ascii="Arial" w:hAnsi="Arial" w:cs="Arial"/>
          <w:sz w:val="22"/>
          <w:szCs w:val="22"/>
        </w:rPr>
        <w:t xml:space="preserve">”, employing the word disorder rather than condition or illness. This reflects WHO’s broader framework, where neurodevelopmental syndromes are </w:t>
      </w:r>
      <w:r w:rsidR="007B6A1E" w:rsidRPr="00BB2B80">
        <w:rPr>
          <w:rFonts w:ascii="Arial" w:hAnsi="Arial" w:cs="Arial"/>
          <w:sz w:val="22"/>
          <w:szCs w:val="22"/>
        </w:rPr>
        <w:t>categorised</w:t>
      </w:r>
      <w:r w:rsidRPr="00BB2B80">
        <w:rPr>
          <w:rFonts w:ascii="Arial" w:hAnsi="Arial" w:cs="Arial"/>
          <w:sz w:val="22"/>
          <w:szCs w:val="22"/>
        </w:rPr>
        <w:t xml:space="preserve"> as disorders due to their clinically significant impact on functioning. While some advocacy groups prefer terms such as condition to reduce stigma, ICD</w:t>
      </w:r>
      <w:r w:rsidRPr="00BB2B80">
        <w:rPr>
          <w:rFonts w:ascii="Cambria Math" w:hAnsi="Cambria Math" w:cs="Cambria Math"/>
          <w:sz w:val="22"/>
          <w:szCs w:val="22"/>
        </w:rPr>
        <w:t>‑</w:t>
      </w:r>
      <w:r w:rsidRPr="00BB2B80">
        <w:rPr>
          <w:rFonts w:ascii="Arial" w:hAnsi="Arial" w:cs="Arial"/>
          <w:sz w:val="22"/>
          <w:szCs w:val="22"/>
        </w:rPr>
        <w:t>11 maintains medical precision by using disorder in its classification system (Boucher, 2022).</w:t>
      </w:r>
    </w:p>
    <w:p w14:paraId="6B7BF22E" w14:textId="52FCDCBB" w:rsidR="008A6D32" w:rsidRPr="00BB2B80" w:rsidRDefault="008A6D32" w:rsidP="00BB2B80">
      <w:pPr>
        <w:pStyle w:val="NormalWeb"/>
        <w:spacing w:before="0" w:beforeAutospacing="0" w:after="0" w:afterAutospacing="0" w:line="360" w:lineRule="auto"/>
        <w:rPr>
          <w:rFonts w:ascii="Arial" w:hAnsi="Arial" w:cs="Arial"/>
          <w:sz w:val="22"/>
          <w:szCs w:val="22"/>
        </w:rPr>
      </w:pPr>
    </w:p>
    <w:p w14:paraId="545024E7" w14:textId="77777777" w:rsidR="00322497" w:rsidRPr="00BB2B80" w:rsidRDefault="00322497" w:rsidP="00BB2B80">
      <w:pPr>
        <w:pStyle w:val="Heading1"/>
      </w:pPr>
      <w:bookmarkStart w:id="5" w:name="_Toc216899646"/>
      <w:r w:rsidRPr="00BB2B80">
        <w:t>Treatment and Rehabilitation Approaches for Autism Spectrum Disorder (ASD)</w:t>
      </w:r>
      <w:bookmarkEnd w:id="5"/>
    </w:p>
    <w:p w14:paraId="21A48A7C" w14:textId="77777777" w:rsidR="00322497" w:rsidRPr="00BB2B80" w:rsidRDefault="00322497" w:rsidP="00BB2B80">
      <w:pPr>
        <w:pStyle w:val="NormalWeb"/>
        <w:spacing w:before="0" w:beforeAutospacing="0" w:after="0" w:afterAutospacing="0" w:line="360" w:lineRule="auto"/>
        <w:rPr>
          <w:rFonts w:ascii="Arial" w:hAnsi="Arial" w:cs="Arial"/>
          <w:sz w:val="22"/>
          <w:szCs w:val="22"/>
        </w:rPr>
      </w:pPr>
      <w:r w:rsidRPr="00BB2B80">
        <w:rPr>
          <w:rFonts w:ascii="Arial" w:hAnsi="Arial" w:cs="Arial"/>
          <w:sz w:val="22"/>
          <w:szCs w:val="22"/>
        </w:rPr>
        <w:t>Autism Spectrum Disorder (ASD) requires individualised, needs</w:t>
      </w:r>
      <w:r w:rsidRPr="00BB2B80">
        <w:rPr>
          <w:rFonts w:ascii="Cambria Math" w:hAnsi="Cambria Math" w:cs="Cambria Math"/>
          <w:sz w:val="22"/>
          <w:szCs w:val="22"/>
        </w:rPr>
        <w:t>‑</w:t>
      </w:r>
      <w:r w:rsidRPr="00BB2B80">
        <w:rPr>
          <w:rFonts w:ascii="Arial" w:hAnsi="Arial" w:cs="Arial"/>
          <w:sz w:val="22"/>
          <w:szCs w:val="22"/>
        </w:rPr>
        <w:t xml:space="preserve">based support rather than a single curative pathway. Contemporary practice integrates behavioural, educational, psychosocial, and pharmacological components to reduce distress, enhance communication, and improve adaptive functioning across the lifespan (Matson, 2016; Volkmar, Pelphrey &amp; </w:t>
      </w:r>
      <w:proofErr w:type="spellStart"/>
      <w:r w:rsidRPr="00BB2B80">
        <w:rPr>
          <w:rFonts w:ascii="Arial" w:hAnsi="Arial" w:cs="Arial"/>
          <w:sz w:val="22"/>
          <w:szCs w:val="22"/>
        </w:rPr>
        <w:t>Vivanti</w:t>
      </w:r>
      <w:proofErr w:type="spellEnd"/>
      <w:r w:rsidRPr="00BB2B80">
        <w:rPr>
          <w:rFonts w:ascii="Arial" w:hAnsi="Arial" w:cs="Arial"/>
          <w:sz w:val="22"/>
          <w:szCs w:val="22"/>
        </w:rPr>
        <w:t>, 2025).</w:t>
      </w:r>
    </w:p>
    <w:p w14:paraId="40618559" w14:textId="1FC17D74" w:rsidR="00322497" w:rsidRPr="00BB2B80" w:rsidRDefault="00322497" w:rsidP="00BB2B80">
      <w:pPr>
        <w:pStyle w:val="NormalWeb"/>
        <w:spacing w:before="0" w:beforeAutospacing="0" w:after="0" w:afterAutospacing="0" w:line="360" w:lineRule="auto"/>
        <w:rPr>
          <w:rFonts w:ascii="Arial" w:hAnsi="Arial" w:cs="Arial"/>
          <w:sz w:val="22"/>
          <w:szCs w:val="22"/>
        </w:rPr>
      </w:pPr>
      <w:r w:rsidRPr="00BB2B80">
        <w:rPr>
          <w:rFonts w:ascii="Arial" w:hAnsi="Arial" w:cs="Arial"/>
          <w:sz w:val="22"/>
          <w:szCs w:val="22"/>
        </w:rPr>
        <w:t xml:space="preserve">Standard treatment approaches are modular and multidisciplinary. Behavioural and developmental interventions such as Applied Behaviour Analysis (ABA), Early Intensive Behavioural Intervention (EIBI), and Naturalistic Developmental Behavioural Interventions </w:t>
      </w:r>
      <w:r w:rsidRPr="00BB2B80">
        <w:rPr>
          <w:rFonts w:ascii="Arial" w:hAnsi="Arial" w:cs="Arial"/>
          <w:sz w:val="22"/>
          <w:szCs w:val="22"/>
        </w:rPr>
        <w:lastRenderedPageBreak/>
        <w:t xml:space="preserve">(NDBIs) demonstrate benefits in language and social communication, particularly when delivered early and intensively, though outcomes vary (Fuentes, </w:t>
      </w:r>
      <w:proofErr w:type="spellStart"/>
      <w:r w:rsidRPr="00BB2B80">
        <w:rPr>
          <w:rFonts w:ascii="Arial" w:hAnsi="Arial" w:cs="Arial"/>
          <w:sz w:val="22"/>
          <w:szCs w:val="22"/>
        </w:rPr>
        <w:t>Hervás</w:t>
      </w:r>
      <w:proofErr w:type="spellEnd"/>
      <w:r w:rsidRPr="00BB2B80">
        <w:rPr>
          <w:rFonts w:ascii="Arial" w:hAnsi="Arial" w:cs="Arial"/>
          <w:sz w:val="22"/>
          <w:szCs w:val="22"/>
        </w:rPr>
        <w:t xml:space="preserve"> &amp; Howlin, 2021). Educational frameworks like TEACCH </w:t>
      </w:r>
      <w:r w:rsidR="00BB2B80">
        <w:rPr>
          <w:rFonts w:ascii="Arial" w:hAnsi="Arial" w:cs="Arial"/>
          <w:sz w:val="22"/>
          <w:szCs w:val="22"/>
        </w:rPr>
        <w:t>emphasise</w:t>
      </w:r>
      <w:r w:rsidRPr="00BB2B80">
        <w:rPr>
          <w:rFonts w:ascii="Arial" w:hAnsi="Arial" w:cs="Arial"/>
          <w:sz w:val="22"/>
          <w:szCs w:val="22"/>
        </w:rPr>
        <w:t xml:space="preserve"> predictability and visual supports, while speech</w:t>
      </w:r>
      <w:r w:rsidRPr="00BB2B80">
        <w:rPr>
          <w:rFonts w:ascii="Cambria Math" w:hAnsi="Cambria Math" w:cs="Cambria Math"/>
          <w:sz w:val="22"/>
          <w:szCs w:val="22"/>
        </w:rPr>
        <w:t>‑</w:t>
      </w:r>
      <w:r w:rsidRPr="00BB2B80">
        <w:rPr>
          <w:rFonts w:ascii="Arial" w:hAnsi="Arial" w:cs="Arial"/>
          <w:sz w:val="22"/>
          <w:szCs w:val="22"/>
        </w:rPr>
        <w:t>language therapy and augmentative communication (AAC) address pragmatic language needs. Occupational therapy supports sensory regulation and daily living, although evidence for sensory</w:t>
      </w:r>
      <w:r w:rsidRPr="00BB2B80">
        <w:rPr>
          <w:rFonts w:ascii="Cambria Math" w:hAnsi="Cambria Math" w:cs="Cambria Math"/>
          <w:sz w:val="22"/>
          <w:szCs w:val="22"/>
        </w:rPr>
        <w:t>‑</w:t>
      </w:r>
      <w:r w:rsidRPr="00BB2B80">
        <w:rPr>
          <w:rFonts w:ascii="Arial" w:hAnsi="Arial" w:cs="Arial"/>
          <w:sz w:val="22"/>
          <w:szCs w:val="22"/>
        </w:rPr>
        <w:t>integration protocols remains mixed (Boucher, 2022). Adapted cognitive behavioural therapy (CBT) is effective for co</w:t>
      </w:r>
      <w:r w:rsidRPr="00BB2B80">
        <w:rPr>
          <w:rFonts w:ascii="Cambria Math" w:hAnsi="Cambria Math" w:cs="Cambria Math"/>
          <w:sz w:val="22"/>
          <w:szCs w:val="22"/>
        </w:rPr>
        <w:t>‑</w:t>
      </w:r>
      <w:r w:rsidRPr="00BB2B80">
        <w:rPr>
          <w:rFonts w:ascii="Arial" w:hAnsi="Arial" w:cs="Arial"/>
          <w:sz w:val="22"/>
          <w:szCs w:val="22"/>
        </w:rPr>
        <w:t>occurring anxiety but less suited to core ASD traits, highlighting the need for neuroaffirmative adaptations (Greaves</w:t>
      </w:r>
      <w:r w:rsidRPr="00BB2B80">
        <w:rPr>
          <w:rFonts w:ascii="Cambria Math" w:hAnsi="Cambria Math" w:cs="Cambria Math"/>
          <w:sz w:val="22"/>
          <w:szCs w:val="22"/>
        </w:rPr>
        <w:t>‑</w:t>
      </w:r>
      <w:r w:rsidRPr="00BB2B80">
        <w:rPr>
          <w:rFonts w:ascii="Arial" w:hAnsi="Arial" w:cs="Arial"/>
          <w:sz w:val="22"/>
          <w:szCs w:val="22"/>
        </w:rPr>
        <w:t>Lord, Skuse &amp; Mandy, 2022). Pharmacological interventions target specific symptoms such as irritability or hyperactivity but do not treat core social</w:t>
      </w:r>
      <w:r w:rsidRPr="00BB2B80">
        <w:rPr>
          <w:rFonts w:ascii="Cambria Math" w:hAnsi="Cambria Math" w:cs="Cambria Math"/>
          <w:sz w:val="22"/>
          <w:szCs w:val="22"/>
        </w:rPr>
        <w:t>‑</w:t>
      </w:r>
      <w:r w:rsidRPr="00BB2B80">
        <w:rPr>
          <w:rFonts w:ascii="Arial" w:hAnsi="Arial" w:cs="Arial"/>
          <w:sz w:val="22"/>
          <w:szCs w:val="22"/>
        </w:rPr>
        <w:t>communication differences, requiring careful monitoring (WHO, 20</w:t>
      </w:r>
      <w:r w:rsidR="0012525F">
        <w:rPr>
          <w:rFonts w:ascii="Arial" w:hAnsi="Arial" w:cs="Arial"/>
          <w:sz w:val="22"/>
          <w:szCs w:val="22"/>
        </w:rPr>
        <w:t>25</w:t>
      </w:r>
      <w:r w:rsidRPr="00BB2B80">
        <w:rPr>
          <w:rFonts w:ascii="Arial" w:hAnsi="Arial" w:cs="Arial"/>
          <w:sz w:val="22"/>
          <w:szCs w:val="22"/>
        </w:rPr>
        <w:t>).</w:t>
      </w:r>
    </w:p>
    <w:p w14:paraId="78457A0D" w14:textId="29C729AA" w:rsidR="00322497" w:rsidRPr="00BB2B80" w:rsidRDefault="00322497" w:rsidP="00BB2B80">
      <w:pPr>
        <w:pStyle w:val="NormalWeb"/>
        <w:spacing w:before="0" w:beforeAutospacing="0" w:after="0" w:afterAutospacing="0" w:line="360" w:lineRule="auto"/>
        <w:rPr>
          <w:rFonts w:ascii="Arial" w:hAnsi="Arial" w:cs="Arial"/>
          <w:sz w:val="22"/>
          <w:szCs w:val="22"/>
        </w:rPr>
      </w:pPr>
      <w:r w:rsidRPr="00BB2B80">
        <w:rPr>
          <w:rFonts w:ascii="Arial" w:hAnsi="Arial" w:cs="Arial"/>
          <w:sz w:val="22"/>
          <w:szCs w:val="22"/>
        </w:rPr>
        <w:t>Rehabilitation measures in ICD</w:t>
      </w:r>
      <w:r w:rsidRPr="00BB2B80">
        <w:rPr>
          <w:rFonts w:ascii="Cambria Math" w:hAnsi="Cambria Math" w:cs="Cambria Math"/>
          <w:sz w:val="22"/>
          <w:szCs w:val="22"/>
        </w:rPr>
        <w:t>‑</w:t>
      </w:r>
      <w:r w:rsidRPr="00BB2B80">
        <w:rPr>
          <w:rFonts w:ascii="Arial" w:hAnsi="Arial" w:cs="Arial"/>
          <w:sz w:val="22"/>
          <w:szCs w:val="22"/>
        </w:rPr>
        <w:t xml:space="preserve">11 </w:t>
      </w:r>
      <w:r w:rsidR="00BB2B80">
        <w:rPr>
          <w:rFonts w:ascii="Arial" w:hAnsi="Arial" w:cs="Arial"/>
          <w:sz w:val="22"/>
          <w:szCs w:val="22"/>
        </w:rPr>
        <w:t>emphasise</w:t>
      </w:r>
      <w:r w:rsidRPr="00BB2B80">
        <w:rPr>
          <w:rFonts w:ascii="Arial" w:hAnsi="Arial" w:cs="Arial"/>
          <w:sz w:val="22"/>
          <w:szCs w:val="22"/>
        </w:rPr>
        <w:t xml:space="preserve"> developmental onset, functional impact, and variability in presentation. While ICD</w:t>
      </w:r>
      <w:r w:rsidRPr="00BB2B80">
        <w:rPr>
          <w:rFonts w:ascii="Cambria Math" w:hAnsi="Cambria Math" w:cs="Cambria Math"/>
          <w:sz w:val="22"/>
          <w:szCs w:val="22"/>
        </w:rPr>
        <w:t>‑</w:t>
      </w:r>
      <w:r w:rsidRPr="00BB2B80">
        <w:rPr>
          <w:rFonts w:ascii="Arial" w:hAnsi="Arial" w:cs="Arial"/>
          <w:sz w:val="22"/>
          <w:szCs w:val="22"/>
        </w:rPr>
        <w:t>11 does not prescribe treatment, its spectrum</w:t>
      </w:r>
      <w:r w:rsidRPr="00BB2B80">
        <w:rPr>
          <w:rFonts w:ascii="Cambria Math" w:hAnsi="Cambria Math" w:cs="Cambria Math"/>
          <w:sz w:val="22"/>
          <w:szCs w:val="22"/>
        </w:rPr>
        <w:t>‑</w:t>
      </w:r>
      <w:r w:rsidRPr="00BB2B80">
        <w:rPr>
          <w:rFonts w:ascii="Arial" w:hAnsi="Arial" w:cs="Arial"/>
          <w:sz w:val="22"/>
          <w:szCs w:val="22"/>
        </w:rPr>
        <w:t xml:space="preserve">based classification guides multidisciplinary assessment and </w:t>
      </w:r>
      <w:r w:rsidR="00BB2B80">
        <w:rPr>
          <w:rFonts w:ascii="Arial" w:hAnsi="Arial" w:cs="Arial"/>
          <w:sz w:val="22"/>
          <w:szCs w:val="22"/>
        </w:rPr>
        <w:t>individualised</w:t>
      </w:r>
      <w:r w:rsidRPr="00BB2B80">
        <w:rPr>
          <w:rFonts w:ascii="Arial" w:hAnsi="Arial" w:cs="Arial"/>
          <w:sz w:val="22"/>
          <w:szCs w:val="22"/>
        </w:rPr>
        <w:t xml:space="preserve"> rehabilitation focused on participation and functioning (WHO, 20</w:t>
      </w:r>
      <w:r w:rsidR="0012525F">
        <w:rPr>
          <w:rFonts w:ascii="Arial" w:hAnsi="Arial" w:cs="Arial"/>
          <w:sz w:val="22"/>
          <w:szCs w:val="22"/>
        </w:rPr>
        <w:t>25</w:t>
      </w:r>
      <w:r w:rsidRPr="00BB2B80">
        <w:rPr>
          <w:rFonts w:ascii="Arial" w:hAnsi="Arial" w:cs="Arial"/>
          <w:sz w:val="22"/>
          <w:szCs w:val="22"/>
        </w:rPr>
        <w:t xml:space="preserve">). In practice, rehabilitation </w:t>
      </w:r>
      <w:r w:rsidR="00BB2B80">
        <w:rPr>
          <w:rFonts w:ascii="Arial" w:hAnsi="Arial" w:cs="Arial"/>
          <w:sz w:val="22"/>
          <w:szCs w:val="22"/>
        </w:rPr>
        <w:t>prioritises</w:t>
      </w:r>
      <w:r w:rsidRPr="00BB2B80">
        <w:rPr>
          <w:rFonts w:ascii="Arial" w:hAnsi="Arial" w:cs="Arial"/>
          <w:sz w:val="22"/>
          <w:szCs w:val="22"/>
        </w:rPr>
        <w:t xml:space="preserve"> environmental adaptations, caregiver training, communication accessibility, and vocational supports during transitions to adulthood, with integrated pathways essential for those with co</w:t>
      </w:r>
      <w:r w:rsidRPr="00BB2B80">
        <w:rPr>
          <w:rFonts w:ascii="Cambria Math" w:hAnsi="Cambria Math" w:cs="Cambria Math"/>
          <w:sz w:val="22"/>
          <w:szCs w:val="22"/>
        </w:rPr>
        <w:t>‑</w:t>
      </w:r>
      <w:r w:rsidRPr="00BB2B80">
        <w:rPr>
          <w:rFonts w:ascii="Arial" w:hAnsi="Arial" w:cs="Arial"/>
          <w:sz w:val="22"/>
          <w:szCs w:val="22"/>
        </w:rPr>
        <w:t xml:space="preserve">occurring intellectual or mental health conditions (Fuentes, </w:t>
      </w:r>
      <w:proofErr w:type="spellStart"/>
      <w:r w:rsidRPr="00BB2B80">
        <w:rPr>
          <w:rFonts w:ascii="Arial" w:hAnsi="Arial" w:cs="Arial"/>
          <w:sz w:val="22"/>
          <w:szCs w:val="22"/>
        </w:rPr>
        <w:t>Hervás</w:t>
      </w:r>
      <w:proofErr w:type="spellEnd"/>
      <w:r w:rsidRPr="00BB2B80">
        <w:rPr>
          <w:rFonts w:ascii="Arial" w:hAnsi="Arial" w:cs="Arial"/>
          <w:sz w:val="22"/>
          <w:szCs w:val="22"/>
        </w:rPr>
        <w:t xml:space="preserve"> &amp; Howlin, 2021).</w:t>
      </w:r>
    </w:p>
    <w:p w14:paraId="761E112B" w14:textId="7258C035" w:rsidR="00322497" w:rsidRPr="00BB2B80" w:rsidRDefault="00322497" w:rsidP="00BB2B80">
      <w:pPr>
        <w:pStyle w:val="NormalWeb"/>
        <w:spacing w:before="0" w:beforeAutospacing="0" w:after="0" w:afterAutospacing="0" w:line="360" w:lineRule="auto"/>
        <w:rPr>
          <w:rFonts w:ascii="Arial" w:hAnsi="Arial" w:cs="Arial"/>
          <w:sz w:val="22"/>
          <w:szCs w:val="22"/>
        </w:rPr>
      </w:pPr>
      <w:r w:rsidRPr="00BB2B80">
        <w:rPr>
          <w:rFonts w:ascii="Arial" w:hAnsi="Arial" w:cs="Arial"/>
          <w:sz w:val="22"/>
          <w:szCs w:val="22"/>
        </w:rPr>
        <w:t>Effectiveness and limitations vary across approaches. Evidence supports early, intensive behavioural interventions, but long</w:t>
      </w:r>
      <w:r w:rsidRPr="00BB2B80">
        <w:rPr>
          <w:rFonts w:ascii="Cambria Math" w:hAnsi="Cambria Math" w:cs="Cambria Math"/>
          <w:sz w:val="22"/>
          <w:szCs w:val="22"/>
        </w:rPr>
        <w:t>‑</w:t>
      </w:r>
      <w:r w:rsidRPr="00BB2B80">
        <w:rPr>
          <w:rFonts w:ascii="Arial" w:hAnsi="Arial" w:cs="Arial"/>
          <w:sz w:val="22"/>
          <w:szCs w:val="22"/>
        </w:rPr>
        <w:t xml:space="preserve">term generalisation is inconsistent. Educational and environmental adaptations are pragmatically effective but lack robust </w:t>
      </w:r>
      <w:r w:rsidR="00BB2B80">
        <w:rPr>
          <w:rFonts w:ascii="Arial" w:hAnsi="Arial" w:cs="Arial"/>
          <w:sz w:val="22"/>
          <w:szCs w:val="22"/>
        </w:rPr>
        <w:t>randomised</w:t>
      </w:r>
      <w:r w:rsidRPr="00BB2B80">
        <w:rPr>
          <w:rFonts w:ascii="Arial" w:hAnsi="Arial" w:cs="Arial"/>
          <w:sz w:val="22"/>
          <w:szCs w:val="22"/>
        </w:rPr>
        <w:t xml:space="preserve"> evidence. Pharmacological treatments alleviate specific symptoms without addressing core traits, and adapted CBT requires careful tailoring to autistic cognition. ICD</w:t>
      </w:r>
      <w:r w:rsidRPr="00BB2B80">
        <w:rPr>
          <w:rFonts w:ascii="Cambria Math" w:hAnsi="Cambria Math" w:cs="Cambria Math"/>
          <w:sz w:val="22"/>
          <w:szCs w:val="22"/>
        </w:rPr>
        <w:t>‑</w:t>
      </w:r>
      <w:r w:rsidRPr="00BB2B80">
        <w:rPr>
          <w:rFonts w:ascii="Arial" w:hAnsi="Arial" w:cs="Arial"/>
          <w:sz w:val="22"/>
          <w:szCs w:val="22"/>
        </w:rPr>
        <w:t xml:space="preserve">11’s broad </w:t>
      </w:r>
      <w:r w:rsidR="00BB2B80">
        <w:rPr>
          <w:rFonts w:ascii="Arial" w:hAnsi="Arial" w:cs="Arial"/>
          <w:sz w:val="22"/>
          <w:szCs w:val="22"/>
        </w:rPr>
        <w:t>operationalisation</w:t>
      </w:r>
      <w:r w:rsidRPr="00BB2B80">
        <w:rPr>
          <w:rFonts w:ascii="Arial" w:hAnsi="Arial" w:cs="Arial"/>
          <w:sz w:val="22"/>
          <w:szCs w:val="22"/>
        </w:rPr>
        <w:t xml:space="preserve"> aids inclusion but may reduce diagnostic precision, complicating research and clinical decision</w:t>
      </w:r>
      <w:r w:rsidRPr="00BB2B80">
        <w:rPr>
          <w:rFonts w:ascii="Cambria Math" w:hAnsi="Cambria Math" w:cs="Cambria Math"/>
          <w:sz w:val="22"/>
          <w:szCs w:val="22"/>
        </w:rPr>
        <w:t>‑</w:t>
      </w:r>
      <w:r w:rsidRPr="00BB2B80">
        <w:rPr>
          <w:rFonts w:ascii="Arial" w:hAnsi="Arial" w:cs="Arial"/>
          <w:sz w:val="22"/>
          <w:szCs w:val="22"/>
        </w:rPr>
        <w:t>making. Neurodiversity perspectives caution against deficit</w:t>
      </w:r>
      <w:r w:rsidRPr="00BB2B80">
        <w:rPr>
          <w:rFonts w:ascii="Cambria Math" w:hAnsi="Cambria Math" w:cs="Cambria Math"/>
          <w:sz w:val="22"/>
          <w:szCs w:val="22"/>
        </w:rPr>
        <w:t>‑</w:t>
      </w:r>
      <w:r w:rsidRPr="00BB2B80">
        <w:rPr>
          <w:rFonts w:ascii="Arial" w:hAnsi="Arial" w:cs="Arial"/>
          <w:sz w:val="22"/>
          <w:szCs w:val="22"/>
        </w:rPr>
        <w:t xml:space="preserve">focused goals, </w:t>
      </w:r>
      <w:r w:rsidR="00BB2B80">
        <w:rPr>
          <w:rFonts w:ascii="Arial" w:hAnsi="Arial" w:cs="Arial"/>
          <w:sz w:val="22"/>
          <w:szCs w:val="22"/>
        </w:rPr>
        <w:t>emphasising</w:t>
      </w:r>
      <w:r w:rsidRPr="00BB2B80">
        <w:rPr>
          <w:rFonts w:ascii="Arial" w:hAnsi="Arial" w:cs="Arial"/>
          <w:sz w:val="22"/>
          <w:szCs w:val="22"/>
        </w:rPr>
        <w:t xml:space="preserve"> autonomy, consent, and co</w:t>
      </w:r>
      <w:r w:rsidRPr="00BB2B80">
        <w:rPr>
          <w:rFonts w:ascii="Cambria Math" w:hAnsi="Cambria Math" w:cs="Cambria Math"/>
          <w:sz w:val="22"/>
          <w:szCs w:val="22"/>
        </w:rPr>
        <w:t>‑</w:t>
      </w:r>
      <w:r w:rsidRPr="00BB2B80">
        <w:rPr>
          <w:rFonts w:ascii="Arial" w:hAnsi="Arial" w:cs="Arial"/>
          <w:sz w:val="22"/>
          <w:szCs w:val="22"/>
        </w:rPr>
        <w:t>production to ensure interventions are ethical and sustainable (Boucher, 2022; National Autistic Society, n.d.).</w:t>
      </w:r>
    </w:p>
    <w:p w14:paraId="20B4B1D2" w14:textId="77777777" w:rsidR="00322497" w:rsidRPr="00BB2B80" w:rsidRDefault="00322497" w:rsidP="00BB2B80">
      <w:pPr>
        <w:pStyle w:val="Heading2"/>
      </w:pPr>
      <w:bookmarkStart w:id="6" w:name="_Toc216899647"/>
      <w:r w:rsidRPr="00BB2B80">
        <w:t>Critical Synthesis</w:t>
      </w:r>
      <w:bookmarkEnd w:id="6"/>
    </w:p>
    <w:p w14:paraId="4F1681FB" w14:textId="0E09A84B" w:rsidR="00322497" w:rsidRPr="00BB2B80" w:rsidRDefault="00322497" w:rsidP="00BB2B80">
      <w:pPr>
        <w:pStyle w:val="NormalWeb"/>
        <w:spacing w:before="0" w:beforeAutospacing="0" w:after="0" w:afterAutospacing="0" w:line="360" w:lineRule="auto"/>
        <w:rPr>
          <w:rFonts w:ascii="Arial" w:hAnsi="Arial" w:cs="Arial"/>
          <w:sz w:val="22"/>
          <w:szCs w:val="22"/>
        </w:rPr>
      </w:pPr>
      <w:r w:rsidRPr="00BB2B80">
        <w:rPr>
          <w:rFonts w:ascii="Arial" w:hAnsi="Arial" w:cs="Arial"/>
          <w:sz w:val="22"/>
          <w:szCs w:val="22"/>
        </w:rPr>
        <w:t xml:space="preserve">Current approaches to </w:t>
      </w:r>
      <w:r w:rsidR="00BB2B80" w:rsidRPr="00BB2B80">
        <w:rPr>
          <w:rFonts w:ascii="Arial" w:hAnsi="Arial" w:cs="Arial"/>
          <w:sz w:val="22"/>
          <w:szCs w:val="22"/>
        </w:rPr>
        <w:t>autism spectrum disorder</w:t>
      </w:r>
      <w:r w:rsidRPr="00BB2B80">
        <w:rPr>
          <w:rFonts w:ascii="Arial" w:hAnsi="Arial" w:cs="Arial"/>
          <w:sz w:val="22"/>
          <w:szCs w:val="22"/>
        </w:rPr>
        <w:t xml:space="preserve"> (ASD) show clear strengths but also notable limitations. A major strength is their individualisation, with modular and multidisciplinary plans tailored to each person’s needs, supporting autonomy and quality of life (Boucher, 2022). The emphasis on early engagement is also important, as intensive interventions delivered in childhood can lead to improvements in language, adaptive behaviour, and social communication (Matson, 2016; Volkmar, Pelphrey &amp; </w:t>
      </w:r>
      <w:proofErr w:type="spellStart"/>
      <w:r w:rsidRPr="00BB2B80">
        <w:rPr>
          <w:rFonts w:ascii="Arial" w:hAnsi="Arial" w:cs="Arial"/>
          <w:sz w:val="22"/>
          <w:szCs w:val="22"/>
        </w:rPr>
        <w:t>Vivanti</w:t>
      </w:r>
      <w:proofErr w:type="spellEnd"/>
      <w:r w:rsidRPr="00BB2B80">
        <w:rPr>
          <w:rFonts w:ascii="Arial" w:hAnsi="Arial" w:cs="Arial"/>
          <w:sz w:val="22"/>
          <w:szCs w:val="22"/>
        </w:rPr>
        <w:t xml:space="preserve">, 2025). In addition, educational and environmental adaptations such as TEACCH are accessible and </w:t>
      </w:r>
      <w:r w:rsidRPr="00BB2B80">
        <w:rPr>
          <w:rFonts w:ascii="Arial" w:hAnsi="Arial" w:cs="Arial"/>
          <w:sz w:val="22"/>
          <w:szCs w:val="22"/>
        </w:rPr>
        <w:lastRenderedPageBreak/>
        <w:t>widely accepted, reducing anxiety and promoting independence (Greaves</w:t>
      </w:r>
      <w:r w:rsidRPr="00BB2B80">
        <w:rPr>
          <w:rFonts w:ascii="Cambria Math" w:hAnsi="Cambria Math" w:cs="Cambria Math"/>
          <w:sz w:val="22"/>
          <w:szCs w:val="22"/>
        </w:rPr>
        <w:t>‑</w:t>
      </w:r>
      <w:r w:rsidRPr="00BB2B80">
        <w:rPr>
          <w:rFonts w:ascii="Arial" w:hAnsi="Arial" w:cs="Arial"/>
          <w:sz w:val="22"/>
          <w:szCs w:val="22"/>
        </w:rPr>
        <w:t>Lord, Skuse &amp; Mandy, 2022).</w:t>
      </w:r>
    </w:p>
    <w:p w14:paraId="2D8558F8" w14:textId="353E6A4D" w:rsidR="00322497" w:rsidRPr="00BB2B80" w:rsidRDefault="00322497" w:rsidP="00BB2B80">
      <w:pPr>
        <w:pStyle w:val="NormalWeb"/>
        <w:spacing w:before="0" w:beforeAutospacing="0" w:after="0" w:afterAutospacing="0" w:line="360" w:lineRule="auto"/>
        <w:rPr>
          <w:rFonts w:ascii="Arial" w:hAnsi="Arial" w:cs="Arial"/>
          <w:sz w:val="22"/>
          <w:szCs w:val="22"/>
        </w:rPr>
      </w:pPr>
      <w:r w:rsidRPr="00BB2B80">
        <w:rPr>
          <w:rFonts w:ascii="Arial" w:hAnsi="Arial" w:cs="Arial"/>
          <w:sz w:val="22"/>
          <w:szCs w:val="22"/>
        </w:rPr>
        <w:t xml:space="preserve">However, limitations remain. The evidence base is heterogeneous, making it difficult to generalise findings or compare interventions (Fuentes, </w:t>
      </w:r>
      <w:proofErr w:type="spellStart"/>
      <w:r w:rsidRPr="00BB2B80">
        <w:rPr>
          <w:rFonts w:ascii="Arial" w:hAnsi="Arial" w:cs="Arial"/>
          <w:sz w:val="22"/>
          <w:szCs w:val="22"/>
        </w:rPr>
        <w:t>Hervás</w:t>
      </w:r>
      <w:proofErr w:type="spellEnd"/>
      <w:r w:rsidRPr="00BB2B80">
        <w:rPr>
          <w:rFonts w:ascii="Arial" w:hAnsi="Arial" w:cs="Arial"/>
          <w:sz w:val="22"/>
          <w:szCs w:val="22"/>
        </w:rPr>
        <w:t xml:space="preserve"> &amp; Howlin, 2021). Many treatments have limited impact on core traits, with pharmacology and psychotherapy mainly addressing co</w:t>
      </w:r>
      <w:r w:rsidRPr="00BB2B80">
        <w:rPr>
          <w:rFonts w:ascii="Cambria Math" w:hAnsi="Cambria Math" w:cs="Cambria Math"/>
          <w:sz w:val="22"/>
          <w:szCs w:val="22"/>
        </w:rPr>
        <w:t>‑</w:t>
      </w:r>
      <w:r w:rsidRPr="00BB2B80">
        <w:rPr>
          <w:rFonts w:ascii="Arial" w:hAnsi="Arial" w:cs="Arial"/>
          <w:sz w:val="22"/>
          <w:szCs w:val="22"/>
        </w:rPr>
        <w:t>occurring symptoms rather than social</w:t>
      </w:r>
      <w:r w:rsidRPr="00BB2B80">
        <w:rPr>
          <w:rFonts w:ascii="Cambria Math" w:hAnsi="Cambria Math" w:cs="Cambria Math"/>
          <w:sz w:val="22"/>
          <w:szCs w:val="22"/>
        </w:rPr>
        <w:t>‑</w:t>
      </w:r>
      <w:r w:rsidRPr="00BB2B80">
        <w:rPr>
          <w:rFonts w:ascii="Arial" w:hAnsi="Arial" w:cs="Arial"/>
          <w:sz w:val="22"/>
          <w:szCs w:val="22"/>
        </w:rPr>
        <w:t>communication differences (WHO, 20</w:t>
      </w:r>
      <w:r w:rsidR="0012525F">
        <w:rPr>
          <w:rFonts w:ascii="Arial" w:hAnsi="Arial" w:cs="Arial"/>
          <w:sz w:val="22"/>
          <w:szCs w:val="22"/>
        </w:rPr>
        <w:t>25</w:t>
      </w:r>
      <w:r w:rsidRPr="00BB2B80">
        <w:rPr>
          <w:rFonts w:ascii="Arial" w:hAnsi="Arial" w:cs="Arial"/>
          <w:sz w:val="22"/>
          <w:szCs w:val="22"/>
        </w:rPr>
        <w:t>). ICD</w:t>
      </w:r>
      <w:r w:rsidRPr="00BB2B80">
        <w:rPr>
          <w:rFonts w:ascii="Cambria Math" w:hAnsi="Cambria Math" w:cs="Cambria Math"/>
          <w:sz w:val="22"/>
          <w:szCs w:val="22"/>
        </w:rPr>
        <w:t>‑</w:t>
      </w:r>
      <w:r w:rsidRPr="00BB2B80">
        <w:rPr>
          <w:rFonts w:ascii="Arial" w:hAnsi="Arial" w:cs="Arial"/>
          <w:sz w:val="22"/>
          <w:szCs w:val="22"/>
        </w:rPr>
        <w:t>11’s broad spectrum approach, while inclusive, can reduce diagnostic precision, complicating research and clinical planning (Greaves</w:t>
      </w:r>
      <w:r w:rsidRPr="00BB2B80">
        <w:rPr>
          <w:rFonts w:ascii="Cambria Math" w:hAnsi="Cambria Math" w:cs="Cambria Math"/>
          <w:sz w:val="22"/>
          <w:szCs w:val="22"/>
        </w:rPr>
        <w:t>‑</w:t>
      </w:r>
      <w:r w:rsidRPr="00BB2B80">
        <w:rPr>
          <w:rFonts w:ascii="Arial" w:hAnsi="Arial" w:cs="Arial"/>
          <w:sz w:val="22"/>
          <w:szCs w:val="22"/>
        </w:rPr>
        <w:t>Lord, Skuse &amp; Mandy, 2022). Ethical concerns also arise when interventions prioritise normalisation over autonomy, risking stigma and distress; neuroaffirmative, co</w:t>
      </w:r>
      <w:r w:rsidRPr="00BB2B80">
        <w:rPr>
          <w:rFonts w:ascii="Cambria Math" w:hAnsi="Cambria Math" w:cs="Cambria Math"/>
          <w:sz w:val="22"/>
          <w:szCs w:val="22"/>
        </w:rPr>
        <w:t>‑</w:t>
      </w:r>
      <w:r w:rsidRPr="00BB2B80">
        <w:rPr>
          <w:rFonts w:ascii="Arial" w:hAnsi="Arial" w:cs="Arial"/>
          <w:sz w:val="22"/>
          <w:szCs w:val="22"/>
        </w:rPr>
        <w:t>produced goals are therefore essential (National Autistic Society, n.d.).</w:t>
      </w:r>
    </w:p>
    <w:p w14:paraId="3844E20C" w14:textId="6FB2F350" w:rsidR="00322497" w:rsidRPr="00BB2B80" w:rsidRDefault="00322497" w:rsidP="00BB2B80">
      <w:pPr>
        <w:pStyle w:val="NormalWeb"/>
        <w:spacing w:before="0" w:beforeAutospacing="0" w:after="0" w:afterAutospacing="0" w:line="360" w:lineRule="auto"/>
        <w:rPr>
          <w:rFonts w:ascii="Arial" w:hAnsi="Arial" w:cs="Arial"/>
          <w:sz w:val="22"/>
          <w:szCs w:val="22"/>
        </w:rPr>
      </w:pPr>
      <w:r w:rsidRPr="00BB2B80">
        <w:rPr>
          <w:rFonts w:ascii="Arial" w:hAnsi="Arial" w:cs="Arial"/>
          <w:sz w:val="22"/>
          <w:szCs w:val="22"/>
        </w:rPr>
        <w:t>In summary, ASD interventions are strongest when personalised, early, and accessible, but they remain limited by inconsistent evidence, reduced impact on core traits, diagnostic challenges, and ethical concerns.</w:t>
      </w:r>
    </w:p>
    <w:p w14:paraId="402B9688" w14:textId="77777777" w:rsidR="00322497" w:rsidRPr="00BB2B80" w:rsidRDefault="00322497" w:rsidP="00BB2B80">
      <w:pPr>
        <w:pStyle w:val="NormalWeb"/>
        <w:spacing w:before="0" w:beforeAutospacing="0" w:after="0" w:afterAutospacing="0" w:line="360" w:lineRule="auto"/>
        <w:rPr>
          <w:rFonts w:ascii="Arial" w:hAnsi="Arial" w:cs="Arial"/>
          <w:sz w:val="22"/>
          <w:szCs w:val="22"/>
        </w:rPr>
      </w:pPr>
    </w:p>
    <w:p w14:paraId="5DFB81E7" w14:textId="77777777" w:rsidR="00322497" w:rsidRPr="00BB2B80" w:rsidRDefault="00322497" w:rsidP="00BB2B80">
      <w:pPr>
        <w:pStyle w:val="NormalWeb"/>
        <w:spacing w:before="0" w:beforeAutospacing="0" w:after="0" w:afterAutospacing="0" w:line="360" w:lineRule="auto"/>
        <w:rPr>
          <w:rFonts w:ascii="Arial" w:hAnsi="Arial" w:cs="Arial"/>
          <w:sz w:val="22"/>
          <w:szCs w:val="22"/>
        </w:rPr>
      </w:pPr>
    </w:p>
    <w:p w14:paraId="4220019C" w14:textId="77777777" w:rsidR="00322497" w:rsidRPr="00BB2B80" w:rsidRDefault="00322497" w:rsidP="00BB2B80">
      <w:pPr>
        <w:pStyle w:val="NormalWeb"/>
        <w:spacing w:before="0" w:beforeAutospacing="0" w:after="0" w:afterAutospacing="0" w:line="360" w:lineRule="auto"/>
        <w:rPr>
          <w:rFonts w:ascii="Arial" w:hAnsi="Arial" w:cs="Arial"/>
          <w:sz w:val="22"/>
          <w:szCs w:val="22"/>
        </w:rPr>
      </w:pPr>
    </w:p>
    <w:p w14:paraId="55962000" w14:textId="77777777" w:rsidR="00F10919" w:rsidRPr="00BB2B80" w:rsidRDefault="00F10919" w:rsidP="00BB2B80">
      <w:pPr>
        <w:pStyle w:val="Heading1"/>
      </w:pPr>
      <w:bookmarkStart w:id="7" w:name="_Toc216899648"/>
      <w:r w:rsidRPr="00BB2B80">
        <w:t>Current Debates and Emerging Issues in ASD</w:t>
      </w:r>
      <w:bookmarkEnd w:id="7"/>
    </w:p>
    <w:p w14:paraId="7B56805B" w14:textId="7F375875" w:rsidR="00F10919" w:rsidRPr="00BB2B80" w:rsidRDefault="00F10919" w:rsidP="00BB2B80">
      <w:pPr>
        <w:pStyle w:val="NormalWeb"/>
        <w:spacing w:before="0" w:beforeAutospacing="0" w:after="0" w:afterAutospacing="0" w:line="360" w:lineRule="auto"/>
        <w:rPr>
          <w:rFonts w:ascii="Arial" w:hAnsi="Arial" w:cs="Arial"/>
          <w:sz w:val="22"/>
          <w:szCs w:val="22"/>
        </w:rPr>
      </w:pPr>
      <w:r w:rsidRPr="00BB2B80">
        <w:rPr>
          <w:rFonts w:ascii="Arial" w:hAnsi="Arial" w:cs="Arial"/>
          <w:sz w:val="22"/>
          <w:szCs w:val="22"/>
        </w:rPr>
        <w:t xml:space="preserve">Debates around Autism Spectrum Disorder (ASD) focus on how classification systems shape practice, research, and lived experience. Tensions persist between </w:t>
      </w:r>
      <w:r w:rsidR="00BB2B80">
        <w:rPr>
          <w:rFonts w:ascii="Arial" w:hAnsi="Arial" w:cs="Arial"/>
          <w:sz w:val="22"/>
          <w:szCs w:val="22"/>
        </w:rPr>
        <w:t>medicalised categorisation</w:t>
      </w:r>
      <w:r w:rsidRPr="00BB2B80">
        <w:rPr>
          <w:rFonts w:ascii="Arial" w:hAnsi="Arial" w:cs="Arial"/>
          <w:sz w:val="22"/>
          <w:szCs w:val="22"/>
        </w:rPr>
        <w:t xml:space="preserve"> and neurodiversity</w:t>
      </w:r>
      <w:r w:rsidRPr="00BB2B80">
        <w:rPr>
          <w:rFonts w:ascii="Cambria Math" w:hAnsi="Cambria Math" w:cs="Cambria Math"/>
          <w:sz w:val="22"/>
          <w:szCs w:val="22"/>
        </w:rPr>
        <w:t>‑</w:t>
      </w:r>
      <w:r w:rsidRPr="00BB2B80">
        <w:rPr>
          <w:rFonts w:ascii="Arial" w:hAnsi="Arial" w:cs="Arial"/>
          <w:sz w:val="22"/>
          <w:szCs w:val="22"/>
        </w:rPr>
        <w:t>informed perspectives, influencing definitions of treatment and valued outcomes (Boucher, 2022).</w:t>
      </w:r>
    </w:p>
    <w:p w14:paraId="40871387" w14:textId="77777777" w:rsidR="00F10919" w:rsidRPr="00BB2B80" w:rsidRDefault="00F10919" w:rsidP="00BB2B80">
      <w:pPr>
        <w:pStyle w:val="NormalWeb"/>
        <w:spacing w:before="0" w:beforeAutospacing="0" w:after="0" w:afterAutospacing="0" w:line="360" w:lineRule="auto"/>
        <w:rPr>
          <w:rFonts w:ascii="Arial" w:hAnsi="Arial" w:cs="Arial"/>
          <w:sz w:val="22"/>
          <w:szCs w:val="22"/>
        </w:rPr>
      </w:pPr>
      <w:r w:rsidRPr="00BB2B80">
        <w:rPr>
          <w:rFonts w:ascii="Arial" w:hAnsi="Arial" w:cs="Arial"/>
          <w:sz w:val="22"/>
          <w:szCs w:val="22"/>
        </w:rPr>
        <w:t>ICD</w:t>
      </w:r>
      <w:r w:rsidRPr="00BB2B80">
        <w:rPr>
          <w:rFonts w:ascii="Cambria Math" w:hAnsi="Cambria Math" w:cs="Cambria Math"/>
          <w:sz w:val="22"/>
          <w:szCs w:val="22"/>
        </w:rPr>
        <w:t>‑</w:t>
      </w:r>
      <w:r w:rsidRPr="00BB2B80">
        <w:rPr>
          <w:rFonts w:ascii="Arial" w:hAnsi="Arial" w:cs="Arial"/>
          <w:sz w:val="22"/>
          <w:szCs w:val="22"/>
        </w:rPr>
        <w:t xml:space="preserve">11’s consolidation of subcategories such as Asperger’s syndrome and childhood autism into a single spectrum improves inclusivity and comparability, but critics argue it reduces diagnostic precision and complicates research stratification (Volkmar, Pelphrey &amp; </w:t>
      </w:r>
      <w:proofErr w:type="spellStart"/>
      <w:r w:rsidRPr="00BB2B80">
        <w:rPr>
          <w:rFonts w:ascii="Arial" w:hAnsi="Arial" w:cs="Arial"/>
          <w:sz w:val="22"/>
          <w:szCs w:val="22"/>
        </w:rPr>
        <w:t>Vivanti</w:t>
      </w:r>
      <w:proofErr w:type="spellEnd"/>
      <w:r w:rsidRPr="00BB2B80">
        <w:rPr>
          <w:rFonts w:ascii="Arial" w:hAnsi="Arial" w:cs="Arial"/>
          <w:sz w:val="22"/>
          <w:szCs w:val="22"/>
        </w:rPr>
        <w:t>, 2025; Gallagher &amp; McGrath, 2022). Calls for functional formulation alongside categorical labels aim to enhance service planning and evidence synthesis (Matson, 2016; Qin et al., 2024).</w:t>
      </w:r>
    </w:p>
    <w:p w14:paraId="20ECF57C" w14:textId="1B234A01" w:rsidR="00F10919" w:rsidRPr="00BB2B80" w:rsidRDefault="00F10919" w:rsidP="00BB2B80">
      <w:pPr>
        <w:pStyle w:val="NormalWeb"/>
        <w:spacing w:before="0" w:beforeAutospacing="0" w:after="0" w:afterAutospacing="0" w:line="360" w:lineRule="auto"/>
        <w:rPr>
          <w:rFonts w:ascii="Arial" w:hAnsi="Arial" w:cs="Arial"/>
          <w:b/>
          <w:bCs/>
          <w:sz w:val="22"/>
          <w:szCs w:val="22"/>
        </w:rPr>
      </w:pPr>
      <w:r w:rsidRPr="00BB2B80">
        <w:rPr>
          <w:rFonts w:ascii="Arial" w:hAnsi="Arial" w:cs="Arial"/>
          <w:sz w:val="22"/>
          <w:szCs w:val="22"/>
        </w:rPr>
        <w:t>Although ICD</w:t>
      </w:r>
      <w:r w:rsidRPr="00BB2B80">
        <w:rPr>
          <w:rFonts w:ascii="Cambria Math" w:hAnsi="Cambria Math" w:cs="Cambria Math"/>
          <w:sz w:val="22"/>
          <w:szCs w:val="22"/>
        </w:rPr>
        <w:t>‑</w:t>
      </w:r>
      <w:r w:rsidRPr="00BB2B80">
        <w:rPr>
          <w:rFonts w:ascii="Arial" w:hAnsi="Arial" w:cs="Arial"/>
          <w:sz w:val="22"/>
          <w:szCs w:val="22"/>
        </w:rPr>
        <w:t xml:space="preserve">11 </w:t>
      </w:r>
      <w:r w:rsidR="00BB2B80">
        <w:rPr>
          <w:rFonts w:ascii="Arial" w:hAnsi="Arial" w:cs="Arial"/>
          <w:sz w:val="22"/>
          <w:szCs w:val="22"/>
        </w:rPr>
        <w:t>emphasises</w:t>
      </w:r>
      <w:r w:rsidRPr="00BB2B80">
        <w:rPr>
          <w:rFonts w:ascii="Arial" w:hAnsi="Arial" w:cs="Arial"/>
          <w:sz w:val="22"/>
          <w:szCs w:val="22"/>
        </w:rPr>
        <w:t xml:space="preserve"> developmental onset and functional impact, it does not prescribe treatment pathways. Clinical teams must therefore bridge diagnostic criteria with </w:t>
      </w:r>
      <w:r w:rsidR="00BB2B80">
        <w:rPr>
          <w:rFonts w:ascii="Arial" w:hAnsi="Arial" w:cs="Arial"/>
          <w:sz w:val="22"/>
          <w:szCs w:val="22"/>
        </w:rPr>
        <w:t>individualised</w:t>
      </w:r>
      <w:r w:rsidRPr="00BB2B80">
        <w:rPr>
          <w:rFonts w:ascii="Arial" w:hAnsi="Arial" w:cs="Arial"/>
          <w:sz w:val="22"/>
          <w:szCs w:val="22"/>
        </w:rPr>
        <w:t xml:space="preserve"> rehabilitation, raising debate about balancing categorical diagnosis with needs</w:t>
      </w:r>
      <w:r w:rsidRPr="00BB2B80">
        <w:rPr>
          <w:rFonts w:ascii="Cambria Math" w:hAnsi="Cambria Math" w:cs="Cambria Math"/>
          <w:sz w:val="22"/>
          <w:szCs w:val="22"/>
        </w:rPr>
        <w:t>‑</w:t>
      </w:r>
      <w:r w:rsidRPr="00BB2B80">
        <w:rPr>
          <w:rFonts w:ascii="Arial" w:hAnsi="Arial" w:cs="Arial"/>
          <w:sz w:val="22"/>
          <w:szCs w:val="22"/>
        </w:rPr>
        <w:t>based assessment, particularly where service eligibility depends on labels rather than functional limitations (WHO, 2025; Lindly et al., 2024)</w:t>
      </w:r>
      <w:r w:rsidRPr="00BB2B80">
        <w:rPr>
          <w:rFonts w:ascii="Arial" w:hAnsi="Arial" w:cs="Arial"/>
          <w:b/>
          <w:bCs/>
          <w:sz w:val="22"/>
          <w:szCs w:val="22"/>
        </w:rPr>
        <w:t>.</w:t>
      </w:r>
    </w:p>
    <w:p w14:paraId="287065A4" w14:textId="5172A28D" w:rsidR="007A3577" w:rsidRPr="00BB2B80" w:rsidRDefault="007A3577" w:rsidP="00BB2B80">
      <w:pPr>
        <w:pStyle w:val="NormalWeb"/>
        <w:spacing w:before="0" w:beforeAutospacing="0" w:after="0" w:afterAutospacing="0" w:line="360" w:lineRule="auto"/>
        <w:rPr>
          <w:rFonts w:ascii="Arial" w:hAnsi="Arial" w:cs="Arial"/>
          <w:sz w:val="22"/>
          <w:szCs w:val="22"/>
        </w:rPr>
      </w:pPr>
      <w:r w:rsidRPr="00BB2B80">
        <w:rPr>
          <w:rFonts w:ascii="Arial" w:hAnsi="Arial" w:cs="Arial"/>
          <w:sz w:val="22"/>
          <w:szCs w:val="22"/>
        </w:rPr>
        <w:t>The neurodiversity paradigm reframes autism as part of natural human variation in neurocognitive functioning, advocating for strengths</w:t>
      </w:r>
      <w:r w:rsidRPr="00BB2B80">
        <w:rPr>
          <w:rFonts w:ascii="Cambria Math" w:hAnsi="Cambria Math" w:cs="Cambria Math"/>
          <w:sz w:val="22"/>
          <w:szCs w:val="22"/>
        </w:rPr>
        <w:t>‑</w:t>
      </w:r>
      <w:r w:rsidRPr="00BB2B80">
        <w:rPr>
          <w:rFonts w:ascii="Arial" w:hAnsi="Arial" w:cs="Arial"/>
          <w:sz w:val="22"/>
          <w:szCs w:val="22"/>
        </w:rPr>
        <w:t>based, accessibility</w:t>
      </w:r>
      <w:r w:rsidRPr="00BB2B80">
        <w:rPr>
          <w:rFonts w:ascii="Cambria Math" w:hAnsi="Cambria Math" w:cs="Cambria Math"/>
          <w:sz w:val="22"/>
          <w:szCs w:val="22"/>
        </w:rPr>
        <w:t>‑</w:t>
      </w:r>
      <w:r w:rsidRPr="00BB2B80">
        <w:rPr>
          <w:rFonts w:ascii="Arial" w:hAnsi="Arial" w:cs="Arial"/>
          <w:sz w:val="22"/>
          <w:szCs w:val="22"/>
        </w:rPr>
        <w:t xml:space="preserve">oriented supports </w:t>
      </w:r>
      <w:r w:rsidRPr="00BB2B80">
        <w:rPr>
          <w:rFonts w:ascii="Arial" w:hAnsi="Arial" w:cs="Arial"/>
          <w:sz w:val="22"/>
          <w:szCs w:val="22"/>
        </w:rPr>
        <w:lastRenderedPageBreak/>
        <w:t xml:space="preserve">rather than </w:t>
      </w:r>
      <w:r w:rsidR="00BB2B80">
        <w:rPr>
          <w:rFonts w:ascii="Arial" w:hAnsi="Arial" w:cs="Arial"/>
          <w:sz w:val="22"/>
          <w:szCs w:val="22"/>
        </w:rPr>
        <w:t>normalisation</w:t>
      </w:r>
      <w:r w:rsidRPr="00BB2B80">
        <w:rPr>
          <w:rFonts w:ascii="Arial" w:hAnsi="Arial" w:cs="Arial"/>
          <w:sz w:val="22"/>
          <w:szCs w:val="22"/>
        </w:rPr>
        <w:t xml:space="preserve"> of traits. Advocacy and service guidance </w:t>
      </w:r>
      <w:r w:rsidR="00BB2B80">
        <w:rPr>
          <w:rFonts w:ascii="Arial" w:hAnsi="Arial" w:cs="Arial"/>
          <w:sz w:val="22"/>
          <w:szCs w:val="22"/>
        </w:rPr>
        <w:t>emphasise</w:t>
      </w:r>
      <w:r w:rsidRPr="00BB2B80">
        <w:rPr>
          <w:rFonts w:ascii="Arial" w:hAnsi="Arial" w:cs="Arial"/>
          <w:sz w:val="22"/>
          <w:szCs w:val="22"/>
        </w:rPr>
        <w:t xml:space="preserve"> language that avoids </w:t>
      </w:r>
      <w:proofErr w:type="spellStart"/>
      <w:r w:rsidR="00BB2B80">
        <w:rPr>
          <w:rFonts w:ascii="Arial" w:hAnsi="Arial" w:cs="Arial"/>
          <w:sz w:val="22"/>
          <w:szCs w:val="22"/>
        </w:rPr>
        <w:t>pathologising</w:t>
      </w:r>
      <w:proofErr w:type="spellEnd"/>
      <w:r w:rsidRPr="00BB2B80">
        <w:rPr>
          <w:rFonts w:ascii="Arial" w:hAnsi="Arial" w:cs="Arial"/>
          <w:sz w:val="22"/>
          <w:szCs w:val="22"/>
        </w:rPr>
        <w:t xml:space="preserve"> identity, the primacy of environmental adjustments (e.g., communication access, predictable routines), and co</w:t>
      </w:r>
      <w:r w:rsidRPr="00BB2B80">
        <w:rPr>
          <w:rFonts w:ascii="Cambria Math" w:hAnsi="Cambria Math" w:cs="Cambria Math"/>
          <w:sz w:val="22"/>
          <w:szCs w:val="22"/>
        </w:rPr>
        <w:t>‑</w:t>
      </w:r>
      <w:r w:rsidRPr="00BB2B80">
        <w:rPr>
          <w:rFonts w:ascii="Arial" w:hAnsi="Arial" w:cs="Arial"/>
          <w:sz w:val="22"/>
          <w:szCs w:val="22"/>
        </w:rPr>
        <w:t xml:space="preserve">produced goals that </w:t>
      </w:r>
      <w:r w:rsidR="00BB2B80">
        <w:rPr>
          <w:rFonts w:ascii="Arial" w:hAnsi="Arial" w:cs="Arial"/>
          <w:sz w:val="22"/>
          <w:szCs w:val="22"/>
        </w:rPr>
        <w:t>prioritise</w:t>
      </w:r>
      <w:r w:rsidRPr="00BB2B80">
        <w:rPr>
          <w:rFonts w:ascii="Arial" w:hAnsi="Arial" w:cs="Arial"/>
          <w:sz w:val="22"/>
          <w:szCs w:val="22"/>
        </w:rPr>
        <w:t xml:space="preserve"> autonomy and well</w:t>
      </w:r>
      <w:r w:rsidRPr="00BB2B80">
        <w:rPr>
          <w:rFonts w:ascii="Cambria Math" w:hAnsi="Cambria Math" w:cs="Cambria Math"/>
          <w:sz w:val="22"/>
          <w:szCs w:val="22"/>
        </w:rPr>
        <w:t>‑</w:t>
      </w:r>
      <w:r w:rsidRPr="00BB2B80">
        <w:rPr>
          <w:rFonts w:ascii="Arial" w:hAnsi="Arial" w:cs="Arial"/>
          <w:sz w:val="22"/>
          <w:szCs w:val="22"/>
        </w:rPr>
        <w:t xml:space="preserve">being (National Autistic Society, n.d.; </w:t>
      </w:r>
      <w:r w:rsidR="00BD2CCB">
        <w:rPr>
          <w:rFonts w:ascii="Arial" w:hAnsi="Arial" w:cs="Arial"/>
          <w:sz w:val="22"/>
          <w:szCs w:val="22"/>
        </w:rPr>
        <w:t xml:space="preserve">NHS, 2022). </w:t>
      </w:r>
      <w:r w:rsidRPr="00BB2B80">
        <w:rPr>
          <w:rFonts w:ascii="Arial" w:hAnsi="Arial" w:cs="Arial"/>
          <w:sz w:val="22"/>
          <w:szCs w:val="22"/>
        </w:rPr>
        <w:t>This paradigm directly challenges deficit</w:t>
      </w:r>
      <w:r w:rsidRPr="00BB2B80">
        <w:rPr>
          <w:rFonts w:ascii="Cambria Math" w:hAnsi="Cambria Math" w:cs="Cambria Math"/>
          <w:sz w:val="22"/>
          <w:szCs w:val="22"/>
        </w:rPr>
        <w:t>‑</w:t>
      </w:r>
      <w:r w:rsidRPr="00BB2B80">
        <w:rPr>
          <w:rFonts w:ascii="Arial" w:hAnsi="Arial" w:cs="Arial"/>
          <w:sz w:val="22"/>
          <w:szCs w:val="22"/>
        </w:rPr>
        <w:t xml:space="preserve">centric frameworks and has </w:t>
      </w:r>
      <w:r w:rsidR="00BB2B80">
        <w:rPr>
          <w:rFonts w:ascii="Arial" w:hAnsi="Arial" w:cs="Arial"/>
          <w:sz w:val="22"/>
          <w:szCs w:val="22"/>
        </w:rPr>
        <w:t>catalysed</w:t>
      </w:r>
      <w:r w:rsidRPr="00BB2B80">
        <w:rPr>
          <w:rFonts w:ascii="Arial" w:hAnsi="Arial" w:cs="Arial"/>
          <w:sz w:val="22"/>
          <w:szCs w:val="22"/>
        </w:rPr>
        <w:t xml:space="preserve"> shifts in service culture, training, and measurement of outcomes, with increasing focus on participation, sensory comfort, and consent in interventions (Aspect, n.d.).</w:t>
      </w:r>
    </w:p>
    <w:p w14:paraId="7AF80490" w14:textId="61431111" w:rsidR="007A3577" w:rsidRPr="00BB2B80" w:rsidRDefault="007A3577" w:rsidP="00BB2B80">
      <w:pPr>
        <w:pStyle w:val="NormalWeb"/>
        <w:spacing w:before="0" w:beforeAutospacing="0" w:after="0" w:afterAutospacing="0" w:line="360" w:lineRule="auto"/>
        <w:rPr>
          <w:rFonts w:ascii="Arial" w:hAnsi="Arial" w:cs="Arial"/>
          <w:sz w:val="22"/>
          <w:szCs w:val="22"/>
        </w:rPr>
      </w:pPr>
      <w:r w:rsidRPr="00BB2B80">
        <w:rPr>
          <w:rFonts w:ascii="Arial" w:hAnsi="Arial" w:cs="Arial"/>
          <w:sz w:val="22"/>
          <w:szCs w:val="22"/>
        </w:rPr>
        <w:t>Reclassification debates intersect with neurodiversity in two ways. First, collapsing subtypes into “ASD” can obscure identity</w:t>
      </w:r>
      <w:r w:rsidRPr="00BB2B80">
        <w:rPr>
          <w:rFonts w:ascii="Cambria Math" w:hAnsi="Cambria Math" w:cs="Cambria Math"/>
          <w:sz w:val="22"/>
          <w:szCs w:val="22"/>
        </w:rPr>
        <w:t>‑</w:t>
      </w:r>
      <w:r w:rsidRPr="00BB2B80">
        <w:rPr>
          <w:rFonts w:ascii="Arial" w:hAnsi="Arial" w:cs="Arial"/>
          <w:sz w:val="22"/>
          <w:szCs w:val="22"/>
        </w:rPr>
        <w:t>relevant distinctions many autistic people consider meaningful; second, categorical “disorder” language in ICD</w:t>
      </w:r>
      <w:r w:rsidRPr="00BB2B80">
        <w:rPr>
          <w:rFonts w:ascii="Cambria Math" w:hAnsi="Cambria Math" w:cs="Cambria Math"/>
          <w:sz w:val="22"/>
          <w:szCs w:val="22"/>
        </w:rPr>
        <w:t>‑</w:t>
      </w:r>
      <w:r w:rsidRPr="00BB2B80">
        <w:rPr>
          <w:rFonts w:ascii="Arial" w:hAnsi="Arial" w:cs="Arial"/>
          <w:sz w:val="22"/>
          <w:szCs w:val="22"/>
        </w:rPr>
        <w:t xml:space="preserve">11 is contested by groups </w:t>
      </w:r>
      <w:r w:rsidR="00BB2B80">
        <w:rPr>
          <w:rFonts w:ascii="Arial" w:hAnsi="Arial" w:cs="Arial"/>
          <w:sz w:val="22"/>
          <w:szCs w:val="22"/>
        </w:rPr>
        <w:t>favouring</w:t>
      </w:r>
      <w:r w:rsidRPr="00BB2B80">
        <w:rPr>
          <w:rFonts w:ascii="Arial" w:hAnsi="Arial" w:cs="Arial"/>
          <w:sz w:val="22"/>
          <w:szCs w:val="22"/>
        </w:rPr>
        <w:t xml:space="preserve"> “autism” or “autistic person” terminology to reduce stigma and affirm identity. While ICD</w:t>
      </w:r>
      <w:r w:rsidRPr="00BB2B80">
        <w:rPr>
          <w:rFonts w:ascii="Cambria Math" w:hAnsi="Cambria Math" w:cs="Cambria Math"/>
          <w:sz w:val="22"/>
          <w:szCs w:val="22"/>
        </w:rPr>
        <w:t>‑</w:t>
      </w:r>
      <w:r w:rsidRPr="00BB2B80">
        <w:rPr>
          <w:rFonts w:ascii="Arial" w:hAnsi="Arial" w:cs="Arial"/>
          <w:sz w:val="22"/>
          <w:szCs w:val="22"/>
        </w:rPr>
        <w:t>11 retains “disorder,” policy and practice documents increasingly integrate neurodiversity</w:t>
      </w:r>
      <w:r w:rsidRPr="00BB2B80">
        <w:rPr>
          <w:rFonts w:ascii="Cambria Math" w:hAnsi="Cambria Math" w:cs="Cambria Math"/>
          <w:sz w:val="22"/>
          <w:szCs w:val="22"/>
        </w:rPr>
        <w:t>‑</w:t>
      </w:r>
      <w:r w:rsidRPr="00BB2B80">
        <w:rPr>
          <w:rFonts w:ascii="Arial" w:hAnsi="Arial" w:cs="Arial"/>
          <w:sz w:val="22"/>
          <w:szCs w:val="22"/>
        </w:rPr>
        <w:t>affirming language and principles, encouraging services to adapt environments and communication rather than “treat” autism per se (WHO, 2025; NHS England, 2022). The result is a hybrid landscape: diagnostic labels remain necessary for access to supports, but service delivery increasingly reflects social</w:t>
      </w:r>
      <w:r w:rsidRPr="00BB2B80">
        <w:rPr>
          <w:rFonts w:ascii="Cambria Math" w:hAnsi="Cambria Math" w:cs="Cambria Math"/>
          <w:sz w:val="22"/>
          <w:szCs w:val="22"/>
        </w:rPr>
        <w:t>‑</w:t>
      </w:r>
      <w:r w:rsidRPr="00BB2B80">
        <w:rPr>
          <w:rFonts w:ascii="Arial" w:hAnsi="Arial" w:cs="Arial"/>
          <w:sz w:val="22"/>
          <w:szCs w:val="22"/>
        </w:rPr>
        <w:t>model adjustments and co</w:t>
      </w:r>
      <w:r w:rsidRPr="00BB2B80">
        <w:rPr>
          <w:rFonts w:ascii="Cambria Math" w:hAnsi="Cambria Math" w:cs="Cambria Math"/>
          <w:sz w:val="22"/>
          <w:szCs w:val="22"/>
        </w:rPr>
        <w:t>‑</w:t>
      </w:r>
      <w:r w:rsidRPr="00BB2B80">
        <w:rPr>
          <w:rFonts w:ascii="Arial" w:hAnsi="Arial" w:cs="Arial"/>
          <w:sz w:val="22"/>
          <w:szCs w:val="22"/>
        </w:rPr>
        <w:t>produced, person</w:t>
      </w:r>
      <w:r w:rsidRPr="00BB2B80">
        <w:rPr>
          <w:rFonts w:ascii="Cambria Math" w:hAnsi="Cambria Math" w:cs="Cambria Math"/>
          <w:sz w:val="22"/>
          <w:szCs w:val="22"/>
        </w:rPr>
        <w:t>‑</w:t>
      </w:r>
      <w:r w:rsidRPr="00BB2B80">
        <w:rPr>
          <w:rFonts w:ascii="Arial" w:hAnsi="Arial" w:cs="Arial"/>
          <w:sz w:val="22"/>
          <w:szCs w:val="22"/>
        </w:rPr>
        <w:t>defined goals.</w:t>
      </w:r>
    </w:p>
    <w:p w14:paraId="17D40D2A" w14:textId="77777777" w:rsidR="007A3577" w:rsidRPr="00BB2B80" w:rsidRDefault="007A3577" w:rsidP="00BB2B80">
      <w:pPr>
        <w:pStyle w:val="NormalWeb"/>
        <w:spacing w:before="0" w:beforeAutospacing="0" w:after="0" w:afterAutospacing="0" w:line="360" w:lineRule="auto"/>
        <w:rPr>
          <w:rFonts w:ascii="Arial" w:hAnsi="Arial" w:cs="Arial"/>
          <w:sz w:val="22"/>
          <w:szCs w:val="22"/>
        </w:rPr>
      </w:pPr>
    </w:p>
    <w:p w14:paraId="3D09B9AF" w14:textId="77777777" w:rsidR="007A3577" w:rsidRPr="00BB2B80" w:rsidRDefault="007A3577" w:rsidP="00BB2B80">
      <w:pPr>
        <w:pStyle w:val="Heading2"/>
      </w:pPr>
      <w:bookmarkStart w:id="8" w:name="_Toc216899649"/>
      <w:r w:rsidRPr="00BB2B80">
        <w:t>Treatment controversies and emerging approaches</w:t>
      </w:r>
      <w:bookmarkEnd w:id="8"/>
    </w:p>
    <w:p w14:paraId="3925359B" w14:textId="24865757" w:rsidR="007A3577" w:rsidRPr="00BB2B80" w:rsidRDefault="007A3577" w:rsidP="00BB2B80">
      <w:pPr>
        <w:pStyle w:val="NormalWeb"/>
        <w:spacing w:before="0" w:beforeAutospacing="0" w:after="0" w:afterAutospacing="0" w:line="360" w:lineRule="auto"/>
        <w:rPr>
          <w:rFonts w:ascii="Arial" w:hAnsi="Arial" w:cs="Arial"/>
          <w:sz w:val="22"/>
          <w:szCs w:val="22"/>
        </w:rPr>
      </w:pPr>
      <w:r w:rsidRPr="00BB2B80">
        <w:rPr>
          <w:rFonts w:ascii="Arial" w:hAnsi="Arial" w:cs="Arial"/>
          <w:sz w:val="22"/>
          <w:szCs w:val="22"/>
        </w:rPr>
        <w:t xml:space="preserve">Debates about treatment </w:t>
      </w:r>
      <w:r w:rsidR="00BB2B80">
        <w:rPr>
          <w:rFonts w:ascii="Arial" w:hAnsi="Arial" w:cs="Arial"/>
          <w:sz w:val="22"/>
          <w:szCs w:val="22"/>
        </w:rPr>
        <w:t>centre</w:t>
      </w:r>
      <w:r w:rsidRPr="00BB2B80">
        <w:rPr>
          <w:rFonts w:ascii="Arial" w:hAnsi="Arial" w:cs="Arial"/>
          <w:sz w:val="22"/>
          <w:szCs w:val="22"/>
        </w:rPr>
        <w:t xml:space="preserve"> on what counts as effectiveness, which outcomes matter, and how ethical frameworks guide intervention design. </w:t>
      </w:r>
      <w:r w:rsidR="00322497" w:rsidRPr="00BB2B80">
        <w:rPr>
          <w:rFonts w:ascii="Arial" w:hAnsi="Arial" w:cs="Arial"/>
          <w:sz w:val="22"/>
          <w:szCs w:val="22"/>
        </w:rPr>
        <w:t>Behavioural</w:t>
      </w:r>
      <w:r w:rsidRPr="00BB2B80">
        <w:rPr>
          <w:rFonts w:ascii="Arial" w:hAnsi="Arial" w:cs="Arial"/>
          <w:sz w:val="22"/>
          <w:szCs w:val="22"/>
        </w:rPr>
        <w:t xml:space="preserve"> and developmental interventions (e.g., ABA, NDBIs) show domain</w:t>
      </w:r>
      <w:r w:rsidRPr="00BB2B80">
        <w:rPr>
          <w:rFonts w:ascii="Cambria Math" w:hAnsi="Cambria Math" w:cs="Cambria Math"/>
          <w:sz w:val="22"/>
          <w:szCs w:val="22"/>
        </w:rPr>
        <w:t>‑</w:t>
      </w:r>
      <w:r w:rsidRPr="00BB2B80">
        <w:rPr>
          <w:rFonts w:ascii="Arial" w:hAnsi="Arial" w:cs="Arial"/>
          <w:sz w:val="22"/>
          <w:szCs w:val="22"/>
        </w:rPr>
        <w:t xml:space="preserve">specific gains, particularly when early, intensive, and delivered with caregiver involvement; nonetheless, effect sizes vary, </w:t>
      </w:r>
      <w:r w:rsidR="00BB2B80">
        <w:rPr>
          <w:rFonts w:ascii="Arial" w:hAnsi="Arial" w:cs="Arial"/>
          <w:sz w:val="22"/>
          <w:szCs w:val="22"/>
        </w:rPr>
        <w:t>generalisation</w:t>
      </w:r>
      <w:r w:rsidRPr="00BB2B80">
        <w:rPr>
          <w:rFonts w:ascii="Arial" w:hAnsi="Arial" w:cs="Arial"/>
          <w:sz w:val="22"/>
          <w:szCs w:val="22"/>
        </w:rPr>
        <w:t xml:space="preserve"> can be limited, and critics challenge approaches perceived as </w:t>
      </w:r>
      <w:r w:rsidR="00BB2B80">
        <w:rPr>
          <w:rFonts w:ascii="Arial" w:hAnsi="Arial" w:cs="Arial"/>
          <w:sz w:val="22"/>
          <w:szCs w:val="22"/>
        </w:rPr>
        <w:t>normalisation-focused</w:t>
      </w:r>
      <w:r w:rsidRPr="00BB2B80">
        <w:rPr>
          <w:rFonts w:ascii="Arial" w:hAnsi="Arial" w:cs="Arial"/>
          <w:sz w:val="22"/>
          <w:szCs w:val="22"/>
        </w:rPr>
        <w:t xml:space="preserve"> or insufficiently aligned with consent and autistic preferences (Volkmar et al., 2025; Matson, 2016; Qin et al., 2024). Educational and environmental frameworks (e.g., structured teaching, visual supports) are widely used and pragmatically effective in reducing anxiety and supporting autonomy, though evidence bases are uneven and context</w:t>
      </w:r>
      <w:r w:rsidRPr="00BB2B80">
        <w:rPr>
          <w:rFonts w:ascii="Cambria Math" w:hAnsi="Cambria Math" w:cs="Cambria Math"/>
          <w:sz w:val="22"/>
          <w:szCs w:val="22"/>
        </w:rPr>
        <w:t>‑</w:t>
      </w:r>
      <w:r w:rsidRPr="00BB2B80">
        <w:rPr>
          <w:rFonts w:ascii="Arial" w:hAnsi="Arial" w:cs="Arial"/>
          <w:sz w:val="22"/>
          <w:szCs w:val="22"/>
        </w:rPr>
        <w:t>bound (Boucher, 2022; Gallagher &amp; McGrath, 2022).</w:t>
      </w:r>
    </w:p>
    <w:p w14:paraId="63865CA3" w14:textId="6F2AA48B" w:rsidR="007A3577" w:rsidRPr="00BB2B80" w:rsidRDefault="007A3577" w:rsidP="00BB2B80">
      <w:pPr>
        <w:pStyle w:val="NormalWeb"/>
        <w:spacing w:before="0" w:beforeAutospacing="0" w:after="0" w:afterAutospacing="0" w:line="360" w:lineRule="auto"/>
        <w:rPr>
          <w:rFonts w:ascii="Arial" w:hAnsi="Arial" w:cs="Arial"/>
          <w:sz w:val="22"/>
          <w:szCs w:val="22"/>
        </w:rPr>
      </w:pPr>
      <w:r w:rsidRPr="00BB2B80">
        <w:rPr>
          <w:rFonts w:ascii="Arial" w:hAnsi="Arial" w:cs="Arial"/>
          <w:sz w:val="22"/>
          <w:szCs w:val="22"/>
        </w:rPr>
        <w:t>Pharmacological supports target co</w:t>
      </w:r>
      <w:r w:rsidRPr="00BB2B80">
        <w:rPr>
          <w:rFonts w:ascii="Cambria Math" w:hAnsi="Cambria Math" w:cs="Cambria Math"/>
          <w:sz w:val="22"/>
          <w:szCs w:val="22"/>
        </w:rPr>
        <w:t>‑</w:t>
      </w:r>
      <w:r w:rsidRPr="00BB2B80">
        <w:rPr>
          <w:rFonts w:ascii="Arial" w:hAnsi="Arial" w:cs="Arial"/>
          <w:sz w:val="22"/>
          <w:szCs w:val="22"/>
        </w:rPr>
        <w:t>occurring symptoms (e.g., irritability, sleep disturbance, anxiety) rather than core social</w:t>
      </w:r>
      <w:r w:rsidRPr="00BB2B80">
        <w:rPr>
          <w:rFonts w:ascii="Cambria Math" w:hAnsi="Cambria Math" w:cs="Cambria Math"/>
          <w:sz w:val="22"/>
          <w:szCs w:val="22"/>
        </w:rPr>
        <w:t>‑</w:t>
      </w:r>
      <w:r w:rsidRPr="00BB2B80">
        <w:rPr>
          <w:rFonts w:ascii="Arial" w:hAnsi="Arial" w:cs="Arial"/>
          <w:sz w:val="22"/>
          <w:szCs w:val="22"/>
        </w:rPr>
        <w:t xml:space="preserve">communication differences; this is consistent with WHO guidance highlighting psychosocial interventions to improve communication and social skills within accessible environments (WHO, 2025). Emerging practice </w:t>
      </w:r>
      <w:r w:rsidR="00BB2B80">
        <w:rPr>
          <w:rFonts w:ascii="Arial" w:hAnsi="Arial" w:cs="Arial"/>
          <w:sz w:val="22"/>
          <w:szCs w:val="22"/>
        </w:rPr>
        <w:t>emphasises</w:t>
      </w:r>
      <w:r w:rsidRPr="00BB2B80">
        <w:rPr>
          <w:rFonts w:ascii="Arial" w:hAnsi="Arial" w:cs="Arial"/>
          <w:sz w:val="22"/>
          <w:szCs w:val="22"/>
        </w:rPr>
        <w:t xml:space="preserve"> adapted psychological therapies for co</w:t>
      </w:r>
      <w:r w:rsidRPr="00BB2B80">
        <w:rPr>
          <w:rFonts w:ascii="Cambria Math" w:hAnsi="Cambria Math" w:cs="Cambria Math"/>
          <w:sz w:val="22"/>
          <w:szCs w:val="22"/>
        </w:rPr>
        <w:t>‑</w:t>
      </w:r>
      <w:r w:rsidRPr="00BB2B80">
        <w:rPr>
          <w:rFonts w:ascii="Arial" w:hAnsi="Arial" w:cs="Arial"/>
          <w:sz w:val="22"/>
          <w:szCs w:val="22"/>
        </w:rPr>
        <w:t xml:space="preserve">occurring conditions, participatory design, and outcome measures that </w:t>
      </w:r>
      <w:r w:rsidR="00BB2B80">
        <w:rPr>
          <w:rFonts w:ascii="Arial" w:hAnsi="Arial" w:cs="Arial"/>
          <w:sz w:val="22"/>
          <w:szCs w:val="22"/>
        </w:rPr>
        <w:t>prioritise</w:t>
      </w:r>
      <w:r w:rsidRPr="00BB2B80">
        <w:rPr>
          <w:rFonts w:ascii="Arial" w:hAnsi="Arial" w:cs="Arial"/>
          <w:sz w:val="22"/>
          <w:szCs w:val="22"/>
        </w:rPr>
        <w:t xml:space="preserve"> quality of life and participation over trait modification (NHS England, 2022). Across these debates, neuroaffirmative approaches argue for shifting the evaluative </w:t>
      </w:r>
      <w:r w:rsidRPr="00BB2B80">
        <w:rPr>
          <w:rFonts w:ascii="Arial" w:hAnsi="Arial" w:cs="Arial"/>
          <w:sz w:val="22"/>
          <w:szCs w:val="22"/>
        </w:rPr>
        <w:lastRenderedPageBreak/>
        <w:t>lens: interventions should be judged by their capacity to remove environmental barriers, increase communication access (including AAC), and support self</w:t>
      </w:r>
      <w:r w:rsidRPr="00BB2B80">
        <w:rPr>
          <w:rFonts w:ascii="Cambria Math" w:hAnsi="Cambria Math" w:cs="Cambria Math"/>
          <w:sz w:val="22"/>
          <w:szCs w:val="22"/>
        </w:rPr>
        <w:t>‑</w:t>
      </w:r>
      <w:r w:rsidRPr="00BB2B80">
        <w:rPr>
          <w:rFonts w:ascii="Arial" w:hAnsi="Arial" w:cs="Arial"/>
          <w:sz w:val="22"/>
          <w:szCs w:val="22"/>
        </w:rPr>
        <w:t>defined goals rather than compel masking or camouflaging of autistic traits (National Autistic Society, n.d.; Aspect, n.d.).</w:t>
      </w:r>
    </w:p>
    <w:p w14:paraId="349CD78C" w14:textId="77777777" w:rsidR="007A3577" w:rsidRPr="00BB2B80" w:rsidRDefault="007A3577" w:rsidP="00BB2B80">
      <w:pPr>
        <w:pStyle w:val="NormalWeb"/>
        <w:spacing w:before="0" w:beforeAutospacing="0" w:after="0" w:afterAutospacing="0" w:line="360" w:lineRule="auto"/>
        <w:rPr>
          <w:rFonts w:ascii="Arial" w:hAnsi="Arial" w:cs="Arial"/>
          <w:b/>
          <w:bCs/>
          <w:sz w:val="22"/>
          <w:szCs w:val="22"/>
        </w:rPr>
      </w:pPr>
    </w:p>
    <w:p w14:paraId="3B3E852B" w14:textId="77777777" w:rsidR="00F10919" w:rsidRPr="00BB2B80" w:rsidRDefault="00F10919" w:rsidP="00BB2B80">
      <w:pPr>
        <w:pStyle w:val="Heading2"/>
      </w:pPr>
      <w:bookmarkStart w:id="9" w:name="_Toc216899650"/>
      <w:r w:rsidRPr="00BB2B80">
        <w:t>Impact on Practice and Policy</w:t>
      </w:r>
      <w:bookmarkEnd w:id="9"/>
    </w:p>
    <w:p w14:paraId="68879C9C" w14:textId="77777777" w:rsidR="00F10919" w:rsidRPr="00BB2B80" w:rsidRDefault="00F10919" w:rsidP="00BB2B80">
      <w:pPr>
        <w:pStyle w:val="NormalWeb"/>
        <w:spacing w:before="0" w:beforeAutospacing="0" w:after="0" w:afterAutospacing="0" w:line="360" w:lineRule="auto"/>
        <w:rPr>
          <w:rFonts w:ascii="Arial" w:hAnsi="Arial" w:cs="Arial"/>
          <w:sz w:val="22"/>
          <w:szCs w:val="22"/>
        </w:rPr>
      </w:pPr>
      <w:r w:rsidRPr="00BB2B80">
        <w:rPr>
          <w:rFonts w:ascii="Arial" w:hAnsi="Arial" w:cs="Arial"/>
          <w:sz w:val="22"/>
          <w:szCs w:val="22"/>
        </w:rPr>
        <w:t>In the UK, the Autism Act 2009 and the National Strategy for autistic children, young people and adults (2021–2026) have established a framework for accessible, inclusive, and co</w:t>
      </w:r>
      <w:r w:rsidRPr="00BB2B80">
        <w:rPr>
          <w:rFonts w:ascii="Cambria Math" w:hAnsi="Cambria Math" w:cs="Cambria Math"/>
          <w:sz w:val="22"/>
          <w:szCs w:val="22"/>
        </w:rPr>
        <w:t>‑</w:t>
      </w:r>
      <w:r w:rsidRPr="00BB2B80">
        <w:rPr>
          <w:rFonts w:ascii="Arial" w:hAnsi="Arial" w:cs="Arial"/>
          <w:sz w:val="22"/>
          <w:szCs w:val="22"/>
        </w:rPr>
        <w:t>produced services, shaping workforce training, diagnostic pathways, and reasonable adjustments (UK Parliament Commons Library, 2025; DHSC, 2022). The NHS Autism Research Strategy highlights evidence gaps, particularly around neurodiversity</w:t>
      </w:r>
      <w:r w:rsidRPr="00BB2B80">
        <w:rPr>
          <w:rFonts w:ascii="Cambria Math" w:hAnsi="Cambria Math" w:cs="Cambria Math"/>
          <w:sz w:val="22"/>
          <w:szCs w:val="22"/>
        </w:rPr>
        <w:t>‑</w:t>
      </w:r>
      <w:r w:rsidRPr="00BB2B80">
        <w:rPr>
          <w:rFonts w:ascii="Arial" w:hAnsi="Arial" w:cs="Arial"/>
          <w:sz w:val="22"/>
          <w:szCs w:val="22"/>
        </w:rPr>
        <w:t>affirming outcomes and equitable access, calling for research that reflects autistic priorities (NHS England, 2022). Education policy debates similarly stress the need to strengthen SEND provision and embed autistic voice in reforms (Ambitious about Autism, 2025).</w:t>
      </w:r>
    </w:p>
    <w:p w14:paraId="04162715" w14:textId="77777777" w:rsidR="00F10919" w:rsidRPr="00BB2B80" w:rsidRDefault="00F10919" w:rsidP="00BB2B80">
      <w:pPr>
        <w:pStyle w:val="NormalWeb"/>
        <w:spacing w:before="0" w:beforeAutospacing="0" w:after="0" w:afterAutospacing="0" w:line="360" w:lineRule="auto"/>
        <w:rPr>
          <w:rFonts w:ascii="Arial" w:hAnsi="Arial" w:cs="Arial"/>
          <w:sz w:val="22"/>
          <w:szCs w:val="22"/>
        </w:rPr>
      </w:pPr>
      <w:r w:rsidRPr="00BB2B80">
        <w:rPr>
          <w:rFonts w:ascii="Arial" w:hAnsi="Arial" w:cs="Arial"/>
          <w:sz w:val="22"/>
          <w:szCs w:val="22"/>
        </w:rPr>
        <w:t>These policies have encouraged practice shifts toward multidisciplinary assessment, psychosocial and environmental supports, and outcome measures focused on participation and well</w:t>
      </w:r>
      <w:r w:rsidRPr="00BB2B80">
        <w:rPr>
          <w:rFonts w:ascii="Cambria Math" w:hAnsi="Cambria Math" w:cs="Cambria Math"/>
          <w:sz w:val="22"/>
          <w:szCs w:val="22"/>
        </w:rPr>
        <w:t>‑</w:t>
      </w:r>
      <w:r w:rsidRPr="00BB2B80">
        <w:rPr>
          <w:rFonts w:ascii="Arial" w:hAnsi="Arial" w:cs="Arial"/>
          <w:sz w:val="22"/>
          <w:szCs w:val="22"/>
        </w:rPr>
        <w:t>being. Yet implementation remains uneven, with diagnostic bottlenecks, workforce variation, and eligibility rules tied to categorical labels delaying support (Lindly et al., 2024). Overall, services are gradually reorienting toward neurodiversity</w:t>
      </w:r>
      <w:r w:rsidRPr="00BB2B80">
        <w:rPr>
          <w:rFonts w:ascii="Cambria Math" w:hAnsi="Cambria Math" w:cs="Cambria Math"/>
          <w:sz w:val="22"/>
          <w:szCs w:val="22"/>
        </w:rPr>
        <w:t>‑</w:t>
      </w:r>
      <w:r w:rsidRPr="00BB2B80">
        <w:rPr>
          <w:rFonts w:ascii="Arial" w:hAnsi="Arial" w:cs="Arial"/>
          <w:sz w:val="22"/>
          <w:szCs w:val="22"/>
        </w:rPr>
        <w:t>informed, rights</w:t>
      </w:r>
      <w:r w:rsidRPr="00BB2B80">
        <w:rPr>
          <w:rFonts w:ascii="Cambria Math" w:hAnsi="Cambria Math" w:cs="Cambria Math"/>
          <w:sz w:val="22"/>
          <w:szCs w:val="22"/>
        </w:rPr>
        <w:t>‑</w:t>
      </w:r>
      <w:r w:rsidRPr="00BB2B80">
        <w:rPr>
          <w:rFonts w:ascii="Arial" w:hAnsi="Arial" w:cs="Arial"/>
          <w:sz w:val="22"/>
          <w:szCs w:val="22"/>
        </w:rPr>
        <w:t>based care, though diagnostic classification continues to shape funding and commissioning.</w:t>
      </w:r>
    </w:p>
    <w:p w14:paraId="734A9760" w14:textId="77777777" w:rsidR="00F10919" w:rsidRPr="00BB2B80" w:rsidRDefault="00F10919" w:rsidP="00BB2B80">
      <w:pPr>
        <w:pStyle w:val="Heading2"/>
      </w:pPr>
      <w:bookmarkStart w:id="10" w:name="_Toc216899651"/>
      <w:r w:rsidRPr="00BB2B80">
        <w:t>Critical Synthesis</w:t>
      </w:r>
      <w:bookmarkEnd w:id="10"/>
    </w:p>
    <w:p w14:paraId="0F9E33D1" w14:textId="77777777" w:rsidR="00F10919" w:rsidRPr="00BB2B80" w:rsidRDefault="00F10919" w:rsidP="00BB2B80">
      <w:pPr>
        <w:pStyle w:val="NormalWeb"/>
        <w:spacing w:before="0" w:beforeAutospacing="0" w:after="0" w:afterAutospacing="0" w:line="360" w:lineRule="auto"/>
        <w:rPr>
          <w:rFonts w:ascii="Arial" w:hAnsi="Arial" w:cs="Arial"/>
          <w:sz w:val="22"/>
          <w:szCs w:val="22"/>
        </w:rPr>
      </w:pPr>
      <w:r w:rsidRPr="00BB2B80">
        <w:rPr>
          <w:rFonts w:ascii="Arial" w:hAnsi="Arial" w:cs="Arial"/>
          <w:sz w:val="22"/>
          <w:szCs w:val="22"/>
        </w:rPr>
        <w:t>ICD</w:t>
      </w:r>
      <w:r w:rsidRPr="00BB2B80">
        <w:rPr>
          <w:rFonts w:ascii="Cambria Math" w:hAnsi="Cambria Math" w:cs="Cambria Math"/>
          <w:sz w:val="22"/>
          <w:szCs w:val="22"/>
        </w:rPr>
        <w:t>‑</w:t>
      </w:r>
      <w:r w:rsidRPr="00BB2B80">
        <w:rPr>
          <w:rFonts w:ascii="Arial" w:hAnsi="Arial" w:cs="Arial"/>
          <w:sz w:val="22"/>
          <w:szCs w:val="22"/>
        </w:rPr>
        <w:t>11’s spectrum model enhances inclusivity but raises concerns about diagnostic specificity and research stratification, making functional formulation and person</w:t>
      </w:r>
      <w:r w:rsidRPr="00BB2B80">
        <w:rPr>
          <w:rFonts w:ascii="Cambria Math" w:hAnsi="Cambria Math" w:cs="Cambria Math"/>
          <w:sz w:val="22"/>
          <w:szCs w:val="22"/>
        </w:rPr>
        <w:t>‑</w:t>
      </w:r>
      <w:r w:rsidRPr="00BB2B80">
        <w:rPr>
          <w:rFonts w:ascii="Arial" w:hAnsi="Arial" w:cs="Arial"/>
          <w:sz w:val="22"/>
          <w:szCs w:val="22"/>
        </w:rPr>
        <w:t>centred outcomes vital to link diagnosis with support (Gallagher &amp; McGrath, 2022; Matson, 2016). Identity</w:t>
      </w:r>
      <w:r w:rsidRPr="00BB2B80">
        <w:rPr>
          <w:rFonts w:ascii="Cambria Math" w:hAnsi="Cambria Math" w:cs="Cambria Math"/>
          <w:sz w:val="22"/>
          <w:szCs w:val="22"/>
        </w:rPr>
        <w:t>‑</w:t>
      </w:r>
      <w:r w:rsidRPr="00BB2B80">
        <w:rPr>
          <w:rFonts w:ascii="Arial" w:hAnsi="Arial" w:cs="Arial"/>
          <w:sz w:val="22"/>
          <w:szCs w:val="22"/>
        </w:rPr>
        <w:t>affirming language is reshaping intervention goals toward accessibility and autonomy, though tension remains with the continued use of medicalized “disorder” terminology in classification (National Autistic Society, n.d.; WHO, 2025).</w:t>
      </w:r>
    </w:p>
    <w:p w14:paraId="433688CE" w14:textId="77777777" w:rsidR="00F10919" w:rsidRPr="00BB2B80" w:rsidRDefault="00F10919" w:rsidP="00BB2B80">
      <w:pPr>
        <w:pStyle w:val="NormalWeb"/>
        <w:spacing w:before="0" w:beforeAutospacing="0" w:after="0" w:afterAutospacing="0" w:line="360" w:lineRule="auto"/>
        <w:rPr>
          <w:rFonts w:ascii="Arial" w:hAnsi="Arial" w:cs="Arial"/>
          <w:sz w:val="22"/>
          <w:szCs w:val="22"/>
        </w:rPr>
      </w:pPr>
      <w:r w:rsidRPr="00BB2B80">
        <w:rPr>
          <w:rFonts w:ascii="Arial" w:hAnsi="Arial" w:cs="Arial"/>
          <w:sz w:val="22"/>
          <w:szCs w:val="22"/>
        </w:rPr>
        <w:t>Evidence for behavioural and developmental interventions shows domain</w:t>
      </w:r>
      <w:r w:rsidRPr="00BB2B80">
        <w:rPr>
          <w:rFonts w:ascii="Cambria Math" w:hAnsi="Cambria Math" w:cs="Cambria Math"/>
          <w:sz w:val="22"/>
          <w:szCs w:val="22"/>
        </w:rPr>
        <w:t>‑</w:t>
      </w:r>
      <w:r w:rsidRPr="00BB2B80">
        <w:rPr>
          <w:rFonts w:ascii="Arial" w:hAnsi="Arial" w:cs="Arial"/>
          <w:sz w:val="22"/>
          <w:szCs w:val="22"/>
        </w:rPr>
        <w:t>specific benefits but variable outcomes, while pharmacological approaches mainly target co</w:t>
      </w:r>
      <w:r w:rsidRPr="00BB2B80">
        <w:rPr>
          <w:rFonts w:ascii="Cambria Math" w:hAnsi="Cambria Math" w:cs="Cambria Math"/>
          <w:sz w:val="22"/>
          <w:szCs w:val="22"/>
        </w:rPr>
        <w:t>‑</w:t>
      </w:r>
      <w:r w:rsidRPr="00BB2B80">
        <w:rPr>
          <w:rFonts w:ascii="Arial" w:hAnsi="Arial" w:cs="Arial"/>
          <w:sz w:val="22"/>
          <w:szCs w:val="22"/>
        </w:rPr>
        <w:t>occurring symptoms. Emerging practice increasingly emphasises co</w:t>
      </w:r>
      <w:r w:rsidRPr="00BB2B80">
        <w:rPr>
          <w:rFonts w:ascii="Cambria Math" w:hAnsi="Cambria Math" w:cs="Cambria Math"/>
          <w:sz w:val="22"/>
          <w:szCs w:val="22"/>
        </w:rPr>
        <w:t>‑</w:t>
      </w:r>
      <w:r w:rsidRPr="00BB2B80">
        <w:rPr>
          <w:rFonts w:ascii="Arial" w:hAnsi="Arial" w:cs="Arial"/>
          <w:sz w:val="22"/>
          <w:szCs w:val="22"/>
        </w:rPr>
        <w:t>production and environmental adaptations to improve participation (Qin et al., 2024; NHS England, 2022).</w:t>
      </w:r>
    </w:p>
    <w:p w14:paraId="2E3BE817" w14:textId="1E2B234D" w:rsidR="008A6D32" w:rsidRPr="00BB2B80" w:rsidRDefault="00F10919" w:rsidP="00BB2B80">
      <w:pPr>
        <w:pStyle w:val="NormalWeb"/>
        <w:spacing w:before="0" w:beforeAutospacing="0" w:after="0" w:afterAutospacing="0" w:line="360" w:lineRule="auto"/>
        <w:rPr>
          <w:rFonts w:ascii="Arial" w:hAnsi="Arial" w:cs="Arial"/>
          <w:sz w:val="22"/>
          <w:szCs w:val="22"/>
        </w:rPr>
      </w:pPr>
      <w:r w:rsidRPr="00BB2B80">
        <w:rPr>
          <w:rFonts w:ascii="Arial" w:hAnsi="Arial" w:cs="Arial"/>
          <w:sz w:val="22"/>
          <w:szCs w:val="22"/>
        </w:rPr>
        <w:t>UK policy frameworks mandate inclusive and accessible services, yet disparities in implementation and diagnostic gatekeeping persist. Research agendas are gradually shifting to reflect autistic priorities and real</w:t>
      </w:r>
      <w:r w:rsidRPr="00BB2B80">
        <w:rPr>
          <w:rFonts w:ascii="Cambria Math" w:hAnsi="Cambria Math" w:cs="Cambria Math"/>
          <w:sz w:val="22"/>
          <w:szCs w:val="22"/>
        </w:rPr>
        <w:t>‑</w:t>
      </w:r>
      <w:r w:rsidRPr="00BB2B80">
        <w:rPr>
          <w:rFonts w:ascii="Arial" w:hAnsi="Arial" w:cs="Arial"/>
          <w:sz w:val="22"/>
          <w:szCs w:val="22"/>
        </w:rPr>
        <w:t xml:space="preserve">world outcomes, reinforcing the need for </w:t>
      </w:r>
      <w:r w:rsidRPr="00BB2B80">
        <w:rPr>
          <w:rFonts w:ascii="Arial" w:hAnsi="Arial" w:cs="Arial"/>
          <w:sz w:val="22"/>
          <w:szCs w:val="22"/>
        </w:rPr>
        <w:lastRenderedPageBreak/>
        <w:t>neurodiversity</w:t>
      </w:r>
      <w:r w:rsidRPr="00BB2B80">
        <w:rPr>
          <w:rFonts w:ascii="Cambria Math" w:hAnsi="Cambria Math" w:cs="Cambria Math"/>
          <w:sz w:val="22"/>
          <w:szCs w:val="22"/>
        </w:rPr>
        <w:t>‑</w:t>
      </w:r>
      <w:r w:rsidRPr="00BB2B80">
        <w:rPr>
          <w:rFonts w:ascii="Arial" w:hAnsi="Arial" w:cs="Arial"/>
          <w:sz w:val="22"/>
          <w:szCs w:val="22"/>
        </w:rPr>
        <w:t>affirming, rights</w:t>
      </w:r>
      <w:r w:rsidRPr="00BB2B80">
        <w:rPr>
          <w:rFonts w:ascii="Cambria Math" w:hAnsi="Cambria Math" w:cs="Cambria Math"/>
          <w:sz w:val="22"/>
          <w:szCs w:val="22"/>
        </w:rPr>
        <w:t>‑</w:t>
      </w:r>
      <w:r w:rsidRPr="00BB2B80">
        <w:rPr>
          <w:rFonts w:ascii="Arial" w:hAnsi="Arial" w:cs="Arial"/>
          <w:sz w:val="22"/>
          <w:szCs w:val="22"/>
        </w:rPr>
        <w:t>based approaches (UK Parliament Commons Library, 2025; Ambitious about Autism, 2025).</w:t>
      </w:r>
    </w:p>
    <w:p w14:paraId="39DC123D" w14:textId="77777777" w:rsidR="00A47690" w:rsidRPr="00BB2B80" w:rsidRDefault="00A47690" w:rsidP="00BB2B80">
      <w:pPr>
        <w:pStyle w:val="Heading1"/>
      </w:pPr>
      <w:bookmarkStart w:id="11" w:name="_Toc216899652"/>
      <w:r w:rsidRPr="00BB2B80">
        <w:t>Recommendations for Improving Autism Spectrum Disorder Classification, Diagnosis, Treatment and Rehabilitation</w:t>
      </w:r>
      <w:bookmarkEnd w:id="11"/>
    </w:p>
    <w:p w14:paraId="4AB48D65" w14:textId="77777777" w:rsidR="00A47690" w:rsidRPr="00BB2B80" w:rsidRDefault="00A47690" w:rsidP="00BB2B80">
      <w:pPr>
        <w:pStyle w:val="NormalWeb"/>
        <w:spacing w:before="0" w:beforeAutospacing="0" w:after="0" w:afterAutospacing="0" w:line="360" w:lineRule="auto"/>
        <w:rPr>
          <w:rFonts w:ascii="Arial" w:hAnsi="Arial" w:cs="Arial"/>
          <w:sz w:val="22"/>
          <w:szCs w:val="22"/>
        </w:rPr>
      </w:pPr>
      <w:r w:rsidRPr="00BB2B80">
        <w:rPr>
          <w:rFonts w:ascii="Arial" w:hAnsi="Arial" w:cs="Arial"/>
          <w:sz w:val="22"/>
          <w:szCs w:val="22"/>
        </w:rPr>
        <w:t xml:space="preserve">Autism Spectrum Disorder (ASD) presents wide heterogeneity across abilities and life stages. Strengthening classification, diagnosis, treatment, and rehabilitation </w:t>
      </w:r>
      <w:proofErr w:type="gramStart"/>
      <w:r w:rsidRPr="00BB2B80">
        <w:rPr>
          <w:rFonts w:ascii="Arial" w:hAnsi="Arial" w:cs="Arial"/>
          <w:sz w:val="22"/>
          <w:szCs w:val="22"/>
        </w:rPr>
        <w:t>requires</w:t>
      </w:r>
      <w:proofErr w:type="gramEnd"/>
      <w:r w:rsidRPr="00BB2B80">
        <w:rPr>
          <w:rFonts w:ascii="Arial" w:hAnsi="Arial" w:cs="Arial"/>
          <w:sz w:val="22"/>
          <w:szCs w:val="22"/>
        </w:rPr>
        <w:t xml:space="preserve"> functional formulation, neurodiversity</w:t>
      </w:r>
      <w:r w:rsidRPr="00BB2B80">
        <w:rPr>
          <w:rFonts w:ascii="Cambria Math" w:hAnsi="Cambria Math" w:cs="Cambria Math"/>
          <w:sz w:val="22"/>
          <w:szCs w:val="22"/>
        </w:rPr>
        <w:t>‑</w:t>
      </w:r>
      <w:r w:rsidRPr="00BB2B80">
        <w:rPr>
          <w:rFonts w:ascii="Arial" w:hAnsi="Arial" w:cs="Arial"/>
          <w:sz w:val="22"/>
          <w:szCs w:val="22"/>
        </w:rPr>
        <w:t>affirming practice, and robust evidence to ensure consistency in care while safeguarding autonomy and participation (Matson, 2016; Boucher, 2022).</w:t>
      </w:r>
    </w:p>
    <w:p w14:paraId="0BA1305D" w14:textId="7D6C9F76" w:rsidR="00A47690" w:rsidRPr="00BB2B80" w:rsidRDefault="00A47690" w:rsidP="00BB2B80">
      <w:pPr>
        <w:pStyle w:val="NormalWeb"/>
        <w:spacing w:before="0" w:beforeAutospacing="0" w:after="0" w:afterAutospacing="0" w:line="360" w:lineRule="auto"/>
        <w:rPr>
          <w:rFonts w:ascii="Arial" w:hAnsi="Arial" w:cs="Arial"/>
          <w:sz w:val="22"/>
          <w:szCs w:val="22"/>
        </w:rPr>
      </w:pPr>
      <w:r w:rsidRPr="00BB2B80">
        <w:rPr>
          <w:rFonts w:ascii="Arial" w:hAnsi="Arial" w:cs="Arial"/>
          <w:sz w:val="22"/>
          <w:szCs w:val="22"/>
        </w:rPr>
        <w:t>Classification should retain ICD</w:t>
      </w:r>
      <w:r w:rsidRPr="00BB2B80">
        <w:rPr>
          <w:rFonts w:ascii="Cambria Math" w:hAnsi="Cambria Math" w:cs="Cambria Math"/>
          <w:sz w:val="22"/>
          <w:szCs w:val="22"/>
        </w:rPr>
        <w:t>‑</w:t>
      </w:r>
      <w:r w:rsidRPr="00BB2B80">
        <w:rPr>
          <w:rFonts w:ascii="Arial" w:hAnsi="Arial" w:cs="Arial"/>
          <w:sz w:val="22"/>
          <w:szCs w:val="22"/>
        </w:rPr>
        <w:t>11’s categorical code but incorporate functional profiles covering communication, sensory needs, and co</w:t>
      </w:r>
      <w:r w:rsidRPr="00BB2B80">
        <w:rPr>
          <w:rFonts w:ascii="Cambria Math" w:hAnsi="Cambria Math" w:cs="Cambria Math"/>
          <w:sz w:val="22"/>
          <w:szCs w:val="22"/>
        </w:rPr>
        <w:t>‑</w:t>
      </w:r>
      <w:r w:rsidRPr="00BB2B80">
        <w:rPr>
          <w:rFonts w:ascii="Arial" w:hAnsi="Arial" w:cs="Arial"/>
          <w:sz w:val="22"/>
          <w:szCs w:val="22"/>
        </w:rPr>
        <w:t xml:space="preserve">occurring conditions. The use of clinically meaningful specifiers for language, intellectual functioning, and support intensity would enhance comparability in research and commissioning (Volkmar, Pelphrey &amp; </w:t>
      </w:r>
      <w:proofErr w:type="spellStart"/>
      <w:r w:rsidRPr="00BB2B80">
        <w:rPr>
          <w:rFonts w:ascii="Arial" w:hAnsi="Arial" w:cs="Arial"/>
          <w:sz w:val="22"/>
          <w:szCs w:val="22"/>
        </w:rPr>
        <w:t>Vivanti</w:t>
      </w:r>
      <w:proofErr w:type="spellEnd"/>
      <w:r w:rsidRPr="00BB2B80">
        <w:rPr>
          <w:rFonts w:ascii="Arial" w:hAnsi="Arial" w:cs="Arial"/>
          <w:sz w:val="22"/>
          <w:szCs w:val="22"/>
        </w:rPr>
        <w:t>, 2025). Terminology should also align with neurodiversity principles, offering identity</w:t>
      </w:r>
      <w:r w:rsidRPr="00BB2B80">
        <w:rPr>
          <w:rFonts w:ascii="Cambria Math" w:hAnsi="Cambria Math" w:cs="Cambria Math"/>
          <w:sz w:val="22"/>
          <w:szCs w:val="22"/>
        </w:rPr>
        <w:t>‑</w:t>
      </w:r>
      <w:r w:rsidRPr="00BB2B80">
        <w:rPr>
          <w:rFonts w:ascii="Arial" w:hAnsi="Arial" w:cs="Arial"/>
          <w:sz w:val="22"/>
          <w:szCs w:val="22"/>
        </w:rPr>
        <w:t>first or person</w:t>
      </w:r>
      <w:r w:rsidRPr="00BB2B80">
        <w:rPr>
          <w:rFonts w:ascii="Cambria Math" w:hAnsi="Cambria Math" w:cs="Cambria Math"/>
          <w:sz w:val="22"/>
          <w:szCs w:val="22"/>
        </w:rPr>
        <w:t>‑</w:t>
      </w:r>
      <w:r w:rsidRPr="00BB2B80">
        <w:rPr>
          <w:rFonts w:ascii="Arial" w:hAnsi="Arial" w:cs="Arial"/>
          <w:sz w:val="22"/>
          <w:szCs w:val="22"/>
        </w:rPr>
        <w:t>first language to reduce stigma (Boucher, 2022; NHS England, 2022).</w:t>
      </w:r>
    </w:p>
    <w:p w14:paraId="41C91D00" w14:textId="77777777" w:rsidR="00A47690" w:rsidRPr="00BB2B80" w:rsidRDefault="00A47690" w:rsidP="00BB2B80">
      <w:pPr>
        <w:pStyle w:val="NormalWeb"/>
        <w:spacing w:before="0" w:beforeAutospacing="0" w:after="0" w:afterAutospacing="0" w:line="360" w:lineRule="auto"/>
        <w:rPr>
          <w:rFonts w:ascii="Arial" w:hAnsi="Arial" w:cs="Arial"/>
          <w:sz w:val="22"/>
          <w:szCs w:val="22"/>
        </w:rPr>
      </w:pPr>
      <w:r w:rsidRPr="00BB2B80">
        <w:rPr>
          <w:rFonts w:ascii="Arial" w:hAnsi="Arial" w:cs="Arial"/>
          <w:sz w:val="22"/>
          <w:szCs w:val="22"/>
        </w:rPr>
        <w:t xml:space="preserve">Diagnosis requires tiered pathways, beginning with rapid screening and early adjustments, followed by comprehensive multidisciplinary assessment. Standardised toolkits with cultural and neuroaffirmative adaptations would improve reliability, while routine screening for comorbidities such as anxiety or ADHD ensures integrated care. Diagnostic reports should include functional outcomes to guide rehabilitation (Fuentes, </w:t>
      </w:r>
      <w:proofErr w:type="spellStart"/>
      <w:r w:rsidRPr="00BB2B80">
        <w:rPr>
          <w:rFonts w:ascii="Arial" w:hAnsi="Arial" w:cs="Arial"/>
          <w:sz w:val="22"/>
          <w:szCs w:val="22"/>
        </w:rPr>
        <w:t>Hervás</w:t>
      </w:r>
      <w:proofErr w:type="spellEnd"/>
      <w:r w:rsidRPr="00BB2B80">
        <w:rPr>
          <w:rFonts w:ascii="Arial" w:hAnsi="Arial" w:cs="Arial"/>
          <w:sz w:val="22"/>
          <w:szCs w:val="22"/>
        </w:rPr>
        <w:t xml:space="preserve"> &amp; Howlin, 2021; NICE, 2021).</w:t>
      </w:r>
    </w:p>
    <w:p w14:paraId="5B6A7233" w14:textId="36FADDF6" w:rsidR="00A47690" w:rsidRPr="00BB2B80" w:rsidRDefault="00A47690" w:rsidP="00BB2B80">
      <w:pPr>
        <w:pStyle w:val="NormalWeb"/>
        <w:spacing w:before="0" w:beforeAutospacing="0" w:after="0" w:afterAutospacing="0" w:line="360" w:lineRule="auto"/>
        <w:rPr>
          <w:rFonts w:ascii="Arial" w:hAnsi="Arial" w:cs="Arial"/>
          <w:sz w:val="22"/>
          <w:szCs w:val="22"/>
        </w:rPr>
      </w:pPr>
      <w:r w:rsidRPr="00BB2B80">
        <w:rPr>
          <w:rFonts w:ascii="Arial" w:hAnsi="Arial" w:cs="Arial"/>
          <w:sz w:val="22"/>
          <w:szCs w:val="22"/>
        </w:rPr>
        <w:t>Treatment and rehabilitation should prioritise participation and autonomy rather than normalisation. Modular plans combining NDBIs, TEACCH, speech</w:t>
      </w:r>
      <w:r w:rsidRPr="00BB2B80">
        <w:rPr>
          <w:rFonts w:ascii="Cambria Math" w:hAnsi="Cambria Math" w:cs="Cambria Math"/>
          <w:sz w:val="22"/>
          <w:szCs w:val="22"/>
        </w:rPr>
        <w:t>‑</w:t>
      </w:r>
      <w:r w:rsidRPr="00BB2B80">
        <w:rPr>
          <w:rFonts w:ascii="Arial" w:hAnsi="Arial" w:cs="Arial"/>
          <w:sz w:val="22"/>
          <w:szCs w:val="22"/>
        </w:rPr>
        <w:t>language therapy, occupational therapy, and adapted CBT for co</w:t>
      </w:r>
      <w:r w:rsidRPr="00BB2B80">
        <w:rPr>
          <w:rFonts w:ascii="Cambria Math" w:hAnsi="Cambria Math" w:cs="Cambria Math"/>
          <w:sz w:val="22"/>
          <w:szCs w:val="22"/>
        </w:rPr>
        <w:t>‑</w:t>
      </w:r>
      <w:r w:rsidRPr="00BB2B80">
        <w:rPr>
          <w:rFonts w:ascii="Arial" w:hAnsi="Arial" w:cs="Arial"/>
          <w:sz w:val="22"/>
          <w:szCs w:val="22"/>
        </w:rPr>
        <w:t>occurring conditions are most effective when co</w:t>
      </w:r>
      <w:r w:rsidRPr="00BB2B80">
        <w:rPr>
          <w:rFonts w:ascii="Cambria Math" w:hAnsi="Cambria Math" w:cs="Cambria Math"/>
          <w:sz w:val="22"/>
          <w:szCs w:val="22"/>
        </w:rPr>
        <w:t>‑</w:t>
      </w:r>
      <w:r w:rsidRPr="00BB2B80">
        <w:rPr>
          <w:rFonts w:ascii="Arial" w:hAnsi="Arial" w:cs="Arial"/>
          <w:sz w:val="22"/>
          <w:szCs w:val="22"/>
        </w:rPr>
        <w:t xml:space="preserve">produced and regularly reviewed (Matson, 2016; Volkmar, Pelphrey &amp; </w:t>
      </w:r>
      <w:proofErr w:type="spellStart"/>
      <w:r w:rsidRPr="00BB2B80">
        <w:rPr>
          <w:rFonts w:ascii="Arial" w:hAnsi="Arial" w:cs="Arial"/>
          <w:sz w:val="22"/>
          <w:szCs w:val="22"/>
        </w:rPr>
        <w:t>Vivanti</w:t>
      </w:r>
      <w:proofErr w:type="spellEnd"/>
      <w:r w:rsidRPr="00BB2B80">
        <w:rPr>
          <w:rFonts w:ascii="Arial" w:hAnsi="Arial" w:cs="Arial"/>
          <w:sz w:val="22"/>
          <w:szCs w:val="22"/>
        </w:rPr>
        <w:t>, 2025). Communication accessibility, environmental design, and AAC should be standard practice, while pharmacology should be limited to specific symptoms within shared decision</w:t>
      </w:r>
      <w:r w:rsidRPr="00BB2B80">
        <w:rPr>
          <w:rFonts w:ascii="Cambria Math" w:hAnsi="Cambria Math" w:cs="Cambria Math"/>
          <w:sz w:val="22"/>
          <w:szCs w:val="22"/>
        </w:rPr>
        <w:t>‑</w:t>
      </w:r>
      <w:r w:rsidRPr="00BB2B80">
        <w:rPr>
          <w:rFonts w:ascii="Arial" w:hAnsi="Arial" w:cs="Arial"/>
          <w:sz w:val="22"/>
          <w:szCs w:val="22"/>
        </w:rPr>
        <w:t>making (WHO, 20</w:t>
      </w:r>
      <w:r w:rsidR="000635F6">
        <w:rPr>
          <w:rFonts w:ascii="Arial" w:hAnsi="Arial" w:cs="Arial"/>
          <w:sz w:val="22"/>
          <w:szCs w:val="22"/>
        </w:rPr>
        <w:t>25</w:t>
      </w:r>
      <w:r w:rsidRPr="00BB2B80">
        <w:rPr>
          <w:rFonts w:ascii="Arial" w:hAnsi="Arial" w:cs="Arial"/>
          <w:sz w:val="22"/>
          <w:szCs w:val="22"/>
        </w:rPr>
        <w:t xml:space="preserve">; Fuentes, </w:t>
      </w:r>
      <w:proofErr w:type="spellStart"/>
      <w:r w:rsidRPr="00BB2B80">
        <w:rPr>
          <w:rFonts w:ascii="Arial" w:hAnsi="Arial" w:cs="Arial"/>
          <w:sz w:val="22"/>
          <w:szCs w:val="22"/>
        </w:rPr>
        <w:t>Hervás</w:t>
      </w:r>
      <w:proofErr w:type="spellEnd"/>
      <w:r w:rsidRPr="00BB2B80">
        <w:rPr>
          <w:rFonts w:ascii="Arial" w:hAnsi="Arial" w:cs="Arial"/>
          <w:sz w:val="22"/>
          <w:szCs w:val="22"/>
        </w:rPr>
        <w:t xml:space="preserve"> &amp; Howlin, 2021). Transitional supports, vocational pathways, and workforce training in neuroaffirmative practice are essential for life</w:t>
      </w:r>
      <w:r w:rsidRPr="00BB2B80">
        <w:rPr>
          <w:rFonts w:ascii="Cambria Math" w:hAnsi="Cambria Math" w:cs="Cambria Math"/>
          <w:sz w:val="22"/>
          <w:szCs w:val="22"/>
        </w:rPr>
        <w:t>‑</w:t>
      </w:r>
      <w:r w:rsidRPr="00BB2B80">
        <w:rPr>
          <w:rFonts w:ascii="Arial" w:hAnsi="Arial" w:cs="Arial"/>
          <w:sz w:val="22"/>
          <w:szCs w:val="22"/>
        </w:rPr>
        <w:t>course continuity (NHS England, 2022).</w:t>
      </w:r>
    </w:p>
    <w:p w14:paraId="1DABE945" w14:textId="61298417" w:rsidR="00A47690" w:rsidRPr="00BB2B80" w:rsidRDefault="00A47690" w:rsidP="00BB2B80">
      <w:pPr>
        <w:pStyle w:val="NormalWeb"/>
        <w:spacing w:before="0" w:beforeAutospacing="0" w:after="0" w:afterAutospacing="0" w:line="360" w:lineRule="auto"/>
        <w:rPr>
          <w:rFonts w:ascii="Arial" w:hAnsi="Arial" w:cs="Arial"/>
          <w:sz w:val="22"/>
          <w:szCs w:val="22"/>
        </w:rPr>
      </w:pPr>
      <w:r w:rsidRPr="00BB2B80">
        <w:rPr>
          <w:rFonts w:ascii="Arial" w:hAnsi="Arial" w:cs="Arial"/>
          <w:sz w:val="22"/>
          <w:szCs w:val="22"/>
        </w:rPr>
        <w:t>Practice and policy should combine operational standardisation with local flexibility, commission integrated health</w:t>
      </w:r>
      <w:r w:rsidRPr="00BB2B80">
        <w:rPr>
          <w:rFonts w:ascii="Cambria Math" w:hAnsi="Cambria Math" w:cs="Cambria Math"/>
          <w:sz w:val="22"/>
          <w:szCs w:val="22"/>
        </w:rPr>
        <w:t>‑</w:t>
      </w:r>
      <w:r w:rsidRPr="00BB2B80">
        <w:rPr>
          <w:rFonts w:ascii="Arial" w:hAnsi="Arial" w:cs="Arial"/>
          <w:sz w:val="22"/>
          <w:szCs w:val="22"/>
        </w:rPr>
        <w:t>education</w:t>
      </w:r>
      <w:r w:rsidRPr="00BB2B80">
        <w:rPr>
          <w:rFonts w:ascii="Cambria Math" w:hAnsi="Cambria Math" w:cs="Cambria Math"/>
          <w:sz w:val="22"/>
          <w:szCs w:val="22"/>
        </w:rPr>
        <w:t>‑</w:t>
      </w:r>
      <w:r w:rsidRPr="00BB2B80">
        <w:rPr>
          <w:rFonts w:ascii="Arial" w:hAnsi="Arial" w:cs="Arial"/>
          <w:sz w:val="22"/>
          <w:szCs w:val="22"/>
        </w:rPr>
        <w:t xml:space="preserve">social care </w:t>
      </w:r>
      <w:r w:rsidR="00BB2B80" w:rsidRPr="00BB2B80">
        <w:rPr>
          <w:rFonts w:ascii="Arial" w:hAnsi="Arial" w:cs="Arial"/>
          <w:sz w:val="22"/>
          <w:szCs w:val="22"/>
        </w:rPr>
        <w:t>pathways and</w:t>
      </w:r>
      <w:r w:rsidRPr="00BB2B80">
        <w:rPr>
          <w:rFonts w:ascii="Arial" w:hAnsi="Arial" w:cs="Arial"/>
          <w:sz w:val="22"/>
          <w:szCs w:val="22"/>
        </w:rPr>
        <w:t xml:space="preserve"> embed co</w:t>
      </w:r>
      <w:r w:rsidRPr="00BB2B80">
        <w:rPr>
          <w:rFonts w:ascii="Cambria Math" w:hAnsi="Cambria Math" w:cs="Cambria Math"/>
          <w:sz w:val="22"/>
          <w:szCs w:val="22"/>
        </w:rPr>
        <w:t>‑</w:t>
      </w:r>
      <w:r w:rsidRPr="00BB2B80">
        <w:rPr>
          <w:rFonts w:ascii="Arial" w:hAnsi="Arial" w:cs="Arial"/>
          <w:sz w:val="22"/>
          <w:szCs w:val="22"/>
        </w:rPr>
        <w:t xml:space="preserve">production standards. Early adjustments must be guaranteed irrespective of diagnosis, and national </w:t>
      </w:r>
      <w:r w:rsidRPr="00BB2B80">
        <w:rPr>
          <w:rFonts w:ascii="Arial" w:hAnsi="Arial" w:cs="Arial"/>
          <w:sz w:val="22"/>
          <w:szCs w:val="22"/>
        </w:rPr>
        <w:lastRenderedPageBreak/>
        <w:t>reporting of functional specifiers should inform equitable commissioning (NICE, 2021; WHO, 20</w:t>
      </w:r>
      <w:r w:rsidR="000635F6">
        <w:rPr>
          <w:rFonts w:ascii="Arial" w:hAnsi="Arial" w:cs="Arial"/>
          <w:sz w:val="22"/>
          <w:szCs w:val="22"/>
        </w:rPr>
        <w:t>25</w:t>
      </w:r>
      <w:r w:rsidRPr="00BB2B80">
        <w:rPr>
          <w:rFonts w:ascii="Arial" w:hAnsi="Arial" w:cs="Arial"/>
          <w:sz w:val="22"/>
          <w:szCs w:val="22"/>
        </w:rPr>
        <w:t>). Funding should be ring</w:t>
      </w:r>
      <w:r w:rsidRPr="00BB2B80">
        <w:rPr>
          <w:rFonts w:ascii="Cambria Math" w:hAnsi="Cambria Math" w:cs="Cambria Math"/>
          <w:sz w:val="22"/>
          <w:szCs w:val="22"/>
        </w:rPr>
        <w:t>‑</w:t>
      </w:r>
      <w:r w:rsidRPr="00BB2B80">
        <w:rPr>
          <w:rFonts w:ascii="Arial" w:hAnsi="Arial" w:cs="Arial"/>
          <w:sz w:val="22"/>
          <w:szCs w:val="22"/>
        </w:rPr>
        <w:t>fenced for vocational and community inclusion supports (NHS England, 2022).</w:t>
      </w:r>
    </w:p>
    <w:p w14:paraId="177B5A32" w14:textId="77777777" w:rsidR="00A47690" w:rsidRPr="00BB2B80" w:rsidRDefault="00A47690" w:rsidP="00BB2B80">
      <w:pPr>
        <w:pStyle w:val="NormalWeb"/>
        <w:spacing w:before="0" w:beforeAutospacing="0" w:after="0" w:afterAutospacing="0" w:line="360" w:lineRule="auto"/>
        <w:rPr>
          <w:rFonts w:ascii="Arial" w:hAnsi="Arial" w:cs="Arial"/>
          <w:sz w:val="22"/>
          <w:szCs w:val="22"/>
        </w:rPr>
      </w:pPr>
      <w:r w:rsidRPr="00BB2B80">
        <w:rPr>
          <w:rFonts w:ascii="Arial" w:hAnsi="Arial" w:cs="Arial"/>
          <w:sz w:val="22"/>
          <w:szCs w:val="22"/>
        </w:rPr>
        <w:t>Research should prioritise pragmatic trials comparing co</w:t>
      </w:r>
      <w:r w:rsidRPr="00BB2B80">
        <w:rPr>
          <w:rFonts w:ascii="Cambria Math" w:hAnsi="Cambria Math" w:cs="Cambria Math"/>
          <w:sz w:val="22"/>
          <w:szCs w:val="22"/>
        </w:rPr>
        <w:t>‑</w:t>
      </w:r>
      <w:r w:rsidRPr="00BB2B80">
        <w:rPr>
          <w:rFonts w:ascii="Arial" w:hAnsi="Arial" w:cs="Arial"/>
          <w:sz w:val="22"/>
          <w:szCs w:val="22"/>
        </w:rPr>
        <w:t>produced interventions with usual care, refine outcome measures to include autonomy and sensory comfort, and stratify participants by functional specifiers to reduce heterogeneity. Implementation science is needed to evaluate diagnostic pathways, AAC roll</w:t>
      </w:r>
      <w:r w:rsidRPr="00BB2B80">
        <w:rPr>
          <w:rFonts w:ascii="Cambria Math" w:hAnsi="Cambria Math" w:cs="Cambria Math"/>
          <w:sz w:val="22"/>
          <w:szCs w:val="22"/>
        </w:rPr>
        <w:t>‑</w:t>
      </w:r>
      <w:r w:rsidRPr="00BB2B80">
        <w:rPr>
          <w:rFonts w:ascii="Arial" w:hAnsi="Arial" w:cs="Arial"/>
          <w:sz w:val="22"/>
          <w:szCs w:val="22"/>
        </w:rPr>
        <w:t>outs, and transition programmes (Greaves</w:t>
      </w:r>
      <w:r w:rsidRPr="00BB2B80">
        <w:rPr>
          <w:rFonts w:ascii="Cambria Math" w:hAnsi="Cambria Math" w:cs="Cambria Math"/>
          <w:sz w:val="22"/>
          <w:szCs w:val="22"/>
        </w:rPr>
        <w:t>‑</w:t>
      </w:r>
      <w:r w:rsidRPr="00BB2B80">
        <w:rPr>
          <w:rFonts w:ascii="Arial" w:hAnsi="Arial" w:cs="Arial"/>
          <w:sz w:val="22"/>
          <w:szCs w:val="22"/>
        </w:rPr>
        <w:t xml:space="preserve">Lord, Skuse &amp; Mandy, 2022; Volkmar, Pelphrey &amp; </w:t>
      </w:r>
      <w:proofErr w:type="spellStart"/>
      <w:r w:rsidRPr="00BB2B80">
        <w:rPr>
          <w:rFonts w:ascii="Arial" w:hAnsi="Arial" w:cs="Arial"/>
          <w:sz w:val="22"/>
          <w:szCs w:val="22"/>
        </w:rPr>
        <w:t>Vivanti</w:t>
      </w:r>
      <w:proofErr w:type="spellEnd"/>
      <w:r w:rsidRPr="00BB2B80">
        <w:rPr>
          <w:rFonts w:ascii="Arial" w:hAnsi="Arial" w:cs="Arial"/>
          <w:sz w:val="22"/>
          <w:szCs w:val="22"/>
        </w:rPr>
        <w:t>, 2025).</w:t>
      </w:r>
    </w:p>
    <w:p w14:paraId="75C42BB4" w14:textId="24381B48" w:rsidR="008A6D32" w:rsidRPr="00BB2B80" w:rsidRDefault="008A6D32" w:rsidP="00BB2B80">
      <w:pPr>
        <w:pStyle w:val="Heading1"/>
      </w:pPr>
      <w:bookmarkStart w:id="12" w:name="_Toc216899653"/>
      <w:r w:rsidRPr="00BB2B80">
        <w:t>Conclusion</w:t>
      </w:r>
      <w:bookmarkEnd w:id="12"/>
    </w:p>
    <w:p w14:paraId="2671D7EB" w14:textId="257D67A8" w:rsidR="00A47690" w:rsidRPr="00BB2B80" w:rsidRDefault="00A47690" w:rsidP="00BB2B80">
      <w:pPr>
        <w:pStyle w:val="NormalWeb"/>
        <w:spacing w:before="0" w:beforeAutospacing="0" w:after="0" w:afterAutospacing="0" w:line="360" w:lineRule="auto"/>
        <w:rPr>
          <w:rFonts w:ascii="Arial" w:hAnsi="Arial" w:cs="Arial"/>
          <w:sz w:val="22"/>
          <w:szCs w:val="22"/>
        </w:rPr>
      </w:pPr>
      <w:r w:rsidRPr="00BB2B80">
        <w:rPr>
          <w:rFonts w:ascii="Arial" w:hAnsi="Arial" w:cs="Arial"/>
          <w:sz w:val="22"/>
          <w:szCs w:val="22"/>
        </w:rPr>
        <w:t>Autism Spectrum Disorder (ASD) remains a complex condition to classify, diagnose, and support. ICD</w:t>
      </w:r>
      <w:r w:rsidRPr="00BB2B80">
        <w:rPr>
          <w:rFonts w:ascii="Cambria Math" w:hAnsi="Cambria Math" w:cs="Cambria Math"/>
          <w:sz w:val="22"/>
          <w:szCs w:val="22"/>
        </w:rPr>
        <w:t>‑</w:t>
      </w:r>
      <w:r w:rsidRPr="00BB2B80">
        <w:rPr>
          <w:rFonts w:ascii="Arial" w:hAnsi="Arial" w:cs="Arial"/>
          <w:sz w:val="22"/>
          <w:szCs w:val="22"/>
        </w:rPr>
        <w:t>11’s spectrum model has improved inclusivity by consolidating fragmented categories, though debates continue over diagnostic precision and the balance between medical and neurodiversity</w:t>
      </w:r>
      <w:r w:rsidRPr="00BB2B80">
        <w:rPr>
          <w:rFonts w:ascii="Cambria Math" w:hAnsi="Cambria Math" w:cs="Cambria Math"/>
          <w:sz w:val="22"/>
          <w:szCs w:val="22"/>
        </w:rPr>
        <w:t>‑</w:t>
      </w:r>
      <w:r w:rsidRPr="00BB2B80">
        <w:rPr>
          <w:rFonts w:ascii="Arial" w:hAnsi="Arial" w:cs="Arial"/>
          <w:sz w:val="22"/>
          <w:szCs w:val="22"/>
        </w:rPr>
        <w:t>affirming perspectives (Greaves</w:t>
      </w:r>
      <w:r w:rsidRPr="00BB2B80">
        <w:rPr>
          <w:rFonts w:ascii="Cambria Math" w:hAnsi="Cambria Math" w:cs="Cambria Math"/>
          <w:sz w:val="22"/>
          <w:szCs w:val="22"/>
        </w:rPr>
        <w:t>‑</w:t>
      </w:r>
      <w:r w:rsidRPr="00BB2B80">
        <w:rPr>
          <w:rFonts w:ascii="Arial" w:hAnsi="Arial" w:cs="Arial"/>
          <w:sz w:val="22"/>
          <w:szCs w:val="22"/>
        </w:rPr>
        <w:t>Lord, Skuse &amp; Mandy, 2022; WHO, 20</w:t>
      </w:r>
      <w:r w:rsidR="00C553DB">
        <w:rPr>
          <w:rFonts w:ascii="Arial" w:hAnsi="Arial" w:cs="Arial"/>
          <w:sz w:val="22"/>
          <w:szCs w:val="22"/>
        </w:rPr>
        <w:t>25</w:t>
      </w:r>
      <w:r w:rsidRPr="00BB2B80">
        <w:rPr>
          <w:rFonts w:ascii="Arial" w:hAnsi="Arial" w:cs="Arial"/>
          <w:sz w:val="22"/>
          <w:szCs w:val="22"/>
        </w:rPr>
        <w:t xml:space="preserve">). Diagnosis relies on multidisciplinary assessment, while treatment and rehabilitation focus on </w:t>
      </w:r>
      <w:r w:rsidR="00BB2B80">
        <w:rPr>
          <w:rFonts w:ascii="Arial" w:hAnsi="Arial" w:cs="Arial"/>
          <w:sz w:val="22"/>
          <w:szCs w:val="22"/>
        </w:rPr>
        <w:t>individualised</w:t>
      </w:r>
      <w:r w:rsidRPr="00BB2B80">
        <w:rPr>
          <w:rFonts w:ascii="Arial" w:hAnsi="Arial" w:cs="Arial"/>
          <w:sz w:val="22"/>
          <w:szCs w:val="22"/>
        </w:rPr>
        <w:t>, modular interventions across behavioural, educational, communicative, and psychosocial domains (Matson, 2016; NICE, 2021).</w:t>
      </w:r>
    </w:p>
    <w:p w14:paraId="787529E2" w14:textId="21A70FC3" w:rsidR="00A47690" w:rsidRPr="00BB2B80" w:rsidRDefault="00A47690" w:rsidP="00BB2B80">
      <w:pPr>
        <w:pStyle w:val="NormalWeb"/>
        <w:spacing w:before="0" w:beforeAutospacing="0" w:after="0" w:afterAutospacing="0" w:line="360" w:lineRule="auto"/>
        <w:rPr>
          <w:rFonts w:ascii="Arial" w:hAnsi="Arial" w:cs="Arial"/>
          <w:sz w:val="22"/>
          <w:szCs w:val="22"/>
        </w:rPr>
      </w:pPr>
      <w:r w:rsidRPr="00BB2B80">
        <w:rPr>
          <w:rFonts w:ascii="Arial" w:hAnsi="Arial" w:cs="Arial"/>
          <w:sz w:val="22"/>
          <w:szCs w:val="22"/>
        </w:rPr>
        <w:t>Evidence shows that intervention effectiveness is domain</w:t>
      </w:r>
      <w:r w:rsidRPr="00BB2B80">
        <w:rPr>
          <w:rFonts w:ascii="Cambria Math" w:hAnsi="Cambria Math" w:cs="Cambria Math"/>
          <w:sz w:val="22"/>
          <w:szCs w:val="22"/>
        </w:rPr>
        <w:t>‑</w:t>
      </w:r>
      <w:r w:rsidRPr="00BB2B80">
        <w:rPr>
          <w:rFonts w:ascii="Arial" w:hAnsi="Arial" w:cs="Arial"/>
          <w:sz w:val="22"/>
          <w:szCs w:val="22"/>
        </w:rPr>
        <w:t xml:space="preserve">specific and variable, with pharmacological approaches limited to symptom management rather than core traits, highlighting the importance of environmental adaptations and communication accessibility (Fuentes, </w:t>
      </w:r>
      <w:proofErr w:type="spellStart"/>
      <w:r w:rsidRPr="00BB2B80">
        <w:rPr>
          <w:rFonts w:ascii="Arial" w:hAnsi="Arial" w:cs="Arial"/>
          <w:sz w:val="22"/>
          <w:szCs w:val="22"/>
        </w:rPr>
        <w:t>Hervás</w:t>
      </w:r>
      <w:proofErr w:type="spellEnd"/>
      <w:r w:rsidRPr="00BB2B80">
        <w:rPr>
          <w:rFonts w:ascii="Arial" w:hAnsi="Arial" w:cs="Arial"/>
          <w:sz w:val="22"/>
          <w:szCs w:val="22"/>
        </w:rPr>
        <w:t xml:space="preserve"> &amp; Howlin, 2021; Volkmar, Pelphrey &amp; </w:t>
      </w:r>
      <w:proofErr w:type="spellStart"/>
      <w:r w:rsidRPr="00BB2B80">
        <w:rPr>
          <w:rFonts w:ascii="Arial" w:hAnsi="Arial" w:cs="Arial"/>
          <w:sz w:val="22"/>
          <w:szCs w:val="22"/>
        </w:rPr>
        <w:t>Vivanti</w:t>
      </w:r>
      <w:proofErr w:type="spellEnd"/>
      <w:r w:rsidRPr="00BB2B80">
        <w:rPr>
          <w:rFonts w:ascii="Arial" w:hAnsi="Arial" w:cs="Arial"/>
          <w:sz w:val="22"/>
          <w:szCs w:val="22"/>
        </w:rPr>
        <w:t>, 2025). Neurodiversity frameworks challenge deficit</w:t>
      </w:r>
      <w:r w:rsidRPr="00BB2B80">
        <w:rPr>
          <w:rFonts w:ascii="Cambria Math" w:hAnsi="Cambria Math" w:cs="Cambria Math"/>
          <w:sz w:val="22"/>
          <w:szCs w:val="22"/>
        </w:rPr>
        <w:t>‑</w:t>
      </w:r>
      <w:r w:rsidRPr="00BB2B80">
        <w:rPr>
          <w:rFonts w:ascii="Arial" w:hAnsi="Arial" w:cs="Arial"/>
          <w:sz w:val="22"/>
          <w:szCs w:val="22"/>
        </w:rPr>
        <w:t>based models, advocating strengths</w:t>
      </w:r>
      <w:r w:rsidRPr="00BB2B80">
        <w:rPr>
          <w:rFonts w:ascii="Cambria Math" w:hAnsi="Cambria Math" w:cs="Cambria Math"/>
          <w:sz w:val="22"/>
          <w:szCs w:val="22"/>
        </w:rPr>
        <w:t>‑</w:t>
      </w:r>
      <w:r w:rsidRPr="00BB2B80">
        <w:rPr>
          <w:rFonts w:ascii="Arial" w:hAnsi="Arial" w:cs="Arial"/>
          <w:sz w:val="22"/>
          <w:szCs w:val="22"/>
        </w:rPr>
        <w:t xml:space="preserve">based and participatory approaches that </w:t>
      </w:r>
      <w:r w:rsidR="00BB2B80">
        <w:rPr>
          <w:rFonts w:ascii="Arial" w:hAnsi="Arial" w:cs="Arial"/>
          <w:sz w:val="22"/>
          <w:szCs w:val="22"/>
        </w:rPr>
        <w:t>prioritise</w:t>
      </w:r>
      <w:r w:rsidRPr="00BB2B80">
        <w:rPr>
          <w:rFonts w:ascii="Arial" w:hAnsi="Arial" w:cs="Arial"/>
          <w:sz w:val="22"/>
          <w:szCs w:val="22"/>
        </w:rPr>
        <w:t xml:space="preserve"> autonomy and inclusion (Boucher, 2022; National Autistic Society, n.d.).</w:t>
      </w:r>
    </w:p>
    <w:p w14:paraId="4F7597D5" w14:textId="3EA16424" w:rsidR="008A6D32" w:rsidRPr="00BB2B80" w:rsidRDefault="00A47690" w:rsidP="00BB2B80">
      <w:pPr>
        <w:pStyle w:val="NormalWeb"/>
        <w:spacing w:before="0" w:beforeAutospacing="0" w:after="0" w:afterAutospacing="0" w:line="360" w:lineRule="auto"/>
        <w:rPr>
          <w:rFonts w:ascii="Arial" w:hAnsi="Arial" w:cs="Arial"/>
          <w:sz w:val="22"/>
          <w:szCs w:val="22"/>
        </w:rPr>
      </w:pPr>
      <w:r w:rsidRPr="00BB2B80">
        <w:rPr>
          <w:rFonts w:ascii="Arial" w:hAnsi="Arial" w:cs="Arial"/>
          <w:sz w:val="22"/>
          <w:szCs w:val="22"/>
        </w:rPr>
        <w:t xml:space="preserve">Policy is shifting toward neuroaffirmative care, </w:t>
      </w:r>
      <w:r w:rsidR="00BB2B80">
        <w:rPr>
          <w:rFonts w:ascii="Arial" w:hAnsi="Arial" w:cs="Arial"/>
          <w:sz w:val="22"/>
          <w:szCs w:val="22"/>
        </w:rPr>
        <w:t>emphasising</w:t>
      </w:r>
      <w:r w:rsidRPr="00BB2B80">
        <w:rPr>
          <w:rFonts w:ascii="Arial" w:hAnsi="Arial" w:cs="Arial"/>
          <w:sz w:val="22"/>
          <w:szCs w:val="22"/>
        </w:rPr>
        <w:t xml:space="preserve"> early adjustments and co</w:t>
      </w:r>
      <w:r w:rsidRPr="00BB2B80">
        <w:rPr>
          <w:rFonts w:ascii="Cambria Math" w:hAnsi="Cambria Math" w:cs="Cambria Math"/>
          <w:sz w:val="22"/>
          <w:szCs w:val="22"/>
        </w:rPr>
        <w:t>‑</w:t>
      </w:r>
      <w:r w:rsidRPr="00BB2B80">
        <w:rPr>
          <w:rFonts w:ascii="Arial" w:hAnsi="Arial" w:cs="Arial"/>
          <w:sz w:val="22"/>
          <w:szCs w:val="22"/>
        </w:rPr>
        <w:t xml:space="preserve">production, yet implementation remains inconsistent due to diagnostic bottlenecks and service fragmentation (NHS England, 2022; Lindly et al., 2024). Future priorities include integrating functional specifiers, embedding neurodiversity principles, and advancing pragmatic research focused on quality of life and participation (Volkmar, Pelphrey &amp; </w:t>
      </w:r>
      <w:proofErr w:type="spellStart"/>
      <w:r w:rsidRPr="00BB2B80">
        <w:rPr>
          <w:rFonts w:ascii="Arial" w:hAnsi="Arial" w:cs="Arial"/>
          <w:sz w:val="22"/>
          <w:szCs w:val="22"/>
        </w:rPr>
        <w:t>Vivanti</w:t>
      </w:r>
      <w:proofErr w:type="spellEnd"/>
      <w:r w:rsidRPr="00BB2B80">
        <w:rPr>
          <w:rFonts w:ascii="Arial" w:hAnsi="Arial" w:cs="Arial"/>
          <w:sz w:val="22"/>
          <w:szCs w:val="22"/>
        </w:rPr>
        <w:t xml:space="preserve">, 2025; Fuentes, </w:t>
      </w:r>
      <w:proofErr w:type="spellStart"/>
      <w:r w:rsidRPr="00BB2B80">
        <w:rPr>
          <w:rFonts w:ascii="Arial" w:hAnsi="Arial" w:cs="Arial"/>
          <w:sz w:val="22"/>
          <w:szCs w:val="22"/>
        </w:rPr>
        <w:t>Hervás</w:t>
      </w:r>
      <w:proofErr w:type="spellEnd"/>
      <w:r w:rsidRPr="00BB2B80">
        <w:rPr>
          <w:rFonts w:ascii="Arial" w:hAnsi="Arial" w:cs="Arial"/>
          <w:sz w:val="22"/>
          <w:szCs w:val="22"/>
        </w:rPr>
        <w:t xml:space="preserve"> &amp; Howlin, 2021). In sum, ASD care requires both diagnostic clarity and neurodiversity</w:t>
      </w:r>
      <w:r w:rsidRPr="00BB2B80">
        <w:rPr>
          <w:rFonts w:ascii="Cambria Math" w:hAnsi="Cambria Math" w:cs="Cambria Math"/>
          <w:sz w:val="22"/>
          <w:szCs w:val="22"/>
        </w:rPr>
        <w:t>‑</w:t>
      </w:r>
      <w:r w:rsidRPr="00BB2B80">
        <w:rPr>
          <w:rFonts w:ascii="Arial" w:hAnsi="Arial" w:cs="Arial"/>
          <w:sz w:val="22"/>
          <w:szCs w:val="22"/>
        </w:rPr>
        <w:t>affirming practice to ensure meaningful outcomes for autistic individuals and their families (Boucher, 2022; NHS England, 2022).</w:t>
      </w:r>
    </w:p>
    <w:p w14:paraId="7AD2E81E" w14:textId="77777777" w:rsidR="008A6D32" w:rsidRPr="00BB2B80" w:rsidRDefault="008A6D32" w:rsidP="00BB2B80">
      <w:pPr>
        <w:pStyle w:val="NormalWeb"/>
        <w:spacing w:before="0" w:beforeAutospacing="0" w:after="0" w:afterAutospacing="0" w:line="360" w:lineRule="auto"/>
        <w:rPr>
          <w:rFonts w:ascii="Arial" w:hAnsi="Arial" w:cs="Arial"/>
          <w:sz w:val="22"/>
          <w:szCs w:val="22"/>
        </w:rPr>
      </w:pPr>
    </w:p>
    <w:p w14:paraId="464E4062" w14:textId="02CAC658" w:rsidR="008A6D32" w:rsidRPr="008A6D32" w:rsidRDefault="008A6D32" w:rsidP="00BB2B80">
      <w:pPr>
        <w:pStyle w:val="Heading1"/>
      </w:pPr>
      <w:bookmarkStart w:id="13" w:name="_Toc216899654"/>
      <w:r w:rsidRPr="008A6D32">
        <w:lastRenderedPageBreak/>
        <w:t>References</w:t>
      </w:r>
      <w:bookmarkEnd w:id="13"/>
      <w:r w:rsidRPr="008A6D32">
        <w:t xml:space="preserve"> </w:t>
      </w:r>
    </w:p>
    <w:p w14:paraId="7C8019A5" w14:textId="36A723DD" w:rsidR="00486491" w:rsidRPr="007A1CC8" w:rsidRDefault="00486491" w:rsidP="00155F01">
      <w:pPr>
        <w:numPr>
          <w:ilvl w:val="0"/>
          <w:numId w:val="1"/>
        </w:numPr>
        <w:spacing w:line="360" w:lineRule="auto"/>
        <w:rPr>
          <w:rFonts w:ascii="Arial" w:eastAsia="Times New Roman" w:hAnsi="Arial" w:cs="Arial"/>
          <w:kern w:val="0"/>
          <w:sz w:val="22"/>
          <w:szCs w:val="22"/>
          <w:lang w:eastAsia="en-GB"/>
          <w14:ligatures w14:val="none"/>
        </w:rPr>
      </w:pPr>
      <w:r w:rsidRPr="00E426C5">
        <w:rPr>
          <w:rFonts w:ascii="Arial" w:eastAsia="Times New Roman" w:hAnsi="Arial" w:cs="Arial"/>
          <w:kern w:val="0"/>
          <w:sz w:val="22"/>
          <w:szCs w:val="22"/>
          <w:lang w:eastAsia="en-GB"/>
          <w14:ligatures w14:val="none"/>
        </w:rPr>
        <w:t xml:space="preserve">Ambitious about Autism (2025) Autism in education report. London: Ambitious about Autism. Available at: </w:t>
      </w:r>
      <w:hyperlink r:id="rId12" w:history="1">
        <w:r w:rsidRPr="00E426C5">
          <w:rPr>
            <w:rFonts w:ascii="Arial" w:eastAsia="Times New Roman" w:hAnsi="Arial" w:cs="Arial"/>
            <w:color w:val="EE0000"/>
            <w:kern w:val="0"/>
            <w:sz w:val="22"/>
            <w:szCs w:val="22"/>
            <w:u w:val="single"/>
            <w:lang w:eastAsia="en-GB"/>
            <w14:ligatures w14:val="none"/>
          </w:rPr>
          <w:t>https://www.ambitiousaboutautism.org.uk/sites/default/files/reports/files/ambitious-about-autism-autism-in-education-report-may-2025.pdf</w:t>
        </w:r>
      </w:hyperlink>
      <w:r w:rsidRPr="00E426C5">
        <w:rPr>
          <w:rFonts w:ascii="Arial" w:eastAsia="Times New Roman" w:hAnsi="Arial" w:cs="Arial"/>
          <w:kern w:val="0"/>
          <w:sz w:val="22"/>
          <w:szCs w:val="22"/>
          <w:lang w:eastAsia="en-GB"/>
          <w14:ligatures w14:val="none"/>
        </w:rPr>
        <w:t xml:space="preserve"> (Accessed: </w:t>
      </w:r>
      <w:r w:rsidR="005A01E4" w:rsidRPr="007A1CC8">
        <w:rPr>
          <w:rFonts w:ascii="Arial" w:eastAsia="Times New Roman" w:hAnsi="Arial" w:cs="Arial"/>
          <w:kern w:val="0"/>
          <w:sz w:val="22"/>
          <w:szCs w:val="22"/>
          <w:lang w:eastAsia="en-GB"/>
          <w14:ligatures w14:val="none"/>
        </w:rPr>
        <w:t>0</w:t>
      </w:r>
      <w:r w:rsidRPr="00E426C5">
        <w:rPr>
          <w:rFonts w:ascii="Arial" w:eastAsia="Times New Roman" w:hAnsi="Arial" w:cs="Arial"/>
          <w:kern w:val="0"/>
          <w:sz w:val="22"/>
          <w:szCs w:val="22"/>
          <w:lang w:eastAsia="en-GB"/>
          <w14:ligatures w14:val="none"/>
        </w:rPr>
        <w:t>7 December 2025).</w:t>
      </w:r>
    </w:p>
    <w:p w14:paraId="7956D4D9" w14:textId="4396FD89" w:rsidR="00C0504B" w:rsidRPr="007A1CC8" w:rsidRDefault="00C0504B" w:rsidP="00155F01">
      <w:pPr>
        <w:pStyle w:val="ListParagraph"/>
        <w:numPr>
          <w:ilvl w:val="0"/>
          <w:numId w:val="1"/>
        </w:numPr>
        <w:spacing w:line="360" w:lineRule="auto"/>
        <w:rPr>
          <w:rFonts w:ascii="Arial" w:eastAsia="Times New Roman" w:hAnsi="Arial" w:cs="Arial"/>
          <w:kern w:val="0"/>
          <w:sz w:val="22"/>
          <w:szCs w:val="22"/>
          <w:lang w:eastAsia="en-GB"/>
          <w14:ligatures w14:val="none"/>
        </w:rPr>
      </w:pPr>
      <w:r w:rsidRPr="007A1CC8">
        <w:rPr>
          <w:rFonts w:ascii="Arial" w:eastAsia="Times New Roman" w:hAnsi="Arial" w:cs="Arial"/>
          <w:kern w:val="0"/>
          <w:sz w:val="22"/>
          <w:szCs w:val="22"/>
          <w:lang w:eastAsia="en-GB"/>
          <w14:ligatures w14:val="none"/>
        </w:rPr>
        <w:t xml:space="preserve">Aspect (n.d.) Autism and neurodiversity: common terms explained. Sydney: Aspect. Available at: </w:t>
      </w:r>
      <w:hyperlink r:id="rId13" w:history="1">
        <w:r w:rsidRPr="007C449C">
          <w:rPr>
            <w:rFonts w:ascii="Arial" w:eastAsia="Times New Roman" w:hAnsi="Arial" w:cs="Arial"/>
            <w:color w:val="EE0000"/>
            <w:kern w:val="0"/>
            <w:sz w:val="22"/>
            <w:szCs w:val="22"/>
            <w:u w:val="single"/>
            <w:lang w:eastAsia="en-GB"/>
            <w14:ligatures w14:val="none"/>
          </w:rPr>
          <w:t>https://www.aspect.org.au/uploads/documents/Information-Sheets/Autismand-Neurodiversity-Common-Terms.pdf</w:t>
        </w:r>
      </w:hyperlink>
      <w:r w:rsidRPr="007C449C">
        <w:rPr>
          <w:rFonts w:ascii="Arial" w:eastAsia="Times New Roman" w:hAnsi="Arial" w:cs="Arial"/>
          <w:color w:val="EE0000"/>
          <w:kern w:val="0"/>
          <w:sz w:val="22"/>
          <w:szCs w:val="22"/>
          <w:lang w:eastAsia="en-GB"/>
          <w14:ligatures w14:val="none"/>
        </w:rPr>
        <w:t xml:space="preserve"> </w:t>
      </w:r>
      <w:r w:rsidRPr="007A1CC8">
        <w:rPr>
          <w:rFonts w:ascii="Arial" w:eastAsia="Times New Roman" w:hAnsi="Arial" w:cs="Arial"/>
          <w:kern w:val="0"/>
          <w:sz w:val="22"/>
          <w:szCs w:val="22"/>
          <w:lang w:eastAsia="en-GB"/>
          <w14:ligatures w14:val="none"/>
        </w:rPr>
        <w:t xml:space="preserve">(Accessed: </w:t>
      </w:r>
      <w:r w:rsidR="005A01E4" w:rsidRPr="007A1CC8">
        <w:rPr>
          <w:rFonts w:ascii="Arial" w:eastAsia="Times New Roman" w:hAnsi="Arial" w:cs="Arial"/>
          <w:kern w:val="0"/>
          <w:sz w:val="22"/>
          <w:szCs w:val="22"/>
          <w:lang w:eastAsia="en-GB"/>
          <w14:ligatures w14:val="none"/>
        </w:rPr>
        <w:t>0</w:t>
      </w:r>
      <w:r w:rsidRPr="007A1CC8">
        <w:rPr>
          <w:rFonts w:ascii="Arial" w:eastAsia="Times New Roman" w:hAnsi="Arial" w:cs="Arial"/>
          <w:kern w:val="0"/>
          <w:sz w:val="22"/>
          <w:szCs w:val="22"/>
          <w:lang w:eastAsia="en-GB"/>
          <w14:ligatures w14:val="none"/>
        </w:rPr>
        <w:t>7 December 2025).</w:t>
      </w:r>
    </w:p>
    <w:p w14:paraId="3372AC41" w14:textId="77777777" w:rsidR="00016A2C" w:rsidRPr="007A1CC8" w:rsidRDefault="00016A2C" w:rsidP="00155F01">
      <w:pPr>
        <w:pStyle w:val="ListParagraph"/>
        <w:numPr>
          <w:ilvl w:val="0"/>
          <w:numId w:val="1"/>
        </w:numPr>
        <w:spacing w:line="360" w:lineRule="auto"/>
        <w:rPr>
          <w:rFonts w:ascii="Arial" w:hAnsi="Arial" w:cs="Arial"/>
          <w:sz w:val="22"/>
          <w:szCs w:val="22"/>
        </w:rPr>
      </w:pPr>
      <w:r w:rsidRPr="007A1CC8">
        <w:rPr>
          <w:rFonts w:ascii="Arial" w:hAnsi="Arial" w:cs="Arial"/>
          <w:sz w:val="22"/>
          <w:szCs w:val="22"/>
        </w:rPr>
        <w:t xml:space="preserve">Boucher, J. (2022) </w:t>
      </w:r>
      <w:proofErr w:type="gramStart"/>
      <w:r w:rsidRPr="007A1CC8">
        <w:rPr>
          <w:rStyle w:val="Emphasis"/>
          <w:rFonts w:ascii="Arial" w:hAnsi="Arial" w:cs="Arial"/>
          <w:sz w:val="22"/>
          <w:szCs w:val="22"/>
        </w:rPr>
        <w:t>Autism Spectrum Disorders</w:t>
      </w:r>
      <w:proofErr w:type="gramEnd"/>
      <w:r w:rsidRPr="007A1CC8">
        <w:rPr>
          <w:rStyle w:val="Emphasis"/>
          <w:rFonts w:ascii="Arial" w:hAnsi="Arial" w:cs="Arial"/>
          <w:sz w:val="22"/>
          <w:szCs w:val="22"/>
        </w:rPr>
        <w:t>: Characteristics, Causes and Practical Issues</w:t>
      </w:r>
      <w:r w:rsidRPr="007A1CC8">
        <w:rPr>
          <w:rFonts w:ascii="Arial" w:hAnsi="Arial" w:cs="Arial"/>
          <w:sz w:val="22"/>
          <w:szCs w:val="22"/>
        </w:rPr>
        <w:t xml:space="preserve">. 3rd </w:t>
      </w:r>
      <w:proofErr w:type="spellStart"/>
      <w:r w:rsidRPr="007A1CC8">
        <w:rPr>
          <w:rFonts w:ascii="Arial" w:hAnsi="Arial" w:cs="Arial"/>
          <w:sz w:val="22"/>
          <w:szCs w:val="22"/>
        </w:rPr>
        <w:t>edn</w:t>
      </w:r>
      <w:proofErr w:type="spellEnd"/>
      <w:r w:rsidRPr="007A1CC8">
        <w:rPr>
          <w:rFonts w:ascii="Arial" w:hAnsi="Arial" w:cs="Arial"/>
          <w:sz w:val="22"/>
          <w:szCs w:val="22"/>
        </w:rPr>
        <w:t>. London: SAGE Publications Ltd.</w:t>
      </w:r>
    </w:p>
    <w:p w14:paraId="7D973904" w14:textId="2E25D595" w:rsidR="00015AD3" w:rsidRPr="00E426C5" w:rsidRDefault="00015AD3" w:rsidP="00155F01">
      <w:pPr>
        <w:numPr>
          <w:ilvl w:val="0"/>
          <w:numId w:val="1"/>
        </w:numPr>
        <w:spacing w:line="360" w:lineRule="auto"/>
        <w:rPr>
          <w:rFonts w:ascii="Arial" w:eastAsia="Times New Roman" w:hAnsi="Arial" w:cs="Arial"/>
          <w:kern w:val="0"/>
          <w:sz w:val="22"/>
          <w:szCs w:val="22"/>
          <w:lang w:eastAsia="en-GB"/>
          <w14:ligatures w14:val="none"/>
        </w:rPr>
      </w:pPr>
      <w:r w:rsidRPr="00E426C5">
        <w:rPr>
          <w:rFonts w:ascii="Arial" w:eastAsia="Times New Roman" w:hAnsi="Arial" w:cs="Arial"/>
          <w:kern w:val="0"/>
          <w:sz w:val="22"/>
          <w:szCs w:val="22"/>
          <w:lang w:eastAsia="en-GB"/>
          <w14:ligatures w14:val="none"/>
        </w:rPr>
        <w:t xml:space="preserve">Department of Health and Social Care (2022) The national autism strategy: update from central government. London: DHSC. Available at: </w:t>
      </w:r>
      <w:hyperlink r:id="rId14" w:history="1">
        <w:r w:rsidRPr="00E426C5">
          <w:rPr>
            <w:rFonts w:ascii="Arial" w:eastAsia="Times New Roman" w:hAnsi="Arial" w:cs="Arial"/>
            <w:color w:val="EE0000"/>
            <w:kern w:val="0"/>
            <w:sz w:val="22"/>
            <w:szCs w:val="22"/>
            <w:u w:val="single"/>
            <w:lang w:eastAsia="en-GB"/>
            <w14:ligatures w14:val="none"/>
          </w:rPr>
          <w:t>https://www.local.gov.uk/sites/default/files/documents/Anna%20Bailey-Bearfield%2C%20DHSC.pdf</w:t>
        </w:r>
      </w:hyperlink>
      <w:r w:rsidRPr="00E426C5">
        <w:rPr>
          <w:rFonts w:ascii="Arial" w:eastAsia="Times New Roman" w:hAnsi="Arial" w:cs="Arial"/>
          <w:kern w:val="0"/>
          <w:sz w:val="22"/>
          <w:szCs w:val="22"/>
          <w:lang w:eastAsia="en-GB"/>
          <w14:ligatures w14:val="none"/>
        </w:rPr>
        <w:t xml:space="preserve"> (Accessed: </w:t>
      </w:r>
      <w:r w:rsidR="005A01E4" w:rsidRPr="007A1CC8">
        <w:rPr>
          <w:rFonts w:ascii="Arial" w:eastAsia="Times New Roman" w:hAnsi="Arial" w:cs="Arial"/>
          <w:kern w:val="0"/>
          <w:sz w:val="22"/>
          <w:szCs w:val="22"/>
          <w:lang w:eastAsia="en-GB"/>
          <w14:ligatures w14:val="none"/>
        </w:rPr>
        <w:t>0</w:t>
      </w:r>
      <w:r w:rsidRPr="00E426C5">
        <w:rPr>
          <w:rFonts w:ascii="Arial" w:eastAsia="Times New Roman" w:hAnsi="Arial" w:cs="Arial"/>
          <w:kern w:val="0"/>
          <w:sz w:val="22"/>
          <w:szCs w:val="22"/>
          <w:lang w:eastAsia="en-GB"/>
          <w14:ligatures w14:val="none"/>
        </w:rPr>
        <w:t>7 December 2025).</w:t>
      </w:r>
    </w:p>
    <w:p w14:paraId="24521666" w14:textId="77777777" w:rsidR="00457145" w:rsidRPr="00E426C5" w:rsidRDefault="00457145" w:rsidP="00155F01">
      <w:pPr>
        <w:numPr>
          <w:ilvl w:val="0"/>
          <w:numId w:val="1"/>
        </w:numPr>
        <w:spacing w:line="360" w:lineRule="auto"/>
        <w:rPr>
          <w:rFonts w:ascii="Arial" w:hAnsi="Arial" w:cs="Arial"/>
          <w:sz w:val="22"/>
          <w:szCs w:val="22"/>
        </w:rPr>
      </w:pPr>
      <w:r w:rsidRPr="00E426C5">
        <w:rPr>
          <w:rFonts w:ascii="Arial" w:hAnsi="Arial" w:cs="Arial"/>
          <w:sz w:val="22"/>
          <w:szCs w:val="22"/>
        </w:rPr>
        <w:t xml:space="preserve">Fuentes, J., </w:t>
      </w:r>
      <w:proofErr w:type="spellStart"/>
      <w:r w:rsidRPr="00E426C5">
        <w:rPr>
          <w:rFonts w:ascii="Arial" w:hAnsi="Arial" w:cs="Arial"/>
          <w:sz w:val="22"/>
          <w:szCs w:val="22"/>
        </w:rPr>
        <w:t>Hervás</w:t>
      </w:r>
      <w:proofErr w:type="spellEnd"/>
      <w:r w:rsidRPr="00E426C5">
        <w:rPr>
          <w:rFonts w:ascii="Arial" w:hAnsi="Arial" w:cs="Arial"/>
          <w:sz w:val="22"/>
          <w:szCs w:val="22"/>
        </w:rPr>
        <w:t>, A. and Howlin, P. (2021) ‘ESCAP practice guidance for autism: a summary of evidence</w:t>
      </w:r>
      <w:r w:rsidRPr="00E426C5">
        <w:rPr>
          <w:rFonts w:ascii="Arial" w:hAnsi="Arial" w:cs="Arial"/>
          <w:sz w:val="22"/>
          <w:szCs w:val="22"/>
        </w:rPr>
        <w:noBreakHyphen/>
        <w:t>based recommendations for diagnosis and treatment’, European Child &amp; Adolescent Psychiatry, 30, pp. 961–984.</w:t>
      </w:r>
    </w:p>
    <w:p w14:paraId="048C2A8E" w14:textId="5BB7971C" w:rsidR="00720502" w:rsidRPr="00E426C5" w:rsidRDefault="00720502" w:rsidP="00155F01">
      <w:pPr>
        <w:numPr>
          <w:ilvl w:val="0"/>
          <w:numId w:val="1"/>
        </w:numPr>
        <w:spacing w:line="360" w:lineRule="auto"/>
        <w:rPr>
          <w:rFonts w:ascii="Arial" w:eastAsia="Times New Roman" w:hAnsi="Arial" w:cs="Arial"/>
          <w:kern w:val="0"/>
          <w:sz w:val="22"/>
          <w:szCs w:val="22"/>
          <w:lang w:eastAsia="en-GB"/>
          <w14:ligatures w14:val="none"/>
        </w:rPr>
      </w:pPr>
      <w:r w:rsidRPr="00E426C5">
        <w:rPr>
          <w:rFonts w:ascii="Arial" w:eastAsia="Times New Roman" w:hAnsi="Arial" w:cs="Arial"/>
          <w:kern w:val="0"/>
          <w:sz w:val="22"/>
          <w:szCs w:val="22"/>
          <w:lang w:eastAsia="en-GB"/>
          <w14:ligatures w14:val="none"/>
        </w:rPr>
        <w:t xml:space="preserve">Gallagher, L. and McGrath, J. (2022) ‘Autism spectrum disorders: current issues and future directions’, Irish Journal of Psychological Medicine, 39(3). Cambridge: Cambridge University Press. Available at: </w:t>
      </w:r>
      <w:hyperlink r:id="rId15" w:history="1">
        <w:r w:rsidRPr="00E426C5">
          <w:rPr>
            <w:rFonts w:ascii="Arial" w:eastAsia="Times New Roman" w:hAnsi="Arial" w:cs="Arial"/>
            <w:color w:val="EE0000"/>
            <w:kern w:val="0"/>
            <w:sz w:val="22"/>
            <w:szCs w:val="22"/>
            <w:u w:val="single"/>
            <w:lang w:eastAsia="en-GB"/>
            <w14:ligatures w14:val="none"/>
          </w:rPr>
          <w:t>https://www.cambridge.org/core/journals/irish-journal-of-psychological-medicine/article/autism-spectrum-disorders-current-issues-and-future-directions/ED00F8E8FA48910CD814968A9866DE46</w:t>
        </w:r>
      </w:hyperlink>
      <w:r w:rsidRPr="00E426C5">
        <w:rPr>
          <w:rFonts w:ascii="Arial" w:eastAsia="Times New Roman" w:hAnsi="Arial" w:cs="Arial"/>
          <w:kern w:val="0"/>
          <w:sz w:val="22"/>
          <w:szCs w:val="22"/>
          <w:lang w:eastAsia="en-GB"/>
          <w14:ligatures w14:val="none"/>
        </w:rPr>
        <w:t xml:space="preserve"> (Accessed: </w:t>
      </w:r>
      <w:r w:rsidR="005A01E4" w:rsidRPr="007A1CC8">
        <w:rPr>
          <w:rFonts w:ascii="Arial" w:eastAsia="Times New Roman" w:hAnsi="Arial" w:cs="Arial"/>
          <w:kern w:val="0"/>
          <w:sz w:val="22"/>
          <w:szCs w:val="22"/>
          <w:lang w:eastAsia="en-GB"/>
          <w14:ligatures w14:val="none"/>
        </w:rPr>
        <w:t>08</w:t>
      </w:r>
      <w:r w:rsidRPr="00E426C5">
        <w:rPr>
          <w:rFonts w:ascii="Arial" w:eastAsia="Times New Roman" w:hAnsi="Arial" w:cs="Arial"/>
          <w:kern w:val="0"/>
          <w:sz w:val="22"/>
          <w:szCs w:val="22"/>
          <w:lang w:eastAsia="en-GB"/>
          <w14:ligatures w14:val="none"/>
        </w:rPr>
        <w:t xml:space="preserve"> December 2025).</w:t>
      </w:r>
    </w:p>
    <w:p w14:paraId="55D26C28" w14:textId="77777777" w:rsidR="00720502" w:rsidRPr="007A1CC8" w:rsidRDefault="00720502" w:rsidP="00155F01">
      <w:pPr>
        <w:spacing w:line="360" w:lineRule="auto"/>
        <w:ind w:left="720"/>
        <w:rPr>
          <w:rFonts w:ascii="Arial" w:hAnsi="Arial" w:cs="Arial"/>
          <w:sz w:val="22"/>
          <w:szCs w:val="22"/>
        </w:rPr>
      </w:pPr>
    </w:p>
    <w:p w14:paraId="7C32083E" w14:textId="4BF01E97" w:rsidR="00457145" w:rsidRPr="00E426C5" w:rsidRDefault="00457145" w:rsidP="00155F01">
      <w:pPr>
        <w:numPr>
          <w:ilvl w:val="0"/>
          <w:numId w:val="1"/>
        </w:numPr>
        <w:spacing w:line="360" w:lineRule="auto"/>
        <w:rPr>
          <w:rFonts w:ascii="Arial" w:hAnsi="Arial" w:cs="Arial"/>
          <w:sz w:val="22"/>
          <w:szCs w:val="22"/>
        </w:rPr>
      </w:pPr>
      <w:r w:rsidRPr="00E426C5">
        <w:rPr>
          <w:rFonts w:ascii="Arial" w:hAnsi="Arial" w:cs="Arial"/>
          <w:sz w:val="22"/>
          <w:szCs w:val="22"/>
        </w:rPr>
        <w:t>Greaves</w:t>
      </w:r>
      <w:r w:rsidRPr="00E426C5">
        <w:rPr>
          <w:rFonts w:ascii="Arial" w:hAnsi="Arial" w:cs="Arial"/>
          <w:sz w:val="22"/>
          <w:szCs w:val="22"/>
        </w:rPr>
        <w:noBreakHyphen/>
        <w:t>Lord, K., Skuse, D. and Mandy, W. (2022) ‘Innovations of the ICD</w:t>
      </w:r>
      <w:r w:rsidRPr="00E426C5">
        <w:rPr>
          <w:rFonts w:ascii="Arial" w:hAnsi="Arial" w:cs="Arial"/>
          <w:sz w:val="22"/>
          <w:szCs w:val="22"/>
        </w:rPr>
        <w:noBreakHyphen/>
        <w:t>11 in the field of autism spectrum disorder: a psychological approach’, Clinical Psychology in Europe, 4(SI), e10005.</w:t>
      </w:r>
    </w:p>
    <w:p w14:paraId="558E57AD" w14:textId="606BFD4C" w:rsidR="00AC244E" w:rsidRPr="00E426C5" w:rsidRDefault="00AC244E" w:rsidP="00155F01">
      <w:pPr>
        <w:numPr>
          <w:ilvl w:val="0"/>
          <w:numId w:val="1"/>
        </w:numPr>
        <w:spacing w:line="360" w:lineRule="auto"/>
        <w:rPr>
          <w:rFonts w:ascii="Arial" w:eastAsia="Times New Roman" w:hAnsi="Arial" w:cs="Arial"/>
          <w:kern w:val="0"/>
          <w:sz w:val="22"/>
          <w:szCs w:val="22"/>
          <w:lang w:eastAsia="en-GB"/>
          <w14:ligatures w14:val="none"/>
        </w:rPr>
      </w:pPr>
      <w:r w:rsidRPr="00E426C5">
        <w:rPr>
          <w:rFonts w:ascii="Arial" w:eastAsia="Times New Roman" w:hAnsi="Arial" w:cs="Arial"/>
          <w:kern w:val="0"/>
          <w:sz w:val="22"/>
          <w:szCs w:val="22"/>
          <w:lang w:eastAsia="en-GB"/>
          <w14:ligatures w14:val="none"/>
        </w:rPr>
        <w:t>Lindly, O.J., Abate, D.J., Park, H.J., Kuhn, J., Fuchu, P., Feinberg, E. and Broder</w:t>
      </w:r>
      <w:r w:rsidRPr="00E426C5">
        <w:rPr>
          <w:rFonts w:ascii="Arial" w:eastAsia="Times New Roman" w:hAnsi="Arial" w:cs="Arial"/>
          <w:kern w:val="0"/>
          <w:sz w:val="22"/>
          <w:szCs w:val="22"/>
          <w:lang w:eastAsia="en-GB"/>
          <w14:ligatures w14:val="none"/>
        </w:rPr>
        <w:noBreakHyphen/>
      </w:r>
      <w:proofErr w:type="spellStart"/>
      <w:r w:rsidRPr="00E426C5">
        <w:rPr>
          <w:rFonts w:ascii="Arial" w:eastAsia="Times New Roman" w:hAnsi="Arial" w:cs="Arial"/>
          <w:kern w:val="0"/>
          <w:sz w:val="22"/>
          <w:szCs w:val="22"/>
          <w:lang w:eastAsia="en-GB"/>
          <w14:ligatures w14:val="none"/>
        </w:rPr>
        <w:t>Fingert</w:t>
      </w:r>
      <w:proofErr w:type="spellEnd"/>
      <w:r w:rsidRPr="00E426C5">
        <w:rPr>
          <w:rFonts w:ascii="Arial" w:eastAsia="Times New Roman" w:hAnsi="Arial" w:cs="Arial"/>
          <w:kern w:val="0"/>
          <w:sz w:val="22"/>
          <w:szCs w:val="22"/>
          <w:lang w:eastAsia="en-GB"/>
          <w14:ligatures w14:val="none"/>
        </w:rPr>
        <w:t xml:space="preserve">, S. (2024) ‘The influence of policy on early diagnosis and other autism services: a narrative review’, Review Journal of Autism and Developmental </w:t>
      </w:r>
      <w:r w:rsidRPr="00E426C5">
        <w:rPr>
          <w:rFonts w:ascii="Arial" w:eastAsia="Times New Roman" w:hAnsi="Arial" w:cs="Arial"/>
          <w:kern w:val="0"/>
          <w:sz w:val="22"/>
          <w:szCs w:val="22"/>
          <w:lang w:eastAsia="en-GB"/>
          <w14:ligatures w14:val="none"/>
        </w:rPr>
        <w:lastRenderedPageBreak/>
        <w:t xml:space="preserve">Disorders. Cham: Springer. Available at: </w:t>
      </w:r>
      <w:hyperlink r:id="rId16" w:history="1">
        <w:r w:rsidRPr="00E426C5">
          <w:rPr>
            <w:rFonts w:ascii="Arial" w:eastAsia="Times New Roman" w:hAnsi="Arial" w:cs="Arial"/>
            <w:color w:val="EE0000"/>
            <w:kern w:val="0"/>
            <w:sz w:val="22"/>
            <w:szCs w:val="22"/>
            <w:u w:val="single"/>
            <w:lang w:eastAsia="en-GB"/>
            <w14:ligatures w14:val="none"/>
          </w:rPr>
          <w:t>https://link.springer.com/article/10.1007/s40489-023-00423-0</w:t>
        </w:r>
      </w:hyperlink>
      <w:r w:rsidRPr="00E426C5">
        <w:rPr>
          <w:rFonts w:ascii="Arial" w:eastAsia="Times New Roman" w:hAnsi="Arial" w:cs="Arial"/>
          <w:kern w:val="0"/>
          <w:sz w:val="22"/>
          <w:szCs w:val="22"/>
          <w:lang w:eastAsia="en-GB"/>
          <w14:ligatures w14:val="none"/>
        </w:rPr>
        <w:t xml:space="preserve"> (Accessed: </w:t>
      </w:r>
      <w:r w:rsidR="005A01E4" w:rsidRPr="007A1CC8">
        <w:rPr>
          <w:rFonts w:ascii="Arial" w:eastAsia="Times New Roman" w:hAnsi="Arial" w:cs="Arial"/>
          <w:kern w:val="0"/>
          <w:sz w:val="22"/>
          <w:szCs w:val="22"/>
          <w:lang w:eastAsia="en-GB"/>
          <w14:ligatures w14:val="none"/>
        </w:rPr>
        <w:t>0</w:t>
      </w:r>
      <w:r w:rsidRPr="00E426C5">
        <w:rPr>
          <w:rFonts w:ascii="Arial" w:eastAsia="Times New Roman" w:hAnsi="Arial" w:cs="Arial"/>
          <w:kern w:val="0"/>
          <w:sz w:val="22"/>
          <w:szCs w:val="22"/>
          <w:lang w:eastAsia="en-GB"/>
          <w14:ligatures w14:val="none"/>
        </w:rPr>
        <w:t>7 December 2025).</w:t>
      </w:r>
    </w:p>
    <w:p w14:paraId="41393BD6" w14:textId="04861E7C" w:rsidR="008A6D32" w:rsidRPr="007A1CC8" w:rsidRDefault="004C321B" w:rsidP="00155F01">
      <w:pPr>
        <w:pStyle w:val="NormalWeb"/>
        <w:numPr>
          <w:ilvl w:val="0"/>
          <w:numId w:val="1"/>
        </w:numPr>
        <w:spacing w:before="0" w:beforeAutospacing="0" w:after="160" w:afterAutospacing="0" w:line="360" w:lineRule="auto"/>
        <w:rPr>
          <w:rFonts w:ascii="Arial" w:hAnsi="Arial" w:cs="Arial"/>
          <w:color w:val="000000"/>
          <w:sz w:val="22"/>
          <w:szCs w:val="22"/>
        </w:rPr>
      </w:pPr>
      <w:r w:rsidRPr="007A1CC8">
        <w:rPr>
          <w:rFonts w:ascii="Arial" w:hAnsi="Arial" w:cs="Arial"/>
          <w:sz w:val="22"/>
          <w:szCs w:val="22"/>
        </w:rPr>
        <w:t xml:space="preserve">Matson, J.L. (2016) </w:t>
      </w:r>
      <w:r w:rsidRPr="007A1CC8">
        <w:rPr>
          <w:rStyle w:val="Emphasis"/>
          <w:rFonts w:ascii="Arial" w:eastAsiaTheme="majorEastAsia" w:hAnsi="Arial" w:cs="Arial"/>
          <w:sz w:val="22"/>
          <w:szCs w:val="22"/>
        </w:rPr>
        <w:t>Handbook of Assessment and Diagnosis of Autism Spectrum Disorder</w:t>
      </w:r>
      <w:r w:rsidRPr="007A1CC8">
        <w:rPr>
          <w:rFonts w:ascii="Arial" w:hAnsi="Arial" w:cs="Arial"/>
          <w:sz w:val="22"/>
          <w:szCs w:val="22"/>
        </w:rPr>
        <w:t>. Cham: Springer</w:t>
      </w:r>
    </w:p>
    <w:p w14:paraId="0D0DFBC4" w14:textId="4D67D883" w:rsidR="006F24DD" w:rsidRPr="00E426C5" w:rsidRDefault="006F24DD" w:rsidP="00155F01">
      <w:pPr>
        <w:numPr>
          <w:ilvl w:val="0"/>
          <w:numId w:val="1"/>
        </w:numPr>
        <w:spacing w:line="360" w:lineRule="auto"/>
        <w:rPr>
          <w:rFonts w:ascii="Arial" w:eastAsia="Times New Roman" w:hAnsi="Arial" w:cs="Arial"/>
          <w:kern w:val="0"/>
          <w:sz w:val="22"/>
          <w:szCs w:val="22"/>
          <w:lang w:eastAsia="en-GB"/>
          <w14:ligatures w14:val="none"/>
        </w:rPr>
      </w:pPr>
      <w:r w:rsidRPr="00E426C5">
        <w:rPr>
          <w:rFonts w:ascii="Arial" w:eastAsia="Times New Roman" w:hAnsi="Arial" w:cs="Arial"/>
          <w:kern w:val="0"/>
          <w:sz w:val="22"/>
          <w:szCs w:val="22"/>
          <w:lang w:eastAsia="en-GB"/>
          <w14:ligatures w14:val="none"/>
        </w:rPr>
        <w:t xml:space="preserve">National Autistic Society (n.d.) Autism and neurodiversity. London: NAS. Available at: </w:t>
      </w:r>
      <w:hyperlink r:id="rId17" w:history="1">
        <w:r w:rsidRPr="00E426C5">
          <w:rPr>
            <w:rFonts w:ascii="Arial" w:eastAsia="Times New Roman" w:hAnsi="Arial" w:cs="Arial"/>
            <w:color w:val="EE0000"/>
            <w:kern w:val="0"/>
            <w:sz w:val="22"/>
            <w:szCs w:val="22"/>
            <w:u w:val="single"/>
            <w:lang w:eastAsia="en-GB"/>
            <w14:ligatures w14:val="none"/>
          </w:rPr>
          <w:t>https://www.autism.org.uk/advice-and-guidance/topics/identity/autism-and-neurodiversity</w:t>
        </w:r>
      </w:hyperlink>
      <w:r w:rsidRPr="00E426C5">
        <w:rPr>
          <w:rFonts w:ascii="Arial" w:eastAsia="Times New Roman" w:hAnsi="Arial" w:cs="Arial"/>
          <w:color w:val="EE0000"/>
          <w:kern w:val="0"/>
          <w:sz w:val="22"/>
          <w:szCs w:val="22"/>
          <w:lang w:eastAsia="en-GB"/>
          <w14:ligatures w14:val="none"/>
        </w:rPr>
        <w:t xml:space="preserve"> </w:t>
      </w:r>
      <w:r w:rsidRPr="00E426C5">
        <w:rPr>
          <w:rFonts w:ascii="Arial" w:eastAsia="Times New Roman" w:hAnsi="Arial" w:cs="Arial"/>
          <w:kern w:val="0"/>
          <w:sz w:val="22"/>
          <w:szCs w:val="22"/>
          <w:lang w:eastAsia="en-GB"/>
          <w14:ligatures w14:val="none"/>
        </w:rPr>
        <w:t xml:space="preserve">(Accessed: </w:t>
      </w:r>
      <w:r w:rsidR="005A01E4" w:rsidRPr="007A1CC8">
        <w:rPr>
          <w:rFonts w:ascii="Arial" w:eastAsia="Times New Roman" w:hAnsi="Arial" w:cs="Arial"/>
          <w:kern w:val="0"/>
          <w:sz w:val="22"/>
          <w:szCs w:val="22"/>
          <w:lang w:eastAsia="en-GB"/>
          <w14:ligatures w14:val="none"/>
        </w:rPr>
        <w:t>08</w:t>
      </w:r>
      <w:r w:rsidRPr="00E426C5">
        <w:rPr>
          <w:rFonts w:ascii="Arial" w:eastAsia="Times New Roman" w:hAnsi="Arial" w:cs="Arial"/>
          <w:kern w:val="0"/>
          <w:sz w:val="22"/>
          <w:szCs w:val="22"/>
          <w:lang w:eastAsia="en-GB"/>
          <w14:ligatures w14:val="none"/>
        </w:rPr>
        <w:t xml:space="preserve"> December 2025).</w:t>
      </w:r>
    </w:p>
    <w:p w14:paraId="02BF350A" w14:textId="117BC0AB" w:rsidR="002C3ED6" w:rsidRPr="007A1CC8" w:rsidRDefault="002C3ED6" w:rsidP="00155F01">
      <w:pPr>
        <w:numPr>
          <w:ilvl w:val="0"/>
          <w:numId w:val="1"/>
        </w:numPr>
        <w:spacing w:line="360" w:lineRule="auto"/>
        <w:rPr>
          <w:rFonts w:ascii="Arial" w:eastAsia="Times New Roman" w:hAnsi="Arial" w:cs="Arial"/>
          <w:kern w:val="0"/>
          <w:sz w:val="22"/>
          <w:szCs w:val="22"/>
          <w:lang w:eastAsia="en-GB"/>
          <w14:ligatures w14:val="none"/>
        </w:rPr>
      </w:pPr>
      <w:r w:rsidRPr="007A1CC8">
        <w:rPr>
          <w:rFonts w:ascii="Arial" w:hAnsi="Arial" w:cs="Arial"/>
          <w:sz w:val="22"/>
          <w:szCs w:val="22"/>
        </w:rPr>
        <w:t>NHS England (2022) Five</w:t>
      </w:r>
      <w:r w:rsidRPr="007A1CC8">
        <w:rPr>
          <w:rFonts w:ascii="Cambria Math" w:hAnsi="Cambria Math" w:cs="Cambria Math"/>
          <w:sz w:val="22"/>
          <w:szCs w:val="22"/>
        </w:rPr>
        <w:t>‑</w:t>
      </w:r>
      <w:r w:rsidRPr="007A1CC8">
        <w:rPr>
          <w:rFonts w:ascii="Arial" w:hAnsi="Arial" w:cs="Arial"/>
          <w:sz w:val="22"/>
          <w:szCs w:val="22"/>
        </w:rPr>
        <w:t xml:space="preserve">Year NHS Autism Research Strategy for England. London: NHS England. Available at: </w:t>
      </w:r>
      <w:hyperlink r:id="rId18" w:history="1">
        <w:r w:rsidRPr="00574A95">
          <w:rPr>
            <w:rStyle w:val="Hyperlink"/>
            <w:rFonts w:ascii="Arial" w:hAnsi="Arial" w:cs="Arial"/>
            <w:color w:val="EE0000"/>
            <w:sz w:val="22"/>
            <w:szCs w:val="22"/>
          </w:rPr>
          <w:t>https://www.england.nhs.uk/wp-content/uploads/2022/03/B1004-five-year-NHS-autism-research-strategy-for-england-march-2022.pdf</w:t>
        </w:r>
      </w:hyperlink>
      <w:r w:rsidR="005A01E4" w:rsidRPr="007A1CC8">
        <w:rPr>
          <w:rFonts w:ascii="Arial" w:hAnsi="Arial" w:cs="Arial"/>
          <w:sz w:val="22"/>
          <w:szCs w:val="22"/>
        </w:rPr>
        <w:t xml:space="preserve"> </w:t>
      </w:r>
      <w:r w:rsidR="005A01E4" w:rsidRPr="00E426C5">
        <w:rPr>
          <w:rFonts w:ascii="Arial" w:eastAsia="Times New Roman" w:hAnsi="Arial" w:cs="Arial"/>
          <w:kern w:val="0"/>
          <w:sz w:val="22"/>
          <w:szCs w:val="22"/>
          <w:lang w:eastAsia="en-GB"/>
          <w14:ligatures w14:val="none"/>
        </w:rPr>
        <w:t xml:space="preserve">(Accessed: </w:t>
      </w:r>
      <w:r w:rsidR="005A01E4" w:rsidRPr="007A1CC8">
        <w:rPr>
          <w:rFonts w:ascii="Arial" w:eastAsia="Times New Roman" w:hAnsi="Arial" w:cs="Arial"/>
          <w:kern w:val="0"/>
          <w:sz w:val="22"/>
          <w:szCs w:val="22"/>
          <w:lang w:eastAsia="en-GB"/>
          <w14:ligatures w14:val="none"/>
        </w:rPr>
        <w:t>0</w:t>
      </w:r>
      <w:r w:rsidR="005A01E4" w:rsidRPr="007A1CC8">
        <w:rPr>
          <w:rFonts w:ascii="Arial" w:eastAsia="Times New Roman" w:hAnsi="Arial" w:cs="Arial"/>
          <w:kern w:val="0"/>
          <w:sz w:val="22"/>
          <w:szCs w:val="22"/>
          <w:lang w:eastAsia="en-GB"/>
          <w14:ligatures w14:val="none"/>
        </w:rPr>
        <w:t>8</w:t>
      </w:r>
      <w:r w:rsidR="005A01E4" w:rsidRPr="00E426C5">
        <w:rPr>
          <w:rFonts w:ascii="Arial" w:eastAsia="Times New Roman" w:hAnsi="Arial" w:cs="Arial"/>
          <w:kern w:val="0"/>
          <w:sz w:val="22"/>
          <w:szCs w:val="22"/>
          <w:lang w:eastAsia="en-GB"/>
          <w14:ligatures w14:val="none"/>
        </w:rPr>
        <w:t xml:space="preserve"> December 2025).</w:t>
      </w:r>
    </w:p>
    <w:p w14:paraId="0F9FDB07" w14:textId="34C456FF" w:rsidR="001629BE" w:rsidRPr="00155F01" w:rsidRDefault="001629BE" w:rsidP="00155F01">
      <w:pPr>
        <w:numPr>
          <w:ilvl w:val="0"/>
          <w:numId w:val="1"/>
        </w:numPr>
        <w:spacing w:before="240" w:after="0" w:line="360" w:lineRule="auto"/>
        <w:rPr>
          <w:rFonts w:ascii="Arial" w:eastAsia="Times New Roman" w:hAnsi="Arial" w:cs="Arial"/>
          <w:kern w:val="0"/>
          <w:sz w:val="22"/>
          <w:szCs w:val="22"/>
          <w:lang w:eastAsia="en-GB"/>
          <w14:ligatures w14:val="none"/>
        </w:rPr>
      </w:pPr>
      <w:r w:rsidRPr="00E426C5">
        <w:rPr>
          <w:rFonts w:ascii="Arial" w:hAnsi="Arial" w:cs="Arial"/>
          <w:sz w:val="22"/>
          <w:szCs w:val="22"/>
        </w:rPr>
        <w:t xml:space="preserve">NICE (2021) </w:t>
      </w:r>
      <w:proofErr w:type="gramStart"/>
      <w:r w:rsidRPr="00E426C5">
        <w:rPr>
          <w:rFonts w:ascii="Arial" w:hAnsi="Arial" w:cs="Arial"/>
          <w:sz w:val="22"/>
          <w:szCs w:val="22"/>
        </w:rPr>
        <w:t>Autism spectrum disorder</w:t>
      </w:r>
      <w:proofErr w:type="gramEnd"/>
      <w:r w:rsidRPr="00E426C5">
        <w:rPr>
          <w:rFonts w:ascii="Arial" w:hAnsi="Arial" w:cs="Arial"/>
          <w:sz w:val="22"/>
          <w:szCs w:val="22"/>
        </w:rPr>
        <w:t xml:space="preserve"> in adults: diagnosis and management. Clinical guideline CG142 (updated). London: National Institute for Health and Care Excellence.</w:t>
      </w:r>
      <w:r w:rsidRPr="007A1CC8">
        <w:rPr>
          <w:rFonts w:ascii="Arial" w:hAnsi="Arial" w:cs="Arial"/>
          <w:sz w:val="22"/>
          <w:szCs w:val="22"/>
        </w:rPr>
        <w:t xml:space="preserve"> Available at: </w:t>
      </w:r>
      <w:hyperlink r:id="rId19" w:history="1">
        <w:r w:rsidRPr="00574A95">
          <w:rPr>
            <w:rStyle w:val="Hyperlink"/>
            <w:rFonts w:ascii="Arial" w:hAnsi="Arial" w:cs="Arial"/>
            <w:color w:val="EE0000"/>
            <w:sz w:val="22"/>
            <w:szCs w:val="22"/>
          </w:rPr>
          <w:t>https://www.nice.org.uk/guidance/cg142</w:t>
        </w:r>
      </w:hyperlink>
      <w:r w:rsidR="005A01E4" w:rsidRPr="007A1CC8">
        <w:rPr>
          <w:rFonts w:ascii="Arial" w:hAnsi="Arial" w:cs="Arial"/>
          <w:sz w:val="22"/>
          <w:szCs w:val="22"/>
        </w:rPr>
        <w:t xml:space="preserve"> (</w:t>
      </w:r>
      <w:r w:rsidR="005A01E4" w:rsidRPr="00E426C5">
        <w:rPr>
          <w:rFonts w:ascii="Arial" w:eastAsia="Times New Roman" w:hAnsi="Arial" w:cs="Arial"/>
          <w:kern w:val="0"/>
          <w:sz w:val="22"/>
          <w:szCs w:val="22"/>
          <w:lang w:eastAsia="en-GB"/>
          <w14:ligatures w14:val="none"/>
        </w:rPr>
        <w:t xml:space="preserve">(Accessed: </w:t>
      </w:r>
      <w:r w:rsidR="005A01E4" w:rsidRPr="007A1CC8">
        <w:rPr>
          <w:rFonts w:ascii="Arial" w:eastAsia="Times New Roman" w:hAnsi="Arial" w:cs="Arial"/>
          <w:kern w:val="0"/>
          <w:sz w:val="22"/>
          <w:szCs w:val="22"/>
          <w:lang w:eastAsia="en-GB"/>
          <w14:ligatures w14:val="none"/>
        </w:rPr>
        <w:t>0</w:t>
      </w:r>
      <w:r w:rsidR="005A01E4" w:rsidRPr="00E426C5">
        <w:rPr>
          <w:rFonts w:ascii="Arial" w:eastAsia="Times New Roman" w:hAnsi="Arial" w:cs="Arial"/>
          <w:kern w:val="0"/>
          <w:sz w:val="22"/>
          <w:szCs w:val="22"/>
          <w:lang w:eastAsia="en-GB"/>
          <w14:ligatures w14:val="none"/>
        </w:rPr>
        <w:t>7 December 2025).</w:t>
      </w:r>
    </w:p>
    <w:p w14:paraId="7C4682BD" w14:textId="77777777" w:rsidR="00FC013A" w:rsidRPr="007A1CC8" w:rsidRDefault="00FC013A" w:rsidP="00574A95">
      <w:pPr>
        <w:pStyle w:val="ListParagraph"/>
        <w:numPr>
          <w:ilvl w:val="0"/>
          <w:numId w:val="1"/>
        </w:numPr>
        <w:spacing w:before="240" w:line="360" w:lineRule="auto"/>
        <w:rPr>
          <w:rFonts w:ascii="Arial" w:hAnsi="Arial" w:cs="Arial"/>
          <w:sz w:val="22"/>
          <w:szCs w:val="22"/>
        </w:rPr>
      </w:pPr>
      <w:r w:rsidRPr="007A1CC8">
        <w:rPr>
          <w:rFonts w:ascii="Arial" w:hAnsi="Arial" w:cs="Arial"/>
          <w:sz w:val="22"/>
          <w:szCs w:val="22"/>
        </w:rPr>
        <w:t>Porter, R. (2002) Madness: A Brief History. Oxford: Oxford University Press.</w:t>
      </w:r>
    </w:p>
    <w:p w14:paraId="637A7485" w14:textId="71533269" w:rsidR="006B7C81" w:rsidRPr="00574A95" w:rsidRDefault="006B7C81" w:rsidP="00574A95">
      <w:pPr>
        <w:numPr>
          <w:ilvl w:val="0"/>
          <w:numId w:val="1"/>
        </w:numPr>
        <w:spacing w:line="360" w:lineRule="auto"/>
        <w:rPr>
          <w:rFonts w:ascii="Arial" w:eastAsia="Times New Roman" w:hAnsi="Arial" w:cs="Arial"/>
          <w:kern w:val="0"/>
          <w:sz w:val="22"/>
          <w:szCs w:val="22"/>
          <w:lang w:eastAsia="en-GB"/>
          <w14:ligatures w14:val="none"/>
        </w:rPr>
      </w:pPr>
      <w:r w:rsidRPr="00E426C5">
        <w:rPr>
          <w:rFonts w:ascii="Arial" w:eastAsia="Times New Roman" w:hAnsi="Arial" w:cs="Arial"/>
          <w:kern w:val="0"/>
          <w:sz w:val="22"/>
          <w:szCs w:val="22"/>
          <w:lang w:eastAsia="en-GB"/>
          <w14:ligatures w14:val="none"/>
        </w:rPr>
        <w:t>Qin, L., Wang, H., Ning, W., Cui, M. and Wang, Q. (2024) ‘New advances in the diagnosis and treatment of autism spectrum disorders’, European Journal of Medical Research, 29, 322. Available at</w:t>
      </w:r>
      <w:r w:rsidRPr="00E426C5">
        <w:rPr>
          <w:rFonts w:ascii="Arial" w:eastAsia="Times New Roman" w:hAnsi="Arial" w:cs="Arial"/>
          <w:color w:val="EE0000"/>
          <w:kern w:val="0"/>
          <w:sz w:val="22"/>
          <w:szCs w:val="22"/>
          <w:lang w:eastAsia="en-GB"/>
          <w14:ligatures w14:val="none"/>
        </w:rPr>
        <w:t xml:space="preserve">: </w:t>
      </w:r>
      <w:hyperlink r:id="rId20" w:history="1">
        <w:r w:rsidRPr="00E426C5">
          <w:rPr>
            <w:rFonts w:ascii="Arial" w:eastAsia="Times New Roman" w:hAnsi="Arial" w:cs="Arial"/>
            <w:color w:val="EE0000"/>
            <w:kern w:val="0"/>
            <w:sz w:val="22"/>
            <w:szCs w:val="22"/>
            <w:u w:val="single"/>
            <w:lang w:eastAsia="en-GB"/>
            <w14:ligatures w14:val="none"/>
          </w:rPr>
          <w:t>https://link.springer.com/article/10.1186/s40001-024-01916-2</w:t>
        </w:r>
      </w:hyperlink>
      <w:r w:rsidRPr="00E426C5">
        <w:rPr>
          <w:rFonts w:ascii="Arial" w:eastAsia="Times New Roman" w:hAnsi="Arial" w:cs="Arial"/>
          <w:kern w:val="0"/>
          <w:sz w:val="22"/>
          <w:szCs w:val="22"/>
          <w:lang w:eastAsia="en-GB"/>
          <w14:ligatures w14:val="none"/>
        </w:rPr>
        <w:t xml:space="preserve"> </w:t>
      </w:r>
      <w:bookmarkStart w:id="14" w:name="_Hlk216990174"/>
      <w:r w:rsidRPr="00E426C5">
        <w:rPr>
          <w:rFonts w:ascii="Arial" w:eastAsia="Times New Roman" w:hAnsi="Arial" w:cs="Arial"/>
          <w:kern w:val="0"/>
          <w:sz w:val="22"/>
          <w:szCs w:val="22"/>
          <w:lang w:eastAsia="en-GB"/>
          <w14:ligatures w14:val="none"/>
        </w:rPr>
        <w:t xml:space="preserve">(Accessed: </w:t>
      </w:r>
      <w:r w:rsidR="00B80222" w:rsidRPr="007A1CC8">
        <w:rPr>
          <w:rFonts w:ascii="Arial" w:eastAsia="Times New Roman" w:hAnsi="Arial" w:cs="Arial"/>
          <w:kern w:val="0"/>
          <w:sz w:val="22"/>
          <w:szCs w:val="22"/>
          <w:lang w:eastAsia="en-GB"/>
          <w14:ligatures w14:val="none"/>
        </w:rPr>
        <w:t>0</w:t>
      </w:r>
      <w:r w:rsidRPr="00E426C5">
        <w:rPr>
          <w:rFonts w:ascii="Arial" w:eastAsia="Times New Roman" w:hAnsi="Arial" w:cs="Arial"/>
          <w:kern w:val="0"/>
          <w:sz w:val="22"/>
          <w:szCs w:val="22"/>
          <w:lang w:eastAsia="en-GB"/>
          <w14:ligatures w14:val="none"/>
        </w:rPr>
        <w:t>7 December 2025).</w:t>
      </w:r>
      <w:bookmarkEnd w:id="14"/>
    </w:p>
    <w:p w14:paraId="7BB727AB" w14:textId="14F0585C" w:rsidR="007845DE" w:rsidRPr="007A1CC8" w:rsidRDefault="007845DE" w:rsidP="00155F01">
      <w:pPr>
        <w:pStyle w:val="ListParagraph"/>
        <w:numPr>
          <w:ilvl w:val="0"/>
          <w:numId w:val="1"/>
        </w:numPr>
        <w:spacing w:line="360" w:lineRule="auto"/>
        <w:rPr>
          <w:rFonts w:ascii="Arial" w:hAnsi="Arial" w:cs="Arial"/>
          <w:sz w:val="22"/>
          <w:szCs w:val="22"/>
        </w:rPr>
      </w:pPr>
      <w:r w:rsidRPr="007A1CC8">
        <w:rPr>
          <w:rFonts w:ascii="Arial" w:hAnsi="Arial" w:cs="Arial"/>
          <w:sz w:val="22"/>
          <w:szCs w:val="22"/>
        </w:rPr>
        <w:t>Stavropoulos, K. &amp; McPartland, J. (2022) Differential Diagnosis of Autism Spectrum Disorder. Oxford: Oxford University Press.</w:t>
      </w:r>
    </w:p>
    <w:p w14:paraId="3362ABAC" w14:textId="72D7BAAC" w:rsidR="00A65EB5" w:rsidRPr="00E426C5" w:rsidRDefault="00A65EB5" w:rsidP="00155F01">
      <w:pPr>
        <w:numPr>
          <w:ilvl w:val="0"/>
          <w:numId w:val="1"/>
        </w:numPr>
        <w:spacing w:line="360" w:lineRule="auto"/>
        <w:rPr>
          <w:rFonts w:ascii="Arial" w:eastAsia="Times New Roman" w:hAnsi="Arial" w:cs="Arial"/>
          <w:kern w:val="0"/>
          <w:sz w:val="22"/>
          <w:szCs w:val="22"/>
          <w:lang w:eastAsia="en-GB"/>
          <w14:ligatures w14:val="none"/>
        </w:rPr>
      </w:pPr>
      <w:r w:rsidRPr="00E426C5">
        <w:rPr>
          <w:rFonts w:ascii="Arial" w:eastAsia="Times New Roman" w:hAnsi="Arial" w:cs="Arial"/>
          <w:kern w:val="0"/>
          <w:sz w:val="22"/>
          <w:szCs w:val="22"/>
          <w:lang w:eastAsia="en-GB"/>
          <w14:ligatures w14:val="none"/>
        </w:rPr>
        <w:t xml:space="preserve">UK Parliament Commons Library (2025) Autism policy and services: UK legislation and strategies. London: House of Commons Library. Available at: </w:t>
      </w:r>
      <w:hyperlink r:id="rId21" w:history="1">
        <w:r w:rsidRPr="00E426C5">
          <w:rPr>
            <w:rFonts w:ascii="Arial" w:eastAsia="Times New Roman" w:hAnsi="Arial" w:cs="Arial"/>
            <w:color w:val="EE0000"/>
            <w:kern w:val="0"/>
            <w:sz w:val="22"/>
            <w:szCs w:val="22"/>
            <w:u w:val="single"/>
            <w:lang w:eastAsia="en-GB"/>
            <w14:ligatures w14:val="none"/>
          </w:rPr>
          <w:t>https://researchbriefings.files.parliament.uk/documents/CBP-10231/CBP-10231.pdf</w:t>
        </w:r>
      </w:hyperlink>
      <w:r w:rsidRPr="00E426C5">
        <w:rPr>
          <w:rFonts w:ascii="Arial" w:eastAsia="Times New Roman" w:hAnsi="Arial" w:cs="Arial"/>
          <w:kern w:val="0"/>
          <w:sz w:val="22"/>
          <w:szCs w:val="22"/>
          <w:lang w:eastAsia="en-GB"/>
          <w14:ligatures w14:val="none"/>
        </w:rPr>
        <w:t xml:space="preserve"> (Accessed: </w:t>
      </w:r>
      <w:r w:rsidR="00B80222" w:rsidRPr="007A1CC8">
        <w:rPr>
          <w:rFonts w:ascii="Arial" w:eastAsia="Times New Roman" w:hAnsi="Arial" w:cs="Arial"/>
          <w:kern w:val="0"/>
          <w:sz w:val="22"/>
          <w:szCs w:val="22"/>
          <w:lang w:eastAsia="en-GB"/>
          <w14:ligatures w14:val="none"/>
        </w:rPr>
        <w:t>0</w:t>
      </w:r>
      <w:r w:rsidRPr="00E426C5">
        <w:rPr>
          <w:rFonts w:ascii="Arial" w:eastAsia="Times New Roman" w:hAnsi="Arial" w:cs="Arial"/>
          <w:kern w:val="0"/>
          <w:sz w:val="22"/>
          <w:szCs w:val="22"/>
          <w:lang w:eastAsia="en-GB"/>
          <w14:ligatures w14:val="none"/>
        </w:rPr>
        <w:t>7 December 2025).</w:t>
      </w:r>
    </w:p>
    <w:p w14:paraId="4BE74458" w14:textId="77777777" w:rsidR="00014BD9" w:rsidRPr="007A1CC8" w:rsidRDefault="00014BD9" w:rsidP="00155F01">
      <w:pPr>
        <w:numPr>
          <w:ilvl w:val="0"/>
          <w:numId w:val="1"/>
        </w:numPr>
        <w:spacing w:line="360" w:lineRule="auto"/>
        <w:rPr>
          <w:rFonts w:ascii="Arial" w:hAnsi="Arial" w:cs="Arial"/>
          <w:sz w:val="22"/>
          <w:szCs w:val="22"/>
        </w:rPr>
      </w:pPr>
      <w:r w:rsidRPr="007A1CC8">
        <w:rPr>
          <w:rFonts w:ascii="Arial" w:hAnsi="Arial" w:cs="Arial"/>
          <w:sz w:val="22"/>
          <w:szCs w:val="22"/>
        </w:rPr>
        <w:t xml:space="preserve">Volkmar, F.R., Pelphrey, K.A. and </w:t>
      </w:r>
      <w:proofErr w:type="spellStart"/>
      <w:r w:rsidRPr="007A1CC8">
        <w:rPr>
          <w:rFonts w:ascii="Arial" w:hAnsi="Arial" w:cs="Arial"/>
          <w:sz w:val="22"/>
          <w:szCs w:val="22"/>
        </w:rPr>
        <w:t>Vivanti</w:t>
      </w:r>
      <w:proofErr w:type="spellEnd"/>
      <w:r w:rsidRPr="007A1CC8">
        <w:rPr>
          <w:rFonts w:ascii="Arial" w:hAnsi="Arial" w:cs="Arial"/>
          <w:sz w:val="22"/>
          <w:szCs w:val="22"/>
        </w:rPr>
        <w:t xml:space="preserve">, G. (eds) (2025) </w:t>
      </w:r>
      <w:r w:rsidRPr="007A1CC8">
        <w:rPr>
          <w:rStyle w:val="Emphasis"/>
          <w:rFonts w:ascii="Arial" w:hAnsi="Arial" w:cs="Arial"/>
          <w:sz w:val="22"/>
          <w:szCs w:val="22"/>
        </w:rPr>
        <w:t>Handbook of Evidence</w:t>
      </w:r>
      <w:r w:rsidRPr="007A1CC8">
        <w:rPr>
          <w:rStyle w:val="Emphasis"/>
          <w:rFonts w:ascii="Arial" w:hAnsi="Arial" w:cs="Arial"/>
          <w:sz w:val="22"/>
          <w:szCs w:val="22"/>
        </w:rPr>
        <w:noBreakHyphen/>
        <w:t>Based Practices in Autism Spectrum Disorder</w:t>
      </w:r>
      <w:r w:rsidRPr="007A1CC8">
        <w:rPr>
          <w:rFonts w:ascii="Arial" w:hAnsi="Arial" w:cs="Arial"/>
          <w:sz w:val="22"/>
          <w:szCs w:val="22"/>
        </w:rPr>
        <w:t>. Cham: Springer.</w:t>
      </w:r>
    </w:p>
    <w:p w14:paraId="0235CF0C" w14:textId="77777777" w:rsidR="00014BD9" w:rsidRPr="007A1CC8" w:rsidRDefault="00014BD9" w:rsidP="00155F01">
      <w:pPr>
        <w:spacing w:line="360" w:lineRule="auto"/>
        <w:ind w:firstLine="720"/>
        <w:rPr>
          <w:rFonts w:ascii="Arial" w:hAnsi="Arial" w:cs="Arial"/>
          <w:sz w:val="22"/>
          <w:szCs w:val="22"/>
        </w:rPr>
      </w:pPr>
    </w:p>
    <w:p w14:paraId="6836541D" w14:textId="4C8B1907" w:rsidR="000E67F3" w:rsidRPr="007A1CC8" w:rsidRDefault="000E67F3" w:rsidP="00155F01">
      <w:pPr>
        <w:pStyle w:val="NormalWeb"/>
        <w:numPr>
          <w:ilvl w:val="0"/>
          <w:numId w:val="2"/>
        </w:numPr>
        <w:spacing w:before="0" w:beforeAutospacing="0" w:after="160" w:afterAutospacing="0" w:line="360" w:lineRule="auto"/>
        <w:rPr>
          <w:rFonts w:ascii="Arial" w:hAnsi="Arial" w:cs="Arial"/>
          <w:sz w:val="22"/>
          <w:szCs w:val="22"/>
        </w:rPr>
      </w:pPr>
      <w:r w:rsidRPr="007A1CC8">
        <w:rPr>
          <w:rFonts w:ascii="Arial" w:hAnsi="Arial" w:cs="Arial"/>
          <w:sz w:val="22"/>
          <w:szCs w:val="22"/>
        </w:rPr>
        <w:lastRenderedPageBreak/>
        <w:t xml:space="preserve">World Health Organization (WHO) (2025) </w:t>
      </w:r>
      <w:r w:rsidRPr="007A1CC8">
        <w:rPr>
          <w:rStyle w:val="Emphasis"/>
          <w:rFonts w:ascii="Arial" w:eastAsiaTheme="majorEastAsia" w:hAnsi="Arial" w:cs="Arial"/>
          <w:sz w:val="22"/>
          <w:szCs w:val="22"/>
        </w:rPr>
        <w:t>ICD</w:t>
      </w:r>
      <w:r w:rsidRPr="007A1CC8">
        <w:rPr>
          <w:rStyle w:val="Emphasis"/>
          <w:rFonts w:ascii="Arial" w:eastAsiaTheme="majorEastAsia" w:hAnsi="Arial" w:cs="Arial"/>
          <w:sz w:val="22"/>
          <w:szCs w:val="22"/>
        </w:rPr>
        <w:noBreakHyphen/>
        <w:t>11: Autism spectrum disorder (6A02)</w:t>
      </w:r>
      <w:r w:rsidRPr="007A1CC8">
        <w:rPr>
          <w:rFonts w:ascii="Arial" w:hAnsi="Arial" w:cs="Arial"/>
          <w:sz w:val="22"/>
          <w:szCs w:val="22"/>
        </w:rPr>
        <w:t>. ICD</w:t>
      </w:r>
      <w:r w:rsidRPr="007A1CC8">
        <w:rPr>
          <w:rFonts w:ascii="Arial" w:hAnsi="Arial" w:cs="Arial"/>
          <w:sz w:val="22"/>
          <w:szCs w:val="22"/>
        </w:rPr>
        <w:noBreakHyphen/>
        <w:t xml:space="preserve">11 Browser. Geneva: World Health Organization. Available at: </w:t>
      </w:r>
      <w:hyperlink r:id="rId22" w:anchor="437815624" w:history="1">
        <w:r w:rsidRPr="007C449C">
          <w:rPr>
            <w:rStyle w:val="Hyperlink"/>
            <w:rFonts w:ascii="Arial" w:eastAsiaTheme="majorEastAsia" w:hAnsi="Arial" w:cs="Arial"/>
            <w:color w:val="EE0000"/>
            <w:sz w:val="22"/>
            <w:szCs w:val="22"/>
          </w:rPr>
          <w:t>https://icd.who.int/browse/2025-01/mms/en#437815624</w:t>
        </w:r>
      </w:hyperlink>
      <w:r w:rsidRPr="007A1CC8">
        <w:rPr>
          <w:rFonts w:ascii="Arial" w:hAnsi="Arial" w:cs="Arial"/>
          <w:sz w:val="22"/>
          <w:szCs w:val="22"/>
        </w:rPr>
        <w:t xml:space="preserve"> (Accessed: </w:t>
      </w:r>
      <w:r w:rsidR="00B80222" w:rsidRPr="007A1CC8">
        <w:rPr>
          <w:rFonts w:ascii="Arial" w:hAnsi="Arial" w:cs="Arial"/>
          <w:sz w:val="22"/>
          <w:szCs w:val="22"/>
        </w:rPr>
        <w:t>0</w:t>
      </w:r>
      <w:r w:rsidRPr="007A1CC8">
        <w:rPr>
          <w:rFonts w:ascii="Arial" w:hAnsi="Arial" w:cs="Arial"/>
          <w:sz w:val="22"/>
          <w:szCs w:val="22"/>
        </w:rPr>
        <w:t>8 December 2025).</w:t>
      </w:r>
    </w:p>
    <w:p w14:paraId="40B404E1" w14:textId="77777777" w:rsidR="00B80222" w:rsidRPr="007A1CC8" w:rsidRDefault="00B80222" w:rsidP="00155F01">
      <w:pPr>
        <w:pStyle w:val="ListParagraph"/>
        <w:numPr>
          <w:ilvl w:val="0"/>
          <w:numId w:val="2"/>
        </w:numPr>
        <w:spacing w:line="360" w:lineRule="auto"/>
        <w:rPr>
          <w:rFonts w:ascii="Arial" w:hAnsi="Arial" w:cs="Arial"/>
          <w:sz w:val="22"/>
          <w:szCs w:val="22"/>
        </w:rPr>
      </w:pPr>
      <w:r w:rsidRPr="007A1CC8">
        <w:rPr>
          <w:rFonts w:ascii="Arial" w:hAnsi="Arial" w:cs="Arial"/>
          <w:sz w:val="22"/>
          <w:szCs w:val="22"/>
        </w:rPr>
        <w:t xml:space="preserve">World Health Organization (WHO) (2025) Autism spectrum disorders. Fact sheet, 17 September. Geneva: World Health Organization. Available at: </w:t>
      </w:r>
      <w:hyperlink r:id="rId23" w:history="1">
        <w:r w:rsidRPr="007C449C">
          <w:rPr>
            <w:rStyle w:val="Hyperlink"/>
            <w:rFonts w:ascii="Arial" w:hAnsi="Arial" w:cs="Arial"/>
            <w:color w:val="EE0000"/>
            <w:sz w:val="22"/>
            <w:szCs w:val="22"/>
          </w:rPr>
          <w:t>https://www.who.int/news-room/fact-sheets/detail/autism-spectrum-disorders</w:t>
        </w:r>
      </w:hyperlink>
      <w:r w:rsidRPr="007C449C">
        <w:rPr>
          <w:rFonts w:ascii="Arial" w:hAnsi="Arial" w:cs="Arial"/>
          <w:color w:val="EE0000"/>
          <w:sz w:val="22"/>
          <w:szCs w:val="22"/>
        </w:rPr>
        <w:t xml:space="preserve"> </w:t>
      </w:r>
      <w:r w:rsidRPr="007A1CC8">
        <w:rPr>
          <w:rFonts w:ascii="Arial" w:hAnsi="Arial" w:cs="Arial"/>
          <w:sz w:val="22"/>
          <w:szCs w:val="22"/>
        </w:rPr>
        <w:t>(Accessed: 08 December 2025).</w:t>
      </w:r>
    </w:p>
    <w:p w14:paraId="6E41165F" w14:textId="77777777" w:rsidR="000264A1" w:rsidRPr="007A1CC8" w:rsidRDefault="000264A1" w:rsidP="00155F01">
      <w:pPr>
        <w:spacing w:line="360" w:lineRule="auto"/>
        <w:rPr>
          <w:rFonts w:ascii="Arial" w:hAnsi="Arial" w:cs="Arial"/>
          <w:sz w:val="22"/>
          <w:szCs w:val="22"/>
        </w:rPr>
      </w:pPr>
    </w:p>
    <w:p w14:paraId="07786E37" w14:textId="77777777" w:rsidR="000264A1" w:rsidRPr="007A1CC8" w:rsidRDefault="000264A1" w:rsidP="00155F01">
      <w:pPr>
        <w:spacing w:line="360" w:lineRule="auto"/>
        <w:rPr>
          <w:rFonts w:ascii="Arial" w:hAnsi="Arial" w:cs="Arial"/>
          <w:sz w:val="22"/>
          <w:szCs w:val="22"/>
        </w:rPr>
      </w:pPr>
    </w:p>
    <w:sectPr w:rsidR="000264A1" w:rsidRPr="007A1CC8">
      <w:footerReference w:type="even"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8B68D0" w14:textId="77777777" w:rsidR="00C5185E" w:rsidRDefault="00C5185E" w:rsidP="000264A1">
      <w:pPr>
        <w:spacing w:after="0" w:line="240" w:lineRule="auto"/>
      </w:pPr>
      <w:r>
        <w:separator/>
      </w:r>
    </w:p>
  </w:endnote>
  <w:endnote w:type="continuationSeparator" w:id="0">
    <w:p w14:paraId="4544E9DA" w14:textId="77777777" w:rsidR="00C5185E" w:rsidRDefault="00C5185E" w:rsidP="00026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43280839"/>
      <w:docPartObj>
        <w:docPartGallery w:val="Page Numbers (Bottom of Page)"/>
        <w:docPartUnique/>
      </w:docPartObj>
    </w:sdtPr>
    <w:sdtContent>
      <w:p w14:paraId="4FDE4EC7" w14:textId="59635FAE"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3D25C3" w14:textId="77777777" w:rsidR="000264A1" w:rsidRDefault="000264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70438059"/>
      <w:docPartObj>
        <w:docPartGallery w:val="Page Numbers (Bottom of Page)"/>
        <w:docPartUnique/>
      </w:docPartObj>
    </w:sdtPr>
    <w:sdtContent>
      <w:p w14:paraId="686F83AA" w14:textId="6256BCB1"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20D046D" w14:textId="77777777" w:rsidR="000264A1" w:rsidRDefault="00026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16D919" w14:textId="77777777" w:rsidR="00C5185E" w:rsidRDefault="00C5185E" w:rsidP="000264A1">
      <w:pPr>
        <w:spacing w:after="0" w:line="240" w:lineRule="auto"/>
      </w:pPr>
      <w:r>
        <w:separator/>
      </w:r>
    </w:p>
  </w:footnote>
  <w:footnote w:type="continuationSeparator" w:id="0">
    <w:p w14:paraId="33E2F84D" w14:textId="77777777" w:rsidR="00C5185E" w:rsidRDefault="00C5185E" w:rsidP="000264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4C3844"/>
    <w:multiLevelType w:val="multilevel"/>
    <w:tmpl w:val="7806E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8F57B70"/>
    <w:multiLevelType w:val="hybridMultilevel"/>
    <w:tmpl w:val="7FF2F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020600"/>
    <w:multiLevelType w:val="multilevel"/>
    <w:tmpl w:val="C36A5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2616809">
    <w:abstractNumId w:val="2"/>
  </w:num>
  <w:num w:numId="2" w16cid:durableId="2054310888">
    <w:abstractNumId w:val="1"/>
  </w:num>
  <w:num w:numId="3" w16cid:durableId="17806828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4A1"/>
    <w:rsid w:val="00014BD9"/>
    <w:rsid w:val="00015AD3"/>
    <w:rsid w:val="00016A2C"/>
    <w:rsid w:val="000264A1"/>
    <w:rsid w:val="0003597A"/>
    <w:rsid w:val="00060FB4"/>
    <w:rsid w:val="000635F6"/>
    <w:rsid w:val="000E67F3"/>
    <w:rsid w:val="0012525F"/>
    <w:rsid w:val="00155F01"/>
    <w:rsid w:val="001629BE"/>
    <w:rsid w:val="002C3ED6"/>
    <w:rsid w:val="00322497"/>
    <w:rsid w:val="00457145"/>
    <w:rsid w:val="00486491"/>
    <w:rsid w:val="004C321B"/>
    <w:rsid w:val="005140F7"/>
    <w:rsid w:val="00556503"/>
    <w:rsid w:val="00574A95"/>
    <w:rsid w:val="005A01E4"/>
    <w:rsid w:val="00637171"/>
    <w:rsid w:val="006732D3"/>
    <w:rsid w:val="00676481"/>
    <w:rsid w:val="00694FAF"/>
    <w:rsid w:val="006B7C81"/>
    <w:rsid w:val="006F24DD"/>
    <w:rsid w:val="00720502"/>
    <w:rsid w:val="00722ABC"/>
    <w:rsid w:val="007845DE"/>
    <w:rsid w:val="007A1CC8"/>
    <w:rsid w:val="007A3577"/>
    <w:rsid w:val="007B6A1E"/>
    <w:rsid w:val="007C449C"/>
    <w:rsid w:val="00811329"/>
    <w:rsid w:val="00843325"/>
    <w:rsid w:val="008A6D32"/>
    <w:rsid w:val="00964443"/>
    <w:rsid w:val="00A0318E"/>
    <w:rsid w:val="00A47690"/>
    <w:rsid w:val="00A65EB5"/>
    <w:rsid w:val="00AC244E"/>
    <w:rsid w:val="00AE07B4"/>
    <w:rsid w:val="00B80222"/>
    <w:rsid w:val="00BB2B80"/>
    <w:rsid w:val="00BD2CCB"/>
    <w:rsid w:val="00C0504B"/>
    <w:rsid w:val="00C5185E"/>
    <w:rsid w:val="00C553DB"/>
    <w:rsid w:val="00D7399A"/>
    <w:rsid w:val="00DD2A4E"/>
    <w:rsid w:val="00EF4897"/>
    <w:rsid w:val="00F10919"/>
    <w:rsid w:val="00F82812"/>
    <w:rsid w:val="00FA0A79"/>
    <w:rsid w:val="00FC01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4C6F0"/>
  <w15:chartTrackingRefBased/>
  <w15:docId w15:val="{2B0B94F5-90B5-C240-86BD-13C918C6B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64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4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4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4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4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4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4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4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4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4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4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4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4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4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4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4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4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4A1"/>
    <w:rPr>
      <w:rFonts w:eastAsiaTheme="majorEastAsia" w:cstheme="majorBidi"/>
      <w:color w:val="272727" w:themeColor="text1" w:themeTint="D8"/>
    </w:rPr>
  </w:style>
  <w:style w:type="paragraph" w:styleId="Title">
    <w:name w:val="Title"/>
    <w:basedOn w:val="Normal"/>
    <w:next w:val="Normal"/>
    <w:link w:val="TitleChar"/>
    <w:uiPriority w:val="10"/>
    <w:qFormat/>
    <w:rsid w:val="000264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4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4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4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4A1"/>
    <w:pPr>
      <w:spacing w:before="160"/>
      <w:jc w:val="center"/>
    </w:pPr>
    <w:rPr>
      <w:i/>
      <w:iCs/>
      <w:color w:val="404040" w:themeColor="text1" w:themeTint="BF"/>
    </w:rPr>
  </w:style>
  <w:style w:type="character" w:customStyle="1" w:styleId="QuoteChar">
    <w:name w:val="Quote Char"/>
    <w:basedOn w:val="DefaultParagraphFont"/>
    <w:link w:val="Quote"/>
    <w:uiPriority w:val="29"/>
    <w:rsid w:val="000264A1"/>
    <w:rPr>
      <w:i/>
      <w:iCs/>
      <w:color w:val="404040" w:themeColor="text1" w:themeTint="BF"/>
    </w:rPr>
  </w:style>
  <w:style w:type="paragraph" w:styleId="ListParagraph">
    <w:name w:val="List Paragraph"/>
    <w:basedOn w:val="Normal"/>
    <w:uiPriority w:val="34"/>
    <w:qFormat/>
    <w:rsid w:val="000264A1"/>
    <w:pPr>
      <w:ind w:left="720"/>
      <w:contextualSpacing/>
    </w:pPr>
  </w:style>
  <w:style w:type="character" w:styleId="IntenseEmphasis">
    <w:name w:val="Intense Emphasis"/>
    <w:basedOn w:val="DefaultParagraphFont"/>
    <w:uiPriority w:val="21"/>
    <w:qFormat/>
    <w:rsid w:val="000264A1"/>
    <w:rPr>
      <w:i/>
      <w:iCs/>
      <w:color w:val="0F4761" w:themeColor="accent1" w:themeShade="BF"/>
    </w:rPr>
  </w:style>
  <w:style w:type="paragraph" w:styleId="IntenseQuote">
    <w:name w:val="Intense Quote"/>
    <w:basedOn w:val="Normal"/>
    <w:next w:val="Normal"/>
    <w:link w:val="IntenseQuoteChar"/>
    <w:uiPriority w:val="30"/>
    <w:qFormat/>
    <w:rsid w:val="000264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4A1"/>
    <w:rPr>
      <w:i/>
      <w:iCs/>
      <w:color w:val="0F4761" w:themeColor="accent1" w:themeShade="BF"/>
    </w:rPr>
  </w:style>
  <w:style w:type="character" w:styleId="IntenseReference">
    <w:name w:val="Intense Reference"/>
    <w:basedOn w:val="DefaultParagraphFont"/>
    <w:uiPriority w:val="32"/>
    <w:qFormat/>
    <w:rsid w:val="000264A1"/>
    <w:rPr>
      <w:b/>
      <w:bCs/>
      <w:smallCaps/>
      <w:color w:val="0F4761" w:themeColor="accent1" w:themeShade="BF"/>
      <w:spacing w:val="5"/>
    </w:rPr>
  </w:style>
  <w:style w:type="character" w:styleId="Strong">
    <w:name w:val="Strong"/>
    <w:basedOn w:val="DefaultParagraphFont"/>
    <w:uiPriority w:val="22"/>
    <w:qFormat/>
    <w:rsid w:val="000264A1"/>
    <w:rPr>
      <w:b/>
      <w:bCs/>
    </w:rPr>
  </w:style>
  <w:style w:type="paragraph" w:styleId="Footer">
    <w:name w:val="footer"/>
    <w:basedOn w:val="Normal"/>
    <w:link w:val="FooterChar"/>
    <w:uiPriority w:val="99"/>
    <w:unhideWhenUsed/>
    <w:rsid w:val="00026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4A1"/>
  </w:style>
  <w:style w:type="character" w:styleId="PageNumber">
    <w:name w:val="page number"/>
    <w:basedOn w:val="DefaultParagraphFont"/>
    <w:uiPriority w:val="99"/>
    <w:semiHidden/>
    <w:unhideWhenUsed/>
    <w:rsid w:val="000264A1"/>
  </w:style>
  <w:style w:type="paragraph" w:styleId="NormalWeb">
    <w:name w:val="Normal (Web)"/>
    <w:basedOn w:val="Normal"/>
    <w:uiPriority w:val="99"/>
    <w:semiHidden/>
    <w:unhideWhenUsed/>
    <w:rsid w:val="008A6D3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A6D32"/>
  </w:style>
  <w:style w:type="paragraph" w:styleId="TOCHeading">
    <w:name w:val="TOC Heading"/>
    <w:basedOn w:val="Heading1"/>
    <w:next w:val="Normal"/>
    <w:uiPriority w:val="39"/>
    <w:unhideWhenUsed/>
    <w:qFormat/>
    <w:rsid w:val="00BB2B80"/>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BB2B80"/>
    <w:pPr>
      <w:spacing w:after="100"/>
    </w:pPr>
  </w:style>
  <w:style w:type="paragraph" w:styleId="TOC2">
    <w:name w:val="toc 2"/>
    <w:basedOn w:val="Normal"/>
    <w:next w:val="Normal"/>
    <w:autoRedefine/>
    <w:uiPriority w:val="39"/>
    <w:unhideWhenUsed/>
    <w:rsid w:val="00BB2B80"/>
    <w:pPr>
      <w:spacing w:after="100"/>
      <w:ind w:left="240"/>
    </w:pPr>
  </w:style>
  <w:style w:type="character" w:styleId="Hyperlink">
    <w:name w:val="Hyperlink"/>
    <w:basedOn w:val="DefaultParagraphFont"/>
    <w:uiPriority w:val="99"/>
    <w:unhideWhenUsed/>
    <w:rsid w:val="00BB2B80"/>
    <w:rPr>
      <w:color w:val="467886" w:themeColor="hyperlink"/>
      <w:u w:val="single"/>
    </w:rPr>
  </w:style>
  <w:style w:type="character" w:styleId="Emphasis">
    <w:name w:val="Emphasis"/>
    <w:basedOn w:val="DefaultParagraphFont"/>
    <w:uiPriority w:val="20"/>
    <w:qFormat/>
    <w:rsid w:val="00016A2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96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spect.org.au/uploads/documents/Information-Sheets/Autismand-Neurodiversity-Common-Terms.pdf" TargetMode="External"/><Relationship Id="rId18" Type="http://schemas.openxmlformats.org/officeDocument/2006/relationships/hyperlink" Target="https://www.england.nhs.uk/wp-content/uploads/2022/03/B1004-five-year-NHS-autism-research-strategy-for-england-march-2022.pdf"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researchbriefings.files.parliament.uk/documents/CBP-10231/CBP-10231.pdf" TargetMode="External"/><Relationship Id="rId7" Type="http://schemas.openxmlformats.org/officeDocument/2006/relationships/settings" Target="settings.xml"/><Relationship Id="rId12" Type="http://schemas.openxmlformats.org/officeDocument/2006/relationships/hyperlink" Target="https://www.ambitiousaboutautism.org.uk/sites/default/files/reports/files/ambitious-about-autism-autism-in-education-report-may-2025.pdf" TargetMode="External"/><Relationship Id="rId17" Type="http://schemas.openxmlformats.org/officeDocument/2006/relationships/hyperlink" Target="https://www.autism.org.uk/advice-and-guidance/topics/identity/autism-and-neurodiversity"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link.springer.com/article/10.1007/s40489-023-00423-0" TargetMode="External"/><Relationship Id="rId20" Type="http://schemas.openxmlformats.org/officeDocument/2006/relationships/hyperlink" Target="https://link.springer.com/article/10.1186/s40001-024-01916-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cambridge.org/core/journals/irish-journal-of-psychological-medicine/article/autism-spectrum-disorders-current-issues-and-future-directions/ED00F8E8FA48910CD814968A9866DE46" TargetMode="External"/><Relationship Id="rId23" Type="http://schemas.openxmlformats.org/officeDocument/2006/relationships/hyperlink" Target="https://www.who.int/news-room/fact-sheets/detail/autism-spectrum-disorders" TargetMode="External"/><Relationship Id="rId10" Type="http://schemas.openxmlformats.org/officeDocument/2006/relationships/endnotes" Target="endnotes.xml"/><Relationship Id="rId19" Type="http://schemas.openxmlformats.org/officeDocument/2006/relationships/hyperlink" Target="https://www.nice.org.uk/guidance/cg14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ocal.gov.uk/sites/default/files/documents/Anna%20Bailey-Bearfield%2C%20DHSC.pdf" TargetMode="External"/><Relationship Id="rId22" Type="http://schemas.openxmlformats.org/officeDocument/2006/relationships/hyperlink" Target="https://icd.who.int/browse/2025-01/mms/en"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738dfefd46c3b5224dbc404dd66fc633">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619b48b97ae8aa7cabb6ed50a6eecde9"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C3BD2A-F087-4878-8461-DE07839116EF}">
  <ds:schemaRefs>
    <ds:schemaRef ds:uri="http://schemas.microsoft.com/office/2006/metadata/properties"/>
    <ds:schemaRef ds:uri="http://schemas.microsoft.com/office/infopath/2007/PartnerControls"/>
    <ds:schemaRef ds:uri="0ebdf10f-b5a3-45b6-acdb-7dc1eb398785"/>
  </ds:schemaRefs>
</ds:datastoreItem>
</file>

<file path=customXml/itemProps2.xml><?xml version="1.0" encoding="utf-8"?>
<ds:datastoreItem xmlns:ds="http://schemas.openxmlformats.org/officeDocument/2006/customXml" ds:itemID="{FB5F8118-C0C1-4572-8F72-2436855E2D06}">
  <ds:schemaRefs>
    <ds:schemaRef ds:uri="http://schemas.microsoft.com/sharepoint/v3/contenttype/forms"/>
  </ds:schemaRefs>
</ds:datastoreItem>
</file>

<file path=customXml/itemProps3.xml><?xml version="1.0" encoding="utf-8"?>
<ds:datastoreItem xmlns:ds="http://schemas.openxmlformats.org/officeDocument/2006/customXml" ds:itemID="{0332FDFD-9F0D-4C2E-8EE8-165BB000EA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039DD29-46A6-4537-8946-DBB659011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4245</Words>
  <Characters>24197</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Elena Vlasitchi (2314633)</cp:lastModifiedBy>
  <cp:revision>2</cp:revision>
  <dcterms:created xsi:type="dcterms:W3CDTF">2025-12-18T23:01:00Z</dcterms:created>
  <dcterms:modified xsi:type="dcterms:W3CDTF">2025-12-18T23:01:00Z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785deb73-f618-4dc7-850a-7d29f7ec0ebe</vt:lpwstr>
  </property>
  <property fmtid="{D5CDD505-2E9C-101B-9397-08002B2CF9AE}" pid="3" name="ContentTypeId">
    <vt:lpwstr>0x0101009DA2B97165742847ABC519A905693DF8</vt:lpwstr>
  </property>
</Properties>
</file>