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07946" w14:textId="77777777" w:rsidR="00142948" w:rsidRDefault="00142948" w:rsidP="00142948">
      <w:pPr>
        <w:spacing w:line="480" w:lineRule="auto"/>
        <w:jc w:val="center"/>
        <w:rPr>
          <w:u w:val="single"/>
        </w:rPr>
      </w:pPr>
      <w:r>
        <w:rPr>
          <w:u w:val="single"/>
        </w:rPr>
        <w:t>Depi</w:t>
      </w:r>
      <w:r w:rsidRPr="00142948">
        <w:rPr>
          <w:u w:val="single"/>
        </w:rPr>
        <w:t>ctions of ‘The Good Death’</w:t>
      </w:r>
      <w:r>
        <w:rPr>
          <w:u w:val="single"/>
        </w:rPr>
        <w:t xml:space="preserve"> from the Illustrated </w:t>
      </w:r>
      <w:r w:rsidRPr="0023739E">
        <w:rPr>
          <w:i/>
          <w:u w:val="single"/>
        </w:rPr>
        <w:t xml:space="preserve">Ars </w:t>
      </w:r>
      <w:proofErr w:type="spellStart"/>
      <w:r w:rsidRPr="0023739E">
        <w:rPr>
          <w:i/>
          <w:u w:val="single"/>
        </w:rPr>
        <w:t>Moriendi</w:t>
      </w:r>
      <w:proofErr w:type="spellEnd"/>
      <w:r>
        <w:rPr>
          <w:u w:val="single"/>
        </w:rPr>
        <w:t xml:space="preserve"> of 1450</w:t>
      </w:r>
      <w:r w:rsidR="00EC0DD5">
        <w:rPr>
          <w:u w:val="single"/>
        </w:rPr>
        <w:t>c</w:t>
      </w:r>
      <w:r w:rsidR="006D1C45">
        <w:rPr>
          <w:u w:val="single"/>
        </w:rPr>
        <w:t xml:space="preserve"> </w:t>
      </w:r>
    </w:p>
    <w:p w14:paraId="267AFC03" w14:textId="77777777" w:rsidR="001901E2" w:rsidRDefault="001901E2" w:rsidP="00142948">
      <w:pPr>
        <w:spacing w:line="480" w:lineRule="auto"/>
      </w:pPr>
      <w:bookmarkStart w:id="0" w:name="_GoBack"/>
      <w:bookmarkEnd w:id="0"/>
    </w:p>
    <w:p w14:paraId="6B69763A" w14:textId="31A8741B" w:rsidR="00142948" w:rsidRDefault="00142948" w:rsidP="00142948">
      <w:pPr>
        <w:spacing w:line="480" w:lineRule="auto"/>
      </w:pPr>
      <w:r>
        <w:t xml:space="preserve">In terms of clear depictions of what was meant by ‘The Good Death’ in the late medieval period in western Europe, the </w:t>
      </w:r>
      <w:r w:rsidR="004E3A03">
        <w:t>eleven</w:t>
      </w:r>
      <w:r>
        <w:t xml:space="preserve"> woodcut i</w:t>
      </w:r>
      <w:r w:rsidR="004E3A03">
        <w:t xml:space="preserve">llustrations that often accompany the short </w:t>
      </w:r>
      <w:r>
        <w:t>edition</w:t>
      </w:r>
      <w:r w:rsidR="004E3A03">
        <w:t>s</w:t>
      </w:r>
      <w:r>
        <w:t xml:space="preserve"> of the </w:t>
      </w:r>
      <w:r w:rsidRPr="004E3A03">
        <w:rPr>
          <w:i/>
        </w:rPr>
        <w:t xml:space="preserve">Ars </w:t>
      </w:r>
      <w:proofErr w:type="spellStart"/>
      <w:r w:rsidRPr="004E3A03">
        <w:rPr>
          <w:i/>
        </w:rPr>
        <w:t>Moriendi</w:t>
      </w:r>
      <w:proofErr w:type="spellEnd"/>
      <w:r>
        <w:t xml:space="preserve"> are an invaluable resource. Close examination of the themes and motifs featured in the illustrations could yield a veritable repast of conclusions regarding the late medieval a</w:t>
      </w:r>
      <w:r w:rsidR="006D19C5">
        <w:t>ttitude towards the moment of d</w:t>
      </w:r>
      <w:r>
        <w:t>eath, and ind</w:t>
      </w:r>
      <w:r w:rsidR="006D19C5">
        <w:t>eed many pages spent on it. How</w:t>
      </w:r>
      <w:r>
        <w:t>ever, in the full knowledge that much more could be said about t</w:t>
      </w:r>
      <w:r w:rsidR="006D19C5">
        <w:t>hese illustrations, this commentary will e</w:t>
      </w:r>
      <w:r>
        <w:t>ndeavour to explore why a good death w</w:t>
      </w:r>
      <w:r w:rsidR="006D19C5">
        <w:t>as deemed so nece</w:t>
      </w:r>
      <w:r w:rsidR="002975AF">
        <w:t xml:space="preserve">ssary and further, why it was </w:t>
      </w:r>
      <w:r w:rsidR="00EC0DD5">
        <w:t>judged</w:t>
      </w:r>
      <w:r w:rsidR="002975AF">
        <w:t xml:space="preserve"> such a fitting subject for artistic representation.</w:t>
      </w:r>
    </w:p>
    <w:p w14:paraId="47E97C64" w14:textId="77777777" w:rsidR="002975AF" w:rsidRDefault="002975AF" w:rsidP="00142948">
      <w:pPr>
        <w:spacing w:line="480" w:lineRule="auto"/>
      </w:pPr>
    </w:p>
    <w:p w14:paraId="6355E2C4" w14:textId="77777777" w:rsidR="002975AF" w:rsidRDefault="002975AF" w:rsidP="00142948">
      <w:pPr>
        <w:spacing w:line="480" w:lineRule="auto"/>
      </w:pPr>
      <w:r>
        <w:t xml:space="preserve">Before delving into the conceptual </w:t>
      </w:r>
      <w:r w:rsidR="00F632FB">
        <w:t>vicissitudes</w:t>
      </w:r>
      <w:r>
        <w:t xml:space="preserve"> of the illustrations it is prudent to examine their</w:t>
      </w:r>
      <w:r w:rsidR="008E6805">
        <w:t xml:space="preserve"> situation in the physical book</w:t>
      </w:r>
      <w:r w:rsidR="00EA36AE">
        <w:t>s</w:t>
      </w:r>
      <w:r>
        <w:t xml:space="preserve"> that </w:t>
      </w:r>
      <w:r w:rsidR="00EA36AE">
        <w:t>they we</w:t>
      </w:r>
      <w:r>
        <w:t>re found in. The i</w:t>
      </w:r>
      <w:r w:rsidR="008E6805">
        <w:t>llustrations appeared</w:t>
      </w:r>
      <w:r w:rsidR="00EC0DD5">
        <w:t xml:space="preserve"> in</w:t>
      </w:r>
      <w:r w:rsidR="008E6805">
        <w:t xml:space="preserve"> printed block</w:t>
      </w:r>
      <w:r>
        <w:t xml:space="preserve"> book</w:t>
      </w:r>
      <w:r w:rsidR="00EC0DD5">
        <w:t>s</w:t>
      </w:r>
      <w:r w:rsidR="008E6805">
        <w:t xml:space="preserve"> or manuscript</w:t>
      </w:r>
      <w:r w:rsidR="00EC0DD5">
        <w:t>s</w:t>
      </w:r>
      <w:r w:rsidR="008E6805">
        <w:t xml:space="preserve"> and were a highly popular object</w:t>
      </w:r>
      <w:r w:rsidR="00EC0DD5">
        <w:t>s</w:t>
      </w:r>
      <w:r w:rsidR="004E3A03">
        <w:rPr>
          <w:rStyle w:val="FootnoteReference"/>
        </w:rPr>
        <w:footnoteReference w:id="1"/>
      </w:r>
      <w:r w:rsidR="008E6805">
        <w:t>. They were initially used</w:t>
      </w:r>
      <w:r w:rsidR="00EC0DD5">
        <w:t>, in tandem with an accompanying text,</w:t>
      </w:r>
      <w:r w:rsidR="004E3A03">
        <w:t xml:space="preserve"> </w:t>
      </w:r>
      <w:r w:rsidR="008E6805">
        <w:t xml:space="preserve">for the instruction or reference of the clergy in order that the correct </w:t>
      </w:r>
      <w:r w:rsidR="00F632FB">
        <w:t>deathbed</w:t>
      </w:r>
      <w:r w:rsidR="008E6805">
        <w:t xml:space="preserve"> rituals were observed but were, in time</w:t>
      </w:r>
      <w:r w:rsidR="0094416E">
        <w:t>,</w:t>
      </w:r>
      <w:r w:rsidR="008E6805">
        <w:t xml:space="preserve"> equally popular </w:t>
      </w:r>
      <w:r w:rsidR="00EA36AE">
        <w:t>as an object of personal devotion</w:t>
      </w:r>
      <w:r w:rsidR="007317D1">
        <w:rPr>
          <w:rStyle w:val="FootnoteReference"/>
        </w:rPr>
        <w:footnoteReference w:id="2"/>
      </w:r>
      <w:r w:rsidR="00D145BC">
        <w:t xml:space="preserve">. The latter is of particular significance because it is an </w:t>
      </w:r>
      <w:r w:rsidR="00F632FB">
        <w:t>indication</w:t>
      </w:r>
      <w:r w:rsidR="00D145BC">
        <w:t xml:space="preserve"> that the prevailing theological emphasis on considering one’s death was having an active influence on the beliefs of the </w:t>
      </w:r>
      <w:r w:rsidR="00F632FB">
        <w:t>populace</w:t>
      </w:r>
      <w:r w:rsidR="00D145BC">
        <w:t xml:space="preserve">. </w:t>
      </w:r>
      <w:r w:rsidR="00F632FB">
        <w:t>Additionally,</w:t>
      </w:r>
      <w:r w:rsidR="00D145BC">
        <w:t xml:space="preserve"> the popularity of the books </w:t>
      </w:r>
      <w:r w:rsidR="00F632FB">
        <w:t>meant</w:t>
      </w:r>
      <w:r w:rsidR="00D145BC">
        <w:t xml:space="preserve"> they took a rather more ‘mass produced’ form when you compare them to the painstakingly handcrafted nature of earlier devotional literature. Although this change is both minor and somewhat unsurprising, given the steady rise in literacy in the </w:t>
      </w:r>
      <w:r w:rsidR="004E3A03">
        <w:t>fourteenth</w:t>
      </w:r>
      <w:r w:rsidR="00D145BC">
        <w:t xml:space="preserve"> </w:t>
      </w:r>
      <w:r w:rsidR="00F632FB">
        <w:t>and</w:t>
      </w:r>
      <w:r w:rsidR="00D145BC">
        <w:t xml:space="preserve"> </w:t>
      </w:r>
      <w:r w:rsidR="004E3A03">
        <w:t>fifteenth</w:t>
      </w:r>
      <w:r w:rsidR="00D145BC">
        <w:t xml:space="preserve"> centuries</w:t>
      </w:r>
      <w:r w:rsidR="00F632FB">
        <w:t>, i</w:t>
      </w:r>
      <w:r w:rsidR="00D145BC">
        <w:t xml:space="preserve">t is indicative of a rather significant cultural development. Devotion was shifting from the communal to the personal which meant in turn that the depictions of </w:t>
      </w:r>
      <w:r w:rsidR="00D145BC">
        <w:lastRenderedPageBreak/>
        <w:t>hell, purgatory and damnation portrayed in the books were now not just visual stimuli in an ecclesiastical setting</w:t>
      </w:r>
      <w:r w:rsidR="006D19C5">
        <w:t>,</w:t>
      </w:r>
      <w:r w:rsidR="00D145BC">
        <w:t xml:space="preserve"> but now were exhibited in the more personal situation of the home. </w:t>
      </w:r>
      <w:r w:rsidR="00F632FB">
        <w:t>Further</w:t>
      </w:r>
      <w:r w:rsidR="00D145BC">
        <w:t xml:space="preserve"> evidence of</w:t>
      </w:r>
      <w:r w:rsidR="00F632FB">
        <w:t xml:space="preserve"> this shift can be found in accounts of household furnishings such as wall hangings also depicting the horrors of the sinful man’s afterlif</w:t>
      </w:r>
      <w:r w:rsidR="004E3A03">
        <w:t>e.</w:t>
      </w:r>
      <w:r w:rsidR="004E3A03">
        <w:rPr>
          <w:rStyle w:val="FootnoteReference"/>
        </w:rPr>
        <w:footnoteReference w:id="3"/>
      </w:r>
    </w:p>
    <w:p w14:paraId="70E95C41" w14:textId="77777777" w:rsidR="00C1278D" w:rsidRDefault="00C1278D" w:rsidP="00142948">
      <w:pPr>
        <w:spacing w:line="480" w:lineRule="auto"/>
      </w:pPr>
    </w:p>
    <w:p w14:paraId="43852EC3" w14:textId="77777777" w:rsidR="00857304" w:rsidRPr="00C1278D" w:rsidRDefault="002975AF" w:rsidP="00142948">
      <w:pPr>
        <w:spacing w:line="480" w:lineRule="auto"/>
      </w:pPr>
      <w:r>
        <w:t>The foundational concept that dwells beneath the images is that before the moment of death there was</w:t>
      </w:r>
      <w:r w:rsidR="006D19C5">
        <w:t xml:space="preserve"> a final battle </w:t>
      </w:r>
      <w:r>
        <w:t xml:space="preserve">for the soul. </w:t>
      </w:r>
      <w:r w:rsidR="00857304">
        <w:t>The images are used to portray how the active devout might orientate their final moments towards inspiration and how the passive sinner might fall prey to final tempta</w:t>
      </w:r>
      <w:r w:rsidR="006D19C5">
        <w:t>t</w:t>
      </w:r>
      <w:r w:rsidR="00857304">
        <w:t xml:space="preserve">ions. </w:t>
      </w:r>
      <w:r w:rsidR="0094416E">
        <w:t xml:space="preserve">It is </w:t>
      </w:r>
      <w:r w:rsidR="006D19C5">
        <w:t>immediately</w:t>
      </w:r>
      <w:r w:rsidR="0094416E">
        <w:t xml:space="preserve"> clear, upon even the most cursory examination of the images, that the depictions of temp</w:t>
      </w:r>
      <w:r w:rsidR="006D19C5">
        <w:t>t</w:t>
      </w:r>
      <w:r w:rsidR="0094416E">
        <w:t xml:space="preserve">ations </w:t>
      </w:r>
      <w:r w:rsidR="004E3A03">
        <w:t xml:space="preserve">are made to be compellingly frightening, while the images of </w:t>
      </w:r>
      <w:r w:rsidR="00C1278D">
        <w:t>inspiration are designed to induce hope in the heavenly</w:t>
      </w:r>
      <w:r w:rsidR="00C1278D">
        <w:rPr>
          <w:rStyle w:val="FootnoteReference"/>
        </w:rPr>
        <w:footnoteReference w:id="4"/>
      </w:r>
      <w:r w:rsidR="00C1278D">
        <w:t xml:space="preserve">. The intention was to instruct the reader towards a virtuous end and to compel the living to dwell upon their eventual demise. The idea that one should be constantly reminded of their own mortality was a part of the wider medieval value of the </w:t>
      </w:r>
      <w:r w:rsidR="00C1278D" w:rsidRPr="00C1278D">
        <w:rPr>
          <w:i/>
        </w:rPr>
        <w:t xml:space="preserve">memento </w:t>
      </w:r>
      <w:proofErr w:type="spellStart"/>
      <w:r w:rsidR="00C1278D" w:rsidRPr="00C1278D">
        <w:rPr>
          <w:i/>
        </w:rPr>
        <w:t>mori</w:t>
      </w:r>
      <w:proofErr w:type="spellEnd"/>
      <w:r w:rsidR="00C1278D">
        <w:rPr>
          <w:i/>
        </w:rPr>
        <w:t xml:space="preserve">, </w:t>
      </w:r>
      <w:r w:rsidR="00C1278D">
        <w:t>the idea that frequently considering ones death might help one to live a better life.</w:t>
      </w:r>
      <w:r w:rsidR="00C1278D">
        <w:rPr>
          <w:rStyle w:val="FootnoteReference"/>
        </w:rPr>
        <w:footnoteReference w:id="5"/>
      </w:r>
    </w:p>
    <w:p w14:paraId="675FC023" w14:textId="77777777" w:rsidR="00583E18" w:rsidRDefault="00583E18" w:rsidP="00142948">
      <w:pPr>
        <w:spacing w:line="480" w:lineRule="auto"/>
      </w:pPr>
    </w:p>
    <w:p w14:paraId="5F5ADBA0" w14:textId="77777777" w:rsidR="00583E18" w:rsidRDefault="00EB2CD2" w:rsidP="00583E18">
      <w:pPr>
        <w:spacing w:line="480" w:lineRule="auto"/>
      </w:pPr>
      <w:r>
        <w:t>S</w:t>
      </w:r>
      <w:r w:rsidR="00C760ED">
        <w:t>ome scholars have compellingly suggested that the images are intended to console the reader</w:t>
      </w:r>
      <w:r w:rsidR="00C1278D">
        <w:rPr>
          <w:rStyle w:val="FootnoteReference"/>
        </w:rPr>
        <w:footnoteReference w:id="6"/>
      </w:r>
      <w:r w:rsidR="00C760ED">
        <w:t xml:space="preserve"> and while there is merit in this</w:t>
      </w:r>
      <w:r>
        <w:t>,</w:t>
      </w:r>
      <w:r w:rsidR="00C760ED">
        <w:t xml:space="preserve"> due to the wholesome depictions of the hope that can be found in virtue and the elements of div</w:t>
      </w:r>
      <w:r w:rsidR="00437031">
        <w:t>in</w:t>
      </w:r>
      <w:r w:rsidR="00C760ED">
        <w:t>e justice in the fact that sins</w:t>
      </w:r>
      <w:r w:rsidR="006D19C5">
        <w:t xml:space="preserve"> were paid off like-for-</w:t>
      </w:r>
      <w:r w:rsidR="00C760ED">
        <w:t>like in hell or purgatory</w:t>
      </w:r>
      <w:r>
        <w:t xml:space="preserve"> </w:t>
      </w:r>
      <w:r w:rsidR="006D19C5">
        <w:t>(</w:t>
      </w:r>
      <w:proofErr w:type="spellStart"/>
      <w:r>
        <w:t>i</w:t>
      </w:r>
      <w:r w:rsidR="006D19C5">
        <w:t>.e</w:t>
      </w:r>
      <w:proofErr w:type="spellEnd"/>
      <w:r>
        <w:t xml:space="preserve"> that your earthly actions would have divine consequences), it is not unreasonable to explore a more subversive motivation</w:t>
      </w:r>
      <w:r w:rsidR="00437031">
        <w:t xml:space="preserve">. </w:t>
      </w:r>
      <w:r>
        <w:t xml:space="preserve"> </w:t>
      </w:r>
      <w:r w:rsidR="006D19C5">
        <w:t xml:space="preserve">It could be </w:t>
      </w:r>
      <w:r w:rsidR="00857304">
        <w:t>plausibly suggested</w:t>
      </w:r>
      <w:r w:rsidR="00C1278D">
        <w:t>,</w:t>
      </w:r>
      <w:r w:rsidR="00857304">
        <w:t xml:space="preserve"> in light of the dynamic nature of the </w:t>
      </w:r>
      <w:r w:rsidR="00857304">
        <w:lastRenderedPageBreak/>
        <w:t>depictions of final temptation</w:t>
      </w:r>
      <w:r w:rsidR="00C1278D">
        <w:t>, that these illustrated</w:t>
      </w:r>
      <w:r w:rsidR="00857304">
        <w:t xml:space="preserve"> edition</w:t>
      </w:r>
      <w:r w:rsidR="00C1278D">
        <w:t>s</w:t>
      </w:r>
      <w:r w:rsidR="00857304">
        <w:t xml:space="preserve"> of the </w:t>
      </w:r>
      <w:r w:rsidR="00857304" w:rsidRPr="00C1278D">
        <w:rPr>
          <w:i/>
        </w:rPr>
        <w:t xml:space="preserve">Ars </w:t>
      </w:r>
      <w:proofErr w:type="spellStart"/>
      <w:r w:rsidR="00857304" w:rsidRPr="00C1278D">
        <w:rPr>
          <w:i/>
        </w:rPr>
        <w:t>Moriendi</w:t>
      </w:r>
      <w:proofErr w:type="spellEnd"/>
      <w:r w:rsidR="00857304">
        <w:t xml:space="preserve"> could be more accura</w:t>
      </w:r>
      <w:r>
        <w:t>tely representing the bad death in order to keep the populace under the moral jurisdiction of the church.</w:t>
      </w:r>
      <w:r w:rsidR="00583E18">
        <w:t xml:space="preserve"> With church stability threatened by the protestant vanguard of Erasmus, John Wycliff and the Lollard movement</w:t>
      </w:r>
      <w:r w:rsidR="0079729C">
        <w:rPr>
          <w:rStyle w:val="FootnoteReference"/>
        </w:rPr>
        <w:footnoteReference w:id="7"/>
      </w:r>
      <w:r w:rsidR="00C1278D">
        <w:t>,</w:t>
      </w:r>
      <w:r w:rsidR="0079729C">
        <w:t xml:space="preserve"> it would have been</w:t>
      </w:r>
      <w:r w:rsidR="00583E18">
        <w:t xml:space="preserve"> of paramount importance that the roman church maintained a strong </w:t>
      </w:r>
      <w:r w:rsidR="00C1278D">
        <w:t>grasp</w:t>
      </w:r>
      <w:r w:rsidR="00583E18">
        <w:t xml:space="preserve"> on the imaginations of </w:t>
      </w:r>
      <w:r w:rsidR="00C1278D">
        <w:t>its</w:t>
      </w:r>
      <w:r w:rsidR="00583E18">
        <w:t xml:space="preserve"> flock.</w:t>
      </w:r>
      <w:r w:rsidR="00583E18" w:rsidRPr="00583E18">
        <w:t xml:space="preserve"> </w:t>
      </w:r>
      <w:r w:rsidR="00583E18">
        <w:t xml:space="preserve">It is therefore, though perhaps </w:t>
      </w:r>
      <w:r w:rsidR="00C1278D">
        <w:t xml:space="preserve">cynical, </w:t>
      </w:r>
      <w:r w:rsidR="0079729C">
        <w:t xml:space="preserve">a </w:t>
      </w:r>
      <w:r w:rsidR="00583E18">
        <w:t>relevant view that this growing</w:t>
      </w:r>
      <w:r w:rsidR="0079729C">
        <w:t xml:space="preserve"> aesthetic</w:t>
      </w:r>
      <w:r w:rsidR="00583E18">
        <w:t xml:space="preserve"> culture of fear and horror that is demonstrated in the temptation images of the </w:t>
      </w:r>
      <w:r w:rsidR="00583E18" w:rsidRPr="0079729C">
        <w:rPr>
          <w:i/>
        </w:rPr>
        <w:t xml:space="preserve">Ars </w:t>
      </w:r>
      <w:proofErr w:type="spellStart"/>
      <w:r w:rsidR="00583E18" w:rsidRPr="0079729C">
        <w:rPr>
          <w:i/>
        </w:rPr>
        <w:t>Moriendi</w:t>
      </w:r>
      <w:proofErr w:type="spellEnd"/>
      <w:r w:rsidR="00583E18">
        <w:t xml:space="preserve"> </w:t>
      </w:r>
      <w:r w:rsidR="0079729C">
        <w:t>was less about devotion than it was about exploiting the genuine faith of the Christian masses.</w:t>
      </w:r>
    </w:p>
    <w:p w14:paraId="3BA86BF5" w14:textId="77777777" w:rsidR="00857304" w:rsidRDefault="00857304" w:rsidP="00142948">
      <w:pPr>
        <w:spacing w:line="480" w:lineRule="auto"/>
      </w:pPr>
    </w:p>
    <w:p w14:paraId="47425FE2" w14:textId="77777777" w:rsidR="00857304" w:rsidRDefault="00857304" w:rsidP="00142948">
      <w:pPr>
        <w:spacing w:line="480" w:lineRule="auto"/>
      </w:pPr>
    </w:p>
    <w:p w14:paraId="58653EB0" w14:textId="2D5FDE12" w:rsidR="00583E18" w:rsidRDefault="00F632FB" w:rsidP="00583E18">
      <w:pPr>
        <w:spacing w:line="480" w:lineRule="auto"/>
      </w:pPr>
      <w:r>
        <w:t>The use of pairs of opposin</w:t>
      </w:r>
      <w:r w:rsidR="000103C1">
        <w:t>g themes in the illustrations may</w:t>
      </w:r>
      <w:r>
        <w:t xml:space="preserve"> also </w:t>
      </w:r>
      <w:r w:rsidR="000103C1">
        <w:t xml:space="preserve">be </w:t>
      </w:r>
      <w:r>
        <w:t xml:space="preserve">indicative of a developing trend towards </w:t>
      </w:r>
      <w:r w:rsidR="000103C1">
        <w:t xml:space="preserve">a </w:t>
      </w:r>
      <w:r>
        <w:t xml:space="preserve">more dualistic foundation to late medieval theology than </w:t>
      </w:r>
      <w:r w:rsidR="000103C1">
        <w:t>the more simplistic doctrine in the early medieval period. While this may be one broad stroke t</w:t>
      </w:r>
      <w:r w:rsidR="005A6660">
        <w:t>oo far, it is possible that these</w:t>
      </w:r>
      <w:r w:rsidR="000103C1">
        <w:t xml:space="preserve"> paired view</w:t>
      </w:r>
      <w:r w:rsidR="005A6660">
        <w:t>s</w:t>
      </w:r>
      <w:r w:rsidR="000103C1">
        <w:t xml:space="preserve"> of good and evil, humility and pride, </w:t>
      </w:r>
      <w:r w:rsidR="005A6660">
        <w:t xml:space="preserve">temptation and inspiration etc. are these result of the influence of </w:t>
      </w:r>
      <w:r w:rsidR="00891A3A">
        <w:t xml:space="preserve">the Platonic </w:t>
      </w:r>
      <w:r w:rsidR="005A6660">
        <w:t>dualism that crept into orthodox theolo</w:t>
      </w:r>
      <w:r w:rsidR="0079729C">
        <w:t>gy as classical ancient literature</w:t>
      </w:r>
      <w:r w:rsidR="005A6660">
        <w:t xml:space="preserve"> gained legitimacy at the cusp of the renaissance</w:t>
      </w:r>
      <w:r w:rsidR="0079729C">
        <w:rPr>
          <w:rStyle w:val="FootnoteReference"/>
        </w:rPr>
        <w:footnoteReference w:id="8"/>
      </w:r>
      <w:r w:rsidR="005A6660">
        <w:t xml:space="preserve">. </w:t>
      </w:r>
      <w:r w:rsidR="000103C1">
        <w:t>Nowhere is this</w:t>
      </w:r>
      <w:r w:rsidR="005A6660">
        <w:t xml:space="preserve"> ostensibly Platonic</w:t>
      </w:r>
      <w:r w:rsidR="000103C1">
        <w:t xml:space="preserve"> dualism more significant </w:t>
      </w:r>
      <w:r w:rsidR="005A6660">
        <w:t xml:space="preserve">to a firm understanding of late </w:t>
      </w:r>
      <w:r w:rsidR="00891A3A">
        <w:t>medieval</w:t>
      </w:r>
      <w:r w:rsidR="005A6660">
        <w:t xml:space="preserve"> attitudes to dying </w:t>
      </w:r>
      <w:r w:rsidR="000103C1">
        <w:t>than in its use in relation to the theology of body and soul</w:t>
      </w:r>
      <w:r w:rsidR="00891A3A">
        <w:t>. The fact that a culture developed with an emphasis on the spiritual (the soul) over the physical (the body) is unsurprising given the multitude of bodily afflictions (plague, leprosy etc.) that the populace in the late medieval period experienced</w:t>
      </w:r>
      <w:r w:rsidR="0079729C">
        <w:rPr>
          <w:rStyle w:val="FootnoteReference"/>
        </w:rPr>
        <w:footnoteReference w:id="9"/>
      </w:r>
      <w:r w:rsidR="00891A3A">
        <w:t>. However, this attitude equally fed into the tendency of the church to use great artistic license when depicting deathbed battle for the soul.</w:t>
      </w:r>
      <w:r w:rsidR="00583E18">
        <w:t xml:space="preserve"> </w:t>
      </w:r>
      <w:r w:rsidR="0079729C">
        <w:t>It could be posited</w:t>
      </w:r>
      <w:r w:rsidR="00583E18">
        <w:t xml:space="preserve"> that these images are symbolic of a shift in the </w:t>
      </w:r>
      <w:r w:rsidR="00583E18">
        <w:lastRenderedPageBreak/>
        <w:t>medieval world view. Instead of the previously understood sense mystery that</w:t>
      </w:r>
      <w:r w:rsidR="0079729C">
        <w:t xml:space="preserve"> both life and</w:t>
      </w:r>
      <w:r w:rsidR="00583E18">
        <w:t xml:space="preserve"> death had held in the earlier medieval period (with a far less specific theology of the afterlife</w:t>
      </w:r>
      <w:r w:rsidR="0079729C">
        <w:rPr>
          <w:rStyle w:val="FootnoteReference"/>
        </w:rPr>
        <w:footnoteReference w:id="10"/>
      </w:r>
      <w:r w:rsidR="00583E18">
        <w:t>), the late medieval</w:t>
      </w:r>
      <w:r w:rsidR="0079729C">
        <w:t xml:space="preserve"> theologians</w:t>
      </w:r>
      <w:r w:rsidR="00583E18">
        <w:t xml:space="preserve"> were arguably far less comfortable with any ambiguity over </w:t>
      </w:r>
      <w:r w:rsidR="0079729C">
        <w:t>the destination of</w:t>
      </w:r>
      <w:r w:rsidR="00583E18">
        <w:t xml:space="preserve"> t</w:t>
      </w:r>
      <w:r w:rsidR="0079729C">
        <w:t xml:space="preserve">heir body and soul after death. </w:t>
      </w:r>
    </w:p>
    <w:p w14:paraId="3F22BAC2" w14:textId="77777777" w:rsidR="002274BF" w:rsidRDefault="002274BF" w:rsidP="00142948">
      <w:pPr>
        <w:spacing w:line="480" w:lineRule="auto"/>
      </w:pPr>
    </w:p>
    <w:p w14:paraId="32636FA1" w14:textId="77777777" w:rsidR="005A6660" w:rsidRDefault="005A6660" w:rsidP="00142948">
      <w:pPr>
        <w:spacing w:line="480" w:lineRule="auto"/>
      </w:pPr>
    </w:p>
    <w:p w14:paraId="2BBE5472" w14:textId="77777777" w:rsidR="00891A3A" w:rsidRDefault="00583E18" w:rsidP="00891A3A">
      <w:pPr>
        <w:spacing w:line="480" w:lineRule="auto"/>
      </w:pPr>
      <w:r>
        <w:t>While, as initially suggested, there are many more facets of late medieval attitudes towards the art of dying that may be examined (for example that t</w:t>
      </w:r>
      <w:r w:rsidR="00891A3A">
        <w:t>he influence that the plagues an</w:t>
      </w:r>
      <w:r w:rsidR="007317D1">
        <w:t>d wars of the fourteenth and fifteenth</w:t>
      </w:r>
      <w:r w:rsidR="00891A3A">
        <w:t xml:space="preserve"> centuries had upon late medieval ideas of death cannot be under</w:t>
      </w:r>
      <w:r>
        <w:t xml:space="preserve">estimated), </w:t>
      </w:r>
      <w:r w:rsidR="0079729C">
        <w:t>solid conclusions can still be drawn. The most apparent of these is that the late medieval period was one of great change both in terms of aesthetics and values</w:t>
      </w:r>
      <w:r w:rsidR="007317D1">
        <w:t>, this is demonstrated as classical literature and a powerfully politicised papacy supplanted the whimsical (but not infallible) sincerity of the early medieval period in order to ring in a new age and a new aesthetic: the renaissance.</w:t>
      </w:r>
    </w:p>
    <w:p w14:paraId="3FBA74E7" w14:textId="77777777" w:rsidR="00C64BB1" w:rsidRDefault="00C64BB1" w:rsidP="00142948">
      <w:pPr>
        <w:spacing w:line="480" w:lineRule="auto"/>
      </w:pPr>
    </w:p>
    <w:p w14:paraId="6F239370" w14:textId="77777777" w:rsidR="00C64BB1" w:rsidRDefault="00C64BB1" w:rsidP="00142948">
      <w:pPr>
        <w:spacing w:line="480" w:lineRule="auto"/>
      </w:pPr>
    </w:p>
    <w:p w14:paraId="3C2B0459" w14:textId="77777777" w:rsidR="0023739E" w:rsidRDefault="0023739E" w:rsidP="00142948">
      <w:pPr>
        <w:spacing w:line="480" w:lineRule="auto"/>
        <w:rPr>
          <w:u w:val="single"/>
        </w:rPr>
      </w:pPr>
    </w:p>
    <w:p w14:paraId="5387D11C" w14:textId="77777777" w:rsidR="0023739E" w:rsidRDefault="0023739E" w:rsidP="00142948">
      <w:pPr>
        <w:spacing w:line="480" w:lineRule="auto"/>
        <w:rPr>
          <w:u w:val="single"/>
        </w:rPr>
      </w:pPr>
    </w:p>
    <w:p w14:paraId="453B3421" w14:textId="77777777" w:rsidR="0023739E" w:rsidRDefault="0023739E" w:rsidP="00142948">
      <w:pPr>
        <w:spacing w:line="480" w:lineRule="auto"/>
        <w:rPr>
          <w:u w:val="single"/>
        </w:rPr>
      </w:pPr>
    </w:p>
    <w:p w14:paraId="70159BA9" w14:textId="77777777" w:rsidR="0023739E" w:rsidRDefault="0023739E" w:rsidP="00142948">
      <w:pPr>
        <w:spacing w:line="480" w:lineRule="auto"/>
        <w:rPr>
          <w:u w:val="single"/>
        </w:rPr>
      </w:pPr>
    </w:p>
    <w:p w14:paraId="4151BEB5" w14:textId="77777777" w:rsidR="0023739E" w:rsidRDefault="0023739E" w:rsidP="00142948">
      <w:pPr>
        <w:spacing w:line="480" w:lineRule="auto"/>
        <w:rPr>
          <w:u w:val="single"/>
        </w:rPr>
      </w:pPr>
    </w:p>
    <w:p w14:paraId="2686ED32" w14:textId="08019F87" w:rsidR="00C64BB1" w:rsidRDefault="00C64BB1" w:rsidP="00142948">
      <w:pPr>
        <w:spacing w:line="480" w:lineRule="auto"/>
        <w:rPr>
          <w:u w:val="single"/>
        </w:rPr>
      </w:pPr>
      <w:r w:rsidRPr="00C64BB1">
        <w:rPr>
          <w:u w:val="single"/>
        </w:rPr>
        <w:lastRenderedPageBreak/>
        <w:t>Bibliography</w:t>
      </w:r>
    </w:p>
    <w:p w14:paraId="2146646B" w14:textId="77777777" w:rsidR="00C64BB1" w:rsidRDefault="00C64BB1" w:rsidP="00142948">
      <w:pPr>
        <w:spacing w:line="480" w:lineRule="auto"/>
        <w:rPr>
          <w:b/>
        </w:rPr>
      </w:pPr>
      <w:r>
        <w:rPr>
          <w:b/>
        </w:rPr>
        <w:t>Primary sources</w:t>
      </w:r>
    </w:p>
    <w:p w14:paraId="24871AC4" w14:textId="77777777" w:rsidR="00C51900" w:rsidRDefault="00604BEF" w:rsidP="00142948">
      <w:pPr>
        <w:spacing w:line="480" w:lineRule="auto"/>
      </w:pPr>
      <w:r>
        <w:t xml:space="preserve">Temptation to Impatience. Woodcut, </w:t>
      </w:r>
      <w:r>
        <w:rPr>
          <w:i/>
        </w:rPr>
        <w:t xml:space="preserve">The Ars </w:t>
      </w:r>
      <w:proofErr w:type="spellStart"/>
      <w:r>
        <w:rPr>
          <w:i/>
        </w:rPr>
        <w:t>Moriendi</w:t>
      </w:r>
      <w:proofErr w:type="spellEnd"/>
      <w:r>
        <w:rPr>
          <w:i/>
        </w:rPr>
        <w:t xml:space="preserve"> (</w:t>
      </w:r>
      <w:proofErr w:type="spellStart"/>
      <w:r>
        <w:rPr>
          <w:i/>
        </w:rPr>
        <w:t>Editio</w:t>
      </w:r>
      <w:proofErr w:type="spellEnd"/>
      <w:r>
        <w:rPr>
          <w:i/>
        </w:rPr>
        <w:t xml:space="preserve"> Princeps, c. 1450), A Reproduction of the Copy in the British Museum, </w:t>
      </w:r>
      <w:r w:rsidRPr="00604BEF">
        <w:t>ed. W.H. Rylands (</w:t>
      </w:r>
      <w:r>
        <w:t>London: Holbein Society, 1881), 6v.</w:t>
      </w:r>
    </w:p>
    <w:p w14:paraId="6E1A8606" w14:textId="77777777" w:rsidR="00604BEF" w:rsidRDefault="00604BEF" w:rsidP="00142948">
      <w:pPr>
        <w:spacing w:line="480" w:lineRule="auto"/>
        <w:rPr>
          <w:i/>
        </w:rPr>
      </w:pPr>
      <w:r>
        <w:t xml:space="preserve">Temptation to Despair. Woodcut, </w:t>
      </w:r>
      <w:r>
        <w:rPr>
          <w:i/>
        </w:rPr>
        <w:t xml:space="preserve">The Ars </w:t>
      </w:r>
      <w:proofErr w:type="spellStart"/>
      <w:r>
        <w:rPr>
          <w:i/>
        </w:rPr>
        <w:t>Moriendi</w:t>
      </w:r>
      <w:proofErr w:type="spellEnd"/>
      <w:r>
        <w:rPr>
          <w:i/>
        </w:rPr>
        <w:t xml:space="preserve"> (</w:t>
      </w:r>
      <w:proofErr w:type="spellStart"/>
      <w:r>
        <w:rPr>
          <w:i/>
        </w:rPr>
        <w:t>Editio</w:t>
      </w:r>
      <w:proofErr w:type="spellEnd"/>
      <w:r>
        <w:rPr>
          <w:i/>
        </w:rPr>
        <w:t xml:space="preserve"> Princeps), 4v.</w:t>
      </w:r>
    </w:p>
    <w:p w14:paraId="0A94968F" w14:textId="77777777" w:rsidR="00604BEF" w:rsidRDefault="00604BEF" w:rsidP="00142948">
      <w:pPr>
        <w:spacing w:line="480" w:lineRule="auto"/>
        <w:rPr>
          <w:i/>
        </w:rPr>
      </w:pPr>
      <w:r>
        <w:t xml:space="preserve">Inspiration against Despair. Woodcut. </w:t>
      </w:r>
      <w:r>
        <w:rPr>
          <w:i/>
        </w:rPr>
        <w:t xml:space="preserve">The Ars </w:t>
      </w:r>
      <w:proofErr w:type="spellStart"/>
      <w:r>
        <w:rPr>
          <w:i/>
        </w:rPr>
        <w:t>Moriendi</w:t>
      </w:r>
      <w:proofErr w:type="spellEnd"/>
      <w:r>
        <w:rPr>
          <w:i/>
        </w:rPr>
        <w:t xml:space="preserve"> (</w:t>
      </w:r>
      <w:proofErr w:type="spellStart"/>
      <w:r>
        <w:rPr>
          <w:i/>
        </w:rPr>
        <w:t>Editio</w:t>
      </w:r>
      <w:proofErr w:type="spellEnd"/>
      <w:r>
        <w:rPr>
          <w:i/>
        </w:rPr>
        <w:t xml:space="preserve"> Princeps), 5v.</w:t>
      </w:r>
    </w:p>
    <w:p w14:paraId="0160A187" w14:textId="77777777" w:rsidR="00604BEF" w:rsidRDefault="00604BEF" w:rsidP="00142948">
      <w:pPr>
        <w:spacing w:line="480" w:lineRule="auto"/>
      </w:pPr>
      <w:r>
        <w:t xml:space="preserve">Inspiration against Despair. Engraving, Master E.S., </w:t>
      </w:r>
      <w:r>
        <w:rPr>
          <w:i/>
        </w:rPr>
        <w:t xml:space="preserve">Ars </w:t>
      </w:r>
      <w:proofErr w:type="spellStart"/>
      <w:r>
        <w:rPr>
          <w:i/>
        </w:rPr>
        <w:t>Moriendi</w:t>
      </w:r>
      <w:proofErr w:type="spellEnd"/>
      <w:r>
        <w:rPr>
          <w:i/>
        </w:rPr>
        <w:t xml:space="preserve">. </w:t>
      </w:r>
      <w:r w:rsidRPr="00604BEF">
        <w:t>From Lion</w:t>
      </w:r>
      <w:r>
        <w:t xml:space="preserve"> Cust, </w:t>
      </w:r>
      <w:r>
        <w:rPr>
          <w:i/>
        </w:rPr>
        <w:t xml:space="preserve">The Master E.S. and the ‘Ars </w:t>
      </w:r>
      <w:proofErr w:type="spellStart"/>
      <w:r>
        <w:rPr>
          <w:i/>
        </w:rPr>
        <w:t>Moriendi</w:t>
      </w:r>
      <w:proofErr w:type="spellEnd"/>
      <w:r>
        <w:rPr>
          <w:i/>
        </w:rPr>
        <w:t xml:space="preserve">’ </w:t>
      </w:r>
      <w:r>
        <w:t>(Oxford: Clarendon Press, 1898); plate 2b.</w:t>
      </w:r>
    </w:p>
    <w:p w14:paraId="732166A5" w14:textId="77777777" w:rsidR="00604BEF" w:rsidRDefault="00604BEF" w:rsidP="00142948">
      <w:pPr>
        <w:spacing w:line="480" w:lineRule="auto"/>
      </w:pPr>
      <w:r>
        <w:t xml:space="preserve">Remedy against Despair. Hand coloured woodcut, </w:t>
      </w:r>
      <w:r>
        <w:rPr>
          <w:i/>
        </w:rPr>
        <w:t xml:space="preserve">Ars </w:t>
      </w:r>
      <w:proofErr w:type="spellStart"/>
      <w:r>
        <w:rPr>
          <w:i/>
        </w:rPr>
        <w:t>Moriendi</w:t>
      </w:r>
      <w:proofErr w:type="spellEnd"/>
      <w:r>
        <w:rPr>
          <w:i/>
        </w:rPr>
        <w:t xml:space="preserve">, </w:t>
      </w:r>
      <w:r>
        <w:t>Edition 10 (Augsburg, c. 1480); The Pierpont Morgan Library, New York, PML 274, 4v.</w:t>
      </w:r>
    </w:p>
    <w:p w14:paraId="636BC765" w14:textId="77777777" w:rsidR="00604BEF" w:rsidRDefault="00604BEF" w:rsidP="00142948">
      <w:pPr>
        <w:spacing w:line="480" w:lineRule="auto"/>
        <w:rPr>
          <w:i/>
        </w:rPr>
      </w:pPr>
      <w:proofErr w:type="spellStart"/>
      <w:r>
        <w:t>Tempation</w:t>
      </w:r>
      <w:proofErr w:type="spellEnd"/>
      <w:r>
        <w:t xml:space="preserve"> to Avarice. Engraving, Master E.S., </w:t>
      </w:r>
      <w:r>
        <w:rPr>
          <w:i/>
        </w:rPr>
        <w:t xml:space="preserve">Ars </w:t>
      </w:r>
      <w:proofErr w:type="spellStart"/>
      <w:r>
        <w:rPr>
          <w:i/>
        </w:rPr>
        <w:t>Moriendi</w:t>
      </w:r>
      <w:proofErr w:type="spellEnd"/>
      <w:r>
        <w:rPr>
          <w:i/>
        </w:rPr>
        <w:t xml:space="preserve">. </w:t>
      </w:r>
      <w:r>
        <w:t xml:space="preserve">From Cust, </w:t>
      </w:r>
      <w:r w:rsidR="00247179">
        <w:rPr>
          <w:i/>
        </w:rPr>
        <w:t xml:space="preserve">The Master E.S., </w:t>
      </w:r>
      <w:r w:rsidR="00247179" w:rsidRPr="00247179">
        <w:t>p</w:t>
      </w:r>
      <w:r w:rsidRPr="00247179">
        <w:t>late 5a.</w:t>
      </w:r>
    </w:p>
    <w:p w14:paraId="38CD5205" w14:textId="77777777" w:rsidR="00C64BB1" w:rsidRDefault="00C64BB1" w:rsidP="00142948">
      <w:pPr>
        <w:spacing w:line="480" w:lineRule="auto"/>
        <w:rPr>
          <w:b/>
        </w:rPr>
      </w:pPr>
    </w:p>
    <w:p w14:paraId="37D06BF9" w14:textId="77777777" w:rsidR="00C64BB1" w:rsidRDefault="00C64BB1" w:rsidP="00142948">
      <w:pPr>
        <w:spacing w:line="480" w:lineRule="auto"/>
        <w:rPr>
          <w:b/>
        </w:rPr>
      </w:pPr>
      <w:r>
        <w:rPr>
          <w:b/>
        </w:rPr>
        <w:t>Secondary sources</w:t>
      </w:r>
      <w:r w:rsidR="00AE1C10">
        <w:rPr>
          <w:b/>
        </w:rPr>
        <w:t xml:space="preserve"> </w:t>
      </w:r>
    </w:p>
    <w:p w14:paraId="51CB0759" w14:textId="77777777" w:rsidR="00247179" w:rsidRDefault="00247179" w:rsidP="00142948">
      <w:pPr>
        <w:spacing w:line="480" w:lineRule="auto"/>
        <w:rPr>
          <w:b/>
        </w:rPr>
      </w:pPr>
    </w:p>
    <w:p w14:paraId="74E5BDA4" w14:textId="50CF92FF" w:rsidR="00247179" w:rsidRPr="00247179" w:rsidRDefault="00247179" w:rsidP="00142948">
      <w:pPr>
        <w:spacing w:line="480" w:lineRule="auto"/>
      </w:pPr>
      <w:proofErr w:type="spellStart"/>
      <w:r>
        <w:t>Binski</w:t>
      </w:r>
      <w:proofErr w:type="spellEnd"/>
      <w:r>
        <w:t xml:space="preserve">, P. </w:t>
      </w:r>
      <w:r>
        <w:rPr>
          <w:i/>
        </w:rPr>
        <w:t xml:space="preserve">Medieval Death: Ritual and Representation </w:t>
      </w:r>
      <w:r>
        <w:t xml:space="preserve">(London: British Museum </w:t>
      </w:r>
      <w:r w:rsidR="001901E2">
        <w:t>Press, 1996)</w:t>
      </w:r>
    </w:p>
    <w:p w14:paraId="2CA93464" w14:textId="464720C5" w:rsidR="00247179" w:rsidRDefault="00247179" w:rsidP="00142948">
      <w:pPr>
        <w:spacing w:line="480" w:lineRule="auto"/>
      </w:pPr>
      <w:bookmarkStart w:id="1" w:name="_Hlk496903372"/>
      <w:proofErr w:type="spellStart"/>
      <w:r>
        <w:t>Daniell</w:t>
      </w:r>
      <w:proofErr w:type="spellEnd"/>
      <w:r>
        <w:t xml:space="preserve">, C. </w:t>
      </w:r>
      <w:r>
        <w:rPr>
          <w:i/>
        </w:rPr>
        <w:t xml:space="preserve">Death and Burial in Medieval England 1066-1550 </w:t>
      </w:r>
      <w:r>
        <w:t>(London: Routledge, 1997)</w:t>
      </w:r>
    </w:p>
    <w:p w14:paraId="31C10121" w14:textId="03637FC7" w:rsidR="001901E2" w:rsidRDefault="001901E2" w:rsidP="00142948">
      <w:pPr>
        <w:spacing w:line="480" w:lineRule="auto"/>
      </w:pPr>
      <w:bookmarkStart w:id="2" w:name="_Hlk496903595"/>
      <w:bookmarkEnd w:id="1"/>
      <w:proofErr w:type="spellStart"/>
      <w:r>
        <w:t>Duclow</w:t>
      </w:r>
      <w:proofErr w:type="spellEnd"/>
      <w:r>
        <w:t xml:space="preserve">, D. ‘Dying Well: The Ars </w:t>
      </w:r>
      <w:proofErr w:type="spellStart"/>
      <w:r>
        <w:t>Moriendi</w:t>
      </w:r>
      <w:proofErr w:type="spellEnd"/>
      <w:r>
        <w:t xml:space="preserve"> and the Dormition of the Virgin’, in </w:t>
      </w:r>
      <w:r>
        <w:rPr>
          <w:i/>
        </w:rPr>
        <w:t xml:space="preserve">Death and Dying in the Middle Ages, </w:t>
      </w:r>
      <w:r>
        <w:t xml:space="preserve">ed. By </w:t>
      </w:r>
      <w:proofErr w:type="spellStart"/>
      <w:r>
        <w:t>Dubruk</w:t>
      </w:r>
      <w:proofErr w:type="spellEnd"/>
      <w:r>
        <w:t xml:space="preserve">, E and </w:t>
      </w:r>
      <w:proofErr w:type="spellStart"/>
      <w:r>
        <w:t>Gusick</w:t>
      </w:r>
      <w:proofErr w:type="spellEnd"/>
      <w:r>
        <w:t xml:space="preserve">, B (New York: Peter Lang, 1999), </w:t>
      </w:r>
      <w:bookmarkEnd w:id="2"/>
      <w:r>
        <w:t>pp 379-429</w:t>
      </w:r>
    </w:p>
    <w:p w14:paraId="1B29B68F" w14:textId="32DAD64D" w:rsidR="001901E2" w:rsidRDefault="001901E2" w:rsidP="00142948">
      <w:pPr>
        <w:spacing w:line="480" w:lineRule="auto"/>
      </w:pPr>
      <w:r>
        <w:t>Pepin, R. ‘Heaven in Bernard of Cluny’s</w:t>
      </w:r>
      <w:r w:rsidR="0072773D">
        <w:t xml:space="preserve"> De </w:t>
      </w:r>
      <w:proofErr w:type="spellStart"/>
      <w:r w:rsidR="0072773D">
        <w:t>Contempta</w:t>
      </w:r>
      <w:proofErr w:type="spellEnd"/>
      <w:r w:rsidR="0072773D">
        <w:t xml:space="preserve"> Mundi’ in </w:t>
      </w:r>
      <w:r w:rsidR="0072773D">
        <w:rPr>
          <w:i/>
        </w:rPr>
        <w:t xml:space="preserve">Imagining Heaven in the Middle Ages, </w:t>
      </w:r>
      <w:r w:rsidR="0072773D">
        <w:t xml:space="preserve">ed. By Emerson, J and </w:t>
      </w:r>
      <w:proofErr w:type="spellStart"/>
      <w:r w:rsidR="0072773D">
        <w:t>Feiss</w:t>
      </w:r>
      <w:proofErr w:type="spellEnd"/>
      <w:r w:rsidR="0072773D">
        <w:t>, H (New York: Garland Publishing, 2000)</w:t>
      </w:r>
    </w:p>
    <w:p w14:paraId="105C056B" w14:textId="1450908A" w:rsidR="007E0BA1" w:rsidRPr="007E0BA1" w:rsidRDefault="007E0BA1" w:rsidP="00142948">
      <w:pPr>
        <w:spacing w:line="480" w:lineRule="auto"/>
      </w:pPr>
      <w:bookmarkStart w:id="3" w:name="_Hlk496903732"/>
      <w:r>
        <w:t xml:space="preserve">Robinson, R. Groves, J. </w:t>
      </w:r>
      <w:r>
        <w:rPr>
          <w:i/>
        </w:rPr>
        <w:t>Introducing Political Philosophy,</w:t>
      </w:r>
      <w:r>
        <w:t xml:space="preserve"> (London: Icon Books, 2006), </w:t>
      </w:r>
      <w:bookmarkEnd w:id="3"/>
      <w:r>
        <w:t>pp 40-41</w:t>
      </w:r>
    </w:p>
    <w:p w14:paraId="724BA4E3" w14:textId="77777777" w:rsidR="00247179" w:rsidRPr="00247179" w:rsidRDefault="00247179" w:rsidP="00142948">
      <w:pPr>
        <w:spacing w:line="480" w:lineRule="auto"/>
      </w:pPr>
    </w:p>
    <w:p w14:paraId="5B017A05" w14:textId="77777777" w:rsidR="00247179" w:rsidRPr="00C64BB1" w:rsidRDefault="00247179" w:rsidP="00142948">
      <w:pPr>
        <w:spacing w:line="480" w:lineRule="auto"/>
        <w:rPr>
          <w:b/>
        </w:rPr>
      </w:pPr>
    </w:p>
    <w:sectPr w:rsidR="00247179" w:rsidRPr="00C64B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3EBEA" w14:textId="77777777" w:rsidR="004E3A03" w:rsidRDefault="004E3A03" w:rsidP="004E3A03">
      <w:pPr>
        <w:spacing w:after="0" w:line="240" w:lineRule="auto"/>
      </w:pPr>
      <w:r>
        <w:separator/>
      </w:r>
    </w:p>
  </w:endnote>
  <w:endnote w:type="continuationSeparator" w:id="0">
    <w:p w14:paraId="6285ABFC" w14:textId="77777777" w:rsidR="004E3A03" w:rsidRDefault="004E3A03" w:rsidP="004E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893B8" w14:textId="77777777" w:rsidR="004E3A03" w:rsidRDefault="004E3A03" w:rsidP="004E3A03">
      <w:pPr>
        <w:spacing w:after="0" w:line="240" w:lineRule="auto"/>
      </w:pPr>
      <w:r>
        <w:separator/>
      </w:r>
    </w:p>
  </w:footnote>
  <w:footnote w:type="continuationSeparator" w:id="0">
    <w:p w14:paraId="2DE72448" w14:textId="77777777" w:rsidR="004E3A03" w:rsidRDefault="004E3A03" w:rsidP="004E3A03">
      <w:pPr>
        <w:spacing w:after="0" w:line="240" w:lineRule="auto"/>
      </w:pPr>
      <w:r>
        <w:continuationSeparator/>
      </w:r>
    </w:p>
  </w:footnote>
  <w:footnote w:id="1">
    <w:p w14:paraId="11C6CFDB" w14:textId="36483D53" w:rsidR="004E3A03" w:rsidRPr="0023739E" w:rsidRDefault="004E3A03" w:rsidP="0023739E">
      <w:pPr>
        <w:pStyle w:val="FootnoteText"/>
        <w:rPr>
          <w:sz w:val="16"/>
          <w:szCs w:val="16"/>
        </w:rPr>
      </w:pPr>
      <w:r w:rsidRPr="0023739E">
        <w:rPr>
          <w:rStyle w:val="FootnoteReference"/>
          <w:sz w:val="16"/>
          <w:szCs w:val="16"/>
        </w:rPr>
        <w:footnoteRef/>
      </w:r>
      <w:r w:rsidRPr="0023739E">
        <w:rPr>
          <w:sz w:val="16"/>
          <w:szCs w:val="16"/>
        </w:rPr>
        <w:t xml:space="preserve"> </w:t>
      </w:r>
      <w:proofErr w:type="spellStart"/>
      <w:r w:rsidR="0023739E" w:rsidRPr="0023739E">
        <w:rPr>
          <w:sz w:val="16"/>
          <w:szCs w:val="16"/>
        </w:rPr>
        <w:t>Duclow</w:t>
      </w:r>
      <w:proofErr w:type="spellEnd"/>
      <w:r w:rsidR="0023739E" w:rsidRPr="0023739E">
        <w:rPr>
          <w:sz w:val="16"/>
          <w:szCs w:val="16"/>
        </w:rPr>
        <w:t xml:space="preserve">, D. ‘Dying Well: The Ars </w:t>
      </w:r>
      <w:proofErr w:type="spellStart"/>
      <w:r w:rsidR="0023739E" w:rsidRPr="0023739E">
        <w:rPr>
          <w:sz w:val="16"/>
          <w:szCs w:val="16"/>
        </w:rPr>
        <w:t>Moriendi</w:t>
      </w:r>
      <w:proofErr w:type="spellEnd"/>
      <w:r w:rsidR="0023739E" w:rsidRPr="0023739E">
        <w:rPr>
          <w:sz w:val="16"/>
          <w:szCs w:val="16"/>
        </w:rPr>
        <w:t xml:space="preserve"> and the Dormition of the Virgin’, in </w:t>
      </w:r>
      <w:r w:rsidR="0023739E" w:rsidRPr="0023739E">
        <w:rPr>
          <w:i/>
          <w:sz w:val="16"/>
          <w:szCs w:val="16"/>
        </w:rPr>
        <w:t xml:space="preserve">Death and Dying in the Middle Ages, </w:t>
      </w:r>
      <w:r w:rsidR="0023739E" w:rsidRPr="0023739E">
        <w:rPr>
          <w:sz w:val="16"/>
          <w:szCs w:val="16"/>
        </w:rPr>
        <w:t xml:space="preserve">ed. By </w:t>
      </w:r>
      <w:proofErr w:type="spellStart"/>
      <w:r w:rsidR="0023739E" w:rsidRPr="0023739E">
        <w:rPr>
          <w:sz w:val="16"/>
          <w:szCs w:val="16"/>
        </w:rPr>
        <w:t>Dubruk</w:t>
      </w:r>
      <w:proofErr w:type="spellEnd"/>
      <w:r w:rsidR="0023739E" w:rsidRPr="0023739E">
        <w:rPr>
          <w:sz w:val="16"/>
          <w:szCs w:val="16"/>
        </w:rPr>
        <w:t xml:space="preserve">, E and </w:t>
      </w:r>
      <w:proofErr w:type="spellStart"/>
      <w:r w:rsidR="0023739E" w:rsidRPr="0023739E">
        <w:rPr>
          <w:sz w:val="16"/>
          <w:szCs w:val="16"/>
        </w:rPr>
        <w:t>Gusick</w:t>
      </w:r>
      <w:proofErr w:type="spellEnd"/>
      <w:r w:rsidR="0023739E" w:rsidRPr="0023739E">
        <w:rPr>
          <w:sz w:val="16"/>
          <w:szCs w:val="16"/>
        </w:rPr>
        <w:t xml:space="preserve">, B (New York: Peter Lang, 1999), </w:t>
      </w:r>
      <w:r w:rsidR="00475E9A" w:rsidRPr="0023739E">
        <w:rPr>
          <w:sz w:val="16"/>
          <w:szCs w:val="16"/>
        </w:rPr>
        <w:t>380</w:t>
      </w:r>
    </w:p>
  </w:footnote>
  <w:footnote w:id="2">
    <w:p w14:paraId="1320B3D7" w14:textId="376BACB6" w:rsidR="007317D1" w:rsidRPr="0023739E" w:rsidRDefault="007317D1" w:rsidP="0023739E">
      <w:pPr>
        <w:pStyle w:val="FootnoteText"/>
        <w:rPr>
          <w:sz w:val="16"/>
          <w:szCs w:val="16"/>
        </w:rPr>
      </w:pPr>
      <w:r w:rsidRPr="0023739E">
        <w:rPr>
          <w:rStyle w:val="FootnoteReference"/>
          <w:sz w:val="16"/>
          <w:szCs w:val="16"/>
        </w:rPr>
        <w:footnoteRef/>
      </w:r>
      <w:r w:rsidRPr="0023739E">
        <w:rPr>
          <w:sz w:val="16"/>
          <w:szCs w:val="16"/>
        </w:rPr>
        <w:t xml:space="preserve"> </w:t>
      </w:r>
      <w:r w:rsidR="00475E9A" w:rsidRPr="0023739E">
        <w:rPr>
          <w:sz w:val="16"/>
          <w:szCs w:val="16"/>
        </w:rPr>
        <w:t>Ibid.</w:t>
      </w:r>
    </w:p>
  </w:footnote>
  <w:footnote w:id="3">
    <w:p w14:paraId="68A00A2E" w14:textId="10131E7F" w:rsidR="004E3A03" w:rsidRPr="0023739E" w:rsidRDefault="004E3A03" w:rsidP="0023739E">
      <w:pPr>
        <w:spacing w:line="240" w:lineRule="auto"/>
        <w:rPr>
          <w:sz w:val="16"/>
          <w:szCs w:val="16"/>
        </w:rPr>
      </w:pPr>
      <w:r w:rsidRPr="0023739E">
        <w:rPr>
          <w:rStyle w:val="FootnoteReference"/>
          <w:sz w:val="16"/>
          <w:szCs w:val="16"/>
        </w:rPr>
        <w:footnoteRef/>
      </w:r>
      <w:r w:rsidRPr="0023739E">
        <w:rPr>
          <w:sz w:val="16"/>
          <w:szCs w:val="16"/>
        </w:rPr>
        <w:t xml:space="preserve"> </w:t>
      </w:r>
      <w:proofErr w:type="spellStart"/>
      <w:r w:rsidR="00475E9A" w:rsidRPr="0023739E">
        <w:rPr>
          <w:sz w:val="16"/>
          <w:szCs w:val="16"/>
        </w:rPr>
        <w:t>Daniell</w:t>
      </w:r>
      <w:proofErr w:type="spellEnd"/>
      <w:r w:rsidR="00475E9A" w:rsidRPr="0023739E">
        <w:rPr>
          <w:sz w:val="16"/>
          <w:szCs w:val="16"/>
        </w:rPr>
        <w:t xml:space="preserve">, C. </w:t>
      </w:r>
      <w:r w:rsidR="00475E9A" w:rsidRPr="0023739E">
        <w:rPr>
          <w:i/>
          <w:sz w:val="16"/>
          <w:szCs w:val="16"/>
        </w:rPr>
        <w:t xml:space="preserve">Death and Burial in Medieval England 1066-1550 </w:t>
      </w:r>
      <w:r w:rsidR="00475E9A" w:rsidRPr="0023739E">
        <w:rPr>
          <w:sz w:val="16"/>
          <w:szCs w:val="16"/>
        </w:rPr>
        <w:t>(London: Routledge, 1997)</w:t>
      </w:r>
      <w:r w:rsidR="0023739E">
        <w:rPr>
          <w:sz w:val="16"/>
          <w:szCs w:val="16"/>
        </w:rPr>
        <w:t xml:space="preserve"> p</w:t>
      </w:r>
      <w:r w:rsidR="007E0BA1" w:rsidRPr="0023739E">
        <w:rPr>
          <w:sz w:val="16"/>
          <w:szCs w:val="16"/>
        </w:rPr>
        <w:t>3</w:t>
      </w:r>
    </w:p>
  </w:footnote>
  <w:footnote w:id="4">
    <w:p w14:paraId="5EB38710" w14:textId="488598FF" w:rsidR="00C1278D" w:rsidRPr="0023739E" w:rsidRDefault="00C1278D" w:rsidP="0023739E">
      <w:pPr>
        <w:spacing w:line="240" w:lineRule="auto"/>
        <w:rPr>
          <w:sz w:val="16"/>
          <w:szCs w:val="16"/>
        </w:rPr>
      </w:pPr>
      <w:r w:rsidRPr="0023739E">
        <w:rPr>
          <w:rStyle w:val="FootnoteReference"/>
          <w:sz w:val="16"/>
          <w:szCs w:val="16"/>
        </w:rPr>
        <w:footnoteRef/>
      </w:r>
      <w:r w:rsidRPr="0023739E">
        <w:rPr>
          <w:sz w:val="16"/>
          <w:szCs w:val="16"/>
        </w:rPr>
        <w:t xml:space="preserve"> </w:t>
      </w:r>
      <w:proofErr w:type="spellStart"/>
      <w:r w:rsidR="007E0BA1" w:rsidRPr="0023739E">
        <w:rPr>
          <w:sz w:val="16"/>
          <w:szCs w:val="16"/>
        </w:rPr>
        <w:t>Daniell</w:t>
      </w:r>
      <w:proofErr w:type="spellEnd"/>
      <w:r w:rsidR="0023739E" w:rsidRPr="0023739E">
        <w:rPr>
          <w:sz w:val="16"/>
          <w:szCs w:val="16"/>
        </w:rPr>
        <w:t xml:space="preserve"> </w:t>
      </w:r>
      <w:proofErr w:type="spellStart"/>
      <w:r w:rsidR="0023739E" w:rsidRPr="0023739E">
        <w:rPr>
          <w:sz w:val="16"/>
          <w:szCs w:val="16"/>
        </w:rPr>
        <w:t>Daniell</w:t>
      </w:r>
      <w:proofErr w:type="spellEnd"/>
      <w:r w:rsidR="0023739E" w:rsidRPr="0023739E">
        <w:rPr>
          <w:sz w:val="16"/>
          <w:szCs w:val="16"/>
        </w:rPr>
        <w:t xml:space="preserve">, C. </w:t>
      </w:r>
      <w:r w:rsidR="0023739E" w:rsidRPr="0023739E">
        <w:rPr>
          <w:i/>
          <w:sz w:val="16"/>
          <w:szCs w:val="16"/>
        </w:rPr>
        <w:t xml:space="preserve">Death and Burial in Medieval England 1066-1550 </w:t>
      </w:r>
      <w:r w:rsidR="0023739E" w:rsidRPr="0023739E">
        <w:rPr>
          <w:sz w:val="16"/>
          <w:szCs w:val="16"/>
        </w:rPr>
        <w:t>(London: Routledge, 1997)</w:t>
      </w:r>
      <w:r w:rsidR="0023739E">
        <w:rPr>
          <w:sz w:val="16"/>
          <w:szCs w:val="16"/>
        </w:rPr>
        <w:t xml:space="preserve"> p</w:t>
      </w:r>
      <w:r w:rsidR="007E0BA1" w:rsidRPr="0023739E">
        <w:rPr>
          <w:sz w:val="16"/>
          <w:szCs w:val="16"/>
        </w:rPr>
        <w:t xml:space="preserve"> 2</w:t>
      </w:r>
    </w:p>
  </w:footnote>
  <w:footnote w:id="5">
    <w:p w14:paraId="2851506C" w14:textId="44D31877" w:rsidR="00C1278D" w:rsidRPr="0023739E" w:rsidRDefault="00C1278D" w:rsidP="0023739E">
      <w:pPr>
        <w:pStyle w:val="FootnoteText"/>
        <w:rPr>
          <w:sz w:val="16"/>
          <w:szCs w:val="16"/>
        </w:rPr>
      </w:pPr>
      <w:r w:rsidRPr="0023739E">
        <w:rPr>
          <w:rStyle w:val="FootnoteReference"/>
          <w:sz w:val="16"/>
          <w:szCs w:val="16"/>
        </w:rPr>
        <w:footnoteRef/>
      </w:r>
      <w:r w:rsidRPr="0023739E">
        <w:rPr>
          <w:sz w:val="16"/>
          <w:szCs w:val="16"/>
        </w:rPr>
        <w:t xml:space="preserve"> </w:t>
      </w:r>
      <w:r w:rsidR="007E0BA1" w:rsidRPr="0023739E">
        <w:rPr>
          <w:sz w:val="16"/>
          <w:szCs w:val="16"/>
        </w:rPr>
        <w:t>Ibid.</w:t>
      </w:r>
    </w:p>
  </w:footnote>
  <w:footnote w:id="6">
    <w:p w14:paraId="52871062" w14:textId="484B4494" w:rsidR="00C1278D" w:rsidRPr="0023739E" w:rsidRDefault="00C1278D" w:rsidP="0023739E">
      <w:pPr>
        <w:pStyle w:val="FootnoteText"/>
        <w:rPr>
          <w:sz w:val="16"/>
          <w:szCs w:val="16"/>
        </w:rPr>
      </w:pPr>
      <w:r w:rsidRPr="0023739E">
        <w:rPr>
          <w:rStyle w:val="FootnoteReference"/>
          <w:sz w:val="16"/>
          <w:szCs w:val="16"/>
        </w:rPr>
        <w:footnoteRef/>
      </w:r>
      <w:r w:rsidRPr="0023739E">
        <w:rPr>
          <w:sz w:val="16"/>
          <w:szCs w:val="16"/>
        </w:rPr>
        <w:t xml:space="preserve"> </w:t>
      </w:r>
      <w:proofErr w:type="spellStart"/>
      <w:r w:rsidR="0023739E" w:rsidRPr="0023739E">
        <w:rPr>
          <w:sz w:val="16"/>
          <w:szCs w:val="16"/>
        </w:rPr>
        <w:t>Duclow</w:t>
      </w:r>
      <w:proofErr w:type="spellEnd"/>
      <w:r w:rsidR="0023739E" w:rsidRPr="0023739E">
        <w:rPr>
          <w:sz w:val="16"/>
          <w:szCs w:val="16"/>
        </w:rPr>
        <w:t xml:space="preserve">, D. ‘Dying Well: The Ars </w:t>
      </w:r>
      <w:proofErr w:type="spellStart"/>
      <w:r w:rsidR="0023739E" w:rsidRPr="0023739E">
        <w:rPr>
          <w:sz w:val="16"/>
          <w:szCs w:val="16"/>
        </w:rPr>
        <w:t>Moriendi</w:t>
      </w:r>
      <w:proofErr w:type="spellEnd"/>
      <w:r w:rsidR="0023739E" w:rsidRPr="0023739E">
        <w:rPr>
          <w:sz w:val="16"/>
          <w:szCs w:val="16"/>
        </w:rPr>
        <w:t xml:space="preserve"> and the Dormition of the Virgin’, in </w:t>
      </w:r>
      <w:r w:rsidR="0023739E" w:rsidRPr="0023739E">
        <w:rPr>
          <w:i/>
          <w:sz w:val="16"/>
          <w:szCs w:val="16"/>
        </w:rPr>
        <w:t xml:space="preserve">Death and Dying in the Middle Ages, </w:t>
      </w:r>
      <w:r w:rsidR="0023739E" w:rsidRPr="0023739E">
        <w:rPr>
          <w:sz w:val="16"/>
          <w:szCs w:val="16"/>
        </w:rPr>
        <w:t xml:space="preserve">ed. By </w:t>
      </w:r>
      <w:proofErr w:type="spellStart"/>
      <w:r w:rsidR="0023739E" w:rsidRPr="0023739E">
        <w:rPr>
          <w:sz w:val="16"/>
          <w:szCs w:val="16"/>
        </w:rPr>
        <w:t>Dubruk</w:t>
      </w:r>
      <w:proofErr w:type="spellEnd"/>
      <w:r w:rsidR="0023739E" w:rsidRPr="0023739E">
        <w:rPr>
          <w:sz w:val="16"/>
          <w:szCs w:val="16"/>
        </w:rPr>
        <w:t xml:space="preserve">, E and </w:t>
      </w:r>
      <w:proofErr w:type="spellStart"/>
      <w:r w:rsidR="0023739E" w:rsidRPr="0023739E">
        <w:rPr>
          <w:sz w:val="16"/>
          <w:szCs w:val="16"/>
        </w:rPr>
        <w:t>Gusick</w:t>
      </w:r>
      <w:proofErr w:type="spellEnd"/>
      <w:r w:rsidR="0023739E" w:rsidRPr="0023739E">
        <w:rPr>
          <w:sz w:val="16"/>
          <w:szCs w:val="16"/>
        </w:rPr>
        <w:t>, B (New York: Peter Lang, 1999)</w:t>
      </w:r>
      <w:r w:rsidR="0023739E">
        <w:rPr>
          <w:sz w:val="16"/>
          <w:szCs w:val="16"/>
        </w:rPr>
        <w:t xml:space="preserve"> p</w:t>
      </w:r>
      <w:r w:rsidR="00475E9A" w:rsidRPr="0023739E">
        <w:rPr>
          <w:sz w:val="16"/>
          <w:szCs w:val="16"/>
        </w:rPr>
        <w:t xml:space="preserve"> 396</w:t>
      </w:r>
    </w:p>
  </w:footnote>
  <w:footnote w:id="7">
    <w:p w14:paraId="228C4E94" w14:textId="5657D195" w:rsidR="0079729C" w:rsidRPr="0023739E" w:rsidRDefault="0079729C" w:rsidP="0023739E">
      <w:pPr>
        <w:spacing w:line="240" w:lineRule="auto"/>
        <w:rPr>
          <w:sz w:val="16"/>
          <w:szCs w:val="16"/>
        </w:rPr>
      </w:pPr>
      <w:r w:rsidRPr="0023739E">
        <w:rPr>
          <w:rStyle w:val="FootnoteReference"/>
          <w:sz w:val="16"/>
          <w:szCs w:val="16"/>
        </w:rPr>
        <w:footnoteRef/>
      </w:r>
      <w:proofErr w:type="spellStart"/>
      <w:r w:rsidR="0023739E" w:rsidRPr="0023739E">
        <w:rPr>
          <w:sz w:val="16"/>
          <w:szCs w:val="16"/>
        </w:rPr>
        <w:t>Daniell</w:t>
      </w:r>
      <w:proofErr w:type="spellEnd"/>
      <w:r w:rsidR="0023739E" w:rsidRPr="0023739E">
        <w:rPr>
          <w:sz w:val="16"/>
          <w:szCs w:val="16"/>
        </w:rPr>
        <w:t xml:space="preserve">, C. </w:t>
      </w:r>
      <w:r w:rsidR="0023739E" w:rsidRPr="0023739E">
        <w:rPr>
          <w:i/>
          <w:sz w:val="16"/>
          <w:szCs w:val="16"/>
        </w:rPr>
        <w:t xml:space="preserve">Death and Burial in Medieval England 1066-1550 </w:t>
      </w:r>
      <w:r w:rsidR="0023739E" w:rsidRPr="0023739E">
        <w:rPr>
          <w:sz w:val="16"/>
          <w:szCs w:val="16"/>
        </w:rPr>
        <w:t>(London: Routledge, 1997)</w:t>
      </w:r>
      <w:r w:rsidR="0023739E">
        <w:rPr>
          <w:sz w:val="16"/>
          <w:szCs w:val="16"/>
        </w:rPr>
        <w:t xml:space="preserve"> p</w:t>
      </w:r>
      <w:r w:rsidR="007E0BA1" w:rsidRPr="0023739E">
        <w:rPr>
          <w:sz w:val="16"/>
          <w:szCs w:val="16"/>
        </w:rPr>
        <w:t>11</w:t>
      </w:r>
    </w:p>
  </w:footnote>
  <w:footnote w:id="8">
    <w:p w14:paraId="7BAF4879" w14:textId="76BFEB4E" w:rsidR="0079729C" w:rsidRPr="0023739E" w:rsidRDefault="0079729C" w:rsidP="0023739E">
      <w:pPr>
        <w:pStyle w:val="FootnoteText"/>
        <w:rPr>
          <w:sz w:val="16"/>
          <w:szCs w:val="16"/>
        </w:rPr>
      </w:pPr>
      <w:r w:rsidRPr="0023739E">
        <w:rPr>
          <w:rStyle w:val="FootnoteReference"/>
          <w:sz w:val="16"/>
          <w:szCs w:val="16"/>
        </w:rPr>
        <w:footnoteRef/>
      </w:r>
      <w:r w:rsidR="0023739E" w:rsidRPr="0023739E">
        <w:rPr>
          <w:sz w:val="16"/>
          <w:szCs w:val="16"/>
        </w:rPr>
        <w:t xml:space="preserve">Robinson, R. Groves, J. </w:t>
      </w:r>
      <w:r w:rsidR="0023739E" w:rsidRPr="0023739E">
        <w:rPr>
          <w:i/>
          <w:sz w:val="16"/>
          <w:szCs w:val="16"/>
        </w:rPr>
        <w:t>Introducing Political Philosophy,</w:t>
      </w:r>
      <w:r w:rsidR="0023739E" w:rsidRPr="0023739E">
        <w:rPr>
          <w:sz w:val="16"/>
          <w:szCs w:val="16"/>
        </w:rPr>
        <w:t xml:space="preserve"> (London: Icon Books, </w:t>
      </w:r>
      <w:proofErr w:type="gramStart"/>
      <w:r w:rsidR="0023739E" w:rsidRPr="0023739E">
        <w:rPr>
          <w:sz w:val="16"/>
          <w:szCs w:val="16"/>
        </w:rPr>
        <w:t>2006)</w:t>
      </w:r>
      <w:r w:rsidR="0023739E">
        <w:rPr>
          <w:sz w:val="16"/>
          <w:szCs w:val="16"/>
        </w:rPr>
        <w:t>p</w:t>
      </w:r>
      <w:proofErr w:type="gramEnd"/>
      <w:r w:rsidR="007E0BA1" w:rsidRPr="0023739E">
        <w:rPr>
          <w:sz w:val="16"/>
          <w:szCs w:val="16"/>
        </w:rPr>
        <w:t>40</w:t>
      </w:r>
    </w:p>
  </w:footnote>
  <w:footnote w:id="9">
    <w:p w14:paraId="0E7C3974" w14:textId="57379261" w:rsidR="0079729C" w:rsidRPr="0023739E" w:rsidRDefault="0079729C" w:rsidP="0023739E">
      <w:pPr>
        <w:spacing w:line="240" w:lineRule="auto"/>
        <w:rPr>
          <w:sz w:val="16"/>
          <w:szCs w:val="16"/>
        </w:rPr>
      </w:pPr>
      <w:r w:rsidRPr="0023739E">
        <w:rPr>
          <w:rStyle w:val="FootnoteReference"/>
          <w:sz w:val="16"/>
          <w:szCs w:val="16"/>
        </w:rPr>
        <w:footnoteRef/>
      </w:r>
      <w:r w:rsidRPr="0023739E">
        <w:rPr>
          <w:sz w:val="16"/>
          <w:szCs w:val="16"/>
        </w:rPr>
        <w:t xml:space="preserve"> </w:t>
      </w:r>
      <w:proofErr w:type="spellStart"/>
      <w:r w:rsidR="0023739E" w:rsidRPr="0023739E">
        <w:rPr>
          <w:sz w:val="16"/>
          <w:szCs w:val="16"/>
        </w:rPr>
        <w:t>Daniell</w:t>
      </w:r>
      <w:proofErr w:type="spellEnd"/>
      <w:r w:rsidR="0023739E" w:rsidRPr="0023739E">
        <w:rPr>
          <w:sz w:val="16"/>
          <w:szCs w:val="16"/>
        </w:rPr>
        <w:t xml:space="preserve">, C. </w:t>
      </w:r>
      <w:r w:rsidR="0023739E" w:rsidRPr="0023739E">
        <w:rPr>
          <w:i/>
          <w:sz w:val="16"/>
          <w:szCs w:val="16"/>
        </w:rPr>
        <w:t xml:space="preserve">Death and Burial in Medieval England 1066-1550 </w:t>
      </w:r>
      <w:r w:rsidR="0023739E" w:rsidRPr="0023739E">
        <w:rPr>
          <w:sz w:val="16"/>
          <w:szCs w:val="16"/>
        </w:rPr>
        <w:t xml:space="preserve">(London: Routledge, </w:t>
      </w:r>
      <w:proofErr w:type="gramStart"/>
      <w:r w:rsidR="0023739E" w:rsidRPr="0023739E">
        <w:rPr>
          <w:sz w:val="16"/>
          <w:szCs w:val="16"/>
        </w:rPr>
        <w:t>1997)</w:t>
      </w:r>
      <w:r w:rsidR="0023739E">
        <w:rPr>
          <w:sz w:val="16"/>
          <w:szCs w:val="16"/>
        </w:rPr>
        <w:t>p</w:t>
      </w:r>
      <w:proofErr w:type="gramEnd"/>
      <w:r w:rsidR="00475E9A" w:rsidRPr="0023739E">
        <w:rPr>
          <w:sz w:val="16"/>
          <w:szCs w:val="16"/>
        </w:rPr>
        <w:t xml:space="preserve"> 1</w:t>
      </w:r>
    </w:p>
  </w:footnote>
  <w:footnote w:id="10">
    <w:p w14:paraId="4EB4D568" w14:textId="6B53618D" w:rsidR="0079729C" w:rsidRPr="0023739E" w:rsidRDefault="0079729C" w:rsidP="0023739E">
      <w:pPr>
        <w:spacing w:line="240" w:lineRule="auto"/>
        <w:rPr>
          <w:sz w:val="16"/>
          <w:szCs w:val="16"/>
        </w:rPr>
      </w:pPr>
      <w:r w:rsidRPr="0023739E">
        <w:rPr>
          <w:rStyle w:val="FootnoteReference"/>
          <w:sz w:val="16"/>
          <w:szCs w:val="16"/>
        </w:rPr>
        <w:footnoteRef/>
      </w:r>
      <w:r w:rsidRPr="0023739E">
        <w:rPr>
          <w:sz w:val="16"/>
          <w:szCs w:val="16"/>
        </w:rPr>
        <w:t xml:space="preserve"> </w:t>
      </w:r>
      <w:proofErr w:type="spellStart"/>
      <w:r w:rsidR="0023739E" w:rsidRPr="0023739E">
        <w:rPr>
          <w:sz w:val="16"/>
          <w:szCs w:val="16"/>
        </w:rPr>
        <w:t>Daniell</w:t>
      </w:r>
      <w:proofErr w:type="spellEnd"/>
      <w:r w:rsidR="0023739E" w:rsidRPr="0023739E">
        <w:rPr>
          <w:sz w:val="16"/>
          <w:szCs w:val="16"/>
        </w:rPr>
        <w:t xml:space="preserve">, C. </w:t>
      </w:r>
      <w:r w:rsidR="0023739E" w:rsidRPr="0023739E">
        <w:rPr>
          <w:i/>
          <w:sz w:val="16"/>
          <w:szCs w:val="16"/>
        </w:rPr>
        <w:t xml:space="preserve">Death and Burial in Medieval England 1066-1550 </w:t>
      </w:r>
      <w:r w:rsidR="0023739E" w:rsidRPr="0023739E">
        <w:rPr>
          <w:sz w:val="16"/>
          <w:szCs w:val="16"/>
        </w:rPr>
        <w:t>(London: Routledge, 1997)</w:t>
      </w:r>
      <w:r w:rsidR="0023739E">
        <w:rPr>
          <w:sz w:val="16"/>
          <w:szCs w:val="16"/>
        </w:rPr>
        <w:t xml:space="preserve"> p</w:t>
      </w:r>
      <w:r w:rsidR="00475E9A" w:rsidRPr="0023739E">
        <w:rPr>
          <w:sz w:val="16"/>
          <w:szCs w:val="16"/>
        </w:rPr>
        <w:t>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948"/>
    <w:rsid w:val="000103C1"/>
    <w:rsid w:val="00142948"/>
    <w:rsid w:val="001901E2"/>
    <w:rsid w:val="002274BF"/>
    <w:rsid w:val="002369C2"/>
    <w:rsid w:val="0023739E"/>
    <w:rsid w:val="00247179"/>
    <w:rsid w:val="002728BF"/>
    <w:rsid w:val="002975AF"/>
    <w:rsid w:val="00437031"/>
    <w:rsid w:val="00475E9A"/>
    <w:rsid w:val="004E3A03"/>
    <w:rsid w:val="00583E18"/>
    <w:rsid w:val="00592E6F"/>
    <w:rsid w:val="005A6660"/>
    <w:rsid w:val="00604BEF"/>
    <w:rsid w:val="006D19C5"/>
    <w:rsid w:val="006D1C45"/>
    <w:rsid w:val="0072773D"/>
    <w:rsid w:val="007317D1"/>
    <w:rsid w:val="0079729C"/>
    <w:rsid w:val="007E0BA1"/>
    <w:rsid w:val="00857304"/>
    <w:rsid w:val="00891A3A"/>
    <w:rsid w:val="008E6805"/>
    <w:rsid w:val="0094416E"/>
    <w:rsid w:val="00AE1C10"/>
    <w:rsid w:val="00B45160"/>
    <w:rsid w:val="00B97EDD"/>
    <w:rsid w:val="00C1278D"/>
    <w:rsid w:val="00C51900"/>
    <w:rsid w:val="00C64BB1"/>
    <w:rsid w:val="00C760ED"/>
    <w:rsid w:val="00D145BC"/>
    <w:rsid w:val="00EA36AE"/>
    <w:rsid w:val="00EB2CD2"/>
    <w:rsid w:val="00EC0DD5"/>
    <w:rsid w:val="00F632FB"/>
    <w:rsid w:val="00FA3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70D3"/>
  <w15:chartTrackingRefBased/>
  <w15:docId w15:val="{6362EEF4-D48B-472D-B106-1E7BF0E9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E3A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3A03"/>
    <w:rPr>
      <w:sz w:val="20"/>
      <w:szCs w:val="20"/>
    </w:rPr>
  </w:style>
  <w:style w:type="character" w:styleId="FootnoteReference">
    <w:name w:val="footnote reference"/>
    <w:basedOn w:val="DefaultParagraphFont"/>
    <w:uiPriority w:val="99"/>
    <w:semiHidden/>
    <w:unhideWhenUsed/>
    <w:rsid w:val="004E3A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88211-AFCE-44CF-A7E7-DE28515B5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1205</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Katherine Hoffman</dc:creator>
  <cp:keywords/>
  <dc:description/>
  <cp:lastModifiedBy>tilly hall</cp:lastModifiedBy>
  <cp:revision>2</cp:revision>
  <dcterms:created xsi:type="dcterms:W3CDTF">2017-10-27T20:51:00Z</dcterms:created>
  <dcterms:modified xsi:type="dcterms:W3CDTF">2017-10-27T20:51:00Z</dcterms:modified>
</cp:coreProperties>
</file>