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44995884"/>
        <w:docPartObj>
          <w:docPartGallery w:val="Cover Pages"/>
          <w:docPartUnique/>
        </w:docPartObj>
      </w:sdtPr>
      <w:sdtEndPr/>
      <w:sdtContent>
        <w:p w14:paraId="5B4012AA" w14:textId="5D5D6ACA" w:rsidR="00BE7806" w:rsidRDefault="00BE780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418D880" wp14:editId="0836910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2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A7AE8D5" w14:textId="77777777" w:rsidR="00BE7806" w:rsidRPr="00BE7806" w:rsidRDefault="00BE7806" w:rsidP="00BE7806">
                                  <w:pPr>
                                    <w:pStyle w:val="NoSpacing"/>
                                    <w:spacing w:line="360" w:lineRule="auto"/>
                                    <w:ind w:left="720"/>
                                    <w:jc w:val="center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  <w:lang w:val="en-GB"/>
                                    </w:rPr>
                                  </w:pPr>
                                  <w:r w:rsidRPr="00BE7806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  <w:lang w:val="en-GB"/>
                                    </w:rPr>
                                    <w:t>Student Name: Gazala Haroon</w:t>
                                  </w:r>
                                  <w:r w:rsidRPr="00BE7806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  <w:lang w:val="en-GB"/>
                                    </w:rPr>
                                    <w:br/>
                                    <w:t>Student ID: 2411422</w:t>
                                  </w:r>
                                  <w:r w:rsidRPr="00BE7806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  <w:lang w:val="en-GB"/>
                                    </w:rPr>
                                    <w:br/>
                                    <w:t>Lecturer: Gillian Weaver</w:t>
                                  </w:r>
                                </w:p>
                                <w:p w14:paraId="7F92B1F4" w14:textId="46489B4E" w:rsidR="00BE7806" w:rsidRDefault="00BE7806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0B25790" w14:textId="77777777" w:rsidR="00BE7806" w:rsidRDefault="00BE7806" w:rsidP="00BE7806">
                                  <w:pPr>
                                    <w:pStyle w:val="NoSpacing"/>
                                    <w:pBdr>
                                      <w:bottom w:val="single" w:sz="6" w:space="4" w:color="7F7F7F" w:themeColor="text1" w:themeTint="80"/>
                                    </w:pBd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88"/>
                                      <w:szCs w:val="88"/>
                                    </w:rPr>
                                  </w:pPr>
                                  <w:r w:rsidRPr="00BE7806"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88"/>
                                      <w:szCs w:val="88"/>
                                    </w:rPr>
                                    <w:t xml:space="preserve">Component 1: Presentation </w:t>
                                  </w:r>
                                </w:p>
                                <w:p w14:paraId="5F6DE1EF" w14:textId="5FE548F6" w:rsidR="00BE7806" w:rsidRPr="00BE7806" w:rsidRDefault="00BE7806" w:rsidP="00BE7806">
                                  <w:pPr>
                                    <w:pStyle w:val="NoSpacing"/>
                                    <w:pBdr>
                                      <w:bottom w:val="single" w:sz="6" w:space="4" w:color="7F7F7F" w:themeColor="text1" w:themeTint="80"/>
                                    </w:pBd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88"/>
                                      <w:szCs w:val="88"/>
                                    </w:rPr>
                                  </w:pPr>
                                  <w:r w:rsidRPr="00BE7806"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88"/>
                                      <w:szCs w:val="88"/>
                                    </w:rPr>
                                    <w:t>(Refrences Only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88"/>
                                      <w:szCs w:val="88"/>
                                    </w:rPr>
                                    <w:t>)</w:t>
                                  </w:r>
                                </w:p>
                                <w:p w14:paraId="158187A9" w14:textId="77CE1DA3" w:rsidR="00BE7806" w:rsidRPr="00BE7806" w:rsidRDefault="00BE7806" w:rsidP="00BE7806">
                                  <w:pPr>
                                    <w:pStyle w:val="NoSpacing"/>
                                    <w:spacing w:before="240"/>
                                    <w:jc w:val="center"/>
                                    <w:rPr>
                                      <w:caps/>
                                      <w:color w:val="0E2841" w:themeColor="text2"/>
                                      <w:sz w:val="36"/>
                                      <w:szCs w:val="36"/>
                                    </w:rPr>
                                  </w:pPr>
                                  <w:r w:rsidRPr="00BE7806">
                                    <w:rPr>
                                      <w:caps/>
                                      <w:color w:val="0E2841" w:themeColor="text2"/>
                                      <w:sz w:val="36"/>
                                      <w:szCs w:val="36"/>
                                      <w:lang w:val="en-GB"/>
                                    </w:rPr>
                                    <w:t>Module: BMHP5021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418D880" id="Group 121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" fillcolor="#156082 [3204]" stroked="f" strokeweight="1.5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" fillcolor="#e97132 [3205]" stroked="f" strokeweight="1.5pt">
                      <v:textbox inset="36pt,14.4pt,36pt,36pt">
                        <w:txbxContent>
                          <w:p w14:paraId="6A7AE8D5" w14:textId="77777777" w:rsidR="00BE7806" w:rsidRPr="00BE7806" w:rsidRDefault="00BE7806" w:rsidP="00BE7806">
                            <w:pPr>
                              <w:pStyle w:val="NoSpacing"/>
                              <w:spacing w:line="360" w:lineRule="auto"/>
                              <w:ind w:left="7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BE7806">
                              <w:rPr>
                                <w:color w:val="FFFFFF" w:themeColor="background1"/>
                                <w:sz w:val="32"/>
                                <w:szCs w:val="32"/>
                                <w:lang w:val="en-GB"/>
                              </w:rPr>
                              <w:t>Student Name: Gazala Haroon</w:t>
                            </w:r>
                            <w:r w:rsidRPr="00BE7806">
                              <w:rPr>
                                <w:color w:val="FFFFFF" w:themeColor="background1"/>
                                <w:sz w:val="32"/>
                                <w:szCs w:val="32"/>
                                <w:lang w:val="en-GB"/>
                              </w:rPr>
                              <w:br/>
                              <w:t>Student ID: 2411422</w:t>
                            </w:r>
                            <w:r w:rsidRPr="00BE7806">
                              <w:rPr>
                                <w:color w:val="FFFFFF" w:themeColor="background1"/>
                                <w:sz w:val="32"/>
                                <w:szCs w:val="32"/>
                                <w:lang w:val="en-GB"/>
                              </w:rPr>
                              <w:br/>
                              <w:t>Lecturer: Gillian Weaver</w:t>
                            </w:r>
                          </w:p>
                          <w:p w14:paraId="7F92B1F4" w14:textId="46489B4E" w:rsidR="00BE7806" w:rsidRDefault="00BE7806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p w14:paraId="30B25790" w14:textId="77777777" w:rsidR="00BE7806" w:rsidRDefault="00BE7806" w:rsidP="00BE7806">
                            <w:pPr>
                              <w:pStyle w:val="NoSpacing"/>
                              <w:pBdr>
                                <w:bottom w:val="single" w:sz="6" w:space="4" w:color="7F7F7F" w:themeColor="text1" w:themeTint="80"/>
                              </w:pBd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88"/>
                                <w:szCs w:val="88"/>
                              </w:rPr>
                            </w:pPr>
                            <w:r w:rsidRPr="00BE7806"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88"/>
                                <w:szCs w:val="88"/>
                              </w:rPr>
                              <w:t xml:space="preserve">Component 1: Presentation </w:t>
                            </w:r>
                          </w:p>
                          <w:p w14:paraId="5F6DE1EF" w14:textId="5FE548F6" w:rsidR="00BE7806" w:rsidRPr="00BE7806" w:rsidRDefault="00BE7806" w:rsidP="00BE7806">
                            <w:pPr>
                              <w:pStyle w:val="NoSpacing"/>
                              <w:pBdr>
                                <w:bottom w:val="single" w:sz="6" w:space="4" w:color="7F7F7F" w:themeColor="text1" w:themeTint="80"/>
                              </w:pBd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88"/>
                                <w:szCs w:val="88"/>
                              </w:rPr>
                            </w:pPr>
                            <w:r w:rsidRPr="00BE7806"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88"/>
                                <w:szCs w:val="88"/>
                              </w:rPr>
                              <w:t>(Refrences Only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88"/>
                                <w:szCs w:val="88"/>
                              </w:rPr>
                              <w:t>)</w:t>
                            </w:r>
                          </w:p>
                          <w:p w14:paraId="158187A9" w14:textId="77CE1DA3" w:rsidR="00BE7806" w:rsidRPr="00BE7806" w:rsidRDefault="00BE7806" w:rsidP="00BE7806">
                            <w:pPr>
                              <w:pStyle w:val="NoSpacing"/>
                              <w:spacing w:before="240"/>
                              <w:jc w:val="center"/>
                              <w:rPr>
                                <w:caps/>
                                <w:color w:val="0E2841" w:themeColor="text2"/>
                                <w:sz w:val="36"/>
                                <w:szCs w:val="36"/>
                              </w:rPr>
                            </w:pPr>
                            <w:r w:rsidRPr="00BE7806">
                              <w:rPr>
                                <w:caps/>
                                <w:color w:val="0E2841" w:themeColor="text2"/>
                                <w:sz w:val="36"/>
                                <w:szCs w:val="36"/>
                                <w:lang w:val="en-GB"/>
                              </w:rPr>
                              <w:t>Module: BMHP5021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C47B853" w14:textId="6146F1AF" w:rsidR="00BE7806" w:rsidRDefault="00BE7806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</w:pPr>
          <w:r>
            <w:br w:type="page"/>
          </w:r>
        </w:p>
      </w:sdtContent>
    </w:sdt>
    <w:p w14:paraId="6547DB44" w14:textId="1757BF04" w:rsidR="00BE7806" w:rsidRDefault="00BE7806" w:rsidP="00BE7806">
      <w:pPr>
        <w:pStyle w:val="Heading1"/>
      </w:pPr>
      <w:r>
        <w:lastRenderedPageBreak/>
        <w:t>Refrences:</w:t>
      </w:r>
    </w:p>
    <w:p w14:paraId="0188DF7C" w14:textId="77777777" w:rsidR="006C4AAD" w:rsidRPr="006C4AAD" w:rsidRDefault="006C4AAD" w:rsidP="006C4AAD">
      <w:pPr>
        <w:rPr>
          <w:sz w:val="8"/>
          <w:szCs w:val="8"/>
        </w:rPr>
      </w:pPr>
    </w:p>
    <w:p w14:paraId="029BF274" w14:textId="2E6EA1F4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Bellis, M.A., Hughes, K., Leckenby, N., Hardcastle, K.A., Perkins, C. and Lowey, H. (2015) </w:t>
      </w:r>
      <w:r w:rsidRPr="00BE7806">
        <w:rPr>
          <w:rFonts w:ascii="Arial" w:hAnsi="Arial"/>
          <w:i/>
          <w:iCs/>
        </w:rPr>
        <w:t>Measuring mortality and the burden of adult disease associated with adverse childhood experiences in England: A national survey</w:t>
      </w:r>
      <w:r w:rsidRPr="00BE7806">
        <w:rPr>
          <w:rFonts w:ascii="Arial" w:hAnsi="Arial"/>
        </w:rPr>
        <w:t xml:space="preserve">. </w:t>
      </w:r>
      <w:r w:rsidRPr="00BE7806">
        <w:rPr>
          <w:rFonts w:ascii="Arial" w:hAnsi="Arial"/>
          <w:i/>
          <w:iCs/>
        </w:rPr>
        <w:t>Journal of Public Health</w:t>
      </w:r>
      <w:r w:rsidRPr="00BE7806">
        <w:rPr>
          <w:rFonts w:ascii="Arial" w:hAnsi="Arial"/>
        </w:rPr>
        <w:t xml:space="preserve">, 37(3), pp. 445–454. Available at: </w:t>
      </w:r>
      <w:hyperlink r:id="rId7" w:history="1">
        <w:r w:rsidRPr="00BE7806">
          <w:rPr>
            <w:rStyle w:val="Hyperlink"/>
            <w:rFonts w:ascii="Arial" w:hAnsi="Arial"/>
          </w:rPr>
          <w:t>https://academic.oup.com/jpubhealth/article/37/3/445/2362598</w:t>
        </w:r>
      </w:hyperlink>
      <w:r w:rsidRPr="00BE7806">
        <w:rPr>
          <w:rFonts w:ascii="Arial" w:hAnsi="Arial"/>
        </w:rPr>
        <w:t xml:space="preserve"> (Accessed: 14 July 2026).</w:t>
      </w:r>
    </w:p>
    <w:p w14:paraId="72796138" w14:textId="77777777" w:rsidR="00C8047F" w:rsidRPr="00C8047F" w:rsidRDefault="00C8047F" w:rsidP="00C8047F">
      <w:pPr>
        <w:spacing w:line="360" w:lineRule="auto"/>
        <w:rPr>
          <w:rFonts w:ascii="Arial" w:hAnsi="Arial"/>
        </w:rPr>
      </w:pPr>
      <w:r w:rsidRPr="00C8047F">
        <w:rPr>
          <w:rFonts w:ascii="Arial" w:hAnsi="Arial"/>
        </w:rPr>
        <w:t xml:space="preserve">Birmingham Safeguarding Children Partnership (2023) </w:t>
      </w:r>
      <w:r w:rsidRPr="00C8047F">
        <w:rPr>
          <w:rFonts w:ascii="Arial" w:hAnsi="Arial"/>
          <w:i/>
          <w:iCs/>
        </w:rPr>
        <w:t>Child Safeguarding Practice Review into the Death of Adult A (BSCP 2020/21-02).</w:t>
      </w:r>
      <w:r w:rsidRPr="00C8047F">
        <w:rPr>
          <w:rFonts w:ascii="Arial" w:hAnsi="Arial"/>
        </w:rPr>
        <w:t xml:space="preserve"> Birmingham: Birmingham Safeguarding Children Partnership. Available at: </w:t>
      </w:r>
      <w:hyperlink r:id="rId8" w:tgtFrame="_blank" w:history="1">
        <w:r w:rsidRPr="00C8047F">
          <w:rPr>
            <w:rStyle w:val="Hyperlink"/>
            <w:rFonts w:ascii="Arial" w:hAnsi="Arial"/>
          </w:rPr>
          <w:t>https://lscpbirmingham.org.uk/wp-content/uploads/2023/10/BSCP-2020-21-02-Child-A-CSPR.pdf</w:t>
        </w:r>
      </w:hyperlink>
      <w:r w:rsidRPr="00C8047F">
        <w:rPr>
          <w:rFonts w:ascii="Arial" w:hAnsi="Arial"/>
        </w:rPr>
        <w:t xml:space="preserve"> (Accessed: 17 July 2026). </w:t>
      </w:r>
    </w:p>
    <w:p w14:paraId="25D87E45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Bostock, L., Bairstow, S., Fish, S. and Macleod, F. (2018) </w:t>
      </w:r>
      <w:r w:rsidRPr="00BE7806">
        <w:rPr>
          <w:rFonts w:ascii="Arial" w:hAnsi="Arial"/>
          <w:i/>
          <w:iCs/>
        </w:rPr>
        <w:t>Diffusion Theory and Multi-disciplinary Working in Children's Services</w:t>
      </w:r>
      <w:r w:rsidRPr="00BE7806">
        <w:rPr>
          <w:rFonts w:ascii="Arial" w:hAnsi="Arial"/>
        </w:rPr>
        <w:t xml:space="preserve">. </w:t>
      </w:r>
      <w:r w:rsidRPr="00BE7806">
        <w:rPr>
          <w:rFonts w:ascii="Arial" w:hAnsi="Arial"/>
          <w:i/>
          <w:iCs/>
        </w:rPr>
        <w:t>Journal of Integrated Care</w:t>
      </w:r>
      <w:r w:rsidRPr="00BE7806">
        <w:rPr>
          <w:rFonts w:ascii="Arial" w:hAnsi="Arial"/>
        </w:rPr>
        <w:t>, 26(2), pp. 120–129. Available at: https://www.sciencedirect.com/science/article/pii/S1476901818000065 (Accessed: 15 July 2026).</w:t>
      </w:r>
    </w:p>
    <w:p w14:paraId="7D70D0C3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Buckler, R. (2021) </w:t>
      </w:r>
      <w:r w:rsidRPr="00BE7806">
        <w:rPr>
          <w:rFonts w:ascii="Arial" w:hAnsi="Arial"/>
          <w:i/>
          <w:iCs/>
        </w:rPr>
        <w:t>Developing Child-Centred Practice in Safeguarding and Child Protection</w:t>
      </w:r>
      <w:r w:rsidRPr="00BE7806">
        <w:rPr>
          <w:rFonts w:ascii="Arial" w:hAnsi="Arial"/>
        </w:rPr>
        <w:t xml:space="preserve">. Abingdon: Routledge. Available at: Children Act 1989. (1989) c.41. Available at: </w:t>
      </w:r>
      <w:hyperlink r:id="rId9" w:history="1">
        <w:r w:rsidRPr="00BE7806">
          <w:rPr>
            <w:rStyle w:val="Hyperlink"/>
            <w:rFonts w:ascii="Arial" w:hAnsi="Arial"/>
          </w:rPr>
          <w:t>https://www.legislation.gov.uk/ukpga/1989/41/contents</w:t>
        </w:r>
      </w:hyperlink>
      <w:r w:rsidRPr="00BE7806">
        <w:rPr>
          <w:rFonts w:ascii="Arial" w:hAnsi="Arial"/>
        </w:rPr>
        <w:t xml:space="preserve"> (Accessed: 12 July 2026).</w:t>
      </w:r>
    </w:p>
    <w:p w14:paraId="6C05D5C7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Children Act 2004. (2004) c.31. Available at: </w:t>
      </w:r>
      <w:hyperlink r:id="rId10" w:history="1">
        <w:r w:rsidRPr="00BE7806">
          <w:rPr>
            <w:rStyle w:val="Hyperlink"/>
            <w:rFonts w:ascii="Arial" w:hAnsi="Arial"/>
          </w:rPr>
          <w:t>https://www.legislation.gov.uk/ukpga/2004/31/contents</w:t>
        </w:r>
      </w:hyperlink>
      <w:r w:rsidRPr="00BE7806">
        <w:rPr>
          <w:rFonts w:ascii="Arial" w:hAnsi="Arial"/>
        </w:rPr>
        <w:t xml:space="preserve"> (Accessed: 13 July 2026).</w:t>
      </w:r>
    </w:p>
    <w:p w14:paraId="36E726C2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Department for Education (2023) </w:t>
      </w:r>
      <w:r w:rsidRPr="00BE7806">
        <w:rPr>
          <w:rFonts w:ascii="Arial" w:hAnsi="Arial"/>
          <w:i/>
          <w:iCs/>
        </w:rPr>
        <w:t>Working Together to Safeguard Children: A guide to multi-agency working to help, protect and promote the welfare of children</w:t>
      </w:r>
      <w:r w:rsidRPr="00BE7806">
        <w:rPr>
          <w:rFonts w:ascii="Arial" w:hAnsi="Arial"/>
        </w:rPr>
        <w:t xml:space="preserve">. Available at: </w:t>
      </w:r>
      <w:hyperlink r:id="rId11" w:history="1">
        <w:r w:rsidRPr="00BE7806">
          <w:rPr>
            <w:rStyle w:val="Hyperlink"/>
            <w:rFonts w:ascii="Arial" w:hAnsi="Arial"/>
          </w:rPr>
          <w:t>https://www.gov.uk/government/publications/working-together-to-safeguard-children--2</w:t>
        </w:r>
      </w:hyperlink>
      <w:r w:rsidRPr="00BE7806">
        <w:rPr>
          <w:rFonts w:ascii="Arial" w:hAnsi="Arial"/>
        </w:rPr>
        <w:t xml:space="preserve"> (Accessed: 17 July 2026).</w:t>
      </w:r>
    </w:p>
    <w:p w14:paraId="5CC6B6DE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Domestic Abuse Act 2021. (2021) c.17. Available at: </w:t>
      </w:r>
      <w:hyperlink r:id="rId12" w:history="1">
        <w:r w:rsidRPr="00BE7806">
          <w:rPr>
            <w:rStyle w:val="Hyperlink"/>
            <w:rFonts w:ascii="Arial" w:hAnsi="Arial"/>
          </w:rPr>
          <w:t>https://www.legislation.gov.uk/ukpga/2021/17/contents</w:t>
        </w:r>
      </w:hyperlink>
      <w:r w:rsidRPr="00BE7806">
        <w:rPr>
          <w:rFonts w:ascii="Arial" w:hAnsi="Arial"/>
        </w:rPr>
        <w:t xml:space="preserve"> (Accessed: 12 July 2026).</w:t>
      </w:r>
    </w:p>
    <w:p w14:paraId="4E624D0C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lastRenderedPageBreak/>
        <w:t xml:space="preserve">Edwards, R., Gillies, V. and White, S. (2019) </w:t>
      </w:r>
      <w:r w:rsidRPr="00BE7806">
        <w:rPr>
          <w:rFonts w:ascii="Arial" w:hAnsi="Arial"/>
          <w:i/>
          <w:iCs/>
        </w:rPr>
        <w:t>Difficult Conversations About Adverse Childhood Experiences</w:t>
      </w:r>
      <w:r w:rsidRPr="00BE7806">
        <w:rPr>
          <w:rFonts w:ascii="Arial" w:hAnsi="Arial"/>
        </w:rPr>
        <w:t>. Bristol: Policy Press.</w:t>
      </w:r>
    </w:p>
    <w:p w14:paraId="2C329C81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Equality Act 2010. (2010) c.15. Available at: </w:t>
      </w:r>
      <w:hyperlink r:id="rId13" w:history="1">
        <w:r w:rsidRPr="00BE7806">
          <w:rPr>
            <w:rStyle w:val="Hyperlink"/>
            <w:rFonts w:ascii="Arial" w:hAnsi="Arial"/>
          </w:rPr>
          <w:t>https://www.legislation.gov.uk/ukpga/2010/15/contents</w:t>
        </w:r>
      </w:hyperlink>
      <w:r w:rsidRPr="00BE7806">
        <w:rPr>
          <w:rFonts w:ascii="Arial" w:hAnsi="Arial"/>
        </w:rPr>
        <w:t xml:space="preserve"> (Accessed: 16 July 2026).</w:t>
      </w:r>
    </w:p>
    <w:p w14:paraId="2CAABDDB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HM Government (2022) </w:t>
      </w:r>
      <w:r w:rsidRPr="00BE7806">
        <w:rPr>
          <w:rFonts w:ascii="Arial" w:hAnsi="Arial"/>
          <w:i/>
          <w:iCs/>
        </w:rPr>
        <w:t>Promoting the health and well-being of looked-after children</w:t>
      </w:r>
      <w:r w:rsidRPr="00BE7806">
        <w:rPr>
          <w:rFonts w:ascii="Arial" w:hAnsi="Arial"/>
        </w:rPr>
        <w:t xml:space="preserve">. Available at: </w:t>
      </w:r>
      <w:hyperlink r:id="rId14" w:history="1">
        <w:r w:rsidRPr="00BE7806">
          <w:rPr>
            <w:rStyle w:val="Hyperlink"/>
            <w:rFonts w:ascii="Arial" w:hAnsi="Arial"/>
          </w:rPr>
          <w:t>https://assets.publishing.service.gov.uk/media/630623bdd3bf7f3660de63da/Promoting_the_health_and_well-being_of_looked-after_children_August_2022_update.pdf</w:t>
        </w:r>
      </w:hyperlink>
      <w:r w:rsidRPr="00BE7806">
        <w:rPr>
          <w:rFonts w:ascii="Arial" w:hAnsi="Arial"/>
        </w:rPr>
        <w:t xml:space="preserve"> (Accessed: 13 July 2026).</w:t>
      </w:r>
    </w:p>
    <w:p w14:paraId="2D424EDB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Liverpool CAMHS (2024) </w:t>
      </w:r>
      <w:r w:rsidRPr="00BE7806">
        <w:rPr>
          <w:rFonts w:ascii="Arial" w:hAnsi="Arial"/>
          <w:i/>
          <w:iCs/>
        </w:rPr>
        <w:t>What are Adverse Childhood Experiences (ACEs)?</w:t>
      </w:r>
      <w:r w:rsidRPr="00BE7806">
        <w:rPr>
          <w:rFonts w:ascii="Arial" w:hAnsi="Arial"/>
        </w:rPr>
        <w:t xml:space="preserve"> Available at: </w:t>
      </w:r>
      <w:hyperlink r:id="rId15" w:history="1">
        <w:r w:rsidRPr="00BE7806">
          <w:rPr>
            <w:rStyle w:val="Hyperlink"/>
            <w:rFonts w:ascii="Arial" w:hAnsi="Arial"/>
          </w:rPr>
          <w:t>https://www.liverpoolcamhs.com/aces/what-are-adverse-childhood-experiences/</w:t>
        </w:r>
      </w:hyperlink>
      <w:r w:rsidRPr="00BE7806">
        <w:rPr>
          <w:rFonts w:ascii="Arial" w:hAnsi="Arial"/>
        </w:rPr>
        <w:t xml:space="preserve"> (Accessed: 12 July 2026).</w:t>
      </w:r>
    </w:p>
    <w:p w14:paraId="63D7E84B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NSPCC (2024) </w:t>
      </w:r>
      <w:r w:rsidRPr="00BE7806">
        <w:rPr>
          <w:rFonts w:ascii="Arial" w:hAnsi="Arial"/>
          <w:i/>
          <w:iCs/>
        </w:rPr>
        <w:t>Child Protection System in the UK</w:t>
      </w:r>
      <w:r w:rsidRPr="00BE7806">
        <w:rPr>
          <w:rFonts w:ascii="Arial" w:hAnsi="Arial"/>
        </w:rPr>
        <w:t xml:space="preserve">. Available at: </w:t>
      </w:r>
      <w:hyperlink r:id="rId16" w:history="1">
        <w:r w:rsidRPr="00BE7806">
          <w:rPr>
            <w:rStyle w:val="Hyperlink"/>
            <w:rFonts w:ascii="Arial" w:hAnsi="Arial"/>
          </w:rPr>
          <w:t>https://learning.nspcc.org.uk/child-protection-system</w:t>
        </w:r>
      </w:hyperlink>
      <w:r w:rsidRPr="00BE7806">
        <w:rPr>
          <w:rFonts w:ascii="Arial" w:hAnsi="Arial"/>
        </w:rPr>
        <w:t xml:space="preserve"> (Accessed: 15 July 2026).</w:t>
      </w:r>
    </w:p>
    <w:p w14:paraId="6CF7830C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NSPCC (2024) </w:t>
      </w:r>
      <w:r w:rsidRPr="00BE7806">
        <w:rPr>
          <w:rFonts w:ascii="Arial" w:hAnsi="Arial"/>
          <w:i/>
          <w:iCs/>
        </w:rPr>
        <w:t>Early Help and Early Intervention</w:t>
      </w:r>
      <w:r w:rsidRPr="00BE7806">
        <w:rPr>
          <w:rFonts w:ascii="Arial" w:hAnsi="Arial"/>
        </w:rPr>
        <w:t xml:space="preserve">. Available at: </w:t>
      </w:r>
      <w:hyperlink r:id="rId17" w:history="1">
        <w:r w:rsidRPr="00BE7806">
          <w:rPr>
            <w:rStyle w:val="Hyperlink"/>
            <w:rFonts w:ascii="Arial" w:hAnsi="Arial"/>
          </w:rPr>
          <w:t>https://learning.nspcc.org.uk/safeguarding-child-protection/early-help-and-early-intervention</w:t>
        </w:r>
      </w:hyperlink>
      <w:r w:rsidRPr="00BE7806">
        <w:rPr>
          <w:rFonts w:ascii="Arial" w:hAnsi="Arial"/>
        </w:rPr>
        <w:t xml:space="preserve"> (Accessed: 14 July 2026).</w:t>
      </w:r>
    </w:p>
    <w:p w14:paraId="6E6B6296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Police, Crime, Sentencing and Courts Act 2022. (2022) c.32. Available at: </w:t>
      </w:r>
      <w:hyperlink r:id="rId18" w:history="1">
        <w:r w:rsidRPr="00BE7806">
          <w:rPr>
            <w:rStyle w:val="Hyperlink"/>
            <w:rFonts w:ascii="Arial" w:hAnsi="Arial"/>
          </w:rPr>
          <w:t>https://www.legislation.gov.uk/ukpga/2022/32/contents</w:t>
        </w:r>
      </w:hyperlink>
      <w:r w:rsidRPr="00BE7806">
        <w:rPr>
          <w:rFonts w:ascii="Arial" w:hAnsi="Arial"/>
        </w:rPr>
        <w:t xml:space="preserve"> (Accessed: 17 July 2026).</w:t>
      </w:r>
    </w:p>
    <w:p w14:paraId="28B1FED1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The AIM Group (2024) </w:t>
      </w:r>
      <w:r w:rsidRPr="00BE7806">
        <w:rPr>
          <w:rFonts w:ascii="Arial" w:hAnsi="Arial"/>
          <w:i/>
          <w:iCs/>
        </w:rPr>
        <w:t>Adverse Childhood Experiences (ACEs)</w:t>
      </w:r>
      <w:r w:rsidRPr="00BE7806">
        <w:rPr>
          <w:rFonts w:ascii="Arial" w:hAnsi="Arial"/>
        </w:rPr>
        <w:t xml:space="preserve">. Available at: </w:t>
      </w:r>
      <w:hyperlink r:id="rId19" w:history="1">
        <w:r w:rsidRPr="00BE7806">
          <w:rPr>
            <w:rStyle w:val="Hyperlink"/>
            <w:rFonts w:ascii="Arial" w:hAnsi="Arial"/>
          </w:rPr>
          <w:t>https://theaimgroup.co.uk/courses/level-2/adverse-childhood-experiences</w:t>
        </w:r>
      </w:hyperlink>
      <w:r w:rsidRPr="00BE7806">
        <w:rPr>
          <w:rFonts w:ascii="Arial" w:hAnsi="Arial"/>
        </w:rPr>
        <w:t xml:space="preserve"> (Accessed: 11 July 2026).</w:t>
      </w:r>
    </w:p>
    <w:p w14:paraId="4F89682C" w14:textId="77777777" w:rsidR="00BE7806" w:rsidRPr="00BE7806" w:rsidRDefault="00BE7806" w:rsidP="00BE7806">
      <w:pPr>
        <w:spacing w:line="360" w:lineRule="auto"/>
        <w:rPr>
          <w:rFonts w:ascii="Arial" w:hAnsi="Arial"/>
        </w:rPr>
      </w:pPr>
      <w:r w:rsidRPr="00BE7806">
        <w:rPr>
          <w:rFonts w:ascii="Arial" w:hAnsi="Arial"/>
        </w:rPr>
        <w:t xml:space="preserve">The Fostering Network (2024) </w:t>
      </w:r>
      <w:r w:rsidRPr="00BE7806">
        <w:rPr>
          <w:rFonts w:ascii="Arial" w:hAnsi="Arial"/>
          <w:i/>
          <w:iCs/>
        </w:rPr>
        <w:t>The Fostering Network</w:t>
      </w:r>
      <w:r w:rsidRPr="00BE7806">
        <w:rPr>
          <w:rFonts w:ascii="Arial" w:hAnsi="Arial"/>
        </w:rPr>
        <w:t xml:space="preserve">. Available at: </w:t>
      </w:r>
      <w:hyperlink r:id="rId20" w:history="1">
        <w:r w:rsidRPr="00BE7806">
          <w:rPr>
            <w:rStyle w:val="Hyperlink"/>
            <w:rFonts w:ascii="Arial" w:hAnsi="Arial"/>
          </w:rPr>
          <w:t>https://www.thefosteringnetwork.org.uk/</w:t>
        </w:r>
      </w:hyperlink>
      <w:r w:rsidRPr="00BE7806">
        <w:rPr>
          <w:rFonts w:ascii="Arial" w:hAnsi="Arial"/>
        </w:rPr>
        <w:t xml:space="preserve"> (Accessed: 16 July 2026).</w:t>
      </w:r>
    </w:p>
    <w:p w14:paraId="2CF61B2D" w14:textId="77777777" w:rsidR="00BA1F67" w:rsidRPr="00BE7806" w:rsidRDefault="00BA1F67" w:rsidP="00BE7806">
      <w:pPr>
        <w:spacing w:line="360" w:lineRule="auto"/>
        <w:rPr>
          <w:rFonts w:ascii="Arial" w:hAnsi="Arial"/>
        </w:rPr>
      </w:pPr>
    </w:p>
    <w:sectPr w:rsidR="00BA1F67" w:rsidRPr="00BE7806" w:rsidSect="00BE7806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452B01" w14:textId="77777777" w:rsidR="00695C0F" w:rsidRDefault="00695C0F" w:rsidP="00BE7806">
      <w:pPr>
        <w:spacing w:after="0" w:line="240" w:lineRule="auto"/>
      </w:pPr>
      <w:r>
        <w:separator/>
      </w:r>
    </w:p>
  </w:endnote>
  <w:endnote w:type="continuationSeparator" w:id="0">
    <w:p w14:paraId="2EF30C92" w14:textId="77777777" w:rsidR="00695C0F" w:rsidRDefault="00695C0F" w:rsidP="00BE78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FAD392" w14:textId="552AFC1F" w:rsidR="00BE7806" w:rsidRDefault="00BE7806" w:rsidP="00BE7806">
    <w:pPr>
      <w:pStyle w:val="Footer"/>
      <w:jc w:val="center"/>
    </w:pPr>
  </w:p>
  <w:p w14:paraId="5C5C62A4" w14:textId="77777777" w:rsidR="00BE7806" w:rsidRDefault="00BE78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E64A94" w14:textId="77777777" w:rsidR="00695C0F" w:rsidRDefault="00695C0F" w:rsidP="00BE7806">
      <w:pPr>
        <w:spacing w:after="0" w:line="240" w:lineRule="auto"/>
      </w:pPr>
      <w:r>
        <w:separator/>
      </w:r>
    </w:p>
  </w:footnote>
  <w:footnote w:type="continuationSeparator" w:id="0">
    <w:p w14:paraId="0E4D8376" w14:textId="77777777" w:rsidR="00695C0F" w:rsidRDefault="00695C0F" w:rsidP="00BE78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53362E"/>
    <w:multiLevelType w:val="hybridMultilevel"/>
    <w:tmpl w:val="7D3CF0B8"/>
    <w:lvl w:ilvl="0" w:tplc="893675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1024A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2681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4CFB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F960D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98E6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D295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B09B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D2D7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162275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AE0"/>
    <w:rsid w:val="0002560A"/>
    <w:rsid w:val="0004201C"/>
    <w:rsid w:val="003076FD"/>
    <w:rsid w:val="00590184"/>
    <w:rsid w:val="00695C0F"/>
    <w:rsid w:val="006C4AAD"/>
    <w:rsid w:val="007C7AE0"/>
    <w:rsid w:val="00B23E8E"/>
    <w:rsid w:val="00BA1F67"/>
    <w:rsid w:val="00BE7806"/>
    <w:rsid w:val="00C34F3E"/>
    <w:rsid w:val="00C8047F"/>
    <w:rsid w:val="00C953A6"/>
    <w:rsid w:val="00CE55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9BA58"/>
  <w15:chartTrackingRefBased/>
  <w15:docId w15:val="{34DE6637-7144-49E6-A95B-F812E4416F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7A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7A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7A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7A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7A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7A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7A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7A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7A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7A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7A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7A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7A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7A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7A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7A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7A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7A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7A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7A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7A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7A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7A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7A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7A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7A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7A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7A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7AE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E780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780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E78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7806"/>
  </w:style>
  <w:style w:type="paragraph" w:styleId="Footer">
    <w:name w:val="footer"/>
    <w:basedOn w:val="Normal"/>
    <w:link w:val="FooterChar"/>
    <w:uiPriority w:val="99"/>
    <w:unhideWhenUsed/>
    <w:rsid w:val="00BE78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7806"/>
  </w:style>
  <w:style w:type="paragraph" w:styleId="NoSpacing">
    <w:name w:val="No Spacing"/>
    <w:link w:val="NoSpacingChar"/>
    <w:uiPriority w:val="1"/>
    <w:qFormat/>
    <w:rsid w:val="00BE7806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E7806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scpbirmingham.org.uk/wp-content/uploads/2023/10/BSCP-2020-21-02-Child-A-CSPR.pdf?utm_source=chatgpt.com" TargetMode="External"/><Relationship Id="rId13" Type="http://schemas.openxmlformats.org/officeDocument/2006/relationships/hyperlink" Target="https://www.legislation.gov.uk/ukpga/2010/15/contents" TargetMode="External"/><Relationship Id="rId18" Type="http://schemas.openxmlformats.org/officeDocument/2006/relationships/hyperlink" Target="https://www.legislation.gov.uk/ukpga/2022/32/contents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academic.oup.com/jpubhealth/article/37/3/445/2362598?utm_source=chatgpt.com" TargetMode="External"/><Relationship Id="rId12" Type="http://schemas.openxmlformats.org/officeDocument/2006/relationships/hyperlink" Target="https://www.legislation.gov.uk/ukpga/2021/17/contents" TargetMode="External"/><Relationship Id="rId17" Type="http://schemas.openxmlformats.org/officeDocument/2006/relationships/hyperlink" Target="https://learning.nspcc.org.uk/safeguarding-child-protection/early-help-and-early-intervention?utm_source=chatgpt.com" TargetMode="External"/><Relationship Id="rId2" Type="http://schemas.openxmlformats.org/officeDocument/2006/relationships/styles" Target="styles.xml"/><Relationship Id="rId16" Type="http://schemas.openxmlformats.org/officeDocument/2006/relationships/hyperlink" Target="https://learning.nspcc.org.uk/child-protection-system?utm_source=chatgpt.com" TargetMode="External"/><Relationship Id="rId20" Type="http://schemas.openxmlformats.org/officeDocument/2006/relationships/hyperlink" Target="https://www.thefosteringnetwork.org.uk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working-together-to-safeguard-children--2?utm_source=chatgpt.co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iverpoolcamhs.com/aces/what-are-adverse-childhood-experiences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legislation.gov.uk/ukpga/2004/31/contents?utm_source=chatgpt.com" TargetMode="External"/><Relationship Id="rId19" Type="http://schemas.openxmlformats.org/officeDocument/2006/relationships/hyperlink" Target="https://theaimgroup.co.uk/courses/level-2/adverse-childhood-experiences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89/41/contents" TargetMode="External"/><Relationship Id="rId14" Type="http://schemas.openxmlformats.org/officeDocument/2006/relationships/hyperlink" Target="https://assets.publishing.service.gov.uk/media/630623bdd3bf7f3660de63da/Promoting_the_health_and_well-being_of_looked-after_children_August_2022_update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697</Words>
  <Characters>3973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1: Presentation (Refrences) Only</dc:title>
  <dc:subject/>
  <dc:creator>Iftekhar Rashid</dc:creator>
  <cp:keywords/>
  <dc:description/>
  <cp:lastModifiedBy>Gazala Haroon (2411422)</cp:lastModifiedBy>
  <cp:revision>2</cp:revision>
  <dcterms:created xsi:type="dcterms:W3CDTF">2026-07-18T17:07:00Z</dcterms:created>
  <dcterms:modified xsi:type="dcterms:W3CDTF">2026-07-18T17:07:00Z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d33241cb-5bb7-44b9-9009-04c51f67b3a7</vt:lpwstr>
  </property>
</Properties>
</file>