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37470" w:rsidP="33994681" w:rsidRDefault="00637470" w14:paraId="328588A4" w14:textId="1E95210D">
      <w:pPr>
        <w:spacing w:after="160" w:line="360" w:lineRule="auto"/>
        <w:rPr>
          <w:rFonts w:ascii="Aptos" w:hAnsi="Aptos" w:eastAsia="Aptos" w:cs="Aptos"/>
          <w:noProof w:val="0"/>
          <w:sz w:val="24"/>
          <w:szCs w:val="24"/>
          <w:lang w:val="en-GB"/>
        </w:rPr>
      </w:pPr>
      <w:r w:rsidR="5D9C95F1">
        <w:drawing>
          <wp:inline wp14:editId="2F39788B" wp14:anchorId="2ED82206">
            <wp:extent cx="3343275" cy="1343025"/>
            <wp:effectExtent l="0" t="0" r="0" b="0"/>
            <wp:docPr id="1531385592" name="drawing" title="UWTSD logo | Discover Dylan Thoma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1385592" name="Picture 1531385592"/>
                    <pic:cNvPicPr/>
                  </pic:nvPicPr>
                  <pic:blipFill>
                    <a:blip xmlns:r="http://schemas.openxmlformats.org/officeDocument/2006/relationships" r:embed="rId723939267">
                      <a:extLst>
                        <a:ext uri="{28A0092B-C50C-407E-A947-70E740481C1C}">
                          <a14:useLocalDpi xmlns:a14="http://schemas.microsoft.com/office/drawing/2010/main"/>
                        </a:ext>
                      </a:extLst>
                    </a:blip>
                    <a:stretch>
                      <a:fillRect/>
                    </a:stretch>
                  </pic:blipFill>
                  <pic:spPr>
                    <a:xfrm>
                      <a:off x="0" y="0"/>
                      <a:ext cx="3343275" cy="1343025"/>
                    </a:xfrm>
                    <a:prstGeom prst="rect">
                      <a:avLst/>
                    </a:prstGeom>
                  </pic:spPr>
                </pic:pic>
              </a:graphicData>
            </a:graphic>
          </wp:inline>
        </w:drawing>
      </w:r>
    </w:p>
    <w:p w:rsidR="00637470" w:rsidP="33994681" w:rsidRDefault="00637470" w14:paraId="19353F43" w14:textId="594919CC">
      <w:pPr>
        <w:pStyle w:val="Normal"/>
        <w:spacing w:after="160" w:line="360" w:lineRule="auto"/>
        <w:rPr>
          <w:rFonts w:ascii="Segoe UI" w:hAnsi="Segoe UI" w:eastAsia="Segoe UI" w:cs="Segoe UI"/>
          <w:noProof w:val="0"/>
          <w:color w:val="1D2125"/>
          <w:sz w:val="24"/>
          <w:szCs w:val="24"/>
          <w:lang w:val="en-GB"/>
        </w:rPr>
      </w:pPr>
    </w:p>
    <w:p w:rsidR="00637470" w:rsidP="33994681" w:rsidRDefault="00637470" w14:paraId="247D0198" w14:textId="7CB253C4">
      <w:pPr>
        <w:spacing w:after="160" w:line="360" w:lineRule="auto"/>
        <w:jc w:val="center"/>
        <w:rPr>
          <w:rFonts w:ascii="Arial" w:hAnsi="Arial" w:eastAsia="Arial" w:cs="Arial"/>
          <w:noProof w:val="0"/>
          <w:color w:val="1D2125"/>
          <w:sz w:val="22"/>
          <w:szCs w:val="22"/>
          <w:lang w:val="en-GB"/>
        </w:rPr>
      </w:pPr>
      <w:r w:rsidRPr="33994681" w:rsidR="5D9C95F1">
        <w:rPr>
          <w:rStyle w:val="Strong"/>
          <w:rFonts w:ascii="Arial" w:hAnsi="Arial" w:eastAsia="Arial" w:cs="Arial"/>
          <w:b w:val="1"/>
          <w:bCs w:val="1"/>
          <w:noProof w:val="0"/>
          <w:color w:val="1D2125"/>
          <w:sz w:val="22"/>
          <w:szCs w:val="22"/>
          <w:lang w:val="en-GB"/>
        </w:rPr>
        <w:t>Digital Transformation in the Health and Care Professions (BMHP6026)</w:t>
      </w:r>
    </w:p>
    <w:p w:rsidR="00637470" w:rsidP="33994681" w:rsidRDefault="00637470" w14:paraId="55ED0154" w14:textId="5A1760B6">
      <w:pPr>
        <w:spacing w:after="160" w:line="360" w:lineRule="auto"/>
        <w:jc w:val="center"/>
        <w:rPr>
          <w:rStyle w:val="Strong"/>
          <w:rFonts w:ascii="Arial" w:hAnsi="Arial" w:eastAsia="Arial" w:cs="Arial"/>
          <w:b w:val="1"/>
          <w:bCs w:val="1"/>
          <w:noProof w:val="0"/>
          <w:color w:val="1D2125"/>
          <w:sz w:val="22"/>
          <w:szCs w:val="22"/>
          <w:lang w:val="en-GB"/>
        </w:rPr>
      </w:pPr>
    </w:p>
    <w:p w:rsidR="00637470" w:rsidP="33994681" w:rsidRDefault="00637470" w14:paraId="55B756C0" w14:textId="3EB375E4">
      <w:pPr>
        <w:spacing w:after="160" w:line="360" w:lineRule="auto"/>
        <w:rPr>
          <w:rFonts w:ascii="Arial" w:hAnsi="Arial" w:eastAsia="Arial" w:cs="Arial"/>
          <w:noProof w:val="0"/>
          <w:color w:val="000000" w:themeColor="text1" w:themeTint="FF" w:themeShade="FF"/>
          <w:sz w:val="22"/>
          <w:szCs w:val="22"/>
          <w:lang w:val="en-GB"/>
        </w:rPr>
      </w:pPr>
      <w:r w:rsidRPr="33994681" w:rsidR="5D9C95F1">
        <w:rPr>
          <w:rFonts w:ascii="Arial" w:hAnsi="Arial" w:eastAsia="Arial" w:cs="Arial"/>
          <w:b w:val="1"/>
          <w:bCs w:val="1"/>
          <w:noProof w:val="0"/>
          <w:color w:val="000000" w:themeColor="text1" w:themeTint="FF" w:themeShade="FF"/>
          <w:sz w:val="22"/>
          <w:szCs w:val="22"/>
          <w:lang w:val="en-GB"/>
        </w:rPr>
        <w:t>Component</w:t>
      </w:r>
      <w:r w:rsidRPr="33994681" w:rsidR="5D9C95F1">
        <w:rPr>
          <w:rFonts w:ascii="Arial" w:hAnsi="Arial" w:eastAsia="Arial" w:cs="Arial"/>
          <w:b w:val="1"/>
          <w:bCs w:val="1"/>
          <w:noProof w:val="0"/>
          <w:color w:val="000000" w:themeColor="text1" w:themeTint="FF" w:themeShade="FF"/>
          <w:sz w:val="22"/>
          <w:szCs w:val="22"/>
          <w:lang w:val="en-GB"/>
        </w:rPr>
        <w:t xml:space="preserve"> 1: Written Report</w:t>
      </w:r>
      <w:r w:rsidRPr="33994681" w:rsidR="706B0B10">
        <w:rPr>
          <w:rFonts w:ascii="Arial" w:hAnsi="Arial" w:eastAsia="Arial" w:cs="Arial"/>
          <w:b w:val="1"/>
          <w:bCs w:val="1"/>
          <w:noProof w:val="0"/>
          <w:color w:val="000000" w:themeColor="text1" w:themeTint="FF" w:themeShade="FF"/>
          <w:sz w:val="22"/>
          <w:szCs w:val="22"/>
          <w:lang w:val="en-GB"/>
        </w:rPr>
        <w:t xml:space="preserve"> 2000 words</w:t>
      </w:r>
    </w:p>
    <w:p w:rsidR="00637470" w:rsidP="33994681" w:rsidRDefault="00637470" w14:paraId="2B539FDB" w14:textId="7D362B95">
      <w:pPr>
        <w:pStyle w:val="Normal"/>
        <w:spacing w:after="160" w:line="360" w:lineRule="auto"/>
        <w:rPr>
          <w:rFonts w:ascii="Arial" w:hAnsi="Arial" w:eastAsia="Arial" w:cs="Arial"/>
          <w:noProof w:val="0"/>
          <w:color w:val="242424"/>
          <w:sz w:val="22"/>
          <w:szCs w:val="22"/>
          <w:lang w:val="en-GB"/>
        </w:rPr>
      </w:pPr>
      <w:r w:rsidRPr="33994681" w:rsidR="5D9C95F1">
        <w:rPr>
          <w:rStyle w:val="Strong"/>
          <w:rFonts w:ascii="Arial" w:hAnsi="Arial" w:eastAsia="Arial" w:cs="Arial"/>
          <w:b w:val="1"/>
          <w:bCs w:val="1"/>
          <w:noProof w:val="0"/>
          <w:color w:val="1D2125"/>
          <w:sz w:val="22"/>
          <w:szCs w:val="22"/>
          <w:lang w:val="en-GB"/>
        </w:rPr>
        <w:t xml:space="preserve">Student name: </w:t>
      </w:r>
      <w:r w:rsidRPr="33994681" w:rsidR="5D9C95F1">
        <w:rPr>
          <w:rFonts w:ascii="Arial" w:hAnsi="Arial" w:eastAsia="Arial" w:cs="Arial"/>
          <w:b w:val="1"/>
          <w:bCs w:val="1"/>
          <w:noProof w:val="0"/>
          <w:color w:val="242424"/>
          <w:sz w:val="22"/>
          <w:szCs w:val="22"/>
          <w:lang w:val="en-GB"/>
        </w:rPr>
        <w:t>Sintia Ponta Garca Do Rosari</w:t>
      </w:r>
      <w:r w:rsidRPr="33994681" w:rsidR="5D9C95F1">
        <w:rPr>
          <w:rFonts w:ascii="Arial" w:hAnsi="Arial" w:eastAsia="Arial" w:cs="Arial"/>
          <w:noProof w:val="0"/>
          <w:color w:val="242424"/>
          <w:sz w:val="22"/>
          <w:szCs w:val="22"/>
          <w:lang w:val="en-GB"/>
        </w:rPr>
        <w:t>o</w:t>
      </w:r>
    </w:p>
    <w:p w:rsidR="00637470" w:rsidP="33994681" w:rsidRDefault="00637470" w14:paraId="65D722A9" w14:textId="2511740D">
      <w:pPr>
        <w:spacing w:after="160" w:line="360" w:lineRule="auto"/>
        <w:rPr>
          <w:rFonts w:ascii="Arial" w:hAnsi="Arial" w:eastAsia="Arial" w:cs="Arial"/>
          <w:noProof w:val="0"/>
          <w:color w:val="1D2125"/>
          <w:sz w:val="22"/>
          <w:szCs w:val="22"/>
          <w:lang w:val="en-GB"/>
        </w:rPr>
      </w:pPr>
      <w:r w:rsidRPr="33994681" w:rsidR="5D9C95F1">
        <w:rPr>
          <w:rStyle w:val="Strong"/>
          <w:rFonts w:ascii="Arial" w:hAnsi="Arial" w:eastAsia="Arial" w:cs="Arial"/>
          <w:b w:val="1"/>
          <w:bCs w:val="1"/>
          <w:noProof w:val="0"/>
          <w:color w:val="1D2125"/>
          <w:sz w:val="22"/>
          <w:szCs w:val="22"/>
          <w:lang w:val="en-GB"/>
        </w:rPr>
        <w:t>Student number: 2316842</w:t>
      </w:r>
    </w:p>
    <w:p w:rsidR="00637470" w:rsidP="33994681" w:rsidRDefault="00637470" w14:paraId="1FB16457" w14:textId="4E5CC987">
      <w:pPr>
        <w:spacing w:after="160" w:line="360" w:lineRule="auto"/>
        <w:rPr>
          <w:rFonts w:ascii="Arial" w:hAnsi="Arial" w:eastAsia="Arial" w:cs="Arial"/>
          <w:noProof w:val="0"/>
          <w:color w:val="1D2125"/>
          <w:sz w:val="22"/>
          <w:szCs w:val="22"/>
          <w:lang w:val="en-GB"/>
        </w:rPr>
      </w:pPr>
      <w:r w:rsidRPr="33994681" w:rsidR="5D9C95F1">
        <w:rPr>
          <w:rStyle w:val="Strong"/>
          <w:rFonts w:ascii="Arial" w:hAnsi="Arial" w:eastAsia="Arial" w:cs="Arial"/>
          <w:b w:val="1"/>
          <w:bCs w:val="1"/>
          <w:noProof w:val="0"/>
          <w:color w:val="1D2125"/>
          <w:sz w:val="22"/>
          <w:szCs w:val="22"/>
          <w:lang w:val="en-GB"/>
        </w:rPr>
        <w:t>Lecturer’s name: Dr Laila Surani</w:t>
      </w:r>
    </w:p>
    <w:p w:rsidR="00637470" w:rsidP="33994681" w:rsidRDefault="00637470" w14:paraId="25280396" w14:textId="03423812">
      <w:pPr>
        <w:spacing w:after="160" w:line="360" w:lineRule="auto"/>
        <w:rPr>
          <w:rStyle w:val="Strong"/>
          <w:rFonts w:ascii="Arial" w:hAnsi="Arial" w:eastAsia="Arial" w:cs="Arial"/>
          <w:b w:val="1"/>
          <w:bCs w:val="1"/>
          <w:noProof w:val="0"/>
          <w:color w:val="1D2125"/>
          <w:sz w:val="22"/>
          <w:szCs w:val="22"/>
          <w:lang w:val="en-GB"/>
        </w:rPr>
      </w:pPr>
      <w:r w:rsidRPr="33994681" w:rsidR="2C23BA24">
        <w:rPr>
          <w:rStyle w:val="Strong"/>
          <w:rFonts w:ascii="Arial" w:hAnsi="Arial" w:eastAsia="Arial" w:cs="Arial"/>
          <w:b w:val="1"/>
          <w:bCs w:val="1"/>
          <w:noProof w:val="0"/>
          <w:color w:val="1D2125"/>
          <w:sz w:val="22"/>
          <w:szCs w:val="22"/>
          <w:lang w:val="en-GB"/>
        </w:rPr>
        <w:t>Su</w:t>
      </w:r>
      <w:r w:rsidRPr="33994681" w:rsidR="570D6678">
        <w:rPr>
          <w:rStyle w:val="Strong"/>
          <w:rFonts w:ascii="Arial" w:hAnsi="Arial" w:eastAsia="Arial" w:cs="Arial"/>
          <w:b w:val="1"/>
          <w:bCs w:val="1"/>
          <w:noProof w:val="0"/>
          <w:color w:val="1D2125"/>
          <w:sz w:val="22"/>
          <w:szCs w:val="22"/>
          <w:lang w:val="en-GB"/>
        </w:rPr>
        <w:t>b</w:t>
      </w:r>
      <w:r w:rsidRPr="33994681" w:rsidR="2C23BA24">
        <w:rPr>
          <w:rStyle w:val="Strong"/>
          <w:rFonts w:ascii="Arial" w:hAnsi="Arial" w:eastAsia="Arial" w:cs="Arial"/>
          <w:b w:val="1"/>
          <w:bCs w:val="1"/>
          <w:noProof w:val="0"/>
          <w:color w:val="1D2125"/>
          <w:sz w:val="22"/>
          <w:szCs w:val="22"/>
          <w:lang w:val="en-GB"/>
        </w:rPr>
        <w:t>mi</w:t>
      </w:r>
      <w:r w:rsidRPr="33994681" w:rsidR="24F3A3EC">
        <w:rPr>
          <w:rStyle w:val="Strong"/>
          <w:rFonts w:ascii="Arial" w:hAnsi="Arial" w:eastAsia="Arial" w:cs="Arial"/>
          <w:b w:val="1"/>
          <w:bCs w:val="1"/>
          <w:noProof w:val="0"/>
          <w:color w:val="1D2125"/>
          <w:sz w:val="22"/>
          <w:szCs w:val="22"/>
          <w:lang w:val="en-GB"/>
        </w:rPr>
        <w:t>ss</w:t>
      </w:r>
      <w:r w:rsidRPr="33994681" w:rsidR="2C23BA24">
        <w:rPr>
          <w:rStyle w:val="Strong"/>
          <w:rFonts w:ascii="Arial" w:hAnsi="Arial" w:eastAsia="Arial" w:cs="Arial"/>
          <w:b w:val="1"/>
          <w:bCs w:val="1"/>
          <w:noProof w:val="0"/>
          <w:color w:val="1D2125"/>
          <w:sz w:val="22"/>
          <w:szCs w:val="22"/>
          <w:lang w:val="en-GB"/>
        </w:rPr>
        <w:t>ion</w:t>
      </w:r>
      <w:r w:rsidRPr="33994681" w:rsidR="2C23BA24">
        <w:rPr>
          <w:rStyle w:val="Strong"/>
          <w:rFonts w:ascii="Arial" w:hAnsi="Arial" w:eastAsia="Arial" w:cs="Arial"/>
          <w:b w:val="1"/>
          <w:bCs w:val="1"/>
          <w:noProof w:val="0"/>
          <w:color w:val="1D2125"/>
          <w:sz w:val="22"/>
          <w:szCs w:val="22"/>
          <w:lang w:val="en-GB"/>
        </w:rPr>
        <w:t xml:space="preserve"> deadline: 23</w:t>
      </w:r>
      <w:r w:rsidRPr="33994681" w:rsidR="2C23BA24">
        <w:rPr>
          <w:rStyle w:val="Strong"/>
          <w:rFonts w:ascii="Arial" w:hAnsi="Arial" w:eastAsia="Arial" w:cs="Arial"/>
          <w:b w:val="1"/>
          <w:bCs w:val="1"/>
          <w:noProof w:val="0"/>
          <w:color w:val="1D2125"/>
          <w:sz w:val="22"/>
          <w:szCs w:val="22"/>
          <w:vertAlign w:val="superscript"/>
          <w:lang w:val="en-GB"/>
        </w:rPr>
        <w:t>rd</w:t>
      </w:r>
      <w:r w:rsidRPr="33994681" w:rsidR="2C23BA24">
        <w:rPr>
          <w:rStyle w:val="Strong"/>
          <w:rFonts w:ascii="Arial" w:hAnsi="Arial" w:eastAsia="Arial" w:cs="Arial"/>
          <w:b w:val="1"/>
          <w:bCs w:val="1"/>
          <w:noProof w:val="0"/>
          <w:color w:val="1D2125"/>
          <w:sz w:val="22"/>
          <w:szCs w:val="22"/>
          <w:lang w:val="en-GB"/>
        </w:rPr>
        <w:t xml:space="preserve"> March 202</w:t>
      </w:r>
      <w:r w:rsidRPr="33994681" w:rsidR="6F744D3E">
        <w:rPr>
          <w:rStyle w:val="Strong"/>
          <w:rFonts w:ascii="Arial" w:hAnsi="Arial" w:eastAsia="Arial" w:cs="Arial"/>
          <w:b w:val="1"/>
          <w:bCs w:val="1"/>
          <w:noProof w:val="0"/>
          <w:color w:val="1D2125"/>
          <w:sz w:val="22"/>
          <w:szCs w:val="22"/>
          <w:lang w:val="en-GB"/>
        </w:rPr>
        <w:t>26</w:t>
      </w:r>
    </w:p>
    <w:p w:rsidR="33994681" w:rsidP="33994681" w:rsidRDefault="33994681" w14:paraId="2F4E3B77" w14:textId="3FFBE909">
      <w:pPr>
        <w:spacing w:line="360" w:lineRule="auto"/>
        <w:rPr>
          <w:rFonts w:ascii="Arial" w:hAnsi="Arial" w:eastAsia="Arial" w:cs="Arial"/>
          <w:sz w:val="22"/>
          <w:szCs w:val="22"/>
        </w:rPr>
      </w:pPr>
      <w:r w:rsidRPr="33994681">
        <w:rPr>
          <w:rFonts w:ascii="Arial" w:hAnsi="Arial" w:eastAsia="Arial" w:cs="Arial"/>
          <w:sz w:val="22"/>
          <w:szCs w:val="22"/>
        </w:rPr>
        <w:br w:type="page"/>
      </w:r>
    </w:p>
    <w:p w:rsidR="32245750" w:rsidP="33994681" w:rsidRDefault="32245750" w14:paraId="20E71314" w14:textId="731AEEA6">
      <w:pPr>
        <w:pStyle w:val="Normal"/>
        <w:spacing w:after="160" w:line="360" w:lineRule="auto"/>
        <w:rPr>
          <w:rStyle w:val="Strong"/>
          <w:rFonts w:ascii="Arial" w:hAnsi="Arial" w:eastAsia="Arial" w:cs="Arial"/>
          <w:b w:val="1"/>
          <w:bCs w:val="1"/>
          <w:noProof w:val="0"/>
          <w:color w:val="1D2125"/>
          <w:sz w:val="22"/>
          <w:szCs w:val="22"/>
          <w:lang w:val="en-GB"/>
        </w:rPr>
      </w:pPr>
      <w:r w:rsidRPr="33994681" w:rsidR="32245750">
        <w:rPr>
          <w:rStyle w:val="Strong"/>
          <w:rFonts w:ascii="Arial" w:hAnsi="Arial" w:eastAsia="Arial" w:cs="Arial"/>
          <w:b w:val="1"/>
          <w:bCs w:val="1"/>
          <w:noProof w:val="0"/>
          <w:color w:val="1D2125"/>
          <w:sz w:val="22"/>
          <w:szCs w:val="22"/>
          <w:lang w:val="en-GB"/>
        </w:rPr>
        <w:t>Table of contents</w:t>
      </w:r>
    </w:p>
    <w:sdt>
      <w:sdtPr>
        <w:id w:val="222473124"/>
        <w:docPartObj>
          <w:docPartGallery w:val="Table of Contents"/>
          <w:docPartUnique/>
        </w:docPartObj>
        <w:rPr>
          <w:rStyle w:val="Hyperlink"/>
          <w:rFonts w:ascii="Arial" w:hAnsi="Arial" w:eastAsia="Arial" w:cs="Arial"/>
          <w:sz w:val="22"/>
          <w:szCs w:val="22"/>
        </w:rPr>
      </w:sdtPr>
      <w:sdtContent>
        <w:p w:rsidR="33994681" w:rsidP="33994681" w:rsidRDefault="33994681" w14:paraId="343C6F57" w14:textId="2E702398">
          <w:pPr>
            <w:pStyle w:val="TOC1"/>
            <w:tabs>
              <w:tab w:val="right" w:leader="dot" w:pos="9015"/>
            </w:tabs>
            <w:bidi w:val="0"/>
            <w:rPr>
              <w:rStyle w:val="Hyperlink"/>
              <w:rFonts w:ascii="Arial" w:hAnsi="Arial" w:eastAsia="Arial" w:cs="Arial"/>
              <w:sz w:val="22"/>
              <w:szCs w:val="22"/>
            </w:rPr>
          </w:pPr>
          <w:r>
            <w:fldChar w:fldCharType="begin"/>
          </w:r>
          <w:r>
            <w:instrText xml:space="preserve">TOC \o \z \u \h</w:instrText>
          </w:r>
          <w:r>
            <w:fldChar w:fldCharType="separate"/>
          </w:r>
          <w:hyperlink w:anchor="_Toc1296476453">
            <w:r w:rsidRPr="33994681" w:rsidR="33994681">
              <w:rPr>
                <w:rStyle w:val="Hyperlink"/>
                <w:rFonts w:ascii="Arial" w:hAnsi="Arial" w:eastAsia="Arial" w:cs="Arial"/>
                <w:sz w:val="22"/>
                <w:szCs w:val="22"/>
              </w:rPr>
              <w:t>Digital transformation in Health and Care: The impact of Telemedicine</w:t>
            </w:r>
            <w:r>
              <w:tab/>
            </w:r>
            <w:r>
              <w:fldChar w:fldCharType="begin"/>
            </w:r>
            <w:r>
              <w:instrText xml:space="preserve">PAGEREF _Toc1296476453 \h</w:instrText>
            </w:r>
            <w:r>
              <w:fldChar w:fldCharType="separate"/>
            </w:r>
            <w:r w:rsidRPr="33994681" w:rsidR="33994681">
              <w:rPr>
                <w:rStyle w:val="Hyperlink"/>
                <w:rFonts w:ascii="Arial" w:hAnsi="Arial" w:eastAsia="Arial" w:cs="Arial"/>
                <w:sz w:val="22"/>
                <w:szCs w:val="22"/>
              </w:rPr>
              <w:t>2</w:t>
            </w:r>
            <w:r>
              <w:fldChar w:fldCharType="end"/>
            </w:r>
          </w:hyperlink>
        </w:p>
        <w:p w:rsidR="33994681" w:rsidP="33994681" w:rsidRDefault="33994681" w14:paraId="0359A243" w14:textId="320E82AE">
          <w:pPr>
            <w:pStyle w:val="TOC1"/>
            <w:tabs>
              <w:tab w:val="right" w:leader="dot" w:pos="9015"/>
            </w:tabs>
            <w:bidi w:val="0"/>
            <w:rPr>
              <w:rStyle w:val="Hyperlink"/>
              <w:rFonts w:ascii="Arial" w:hAnsi="Arial" w:eastAsia="Arial" w:cs="Arial"/>
              <w:sz w:val="22"/>
              <w:szCs w:val="22"/>
            </w:rPr>
          </w:pPr>
          <w:hyperlink w:anchor="_Toc2112364367">
            <w:r w:rsidRPr="33994681" w:rsidR="33994681">
              <w:rPr>
                <w:rStyle w:val="Hyperlink"/>
                <w:rFonts w:ascii="Arial" w:hAnsi="Arial" w:eastAsia="Arial" w:cs="Arial"/>
                <w:sz w:val="22"/>
                <w:szCs w:val="22"/>
              </w:rPr>
              <w:t>Introduction</w:t>
            </w:r>
            <w:r>
              <w:tab/>
            </w:r>
            <w:r>
              <w:fldChar w:fldCharType="begin"/>
            </w:r>
            <w:r>
              <w:instrText xml:space="preserve">PAGEREF _Toc2112364367 \h</w:instrText>
            </w:r>
            <w:r>
              <w:fldChar w:fldCharType="separate"/>
            </w:r>
            <w:r w:rsidRPr="33994681" w:rsidR="33994681">
              <w:rPr>
                <w:rStyle w:val="Hyperlink"/>
                <w:rFonts w:ascii="Arial" w:hAnsi="Arial" w:eastAsia="Arial" w:cs="Arial"/>
                <w:sz w:val="22"/>
                <w:szCs w:val="22"/>
              </w:rPr>
              <w:t>3</w:t>
            </w:r>
            <w:r>
              <w:fldChar w:fldCharType="end"/>
            </w:r>
          </w:hyperlink>
        </w:p>
        <w:p w:rsidR="33994681" w:rsidP="33994681" w:rsidRDefault="33994681" w14:paraId="6055920C" w14:textId="60620C07">
          <w:pPr>
            <w:pStyle w:val="TOC1"/>
            <w:tabs>
              <w:tab w:val="right" w:leader="dot" w:pos="9015"/>
            </w:tabs>
            <w:bidi w:val="0"/>
            <w:rPr>
              <w:rStyle w:val="Hyperlink"/>
              <w:rFonts w:ascii="Arial" w:hAnsi="Arial" w:eastAsia="Arial" w:cs="Arial"/>
              <w:sz w:val="22"/>
              <w:szCs w:val="22"/>
            </w:rPr>
          </w:pPr>
          <w:hyperlink w:anchor="_Toc1586210727">
            <w:r w:rsidRPr="33994681" w:rsidR="33994681">
              <w:rPr>
                <w:rStyle w:val="Hyperlink"/>
                <w:rFonts w:ascii="Arial" w:hAnsi="Arial" w:eastAsia="Arial" w:cs="Arial"/>
                <w:sz w:val="22"/>
                <w:szCs w:val="22"/>
              </w:rPr>
              <w:t>Impact on Workforce</w:t>
            </w:r>
            <w:r>
              <w:tab/>
            </w:r>
            <w:r>
              <w:fldChar w:fldCharType="begin"/>
            </w:r>
            <w:r>
              <w:instrText xml:space="preserve">PAGEREF _Toc1586210727 \h</w:instrText>
            </w:r>
            <w:r>
              <w:fldChar w:fldCharType="separate"/>
            </w:r>
            <w:r w:rsidRPr="33994681" w:rsidR="33994681">
              <w:rPr>
                <w:rStyle w:val="Hyperlink"/>
                <w:rFonts w:ascii="Arial" w:hAnsi="Arial" w:eastAsia="Arial" w:cs="Arial"/>
                <w:sz w:val="22"/>
                <w:szCs w:val="22"/>
              </w:rPr>
              <w:t>4</w:t>
            </w:r>
            <w:r>
              <w:fldChar w:fldCharType="end"/>
            </w:r>
          </w:hyperlink>
        </w:p>
        <w:p w:rsidR="33994681" w:rsidP="33994681" w:rsidRDefault="33994681" w14:paraId="47399069" w14:textId="6866F79F">
          <w:pPr>
            <w:pStyle w:val="TOC1"/>
            <w:tabs>
              <w:tab w:val="right" w:leader="dot" w:pos="9015"/>
            </w:tabs>
            <w:bidi w:val="0"/>
            <w:rPr>
              <w:rStyle w:val="Hyperlink"/>
              <w:rFonts w:ascii="Arial" w:hAnsi="Arial" w:eastAsia="Arial" w:cs="Arial"/>
              <w:sz w:val="22"/>
              <w:szCs w:val="22"/>
            </w:rPr>
          </w:pPr>
          <w:hyperlink w:anchor="_Toc1559406050">
            <w:r w:rsidRPr="33994681" w:rsidR="33994681">
              <w:rPr>
                <w:rStyle w:val="Hyperlink"/>
                <w:rFonts w:ascii="Arial" w:hAnsi="Arial" w:eastAsia="Arial" w:cs="Arial"/>
                <w:sz w:val="22"/>
                <w:szCs w:val="22"/>
              </w:rPr>
              <w:t>Impact on Service Delivery</w:t>
            </w:r>
            <w:r>
              <w:tab/>
            </w:r>
            <w:r>
              <w:fldChar w:fldCharType="begin"/>
            </w:r>
            <w:r>
              <w:instrText xml:space="preserve">PAGEREF _Toc1559406050 \h</w:instrText>
            </w:r>
            <w:r>
              <w:fldChar w:fldCharType="separate"/>
            </w:r>
            <w:r w:rsidRPr="33994681" w:rsidR="33994681">
              <w:rPr>
                <w:rStyle w:val="Hyperlink"/>
                <w:rFonts w:ascii="Arial" w:hAnsi="Arial" w:eastAsia="Arial" w:cs="Arial"/>
                <w:sz w:val="22"/>
                <w:szCs w:val="22"/>
              </w:rPr>
              <w:t>5</w:t>
            </w:r>
            <w:r>
              <w:fldChar w:fldCharType="end"/>
            </w:r>
          </w:hyperlink>
        </w:p>
        <w:p w:rsidR="33994681" w:rsidP="33994681" w:rsidRDefault="33994681" w14:paraId="589FDAA7" w14:textId="3C40E95D">
          <w:pPr>
            <w:pStyle w:val="TOC1"/>
            <w:tabs>
              <w:tab w:val="right" w:leader="dot" w:pos="9015"/>
            </w:tabs>
            <w:bidi w:val="0"/>
            <w:rPr>
              <w:rStyle w:val="Hyperlink"/>
              <w:rFonts w:ascii="Arial" w:hAnsi="Arial" w:eastAsia="Arial" w:cs="Arial"/>
              <w:sz w:val="22"/>
              <w:szCs w:val="22"/>
            </w:rPr>
          </w:pPr>
          <w:hyperlink w:anchor="_Toc850568539">
            <w:r w:rsidRPr="33994681" w:rsidR="33994681">
              <w:rPr>
                <w:rStyle w:val="Hyperlink"/>
                <w:rFonts w:ascii="Arial" w:hAnsi="Arial" w:eastAsia="Arial" w:cs="Arial"/>
                <w:sz w:val="22"/>
                <w:szCs w:val="22"/>
              </w:rPr>
              <w:t>Impact on Patients and Service Users</w:t>
            </w:r>
            <w:r>
              <w:tab/>
            </w:r>
            <w:r>
              <w:fldChar w:fldCharType="begin"/>
            </w:r>
            <w:r>
              <w:instrText xml:space="preserve">PAGEREF _Toc850568539 \h</w:instrText>
            </w:r>
            <w:r>
              <w:fldChar w:fldCharType="separate"/>
            </w:r>
            <w:r w:rsidRPr="33994681" w:rsidR="33994681">
              <w:rPr>
                <w:rStyle w:val="Hyperlink"/>
                <w:rFonts w:ascii="Arial" w:hAnsi="Arial" w:eastAsia="Arial" w:cs="Arial"/>
                <w:sz w:val="22"/>
                <w:szCs w:val="22"/>
              </w:rPr>
              <w:t>6</w:t>
            </w:r>
            <w:r>
              <w:fldChar w:fldCharType="end"/>
            </w:r>
          </w:hyperlink>
        </w:p>
        <w:p w:rsidR="33994681" w:rsidP="33994681" w:rsidRDefault="33994681" w14:paraId="1388A327" w14:textId="5C2002C0">
          <w:pPr>
            <w:pStyle w:val="TOC1"/>
            <w:tabs>
              <w:tab w:val="right" w:leader="dot" w:pos="9015"/>
            </w:tabs>
            <w:bidi w:val="0"/>
            <w:rPr>
              <w:rStyle w:val="Hyperlink"/>
              <w:rFonts w:ascii="Arial" w:hAnsi="Arial" w:eastAsia="Arial" w:cs="Arial"/>
              <w:sz w:val="22"/>
              <w:szCs w:val="22"/>
            </w:rPr>
          </w:pPr>
          <w:hyperlink w:anchor="_Toc754560082">
            <w:r w:rsidRPr="33994681" w:rsidR="33994681">
              <w:rPr>
                <w:rStyle w:val="Hyperlink"/>
                <w:rFonts w:ascii="Arial" w:hAnsi="Arial" w:eastAsia="Arial" w:cs="Arial"/>
                <w:sz w:val="22"/>
                <w:szCs w:val="22"/>
              </w:rPr>
              <w:t>Conclusion</w:t>
            </w:r>
            <w:r>
              <w:tab/>
            </w:r>
            <w:r>
              <w:fldChar w:fldCharType="begin"/>
            </w:r>
            <w:r>
              <w:instrText xml:space="preserve">PAGEREF _Toc754560082 \h</w:instrText>
            </w:r>
            <w:r>
              <w:fldChar w:fldCharType="separate"/>
            </w:r>
            <w:r w:rsidRPr="33994681" w:rsidR="33994681">
              <w:rPr>
                <w:rStyle w:val="Hyperlink"/>
                <w:rFonts w:ascii="Arial" w:hAnsi="Arial" w:eastAsia="Arial" w:cs="Arial"/>
                <w:sz w:val="22"/>
                <w:szCs w:val="22"/>
              </w:rPr>
              <w:t>7</w:t>
            </w:r>
            <w:r>
              <w:fldChar w:fldCharType="end"/>
            </w:r>
          </w:hyperlink>
        </w:p>
        <w:p w:rsidR="33994681" w:rsidP="33994681" w:rsidRDefault="33994681" w14:paraId="481C1A02" w14:textId="58F0D6F0">
          <w:pPr>
            <w:pStyle w:val="TOC1"/>
            <w:tabs>
              <w:tab w:val="right" w:leader="dot" w:pos="9015"/>
            </w:tabs>
            <w:bidi w:val="0"/>
            <w:rPr>
              <w:rStyle w:val="Hyperlink"/>
              <w:rFonts w:ascii="Arial" w:hAnsi="Arial" w:eastAsia="Arial" w:cs="Arial"/>
              <w:sz w:val="22"/>
              <w:szCs w:val="22"/>
            </w:rPr>
          </w:pPr>
          <w:hyperlink w:anchor="_Toc1434204582">
            <w:r w:rsidRPr="33994681" w:rsidR="33994681">
              <w:rPr>
                <w:rStyle w:val="Hyperlink"/>
                <w:rFonts w:ascii="Arial" w:hAnsi="Arial" w:eastAsia="Arial" w:cs="Arial"/>
                <w:sz w:val="22"/>
                <w:szCs w:val="22"/>
              </w:rPr>
              <w:t>References</w:t>
            </w:r>
            <w:r>
              <w:tab/>
            </w:r>
            <w:r>
              <w:fldChar w:fldCharType="begin"/>
            </w:r>
            <w:r>
              <w:instrText xml:space="preserve">PAGEREF _Toc1434204582 \h</w:instrText>
            </w:r>
            <w:r>
              <w:fldChar w:fldCharType="separate"/>
            </w:r>
            <w:r w:rsidRPr="33994681" w:rsidR="33994681">
              <w:rPr>
                <w:rStyle w:val="Hyperlink"/>
                <w:rFonts w:ascii="Arial" w:hAnsi="Arial" w:eastAsia="Arial" w:cs="Arial"/>
                <w:sz w:val="22"/>
                <w:szCs w:val="22"/>
              </w:rPr>
              <w:t>8</w:t>
            </w:r>
            <w:r>
              <w:fldChar w:fldCharType="end"/>
            </w:r>
          </w:hyperlink>
          <w:r>
            <w:fldChar w:fldCharType="end"/>
          </w:r>
        </w:p>
      </w:sdtContent>
    </w:sdt>
    <w:p w:rsidR="33994681" w:rsidP="33994681" w:rsidRDefault="33994681" w14:paraId="7D75610A" w14:textId="287139D2">
      <w:pPr>
        <w:pStyle w:val="Normal"/>
        <w:spacing w:after="160" w:line="360" w:lineRule="auto"/>
        <w:rPr>
          <w:rStyle w:val="Strong"/>
          <w:rFonts w:ascii="Arial" w:hAnsi="Arial" w:eastAsia="Arial" w:cs="Arial"/>
          <w:b w:val="1"/>
          <w:bCs w:val="1"/>
          <w:noProof w:val="0"/>
          <w:color w:val="1D2125"/>
          <w:sz w:val="22"/>
          <w:szCs w:val="22"/>
          <w:lang w:val="en-GB"/>
        </w:rPr>
      </w:pPr>
    </w:p>
    <w:p w:rsidR="33994681" w:rsidP="33994681" w:rsidRDefault="33994681" w14:paraId="37E25B47" w14:textId="0F412DFD">
      <w:pPr>
        <w:spacing w:line="360" w:lineRule="auto"/>
        <w:rPr>
          <w:rFonts w:ascii="Arial" w:hAnsi="Arial" w:eastAsia="Arial" w:cs="Arial"/>
          <w:sz w:val="22"/>
          <w:szCs w:val="22"/>
        </w:rPr>
      </w:pPr>
      <w:r w:rsidRPr="33994681">
        <w:rPr>
          <w:rFonts w:ascii="Arial" w:hAnsi="Arial" w:eastAsia="Arial" w:cs="Arial"/>
          <w:sz w:val="22"/>
          <w:szCs w:val="22"/>
        </w:rPr>
        <w:br w:type="page"/>
      </w:r>
    </w:p>
    <w:p w:rsidR="395ECD15" w:rsidP="33994681" w:rsidRDefault="395ECD15" w14:paraId="3F44C30F" w14:textId="72926F9A">
      <w:pPr>
        <w:pStyle w:val="Heading1"/>
        <w:spacing w:line="360" w:lineRule="auto"/>
        <w:rPr>
          <w:rFonts w:ascii="Arial" w:hAnsi="Arial" w:eastAsia="Arial" w:cs="Arial"/>
          <w:noProof w:val="0"/>
          <w:sz w:val="22"/>
          <w:szCs w:val="22"/>
          <w:lang w:val="en-GB"/>
        </w:rPr>
      </w:pPr>
      <w:r w:rsidRPr="33994681" w:rsidR="395ECD15">
        <w:rPr>
          <w:rFonts w:ascii="Arial" w:hAnsi="Arial" w:eastAsia="Arial" w:cs="Arial"/>
          <w:noProof w:val="0"/>
          <w:sz w:val="22"/>
          <w:szCs w:val="22"/>
          <w:lang w:val="en-GB"/>
        </w:rPr>
        <w:t xml:space="preserve">Digital transformation in Health and Care: The impact of Telemedicine </w:t>
      </w:r>
    </w:p>
    <w:p w:rsidR="395ECD15" w:rsidP="33994681" w:rsidRDefault="395ECD15" w14:paraId="16A6F390" w14:textId="18A90367">
      <w:pPr>
        <w:pStyle w:val="Heading1"/>
        <w:spacing w:line="360" w:lineRule="auto"/>
        <w:rPr>
          <w:rFonts w:ascii="Arial" w:hAnsi="Arial" w:eastAsia="Arial" w:cs="Arial"/>
          <w:noProof w:val="0"/>
          <w:sz w:val="22"/>
          <w:szCs w:val="22"/>
          <w:lang w:val="en-GB"/>
        </w:rPr>
      </w:pPr>
      <w:r w:rsidRPr="33994681" w:rsidR="395ECD15">
        <w:rPr>
          <w:rFonts w:ascii="Arial" w:hAnsi="Arial" w:eastAsia="Arial" w:cs="Arial"/>
          <w:noProof w:val="0"/>
          <w:sz w:val="22"/>
          <w:szCs w:val="22"/>
          <w:lang w:val="en-GB"/>
        </w:rPr>
        <w:t xml:space="preserve">Introduction </w:t>
      </w:r>
    </w:p>
    <w:p w:rsidR="395ECD15" w:rsidP="33994681" w:rsidRDefault="395ECD15" w14:paraId="56C37F58" w14:textId="1FAA5648">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Digital transformation has significantly influenced the delivery of healthcare services in recent years. Technological innovations are increasingly being used to improve access to care, enhance efficiency, and support better health outcomes. One important digital innovation that has gained widespread use is </w:t>
      </w:r>
      <w:r w:rsidRPr="33994681" w:rsidR="395ECD15">
        <w:rPr>
          <w:rFonts w:ascii="Arial" w:hAnsi="Arial" w:eastAsia="Arial" w:cs="Arial"/>
          <w:b w:val="1"/>
          <w:bCs w:val="1"/>
          <w:i w:val="0"/>
          <w:iCs w:val="0"/>
          <w:noProof w:val="0"/>
          <w:sz w:val="22"/>
          <w:szCs w:val="22"/>
          <w:lang w:val="en-GB"/>
        </w:rPr>
        <w:t>Telemedicine</w:t>
      </w:r>
      <w:r w:rsidRPr="33994681" w:rsidR="395ECD15">
        <w:rPr>
          <w:rFonts w:ascii="Arial" w:hAnsi="Arial" w:eastAsia="Arial" w:cs="Arial"/>
          <w:i w:val="0"/>
          <w:iCs w:val="0"/>
          <w:noProof w:val="0"/>
          <w:sz w:val="22"/>
          <w:szCs w:val="22"/>
          <w:lang w:val="en-GB"/>
        </w:rPr>
        <w:t xml:space="preserve">.  </w:t>
      </w:r>
    </w:p>
    <w:p w:rsidR="395ECD15" w:rsidP="33994681" w:rsidRDefault="395ECD15" w14:paraId="285B73E1" w14:textId="363E7D54">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Telemedicine refers to the use of digital communication technologies such as video consultations, mobile applications, and online platforms to provide healthcare services remotely. </w:t>
      </w:r>
    </w:p>
    <w:p w:rsidR="395ECD15" w:rsidP="33994681" w:rsidRDefault="395ECD15" w14:paraId="0C37B151" w14:textId="31120C91">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Telehealth has become particularly important within the </w:t>
      </w:r>
      <w:r w:rsidRPr="33994681" w:rsidR="395ECD15">
        <w:rPr>
          <w:rFonts w:ascii="Arial" w:hAnsi="Arial" w:eastAsia="Arial" w:cs="Arial"/>
          <w:b w:val="1"/>
          <w:bCs w:val="1"/>
          <w:i w:val="0"/>
          <w:iCs w:val="0"/>
          <w:noProof w:val="0"/>
          <w:sz w:val="22"/>
          <w:szCs w:val="22"/>
          <w:lang w:val="en-GB"/>
        </w:rPr>
        <w:t>National Health Service</w:t>
      </w:r>
      <w:r w:rsidRPr="33994681" w:rsidR="395ECD15">
        <w:rPr>
          <w:rFonts w:ascii="Arial" w:hAnsi="Arial" w:eastAsia="Arial" w:cs="Arial"/>
          <w:i w:val="0"/>
          <w:iCs w:val="0"/>
          <w:noProof w:val="0"/>
          <w:sz w:val="22"/>
          <w:szCs w:val="22"/>
          <w:lang w:val="en-GB"/>
        </w:rPr>
        <w:t>, where digital technologies are being implemented to improve accessibility and reduce pressure on healthcare services. (National Health Service, 2024)</w:t>
      </w:r>
      <w:r w:rsidRPr="33994681" w:rsidR="395ECD15">
        <w:rPr>
          <w:rFonts w:ascii="Arial" w:hAnsi="Arial" w:eastAsia="Arial" w:cs="Arial"/>
          <w:i w:val="0"/>
          <w:iCs w:val="0"/>
          <w:noProof w:val="0"/>
          <w:sz w:val="22"/>
          <w:szCs w:val="22"/>
          <w:lang w:val="en-GB"/>
        </w:rPr>
        <w:t xml:space="preserve">.  </w:t>
      </w:r>
    </w:p>
    <w:p w:rsidR="395ECD15" w:rsidP="33994681" w:rsidRDefault="395ECD15" w14:paraId="07A123C3" w14:textId="1F17266B">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Through telemedicine, patients can consult healthcare professionals without needing to attend appointments in person. This approach can save time for both patients and healthcare providers while increasing accessibility for individuals who may have difficulties attending physical appointments. </w:t>
      </w:r>
    </w:p>
    <w:p w:rsidR="395ECD15" w:rsidP="33994681" w:rsidRDefault="395ECD15" w14:paraId="451DFC5F" w14:textId="5465A8EC">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This report critically examines the impact of telehealth across health and care settings. The discussion explores how telemedicine affects the healthcare workforce, service delivery, patients or service users, and the wider community</w:t>
      </w:r>
      <w:r w:rsidRPr="33994681" w:rsidR="395ECD15">
        <w:rPr>
          <w:rFonts w:ascii="Arial" w:hAnsi="Arial" w:eastAsia="Arial" w:cs="Arial"/>
          <w:i w:val="0"/>
          <w:iCs w:val="0"/>
          <w:noProof w:val="0"/>
          <w:sz w:val="22"/>
          <w:szCs w:val="22"/>
          <w:lang w:val="en-GB"/>
        </w:rPr>
        <w:t xml:space="preserve">.  </w:t>
      </w:r>
    </w:p>
    <w:p w:rsidR="395ECD15" w:rsidP="33994681" w:rsidRDefault="395ECD15" w14:paraId="5B3A99A6" w14:textId="7B7D9550">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The report also reflects on the overall value of telemedicine as a digital innovation within modern healthcare </w:t>
      </w:r>
      <w:r w:rsidRPr="33994681" w:rsidR="395ECD15">
        <w:rPr>
          <w:rFonts w:ascii="Arial" w:hAnsi="Arial" w:eastAsia="Arial" w:cs="Arial"/>
          <w:i w:val="0"/>
          <w:iCs w:val="0"/>
          <w:noProof w:val="0"/>
          <w:sz w:val="22"/>
          <w:szCs w:val="22"/>
          <w:lang w:val="en-GB"/>
        </w:rPr>
        <w:t>systems. Digital</w:t>
      </w:r>
      <w:r w:rsidRPr="33994681" w:rsidR="395ECD15">
        <w:rPr>
          <w:rFonts w:ascii="Arial" w:hAnsi="Arial" w:eastAsia="Arial" w:cs="Arial"/>
          <w:i w:val="0"/>
          <w:iCs w:val="0"/>
          <w:noProof w:val="0"/>
          <w:sz w:val="22"/>
          <w:szCs w:val="22"/>
          <w:lang w:val="en-GB"/>
        </w:rPr>
        <w:t xml:space="preserve"> transformation has significantly reshaped healthcare delivery by improving access, efficiency, and patient outcomes</w:t>
      </w:r>
      <w:r w:rsidRPr="33994681" w:rsidR="395ECD15">
        <w:rPr>
          <w:rFonts w:ascii="Arial" w:hAnsi="Arial" w:eastAsia="Arial" w:cs="Arial"/>
          <w:i w:val="0"/>
          <w:iCs w:val="0"/>
          <w:noProof w:val="0"/>
          <w:sz w:val="22"/>
          <w:szCs w:val="22"/>
          <w:lang w:val="en-GB"/>
        </w:rPr>
        <w:t xml:space="preserve">.  </w:t>
      </w:r>
    </w:p>
    <w:p w:rsidR="395ECD15" w:rsidP="33994681" w:rsidRDefault="395ECD15" w14:paraId="7E4659EF" w14:textId="32102A3F">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A key innovation within this transformation is telemedicine, which uses digital technologies such as video consultations, mobile applications, and online platforms to deliver care remotely. The rapid expansion of telehealth has been driven by increasing demand for flexible and accessible healthcare services, particularly following the COVID-19 pandemic, which accelerated its global adoption (</w:t>
      </w:r>
      <w:r w:rsidRPr="33994681" w:rsidR="395ECD15">
        <w:rPr>
          <w:rFonts w:ascii="Arial" w:hAnsi="Arial" w:eastAsia="Arial" w:cs="Arial"/>
          <w:b w:val="1"/>
          <w:bCs w:val="1"/>
          <w:i w:val="0"/>
          <w:iCs w:val="0"/>
          <w:noProof w:val="0"/>
          <w:sz w:val="22"/>
          <w:szCs w:val="22"/>
          <w:lang w:val="en-GB"/>
        </w:rPr>
        <w:t>World Health Organization, 2020</w:t>
      </w:r>
      <w:r w:rsidRPr="33994681" w:rsidR="395ECD15">
        <w:rPr>
          <w:rFonts w:ascii="Arial" w:hAnsi="Arial" w:eastAsia="Arial" w:cs="Arial"/>
          <w:i w:val="0"/>
          <w:iCs w:val="0"/>
          <w:noProof w:val="0"/>
          <w:sz w:val="22"/>
          <w:szCs w:val="22"/>
          <w:lang w:val="en-GB"/>
        </w:rPr>
        <w:t>)</w:t>
      </w:r>
      <w:r w:rsidRPr="33994681" w:rsidR="395ECD15">
        <w:rPr>
          <w:rFonts w:ascii="Arial" w:hAnsi="Arial" w:eastAsia="Arial" w:cs="Arial"/>
          <w:i w:val="0"/>
          <w:iCs w:val="0"/>
          <w:noProof w:val="0"/>
          <w:sz w:val="22"/>
          <w:szCs w:val="22"/>
          <w:lang w:val="en-GB"/>
        </w:rPr>
        <w:t xml:space="preserve">.  </w:t>
      </w:r>
    </w:p>
    <w:p w:rsidR="395ECD15" w:rsidP="33994681" w:rsidRDefault="395ECD15" w14:paraId="517733FE" w14:textId="23559D10">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Telemedicine enables patients to receive care without attending in-person appointments, improving convenience, and supporting vulnerable populations. It also plays a crucial role in reducing healthcare inequalities by increasing access for those in remote or underserved areas (</w:t>
      </w:r>
      <w:r w:rsidRPr="33994681" w:rsidR="395ECD15">
        <w:rPr>
          <w:rFonts w:ascii="Arial" w:hAnsi="Arial" w:eastAsia="Arial" w:cs="Arial"/>
          <w:b w:val="1"/>
          <w:bCs w:val="1"/>
          <w:i w:val="0"/>
          <w:iCs w:val="0"/>
          <w:noProof w:val="0"/>
          <w:sz w:val="22"/>
          <w:szCs w:val="22"/>
          <w:lang w:val="en-GB"/>
        </w:rPr>
        <w:t xml:space="preserve">Greenhalgh </w:t>
      </w:r>
      <w:r w:rsidRPr="33994681" w:rsidR="395ECD15">
        <w:rPr>
          <w:rFonts w:ascii="Arial" w:hAnsi="Arial" w:eastAsia="Arial" w:cs="Arial"/>
          <w:b w:val="1"/>
          <w:bCs w:val="1"/>
          <w:i w:val="1"/>
          <w:iCs w:val="1"/>
          <w:noProof w:val="0"/>
          <w:sz w:val="22"/>
          <w:szCs w:val="22"/>
          <w:lang w:val="en-GB"/>
        </w:rPr>
        <w:t>et al</w:t>
      </w:r>
      <w:r w:rsidRPr="33994681" w:rsidR="395ECD15">
        <w:rPr>
          <w:rFonts w:ascii="Arial" w:hAnsi="Arial" w:eastAsia="Arial" w:cs="Arial"/>
          <w:b w:val="1"/>
          <w:bCs w:val="1"/>
          <w:i w:val="0"/>
          <w:iCs w:val="0"/>
          <w:noProof w:val="0"/>
          <w:sz w:val="22"/>
          <w:szCs w:val="22"/>
          <w:lang w:val="en-GB"/>
        </w:rPr>
        <w:t>, 2016</w:t>
      </w:r>
      <w:r w:rsidRPr="33994681" w:rsidR="395ECD15">
        <w:rPr>
          <w:rFonts w:ascii="Arial" w:hAnsi="Arial" w:eastAsia="Arial" w:cs="Arial"/>
          <w:i w:val="0"/>
          <w:iCs w:val="0"/>
          <w:noProof w:val="0"/>
          <w:sz w:val="22"/>
          <w:szCs w:val="22"/>
          <w:lang w:val="en-GB"/>
        </w:rPr>
        <w:t>)</w:t>
      </w:r>
      <w:r w:rsidRPr="33994681" w:rsidR="395ECD15">
        <w:rPr>
          <w:rFonts w:ascii="Arial" w:hAnsi="Arial" w:eastAsia="Arial" w:cs="Arial"/>
          <w:i w:val="0"/>
          <w:iCs w:val="0"/>
          <w:noProof w:val="0"/>
          <w:sz w:val="22"/>
          <w:szCs w:val="22"/>
          <w:lang w:val="en-GB"/>
        </w:rPr>
        <w:t xml:space="preserve">.  </w:t>
      </w:r>
    </w:p>
    <w:p w:rsidR="395ECD15" w:rsidP="33994681" w:rsidRDefault="395ECD15" w14:paraId="266C2D92" w14:textId="2C3B2F20">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This report critically examines the impact of telehealth on the healthcare workforce, service delivery, patients, and the wider community, while evaluating its effectiveness and long-term role in modern healthcare systems. </w:t>
      </w:r>
    </w:p>
    <w:p w:rsidR="395ECD15" w:rsidP="33994681" w:rsidRDefault="395ECD15" w14:paraId="3BB8CFEE" w14:textId="2711E984">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 </w:t>
      </w:r>
    </w:p>
    <w:p w:rsidR="395ECD15" w:rsidP="33994681" w:rsidRDefault="395ECD15" w14:paraId="036F99ED" w14:textId="09E645DD">
      <w:pPr>
        <w:spacing w:before="240" w:beforeAutospacing="off" w:after="30" w:afterAutospacing="off" w:line="360" w:lineRule="auto"/>
        <w:rPr>
          <w:rFonts w:ascii="Arial" w:hAnsi="Arial" w:eastAsia="Arial" w:cs="Arial"/>
          <w:b w:val="1"/>
          <w:bCs w:val="1"/>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 </w:t>
      </w:r>
    </w:p>
    <w:p w:rsidR="395ECD15" w:rsidP="33994681" w:rsidRDefault="395ECD15" w14:paraId="27FCB3CD" w14:textId="1BC62946">
      <w:pPr>
        <w:pStyle w:val="Heading1"/>
        <w:spacing w:before="240" w:beforeAutospacing="off" w:after="30" w:afterAutospacing="off" w:line="360" w:lineRule="auto"/>
        <w:rPr>
          <w:rFonts w:ascii="Arial" w:hAnsi="Arial" w:eastAsia="Arial" w:cs="Arial"/>
          <w:b w:val="1"/>
          <w:bCs w:val="1"/>
          <w:noProof w:val="0"/>
          <w:sz w:val="22"/>
          <w:szCs w:val="22"/>
          <w:lang w:val="en-GB"/>
        </w:rPr>
      </w:pPr>
      <w:r w:rsidRPr="33994681" w:rsidR="395ECD15">
        <w:rPr>
          <w:rFonts w:ascii="Arial" w:hAnsi="Arial" w:eastAsia="Arial" w:cs="Arial"/>
          <w:b w:val="1"/>
          <w:bCs w:val="1"/>
          <w:noProof w:val="0"/>
          <w:sz w:val="22"/>
          <w:szCs w:val="22"/>
          <w:lang w:val="en-GB"/>
        </w:rPr>
        <w:t xml:space="preserve">Impact on Workforce  </w:t>
      </w:r>
    </w:p>
    <w:p w:rsidR="395ECD15" w:rsidP="33994681" w:rsidRDefault="395ECD15" w14:paraId="1D24315C" w14:textId="34C45D79">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The implementation of telemedicine has significantly changed the roles and responsibilities of healthcare professionals. Healthcare workers </w:t>
      </w:r>
      <w:r w:rsidRPr="33994681" w:rsidR="395ECD15">
        <w:rPr>
          <w:rFonts w:ascii="Arial" w:hAnsi="Arial" w:eastAsia="Arial" w:cs="Arial"/>
          <w:i w:val="0"/>
          <w:iCs w:val="0"/>
          <w:noProof w:val="0"/>
          <w:sz w:val="22"/>
          <w:szCs w:val="22"/>
          <w:lang w:val="en-GB"/>
        </w:rPr>
        <w:t>are now required to</w:t>
      </w:r>
      <w:r w:rsidRPr="33994681" w:rsidR="395ECD15">
        <w:rPr>
          <w:rFonts w:ascii="Arial" w:hAnsi="Arial" w:eastAsia="Arial" w:cs="Arial"/>
          <w:i w:val="0"/>
          <w:iCs w:val="0"/>
          <w:noProof w:val="0"/>
          <w:sz w:val="22"/>
          <w:szCs w:val="22"/>
          <w:lang w:val="en-GB"/>
        </w:rPr>
        <w:t xml:space="preserve"> adapt to online digital systems and incorporate remote consultations into their daily practice</w:t>
      </w:r>
      <w:r w:rsidRPr="33994681" w:rsidR="395ECD15">
        <w:rPr>
          <w:rFonts w:ascii="Arial" w:hAnsi="Arial" w:eastAsia="Arial" w:cs="Arial"/>
          <w:i w:val="0"/>
          <w:iCs w:val="0"/>
          <w:noProof w:val="0"/>
          <w:sz w:val="22"/>
          <w:szCs w:val="22"/>
          <w:lang w:val="en-GB"/>
        </w:rPr>
        <w:t xml:space="preserve">.  </w:t>
      </w:r>
    </w:p>
    <w:p w:rsidR="395ECD15" w:rsidP="33994681" w:rsidRDefault="395ECD15" w14:paraId="0F541C18" w14:textId="46CFE0F7">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This shift means that professionals must develop new competencies related to digital technology and communication to provide healthcare to patients remotely. </w:t>
      </w:r>
    </w:p>
    <w:p w:rsidR="395ECD15" w:rsidP="33994681" w:rsidRDefault="395ECD15" w14:paraId="490EA10F" w14:textId="78EBAE4D">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One of the main changes to job roles involves conducting consultations remotely using video conferencing platforms or digital communication tools. Doctors, nurses, and other healthcare professionals must be able to assess patient conditions without traditional face-to-face interaction</w:t>
      </w:r>
      <w:r w:rsidRPr="33994681" w:rsidR="395ECD15">
        <w:rPr>
          <w:rFonts w:ascii="Arial" w:hAnsi="Arial" w:eastAsia="Arial" w:cs="Arial"/>
          <w:i w:val="0"/>
          <w:iCs w:val="0"/>
          <w:noProof w:val="0"/>
          <w:sz w:val="22"/>
          <w:szCs w:val="22"/>
          <w:lang w:val="en-GB"/>
        </w:rPr>
        <w:t xml:space="preserve">.  </w:t>
      </w:r>
    </w:p>
    <w:p w:rsidR="395ECD15" w:rsidP="33994681" w:rsidRDefault="395ECD15" w14:paraId="4290717D" w14:textId="1E623732">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This requires effective communication </w:t>
      </w:r>
      <w:r w:rsidRPr="33994681" w:rsidR="2237A45E">
        <w:rPr>
          <w:rFonts w:ascii="Arial" w:hAnsi="Arial" w:eastAsia="Arial" w:cs="Arial"/>
          <w:i w:val="0"/>
          <w:iCs w:val="0"/>
          <w:noProof w:val="0"/>
          <w:sz w:val="22"/>
          <w:szCs w:val="22"/>
          <w:lang w:val="en-GB"/>
        </w:rPr>
        <w:t>s</w:t>
      </w:r>
      <w:r w:rsidRPr="33994681" w:rsidR="395ECD15">
        <w:rPr>
          <w:rFonts w:ascii="Arial" w:hAnsi="Arial" w:eastAsia="Arial" w:cs="Arial"/>
          <w:i w:val="0"/>
          <w:iCs w:val="0"/>
          <w:noProof w:val="0"/>
          <w:sz w:val="22"/>
          <w:szCs w:val="22"/>
          <w:lang w:val="en-GB"/>
        </w:rPr>
        <w:t>kills as well as the ability to interpret information provided by patients through digital platforms. Telemedicine also requires healthcare professionals to develop greater digital literacy</w:t>
      </w:r>
      <w:r w:rsidRPr="33994681" w:rsidR="395ECD15">
        <w:rPr>
          <w:rFonts w:ascii="Arial" w:hAnsi="Arial" w:eastAsia="Arial" w:cs="Arial"/>
          <w:i w:val="0"/>
          <w:iCs w:val="0"/>
          <w:noProof w:val="0"/>
          <w:sz w:val="22"/>
          <w:szCs w:val="22"/>
          <w:lang w:val="en-GB"/>
        </w:rPr>
        <w:t xml:space="preserve">.  </w:t>
      </w:r>
    </w:p>
    <w:p w:rsidR="395ECD15" w:rsidP="33994681" w:rsidRDefault="395ECD15" w14:paraId="40B1D3BB" w14:textId="68841BC1">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Staff must be trained to use electronic systems, online appointment platforms, and remote monitoring technologies. Research highlights the importance of digital skills training to ensure healthcare professionals can effectively deliver remote care services (Staffordshire University, 2022). </w:t>
      </w:r>
    </w:p>
    <w:p w:rsidR="395ECD15" w:rsidP="33994681" w:rsidRDefault="395ECD15" w14:paraId="2D3EC7F1" w14:textId="46C15AF9">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Professional responsibilities have also evolved due to the use of digital technology. Healthcare professionals must ensure that patient confidentiality is </w:t>
      </w:r>
      <w:r w:rsidRPr="33994681" w:rsidR="395ECD15">
        <w:rPr>
          <w:rFonts w:ascii="Arial" w:hAnsi="Arial" w:eastAsia="Arial" w:cs="Arial"/>
          <w:i w:val="0"/>
          <w:iCs w:val="0"/>
          <w:noProof w:val="0"/>
          <w:sz w:val="22"/>
          <w:szCs w:val="22"/>
          <w:lang w:val="en-GB"/>
        </w:rPr>
        <w:t>maintained</w:t>
      </w:r>
      <w:r w:rsidRPr="33994681" w:rsidR="395ECD15">
        <w:rPr>
          <w:rFonts w:ascii="Arial" w:hAnsi="Arial" w:eastAsia="Arial" w:cs="Arial"/>
          <w:i w:val="0"/>
          <w:iCs w:val="0"/>
          <w:noProof w:val="0"/>
          <w:sz w:val="22"/>
          <w:szCs w:val="22"/>
          <w:lang w:val="en-GB"/>
        </w:rPr>
        <w:t xml:space="preserve"> when using online systems. Ethical considerations such as informed consent, patient privacy and data security are particularly important when providing remote care</w:t>
      </w:r>
      <w:r w:rsidRPr="33994681" w:rsidR="395ECD15">
        <w:rPr>
          <w:rFonts w:ascii="Arial" w:hAnsi="Arial" w:eastAsia="Arial" w:cs="Arial"/>
          <w:i w:val="0"/>
          <w:iCs w:val="0"/>
          <w:noProof w:val="0"/>
          <w:sz w:val="22"/>
          <w:szCs w:val="22"/>
          <w:lang w:val="en-GB"/>
        </w:rPr>
        <w:t xml:space="preserve">.  </w:t>
      </w:r>
    </w:p>
    <w:p w:rsidR="395ECD15" w:rsidP="33994681" w:rsidRDefault="395ECD15" w14:paraId="2DF1D029" w14:textId="33C6E998">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As a result, ongoing professional development and digital training are essential to ensure that healthcare workers can effectively utilise telehealth technologies. Front-line staff were </w:t>
      </w:r>
      <w:r w:rsidRPr="33994681" w:rsidR="395ECD15">
        <w:rPr>
          <w:rFonts w:ascii="Arial" w:hAnsi="Arial" w:eastAsia="Arial" w:cs="Arial"/>
          <w:i w:val="0"/>
          <w:iCs w:val="0"/>
          <w:noProof w:val="0"/>
          <w:sz w:val="22"/>
          <w:szCs w:val="22"/>
          <w:lang w:val="en-GB"/>
        </w:rPr>
        <w:t>frequently</w:t>
      </w:r>
      <w:r w:rsidRPr="33994681" w:rsidR="395ECD15">
        <w:rPr>
          <w:rFonts w:ascii="Arial" w:hAnsi="Arial" w:eastAsia="Arial" w:cs="Arial"/>
          <w:i w:val="0"/>
          <w:iCs w:val="0"/>
          <w:noProof w:val="0"/>
          <w:sz w:val="22"/>
          <w:szCs w:val="22"/>
          <w:lang w:val="en-GB"/>
        </w:rPr>
        <w:t xml:space="preserve"> hesitant to commit to implementing new telemedicine technologies in their clinic because they lacked the confidence and time to resolve IT issues in front of patients</w:t>
      </w:r>
      <w:r w:rsidRPr="33994681" w:rsidR="395ECD15">
        <w:rPr>
          <w:rFonts w:ascii="Arial" w:hAnsi="Arial" w:eastAsia="Arial" w:cs="Arial"/>
          <w:i w:val="0"/>
          <w:iCs w:val="0"/>
          <w:noProof w:val="0"/>
          <w:sz w:val="22"/>
          <w:szCs w:val="22"/>
          <w:lang w:val="en-GB"/>
        </w:rPr>
        <w:t xml:space="preserve">.  </w:t>
      </w:r>
    </w:p>
    <w:p w:rsidR="395ECD15" w:rsidP="33994681" w:rsidRDefault="395ECD15" w14:paraId="311B1102" w14:textId="09CC08B7">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The time </w:t>
      </w:r>
      <w:r w:rsidRPr="33994681" w:rsidR="395ECD15">
        <w:rPr>
          <w:rFonts w:ascii="Arial" w:hAnsi="Arial" w:eastAsia="Arial" w:cs="Arial"/>
          <w:i w:val="0"/>
          <w:iCs w:val="0"/>
          <w:noProof w:val="0"/>
          <w:sz w:val="22"/>
          <w:szCs w:val="22"/>
          <w:lang w:val="en-GB"/>
        </w:rPr>
        <w:t>required</w:t>
      </w:r>
      <w:r w:rsidRPr="33994681" w:rsidR="395ECD15">
        <w:rPr>
          <w:rFonts w:ascii="Arial" w:hAnsi="Arial" w:eastAsia="Arial" w:cs="Arial"/>
          <w:i w:val="0"/>
          <w:iCs w:val="0"/>
          <w:noProof w:val="0"/>
          <w:sz w:val="22"/>
          <w:szCs w:val="22"/>
          <w:lang w:val="en-GB"/>
        </w:rPr>
        <w:t xml:space="preserve"> for "safe experimentation" was often underestimated by suppliers, internal technical teams, and the clinical innovators themselves. </w:t>
      </w:r>
    </w:p>
    <w:p w:rsidR="395ECD15" w:rsidP="33994681" w:rsidRDefault="395ECD15" w14:paraId="6A5CD757" w14:textId="173CEF3E">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Another issue was that health professionals were under so much time pressure that they were unable to take time away from their primary responsibilities, even when training or familiarisation time was scheduled. (</w:t>
      </w:r>
      <w:r w:rsidRPr="33994681" w:rsidR="395ECD15">
        <w:rPr>
          <w:rFonts w:ascii="Arial" w:hAnsi="Arial" w:eastAsia="Arial" w:cs="Arial"/>
          <w:i w:val="1"/>
          <w:iCs w:val="1"/>
          <w:noProof w:val="0"/>
          <w:sz w:val="22"/>
          <w:szCs w:val="22"/>
          <w:lang w:val="en-GB"/>
        </w:rPr>
        <w:t>International Journal of Practice-based Learning in Health and Social Care, 2018).</w:t>
      </w:r>
      <w:r w:rsidRPr="33994681" w:rsidR="395ECD15">
        <w:rPr>
          <w:rFonts w:ascii="Arial" w:hAnsi="Arial" w:eastAsia="Arial" w:cs="Arial"/>
          <w:i w:val="0"/>
          <w:iCs w:val="0"/>
          <w:noProof w:val="0"/>
          <w:sz w:val="22"/>
          <w:szCs w:val="22"/>
          <w:lang w:val="en-GB"/>
        </w:rPr>
        <w:t xml:space="preserve"> </w:t>
      </w:r>
    </w:p>
    <w:p w:rsidR="395ECD15" w:rsidP="33994681" w:rsidRDefault="395ECD15" w14:paraId="360B74A9" w14:textId="1C0F6F8C">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 </w:t>
      </w:r>
    </w:p>
    <w:p w:rsidR="395ECD15" w:rsidP="33994681" w:rsidRDefault="395ECD15" w14:paraId="3B4EACF7" w14:textId="21A7DB7E">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 </w:t>
      </w:r>
    </w:p>
    <w:p w:rsidR="395ECD15" w:rsidP="33994681" w:rsidRDefault="395ECD15" w14:paraId="3C055A8E" w14:textId="733DB53D">
      <w:pPr>
        <w:spacing w:before="240" w:beforeAutospacing="off" w:after="30" w:afterAutospacing="off" w:line="360" w:lineRule="auto"/>
        <w:rPr>
          <w:rFonts w:ascii="Arial" w:hAnsi="Arial" w:eastAsia="Arial" w:cs="Arial"/>
          <w:b w:val="1"/>
          <w:bCs w:val="1"/>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 </w:t>
      </w:r>
    </w:p>
    <w:p w:rsidR="395ECD15" w:rsidP="33994681" w:rsidRDefault="395ECD15" w14:paraId="4208485B" w14:textId="282B4DD9">
      <w:pPr>
        <w:spacing w:before="240" w:beforeAutospacing="off" w:after="30" w:afterAutospacing="off" w:line="360" w:lineRule="auto"/>
        <w:rPr>
          <w:rFonts w:ascii="Arial" w:hAnsi="Arial" w:eastAsia="Arial" w:cs="Arial"/>
          <w:b w:val="1"/>
          <w:bCs w:val="1"/>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 </w:t>
      </w:r>
    </w:p>
    <w:p w:rsidR="395ECD15" w:rsidP="33994681" w:rsidRDefault="395ECD15" w14:paraId="5C3BB8E5" w14:textId="02EA333D">
      <w:pPr>
        <w:spacing w:before="240" w:beforeAutospacing="off" w:after="30" w:afterAutospacing="off" w:line="360" w:lineRule="auto"/>
        <w:rPr>
          <w:rFonts w:ascii="Arial" w:hAnsi="Arial" w:eastAsia="Arial" w:cs="Arial"/>
          <w:b w:val="1"/>
          <w:bCs w:val="1"/>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 </w:t>
      </w:r>
    </w:p>
    <w:p w:rsidR="395ECD15" w:rsidP="33994681" w:rsidRDefault="395ECD15" w14:paraId="7AE903F0" w14:textId="0FE9E2E6">
      <w:pPr>
        <w:spacing w:before="240" w:beforeAutospacing="off" w:after="30" w:afterAutospacing="off" w:line="360" w:lineRule="auto"/>
        <w:rPr>
          <w:rFonts w:ascii="Arial" w:hAnsi="Arial" w:eastAsia="Arial" w:cs="Arial"/>
          <w:b w:val="1"/>
          <w:bCs w:val="1"/>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 </w:t>
      </w:r>
    </w:p>
    <w:p w:rsidR="395ECD15" w:rsidP="33994681" w:rsidRDefault="395ECD15" w14:paraId="68115B86" w14:textId="027FFD29">
      <w:pPr>
        <w:pStyle w:val="Heading1"/>
        <w:spacing w:before="240" w:beforeAutospacing="off" w:after="30" w:afterAutospacing="off" w:line="360" w:lineRule="auto"/>
        <w:rPr>
          <w:rFonts w:ascii="Arial" w:hAnsi="Arial" w:eastAsia="Arial" w:cs="Arial"/>
          <w:b w:val="1"/>
          <w:bCs w:val="1"/>
          <w:noProof w:val="0"/>
          <w:sz w:val="22"/>
          <w:szCs w:val="22"/>
          <w:lang w:val="en-GB"/>
        </w:rPr>
      </w:pPr>
      <w:r w:rsidRPr="33994681" w:rsidR="395ECD15">
        <w:rPr>
          <w:rFonts w:ascii="Arial" w:hAnsi="Arial" w:eastAsia="Arial" w:cs="Arial"/>
          <w:b w:val="1"/>
          <w:bCs w:val="1"/>
          <w:noProof w:val="0"/>
          <w:sz w:val="22"/>
          <w:szCs w:val="22"/>
          <w:lang w:val="en-GB"/>
        </w:rPr>
        <w:t xml:space="preserve">Impact on Service Delivery </w:t>
      </w:r>
    </w:p>
    <w:p w:rsidR="395ECD15" w:rsidP="33994681" w:rsidRDefault="395ECD15" w14:paraId="0C74E085" w14:textId="4E742501">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Telehealth has had a significant impact on the way healthcare services are delivered daily. One of the most notable changes is the shift towards remote consultations, which allows patients to access healthcare services without physically attending healthcare facilities. </w:t>
      </w:r>
    </w:p>
    <w:p w:rsidR="395ECD15" w:rsidP="33994681" w:rsidRDefault="395ECD15" w14:paraId="09A5C82F" w14:textId="0DC4D3AE">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From a workflow perspective, telehealth can improve efficiency by reducing the need for administrative processes associated with in-person appointments. Online appointment booking systems and virtual consultations allow healthcare providers to manage patient schedules more effectively. This can reduce waiting times and improve the overall efficiency of healthcare services (UK Parliament, 2023). </w:t>
      </w:r>
    </w:p>
    <w:p w:rsidR="395ECD15" w:rsidP="33994681" w:rsidRDefault="395ECD15" w14:paraId="6977C9CD" w14:textId="1A44ADA7">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Telehealth can also improve accessibility to healthcare services. Individuals who live in remote areas or who have mobility difficulties may find it easier to access healthcare through digital platforms. Remote consultations enable healthcare professionals to provide care to patients who may otherwise face barriers to accessing services. </w:t>
      </w:r>
    </w:p>
    <w:p w:rsidR="395ECD15" w:rsidP="33994681" w:rsidRDefault="395ECD15" w14:paraId="3FA48C51" w14:textId="3645BFD0">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In addition, telehealth has the potential to enhance the quality of care provided to patients. Remote monitoring technologies allow healthcare professionals to track patient health data in real time, enabling earlier detection of health issues and more proactive management of long-term condition. </w:t>
      </w:r>
    </w:p>
    <w:p w:rsidR="395ECD15" w:rsidP="33994681" w:rsidRDefault="395ECD15" w14:paraId="27A18044" w14:textId="2F1E5769">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For patients who would otherwise be in a hospital can get the care and treatments they </w:t>
      </w:r>
      <w:r w:rsidRPr="33994681" w:rsidR="395ECD15">
        <w:rPr>
          <w:rFonts w:ascii="Arial" w:hAnsi="Arial" w:eastAsia="Arial" w:cs="Arial"/>
          <w:i w:val="0"/>
          <w:iCs w:val="0"/>
          <w:noProof w:val="0"/>
          <w:sz w:val="22"/>
          <w:szCs w:val="22"/>
          <w:lang w:val="en-GB"/>
        </w:rPr>
        <w:t>require</w:t>
      </w:r>
      <w:r w:rsidRPr="33994681" w:rsidR="395ECD15">
        <w:rPr>
          <w:rFonts w:ascii="Arial" w:hAnsi="Arial" w:eastAsia="Arial" w:cs="Arial"/>
          <w:i w:val="0"/>
          <w:iCs w:val="0"/>
          <w:noProof w:val="0"/>
          <w:sz w:val="22"/>
          <w:szCs w:val="22"/>
          <w:lang w:val="en-GB"/>
        </w:rPr>
        <w:t xml:space="preserve"> from home, or in their regular location with the help of virtual ward. Virtual wards are </w:t>
      </w:r>
      <w:r w:rsidRPr="33994681" w:rsidR="395ECD15">
        <w:rPr>
          <w:rFonts w:ascii="Arial" w:hAnsi="Arial" w:eastAsia="Arial" w:cs="Arial"/>
          <w:i w:val="0"/>
          <w:iCs w:val="0"/>
          <w:noProof w:val="0"/>
          <w:sz w:val="22"/>
          <w:szCs w:val="22"/>
          <w:lang w:val="en-GB"/>
        </w:rPr>
        <w:t>appropriate for</w:t>
      </w:r>
      <w:r w:rsidRPr="33994681" w:rsidR="395ECD15">
        <w:rPr>
          <w:rFonts w:ascii="Arial" w:hAnsi="Arial" w:eastAsia="Arial" w:cs="Arial"/>
          <w:i w:val="0"/>
          <w:iCs w:val="0"/>
          <w:noProof w:val="0"/>
          <w:sz w:val="22"/>
          <w:szCs w:val="22"/>
          <w:lang w:val="en-GB"/>
        </w:rPr>
        <w:t xml:space="preserve"> a variety of illnesses, such as heart failure and respiratory disorders, that can be safely and successfully </w:t>
      </w:r>
      <w:r w:rsidRPr="33994681" w:rsidR="395ECD15">
        <w:rPr>
          <w:rFonts w:ascii="Arial" w:hAnsi="Arial" w:eastAsia="Arial" w:cs="Arial"/>
          <w:i w:val="0"/>
          <w:iCs w:val="0"/>
          <w:noProof w:val="0"/>
          <w:sz w:val="22"/>
          <w:szCs w:val="22"/>
          <w:lang w:val="en-GB"/>
        </w:rPr>
        <w:t>monitored</w:t>
      </w:r>
      <w:r w:rsidRPr="33994681" w:rsidR="395ECD15">
        <w:rPr>
          <w:rFonts w:ascii="Arial" w:hAnsi="Arial" w:eastAsia="Arial" w:cs="Arial"/>
          <w:i w:val="0"/>
          <w:iCs w:val="0"/>
          <w:noProof w:val="0"/>
          <w:sz w:val="22"/>
          <w:szCs w:val="22"/>
          <w:lang w:val="en-GB"/>
        </w:rPr>
        <w:t xml:space="preserve"> at home. (NHS England Transformation Directorate, 2023)</w:t>
      </w:r>
      <w:r w:rsidRPr="33994681" w:rsidR="395ECD15">
        <w:rPr>
          <w:rFonts w:ascii="Arial" w:hAnsi="Arial" w:eastAsia="Arial" w:cs="Arial"/>
          <w:i w:val="0"/>
          <w:iCs w:val="0"/>
          <w:noProof w:val="0"/>
          <w:sz w:val="22"/>
          <w:szCs w:val="22"/>
          <w:lang w:val="en-GB"/>
        </w:rPr>
        <w:t xml:space="preserve">.  </w:t>
      </w:r>
    </w:p>
    <w:p w:rsidR="395ECD15" w:rsidP="33994681" w:rsidRDefault="395ECD15" w14:paraId="247914A1" w14:textId="408A74F0">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However, while telehealth offers many advantages, it may not always be suitable for complex medical cases that require physical examination</w:t>
      </w:r>
      <w:r w:rsidRPr="33994681" w:rsidR="395ECD15">
        <w:rPr>
          <w:rFonts w:ascii="Arial" w:hAnsi="Arial" w:eastAsia="Arial" w:cs="Arial"/>
          <w:i w:val="0"/>
          <w:iCs w:val="0"/>
          <w:noProof w:val="0"/>
          <w:sz w:val="22"/>
          <w:szCs w:val="22"/>
          <w:lang w:val="en-GB"/>
        </w:rPr>
        <w:t xml:space="preserve">.  </w:t>
      </w:r>
    </w:p>
    <w:p w:rsidR="395ECD15" w:rsidP="33994681" w:rsidRDefault="395ECD15" w14:paraId="3805E1DC" w14:textId="55473EE0">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In the UK, telehealth care uptake has been uneven and sluggish. By contrasting competing concepts in contemporary UK health policy, this research offers a structural explanation for this. Proponents of telehealth care are said to have been compelled to </w:t>
      </w:r>
      <w:r w:rsidRPr="33994681" w:rsidR="395ECD15">
        <w:rPr>
          <w:rFonts w:ascii="Arial" w:hAnsi="Arial" w:eastAsia="Arial" w:cs="Arial"/>
          <w:i w:val="0"/>
          <w:iCs w:val="0"/>
          <w:noProof w:val="0"/>
          <w:sz w:val="22"/>
          <w:szCs w:val="22"/>
          <w:lang w:val="en-GB"/>
        </w:rPr>
        <w:t>locate</w:t>
      </w:r>
      <w:r w:rsidRPr="33994681" w:rsidR="395ECD15">
        <w:rPr>
          <w:rFonts w:ascii="Arial" w:hAnsi="Arial" w:eastAsia="Arial" w:cs="Arial"/>
          <w:i w:val="0"/>
          <w:iCs w:val="0"/>
          <w:noProof w:val="0"/>
          <w:sz w:val="22"/>
          <w:szCs w:val="22"/>
          <w:lang w:val="en-GB"/>
        </w:rPr>
        <w:t xml:space="preserve"> their work inside the field of research and development since it has been difficult for a significant policy agency to </w:t>
      </w:r>
      <w:r w:rsidRPr="33994681" w:rsidR="395ECD15">
        <w:rPr>
          <w:rFonts w:ascii="Arial" w:hAnsi="Arial" w:eastAsia="Arial" w:cs="Arial"/>
          <w:i w:val="0"/>
          <w:iCs w:val="0"/>
          <w:noProof w:val="0"/>
          <w:sz w:val="22"/>
          <w:szCs w:val="22"/>
          <w:lang w:val="en-GB"/>
        </w:rPr>
        <w:t>emerge</w:t>
      </w:r>
      <w:r w:rsidRPr="33994681" w:rsidR="395ECD15">
        <w:rPr>
          <w:rFonts w:ascii="Arial" w:hAnsi="Arial" w:eastAsia="Arial" w:cs="Arial"/>
          <w:i w:val="0"/>
          <w:iCs w:val="0"/>
          <w:noProof w:val="0"/>
          <w:sz w:val="22"/>
          <w:szCs w:val="22"/>
          <w:lang w:val="en-GB"/>
        </w:rPr>
        <w:t xml:space="preserve"> that can finance service development due to the tension between tendencies towards modernisation and demands for evidence-based practice. As a result, the field of practice has become dispersed and is typified by small-scale, short-term undertakings. (Sage Journals, 2003). </w:t>
      </w:r>
    </w:p>
    <w:p w:rsidR="395ECD15" w:rsidP="33994681" w:rsidRDefault="395ECD15" w14:paraId="7EB7564F" w14:textId="22016312">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 </w:t>
      </w:r>
    </w:p>
    <w:p w:rsidR="395ECD15" w:rsidP="33994681" w:rsidRDefault="395ECD15" w14:paraId="30DDE375" w14:textId="2C17AF8F">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 </w:t>
      </w:r>
    </w:p>
    <w:p w:rsidR="395ECD15" w:rsidP="33994681" w:rsidRDefault="395ECD15" w14:paraId="15452AC7" w14:textId="6F3D6F37">
      <w:pPr>
        <w:pStyle w:val="Heading1"/>
        <w:spacing w:line="360" w:lineRule="auto"/>
        <w:rPr>
          <w:rFonts w:ascii="Arial" w:hAnsi="Arial" w:eastAsia="Arial" w:cs="Arial"/>
          <w:noProof w:val="0"/>
          <w:sz w:val="22"/>
          <w:szCs w:val="22"/>
          <w:lang w:val="en-GB"/>
        </w:rPr>
      </w:pPr>
      <w:r w:rsidRPr="33994681" w:rsidR="395ECD15">
        <w:rPr>
          <w:rFonts w:ascii="Arial" w:hAnsi="Arial" w:eastAsia="Arial" w:cs="Arial"/>
          <w:noProof w:val="0"/>
          <w:sz w:val="22"/>
          <w:szCs w:val="22"/>
          <w:lang w:val="en-GB"/>
        </w:rPr>
        <w:t xml:space="preserve">Impact on Patients and Service Users </w:t>
      </w:r>
    </w:p>
    <w:p w:rsidR="395ECD15" w:rsidP="33994681" w:rsidRDefault="395ECD15" w14:paraId="6EB8EA9F" w14:textId="42FD1B04">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Telehealth can significantly influence the experiences of patients and service users. One of the main benefits for patients is the convenience and flexibility that telehealth provides. Patients can access healthcare services from their homes, reducing the need for travel and saving time. </w:t>
      </w:r>
    </w:p>
    <w:p w:rsidR="395ECD15" w:rsidP="33994681" w:rsidRDefault="395ECD15" w14:paraId="4ABA0B47" w14:textId="02011C66">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Digital healthcare platforms can also encourage greater patient engagement. Many telehealth systems allow patients to access their medical records, receive health information, and communicate directly with healthcare professionals. This can empower patients to take a more active role in managing their health. </w:t>
      </w:r>
    </w:p>
    <w:p w:rsidR="395ECD15" w:rsidP="33994681" w:rsidRDefault="395ECD15" w14:paraId="4789E7FD" w14:textId="4092375F">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Furthermore, telehealth may contribute to improved health outcomes for some patients. Remote monitoring tools can help healthcare providers track chronic conditions such as diabetes or hypertension, enabling </w:t>
      </w:r>
      <w:r w:rsidRPr="33994681" w:rsidR="395ECD15">
        <w:rPr>
          <w:rFonts w:ascii="Arial" w:hAnsi="Arial" w:eastAsia="Arial" w:cs="Arial"/>
          <w:i w:val="0"/>
          <w:iCs w:val="0"/>
          <w:noProof w:val="0"/>
          <w:sz w:val="22"/>
          <w:szCs w:val="22"/>
          <w:lang w:val="en-GB"/>
        </w:rPr>
        <w:t>timely</w:t>
      </w:r>
      <w:r w:rsidRPr="33994681" w:rsidR="395ECD15">
        <w:rPr>
          <w:rFonts w:ascii="Arial" w:hAnsi="Arial" w:eastAsia="Arial" w:cs="Arial"/>
          <w:i w:val="0"/>
          <w:iCs w:val="0"/>
          <w:noProof w:val="0"/>
          <w:sz w:val="22"/>
          <w:szCs w:val="22"/>
          <w:lang w:val="en-GB"/>
        </w:rPr>
        <w:t xml:space="preserve"> interventions when necessary (Health Research Authority, 2020). </w:t>
      </w:r>
    </w:p>
    <w:p w:rsidR="395ECD15" w:rsidP="33994681" w:rsidRDefault="395ECD15" w14:paraId="54A4981B" w14:textId="667F7091">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Despite these benefits, telehealth may also present challenges for certain groups. Some individuals may experience digital exclusion due to limited access to internet services or lack of digital skills. Research from the NHS highlights the importance of addressing digital inequality to ensure that all patients can </w:t>
      </w:r>
      <w:r w:rsidRPr="33994681" w:rsidR="395ECD15">
        <w:rPr>
          <w:rFonts w:ascii="Arial" w:hAnsi="Arial" w:eastAsia="Arial" w:cs="Arial"/>
          <w:i w:val="0"/>
          <w:iCs w:val="0"/>
          <w:noProof w:val="0"/>
          <w:sz w:val="22"/>
          <w:szCs w:val="22"/>
          <w:lang w:val="en-GB"/>
        </w:rPr>
        <w:t>benefit</w:t>
      </w:r>
      <w:r w:rsidRPr="33994681" w:rsidR="395ECD15">
        <w:rPr>
          <w:rFonts w:ascii="Arial" w:hAnsi="Arial" w:eastAsia="Arial" w:cs="Arial"/>
          <w:i w:val="0"/>
          <w:iCs w:val="0"/>
          <w:noProof w:val="0"/>
          <w:sz w:val="22"/>
          <w:szCs w:val="22"/>
          <w:lang w:val="en-GB"/>
        </w:rPr>
        <w:t xml:space="preserve"> from digital healthcare services (National Health Service, 2023). </w:t>
      </w:r>
    </w:p>
    <w:p w:rsidR="395ECD15" w:rsidP="33994681" w:rsidRDefault="395ECD15" w14:paraId="7476E460" w14:textId="70D4839E">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Climate change and harming the environment are making natural catastrophes more frequent and severe, which is disrupting healthcare delivery and limiting access to vital services. A technical advancement to fill in the gaps in healthcare during such circumstances is telemedicine. </w:t>
      </w:r>
    </w:p>
    <w:p w:rsidR="395ECD15" w:rsidP="33994681" w:rsidRDefault="395ECD15" w14:paraId="30819B51" w14:textId="022CF7A1">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Natural disasters are increasing due to climate change, disrupting healthcare access. Telemedicine offers a solution to </w:t>
      </w:r>
      <w:r w:rsidRPr="33994681" w:rsidR="395ECD15">
        <w:rPr>
          <w:rFonts w:ascii="Arial" w:hAnsi="Arial" w:eastAsia="Arial" w:cs="Arial"/>
          <w:i w:val="0"/>
          <w:iCs w:val="0"/>
          <w:noProof w:val="0"/>
          <w:sz w:val="22"/>
          <w:szCs w:val="22"/>
          <w:lang w:val="en-GB"/>
        </w:rPr>
        <w:t>maintain</w:t>
      </w:r>
      <w:r w:rsidRPr="33994681" w:rsidR="395ECD15">
        <w:rPr>
          <w:rFonts w:ascii="Arial" w:hAnsi="Arial" w:eastAsia="Arial" w:cs="Arial"/>
          <w:i w:val="0"/>
          <w:iCs w:val="0"/>
          <w:noProof w:val="0"/>
          <w:sz w:val="22"/>
          <w:szCs w:val="22"/>
          <w:lang w:val="en-GB"/>
        </w:rPr>
        <w:t xml:space="preserve"> care during such emergencies. This review </w:t>
      </w:r>
      <w:r w:rsidRPr="33994681" w:rsidR="395ECD15">
        <w:rPr>
          <w:rFonts w:ascii="Arial" w:hAnsi="Arial" w:eastAsia="Arial" w:cs="Arial"/>
          <w:i w:val="0"/>
          <w:iCs w:val="0"/>
          <w:noProof w:val="0"/>
          <w:sz w:val="22"/>
          <w:szCs w:val="22"/>
          <w:lang w:val="en-GB"/>
        </w:rPr>
        <w:t>analyzed</w:t>
      </w:r>
      <w:r w:rsidRPr="33994681" w:rsidR="395ECD15">
        <w:rPr>
          <w:rFonts w:ascii="Arial" w:hAnsi="Arial" w:eastAsia="Arial" w:cs="Arial"/>
          <w:i w:val="0"/>
          <w:iCs w:val="0"/>
          <w:noProof w:val="0"/>
          <w:sz w:val="22"/>
          <w:szCs w:val="22"/>
          <w:lang w:val="en-GB"/>
        </w:rPr>
        <w:t xml:space="preserve"> 14 studies (2020–2024) from Scopus, PubMed, and ScienceDirect following PRISMA guidelines. </w:t>
      </w:r>
    </w:p>
    <w:p w:rsidR="395ECD15" w:rsidP="33994681" w:rsidRDefault="395ECD15" w14:paraId="1CDE0650" w14:textId="7F1FDC00">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The results show telemedicine supports continuity of care, vulnerable populations, specialist access, and coordination during disasters. Key barriers include infrastructure limits, technology issues, regulations, and user acceptance. </w:t>
      </w:r>
    </w:p>
    <w:p w:rsidR="395ECD15" w:rsidP="33994681" w:rsidRDefault="395ECD15" w14:paraId="640DF222" w14:textId="14C0BFF1">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Telemedicine is essential for disaster preparedness, requiring integrated policies, low-bandwidth systems, emergency credentialing, and digital literacy to ensure effective and </w:t>
      </w:r>
      <w:r w:rsidRPr="33994681" w:rsidR="395ECD15">
        <w:rPr>
          <w:rFonts w:ascii="Arial" w:hAnsi="Arial" w:eastAsia="Arial" w:cs="Arial"/>
          <w:i w:val="0"/>
          <w:iCs w:val="0"/>
          <w:noProof w:val="0"/>
          <w:sz w:val="22"/>
          <w:szCs w:val="22"/>
          <w:lang w:val="en-GB"/>
        </w:rPr>
        <w:t>equitable</w:t>
      </w:r>
      <w:r w:rsidRPr="33994681" w:rsidR="395ECD15">
        <w:rPr>
          <w:rFonts w:ascii="Arial" w:hAnsi="Arial" w:eastAsia="Arial" w:cs="Arial"/>
          <w:i w:val="0"/>
          <w:iCs w:val="0"/>
          <w:noProof w:val="0"/>
          <w:sz w:val="22"/>
          <w:szCs w:val="22"/>
          <w:lang w:val="en-GB"/>
        </w:rPr>
        <w:t xml:space="preserve"> healthcare delivery. (IOP Science, 2023). </w:t>
      </w:r>
      <w:r w:rsidRPr="33994681" w:rsidR="395ECD15">
        <w:rPr>
          <w:rFonts w:ascii="Arial" w:hAnsi="Arial" w:eastAsia="Arial" w:cs="Arial"/>
          <w:b w:val="1"/>
          <w:bCs w:val="1"/>
          <w:i w:val="0"/>
          <w:iCs w:val="0"/>
          <w:noProof w:val="0"/>
          <w:sz w:val="22"/>
          <w:szCs w:val="22"/>
          <w:lang w:val="en-GB"/>
        </w:rPr>
        <w:t>Impact on Community</w:t>
      </w:r>
      <w:r w:rsidRPr="33994681" w:rsidR="395ECD15">
        <w:rPr>
          <w:rFonts w:ascii="Arial" w:hAnsi="Arial" w:eastAsia="Arial" w:cs="Arial"/>
          <w:i w:val="0"/>
          <w:iCs w:val="0"/>
          <w:noProof w:val="0"/>
          <w:sz w:val="22"/>
          <w:szCs w:val="22"/>
          <w:lang w:val="en-GB"/>
        </w:rPr>
        <w:t xml:space="preserve"> </w:t>
      </w:r>
    </w:p>
    <w:p w:rsidR="395ECD15" w:rsidP="33994681" w:rsidRDefault="395ECD15" w14:paraId="19073133" w14:textId="68A599D7">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The wider community can also be affected by the implementation of telehealth. One key impact is the potential change in the location and accessibility of healthcare services. telehealth allows healthcare providers to deliver services remotely, reducing the need for patients to travel to hospitals or clinics. </w:t>
      </w:r>
    </w:p>
    <w:p w:rsidR="395ECD15" w:rsidP="33994681" w:rsidRDefault="395ECD15" w14:paraId="74090415" w14:textId="15AE5FF1">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This can be particularly beneficial for communities in rural or underserved areas where access to healthcare facilities may be limited. Telehealth can help reduce health inequalities by improving access to care for individuals who might otherwise struggle to attend appointments (UK Parliament, 2023). </w:t>
      </w:r>
    </w:p>
    <w:p w:rsidR="395ECD15" w:rsidP="33994681" w:rsidRDefault="395ECD15" w14:paraId="7433353B" w14:textId="28B949B4">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Families and carers may also </w:t>
      </w:r>
      <w:r w:rsidRPr="33994681" w:rsidR="395ECD15">
        <w:rPr>
          <w:rFonts w:ascii="Arial" w:hAnsi="Arial" w:eastAsia="Arial" w:cs="Arial"/>
          <w:i w:val="0"/>
          <w:iCs w:val="0"/>
          <w:noProof w:val="0"/>
          <w:sz w:val="22"/>
          <w:szCs w:val="22"/>
          <w:lang w:val="en-GB"/>
        </w:rPr>
        <w:t>benefit</w:t>
      </w:r>
      <w:r w:rsidRPr="33994681" w:rsidR="395ECD15">
        <w:rPr>
          <w:rFonts w:ascii="Arial" w:hAnsi="Arial" w:eastAsia="Arial" w:cs="Arial"/>
          <w:i w:val="0"/>
          <w:iCs w:val="0"/>
          <w:noProof w:val="0"/>
          <w:sz w:val="22"/>
          <w:szCs w:val="22"/>
          <w:lang w:val="en-GB"/>
        </w:rPr>
        <w:t xml:space="preserve"> from telehealth services. Remote consultations can make it easier for carers to </w:t>
      </w:r>
      <w:r w:rsidRPr="33994681" w:rsidR="395ECD15">
        <w:rPr>
          <w:rFonts w:ascii="Arial" w:hAnsi="Arial" w:eastAsia="Arial" w:cs="Arial"/>
          <w:i w:val="0"/>
          <w:iCs w:val="0"/>
          <w:noProof w:val="0"/>
          <w:sz w:val="22"/>
          <w:szCs w:val="22"/>
          <w:lang w:val="en-GB"/>
        </w:rPr>
        <w:t>participate</w:t>
      </w:r>
      <w:r w:rsidRPr="33994681" w:rsidR="395ECD15">
        <w:rPr>
          <w:rFonts w:ascii="Arial" w:hAnsi="Arial" w:eastAsia="Arial" w:cs="Arial"/>
          <w:i w:val="0"/>
          <w:iCs w:val="0"/>
          <w:noProof w:val="0"/>
          <w:sz w:val="22"/>
          <w:szCs w:val="22"/>
          <w:lang w:val="en-GB"/>
        </w:rPr>
        <w:t xml:space="preserve"> in medical appointments and stay informed about the health of those they support. </w:t>
      </w:r>
    </w:p>
    <w:p w:rsidR="395ECD15" w:rsidP="33994681" w:rsidRDefault="395ECD15" w14:paraId="3EF84565" w14:textId="038D8CD5">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In addition, telehealth can support public health initiatives by enabling healthcare systems to collect and analyse health data more efficiently. Digital health technologies can contribute to better disease monitoring and more informed public health decision-making. </w:t>
      </w:r>
    </w:p>
    <w:p w:rsidR="395ECD15" w:rsidP="33994681" w:rsidRDefault="395ECD15" w14:paraId="60E50FA4" w14:textId="34739FCA">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 </w:t>
      </w:r>
    </w:p>
    <w:p w:rsidR="395ECD15" w:rsidP="33994681" w:rsidRDefault="395ECD15" w14:paraId="3FD070CF" w14:textId="11AE0BCB">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 </w:t>
      </w:r>
    </w:p>
    <w:p w:rsidR="395ECD15" w:rsidP="33994681" w:rsidRDefault="395ECD15" w14:paraId="48E4682D" w14:textId="0A008041">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 </w:t>
      </w:r>
    </w:p>
    <w:p w:rsidR="395ECD15" w:rsidP="33994681" w:rsidRDefault="395ECD15" w14:paraId="24875E9E" w14:textId="3AD363AD">
      <w:pPr>
        <w:spacing w:before="240" w:beforeAutospacing="off" w:after="30" w:afterAutospacing="off" w:line="360" w:lineRule="auto"/>
        <w:rPr>
          <w:rFonts w:ascii="Arial" w:hAnsi="Arial" w:eastAsia="Arial" w:cs="Arial"/>
          <w:b w:val="1"/>
          <w:bCs w:val="1"/>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 </w:t>
      </w:r>
    </w:p>
    <w:p w:rsidR="395ECD15" w:rsidP="33994681" w:rsidRDefault="395ECD15" w14:paraId="4BDD0F06" w14:textId="5C31EE9F">
      <w:pPr>
        <w:pStyle w:val="Heading1"/>
        <w:spacing w:line="360" w:lineRule="auto"/>
        <w:rPr>
          <w:rFonts w:ascii="Arial" w:hAnsi="Arial" w:eastAsia="Arial" w:cs="Arial"/>
          <w:noProof w:val="0"/>
          <w:sz w:val="22"/>
          <w:szCs w:val="22"/>
          <w:lang w:val="en-GB"/>
        </w:rPr>
      </w:pPr>
      <w:r w:rsidRPr="33994681" w:rsidR="395ECD15">
        <w:rPr>
          <w:rFonts w:ascii="Arial" w:hAnsi="Arial" w:eastAsia="Arial" w:cs="Arial"/>
          <w:noProof w:val="0"/>
          <w:sz w:val="22"/>
          <w:szCs w:val="22"/>
          <w:lang w:val="en-GB"/>
        </w:rPr>
        <w:t xml:space="preserve"> </w:t>
      </w:r>
      <w:r w:rsidRPr="33994681" w:rsidR="395ECD15">
        <w:rPr>
          <w:rFonts w:ascii="Arial" w:hAnsi="Arial" w:eastAsia="Arial" w:cs="Arial"/>
          <w:noProof w:val="0"/>
          <w:sz w:val="22"/>
          <w:szCs w:val="22"/>
          <w:lang w:val="en-GB"/>
        </w:rPr>
        <w:t xml:space="preserve">Conclusion </w:t>
      </w:r>
    </w:p>
    <w:p w:rsidR="395ECD15" w:rsidP="33994681" w:rsidRDefault="395ECD15" w14:paraId="419FEEDA" w14:textId="64BCF71C">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In conclusion, telemedicine/ telehealth </w:t>
      </w:r>
      <w:r w:rsidRPr="33994681" w:rsidR="395ECD15">
        <w:rPr>
          <w:rFonts w:ascii="Arial" w:hAnsi="Arial" w:eastAsia="Arial" w:cs="Arial"/>
          <w:i w:val="0"/>
          <w:iCs w:val="0"/>
          <w:noProof w:val="0"/>
          <w:sz w:val="22"/>
          <w:szCs w:val="22"/>
          <w:lang w:val="en-GB"/>
        </w:rPr>
        <w:t>represents</w:t>
      </w:r>
      <w:r w:rsidRPr="33994681" w:rsidR="395ECD15">
        <w:rPr>
          <w:rFonts w:ascii="Arial" w:hAnsi="Arial" w:eastAsia="Arial" w:cs="Arial"/>
          <w:i w:val="0"/>
          <w:iCs w:val="0"/>
          <w:noProof w:val="0"/>
          <w:sz w:val="22"/>
          <w:szCs w:val="22"/>
          <w:lang w:val="en-GB"/>
        </w:rPr>
        <w:t xml:space="preserve"> a significant digital innovation that is transforming healthcare delivery. The use of telehealth technologies has created new opportunities for improving efficiency, accessibility and patient engagement within health and care systems. </w:t>
      </w:r>
    </w:p>
    <w:p w:rsidR="395ECD15" w:rsidP="33994681" w:rsidRDefault="395ECD15" w14:paraId="022AFB90" w14:textId="5B8F85BD">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These technological innovations can  </w:t>
      </w:r>
    </w:p>
    <w:p w:rsidR="395ECD15" w:rsidP="33994681" w:rsidRDefault="395ECD15" w14:paraId="0AE7F416" w14:textId="68FB3829">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The introduction of telehealth has influenced the healthcare workforce by requiring professionals to develop new digital skills and adapt to remote methods of providing care. It has also changed service delivery by streamlining workflows and enabling healthcare providers to reach patients more efficiently. </w:t>
      </w:r>
    </w:p>
    <w:p w:rsidR="395ECD15" w:rsidP="33994681" w:rsidRDefault="395ECD15" w14:paraId="0D9DD504" w14:textId="7BE8F6BE">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For patients and service users, telehealth offers greater convenience and the potential for improved engagement with healthcare services. However, challenges such as digital exclusion must be considered to ensure that all individuals can </w:t>
      </w:r>
      <w:r w:rsidRPr="33994681" w:rsidR="395ECD15">
        <w:rPr>
          <w:rFonts w:ascii="Arial" w:hAnsi="Arial" w:eastAsia="Arial" w:cs="Arial"/>
          <w:i w:val="0"/>
          <w:iCs w:val="0"/>
          <w:noProof w:val="0"/>
          <w:sz w:val="22"/>
          <w:szCs w:val="22"/>
          <w:lang w:val="en-GB"/>
        </w:rPr>
        <w:t>benefit</w:t>
      </w:r>
      <w:r w:rsidRPr="33994681" w:rsidR="395ECD15">
        <w:rPr>
          <w:rFonts w:ascii="Arial" w:hAnsi="Arial" w:eastAsia="Arial" w:cs="Arial"/>
          <w:i w:val="0"/>
          <w:iCs w:val="0"/>
          <w:noProof w:val="0"/>
          <w:sz w:val="22"/>
          <w:szCs w:val="22"/>
          <w:lang w:val="en-GB"/>
        </w:rPr>
        <w:t xml:space="preserve"> from these innovations. </w:t>
      </w:r>
    </w:p>
    <w:p w:rsidR="395ECD15" w:rsidP="33994681" w:rsidRDefault="395ECD15" w14:paraId="095482AF" w14:textId="123A1F5F">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Overall, telehealth </w:t>
      </w:r>
      <w:r w:rsidRPr="33994681" w:rsidR="395ECD15">
        <w:rPr>
          <w:rFonts w:ascii="Arial" w:hAnsi="Arial" w:eastAsia="Arial" w:cs="Arial"/>
          <w:i w:val="0"/>
          <w:iCs w:val="0"/>
          <w:noProof w:val="0"/>
          <w:sz w:val="22"/>
          <w:szCs w:val="22"/>
          <w:lang w:val="en-GB"/>
        </w:rPr>
        <w:t>demonstrates</w:t>
      </w:r>
      <w:r w:rsidRPr="33994681" w:rsidR="395ECD15">
        <w:rPr>
          <w:rFonts w:ascii="Arial" w:hAnsi="Arial" w:eastAsia="Arial" w:cs="Arial"/>
          <w:i w:val="0"/>
          <w:iCs w:val="0"/>
          <w:noProof w:val="0"/>
          <w:sz w:val="22"/>
          <w:szCs w:val="22"/>
          <w:lang w:val="en-GB"/>
        </w:rPr>
        <w:t xml:space="preserve"> the potential of digital transformation to enhance healthcare services while highlighting the importance of careful implementation and ongoing evaluation within health and care systems. </w:t>
      </w:r>
    </w:p>
    <w:p w:rsidR="395ECD15" w:rsidP="33994681" w:rsidRDefault="395ECD15" w14:paraId="0F9E16CF" w14:textId="4B8FB5CF">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With major advantages in patient engagement, efficiency, and accessibility, telemedicine is a revolutionary method to healthcare delivery. Healthcare workers' duties have changed as a result, </w:t>
      </w:r>
      <w:r w:rsidRPr="33994681" w:rsidR="395ECD15">
        <w:rPr>
          <w:rFonts w:ascii="Arial" w:hAnsi="Arial" w:eastAsia="Arial" w:cs="Arial"/>
          <w:i w:val="0"/>
          <w:iCs w:val="0"/>
          <w:noProof w:val="0"/>
          <w:sz w:val="22"/>
          <w:szCs w:val="22"/>
          <w:lang w:val="en-GB"/>
        </w:rPr>
        <w:t>necessitating</w:t>
      </w:r>
      <w:r w:rsidRPr="33994681" w:rsidR="395ECD15">
        <w:rPr>
          <w:rFonts w:ascii="Arial" w:hAnsi="Arial" w:eastAsia="Arial" w:cs="Arial"/>
          <w:i w:val="0"/>
          <w:iCs w:val="0"/>
          <w:noProof w:val="0"/>
          <w:sz w:val="22"/>
          <w:szCs w:val="22"/>
          <w:lang w:val="en-GB"/>
        </w:rPr>
        <w:t xml:space="preserve"> the acquisition of digital skills and adjustment to distant care models. Through process simplification, more flexible patient access, and support for continuity of care in tricky situations, telehealth has enhanced service delivery</w:t>
      </w:r>
      <w:r w:rsidRPr="33994681" w:rsidR="395ECD15">
        <w:rPr>
          <w:rFonts w:ascii="Arial" w:hAnsi="Arial" w:eastAsia="Arial" w:cs="Arial"/>
          <w:i w:val="0"/>
          <w:iCs w:val="0"/>
          <w:noProof w:val="0"/>
          <w:sz w:val="22"/>
          <w:szCs w:val="22"/>
          <w:lang w:val="en-GB"/>
        </w:rPr>
        <w:t xml:space="preserve">.  </w:t>
      </w:r>
    </w:p>
    <w:p w:rsidR="395ECD15" w:rsidP="33994681" w:rsidRDefault="395ECD15" w14:paraId="52267453" w14:textId="1B4A3310">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To guarantee equal access, however, obstacles including user acceptability, infrastructural constraints, and digital exclusion must be removed. Research </w:t>
      </w:r>
      <w:r w:rsidRPr="33994681" w:rsidR="395ECD15">
        <w:rPr>
          <w:rFonts w:ascii="Arial" w:hAnsi="Arial" w:eastAsia="Arial" w:cs="Arial"/>
          <w:i w:val="0"/>
          <w:iCs w:val="0"/>
          <w:noProof w:val="0"/>
          <w:sz w:val="22"/>
          <w:szCs w:val="22"/>
          <w:lang w:val="en-GB"/>
        </w:rPr>
        <w:t>indicates</w:t>
      </w:r>
      <w:r w:rsidRPr="33994681" w:rsidR="395ECD15">
        <w:rPr>
          <w:rFonts w:ascii="Arial" w:hAnsi="Arial" w:eastAsia="Arial" w:cs="Arial"/>
          <w:i w:val="0"/>
          <w:iCs w:val="0"/>
          <w:noProof w:val="0"/>
          <w:sz w:val="22"/>
          <w:szCs w:val="22"/>
          <w:lang w:val="en-GB"/>
        </w:rPr>
        <w:t xml:space="preserve"> that investment in digital infrastructure, training, and strong organisational support is necessary for the successful integration of telehealth. Given the circumstances, telemedicine is an essential part of contemporary healthcare systems, making long-term services more robust, patient-</w:t>
      </w:r>
      <w:r w:rsidRPr="33994681" w:rsidR="395ECD15">
        <w:rPr>
          <w:rFonts w:ascii="Arial" w:hAnsi="Arial" w:eastAsia="Arial" w:cs="Arial"/>
          <w:i w:val="0"/>
          <w:iCs w:val="0"/>
          <w:noProof w:val="0"/>
          <w:sz w:val="22"/>
          <w:szCs w:val="22"/>
          <w:lang w:val="en-GB"/>
        </w:rPr>
        <w:t>centered</w:t>
      </w:r>
      <w:r w:rsidRPr="33994681" w:rsidR="395ECD15">
        <w:rPr>
          <w:rFonts w:ascii="Arial" w:hAnsi="Arial" w:eastAsia="Arial" w:cs="Arial"/>
          <w:i w:val="0"/>
          <w:iCs w:val="0"/>
          <w:noProof w:val="0"/>
          <w:sz w:val="22"/>
          <w:szCs w:val="22"/>
          <w:lang w:val="en-GB"/>
        </w:rPr>
        <w:t xml:space="preserve">, and sustainable. (Greenhalgh et al., 2016; OECD, 2021) </w:t>
      </w:r>
    </w:p>
    <w:p w:rsidR="395ECD15" w:rsidP="33994681" w:rsidRDefault="395ECD15" w14:paraId="77996EA3" w14:textId="673AEEFA">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 </w:t>
      </w:r>
    </w:p>
    <w:p w:rsidR="395ECD15" w:rsidP="33994681" w:rsidRDefault="395ECD15" w14:paraId="62FC8A3B" w14:textId="2077CFF3">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 </w:t>
      </w:r>
    </w:p>
    <w:p w:rsidR="33994681" w:rsidP="33994681" w:rsidRDefault="33994681" w14:paraId="32E0AF9A" w14:textId="62EDB0FF">
      <w:pPr>
        <w:spacing w:before="240" w:beforeAutospacing="off" w:after="30" w:afterAutospacing="off" w:line="360" w:lineRule="auto"/>
        <w:rPr>
          <w:rFonts w:ascii="Arial" w:hAnsi="Arial" w:eastAsia="Arial" w:cs="Arial"/>
          <w:b w:val="1"/>
          <w:bCs w:val="1"/>
          <w:i w:val="0"/>
          <w:iCs w:val="0"/>
          <w:noProof w:val="0"/>
          <w:sz w:val="22"/>
          <w:szCs w:val="22"/>
          <w:lang w:val="en-GB"/>
        </w:rPr>
      </w:pPr>
    </w:p>
    <w:p w:rsidR="33994681" w:rsidP="33994681" w:rsidRDefault="33994681" w14:paraId="25C239D1" w14:textId="07FC370B">
      <w:pPr>
        <w:pStyle w:val="Heading1"/>
        <w:spacing w:before="240" w:beforeAutospacing="off" w:after="30" w:afterAutospacing="off" w:line="360" w:lineRule="auto"/>
        <w:rPr>
          <w:rFonts w:ascii="Arial" w:hAnsi="Arial" w:eastAsia="Arial" w:cs="Arial"/>
          <w:b w:val="1"/>
          <w:bCs w:val="1"/>
          <w:i w:val="0"/>
          <w:iCs w:val="0"/>
          <w:noProof w:val="0"/>
          <w:sz w:val="22"/>
          <w:szCs w:val="22"/>
          <w:lang w:val="en-GB"/>
        </w:rPr>
      </w:pPr>
    </w:p>
    <w:p w:rsidR="395ECD15" w:rsidP="33994681" w:rsidRDefault="395ECD15" w14:paraId="7510ED93" w14:textId="51B0A6F5">
      <w:pPr>
        <w:pStyle w:val="Heading1"/>
        <w:spacing w:before="240" w:beforeAutospacing="off" w:after="30" w:afterAutospacing="off" w:line="360" w:lineRule="auto"/>
        <w:rPr>
          <w:rFonts w:ascii="Arial" w:hAnsi="Arial" w:eastAsia="Arial" w:cs="Arial"/>
          <w:b w:val="1"/>
          <w:bCs w:val="1"/>
          <w:i w:val="0"/>
          <w:iCs w:val="0"/>
          <w:noProof w:val="0"/>
          <w:sz w:val="22"/>
          <w:szCs w:val="22"/>
          <w:lang w:val="en-GB"/>
        </w:rPr>
      </w:pPr>
      <w:r w:rsidRPr="33994681" w:rsidR="395ECD15">
        <w:rPr>
          <w:rFonts w:ascii="Arial" w:hAnsi="Arial" w:eastAsia="Arial" w:cs="Arial"/>
          <w:noProof w:val="0"/>
          <w:sz w:val="22"/>
          <w:szCs w:val="22"/>
          <w:lang w:val="en-GB"/>
        </w:rPr>
        <w:t xml:space="preserve">References </w:t>
      </w:r>
    </w:p>
    <w:p w:rsidR="395ECD15" w:rsidP="33994681" w:rsidRDefault="395ECD15" w14:paraId="2AC0DBB7" w14:textId="739F7850">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Fajri</w:t>
      </w:r>
      <w:r w:rsidRPr="33994681" w:rsidR="395ECD15">
        <w:rPr>
          <w:rFonts w:ascii="Arial" w:hAnsi="Arial" w:eastAsia="Arial" w:cs="Arial"/>
          <w:b w:val="1"/>
          <w:bCs w:val="1"/>
          <w:i w:val="0"/>
          <w:iCs w:val="0"/>
          <w:noProof w:val="0"/>
          <w:sz w:val="22"/>
          <w:szCs w:val="22"/>
          <w:lang w:val="en-GB"/>
        </w:rPr>
        <w:t xml:space="preserve">, H., </w:t>
      </w:r>
      <w:r w:rsidRPr="33994681" w:rsidR="395ECD15">
        <w:rPr>
          <w:rFonts w:ascii="Arial" w:hAnsi="Arial" w:eastAsia="Arial" w:cs="Arial"/>
          <w:b w:val="1"/>
          <w:bCs w:val="1"/>
          <w:i w:val="0"/>
          <w:iCs w:val="0"/>
          <w:noProof w:val="0"/>
          <w:sz w:val="22"/>
          <w:szCs w:val="22"/>
          <w:lang w:val="en-GB"/>
        </w:rPr>
        <w:t>Yuliarti</w:t>
      </w:r>
      <w:r w:rsidRPr="33994681" w:rsidR="395ECD15">
        <w:rPr>
          <w:rFonts w:ascii="Arial" w:hAnsi="Arial" w:eastAsia="Arial" w:cs="Arial"/>
          <w:b w:val="1"/>
          <w:bCs w:val="1"/>
          <w:i w:val="0"/>
          <w:iCs w:val="0"/>
          <w:noProof w:val="0"/>
          <w:sz w:val="22"/>
          <w:szCs w:val="22"/>
          <w:lang w:val="en-GB"/>
        </w:rPr>
        <w:t xml:space="preserve">, </w:t>
      </w:r>
      <w:r w:rsidRPr="33994681" w:rsidR="395ECD15">
        <w:rPr>
          <w:rFonts w:ascii="Arial" w:hAnsi="Arial" w:eastAsia="Arial" w:cs="Arial"/>
          <w:b w:val="1"/>
          <w:bCs w:val="1"/>
          <w:i w:val="0"/>
          <w:iCs w:val="0"/>
          <w:noProof w:val="0"/>
          <w:sz w:val="22"/>
          <w:szCs w:val="22"/>
          <w:lang w:val="en-GB"/>
        </w:rPr>
        <w:t>Hanoselina</w:t>
      </w:r>
      <w:r w:rsidRPr="33994681" w:rsidR="395ECD15">
        <w:rPr>
          <w:rFonts w:ascii="Arial" w:hAnsi="Arial" w:eastAsia="Arial" w:cs="Arial"/>
          <w:b w:val="1"/>
          <w:bCs w:val="1"/>
          <w:i w:val="0"/>
          <w:iCs w:val="0"/>
          <w:noProof w:val="0"/>
          <w:sz w:val="22"/>
          <w:szCs w:val="22"/>
          <w:lang w:val="en-GB"/>
        </w:rPr>
        <w:t xml:space="preserve">, Y. and Wahyuni, N. (2023) Policy capacity challenges for renewable energy development in West Sumatra, Indonesia. </w:t>
      </w:r>
      <w:r w:rsidRPr="33994681" w:rsidR="395ECD15">
        <w:rPr>
          <w:rFonts w:ascii="Arial" w:hAnsi="Arial" w:eastAsia="Arial" w:cs="Arial"/>
          <w:b w:val="1"/>
          <w:bCs w:val="1"/>
          <w:i w:val="1"/>
          <w:iCs w:val="1"/>
          <w:noProof w:val="0"/>
          <w:sz w:val="22"/>
          <w:szCs w:val="22"/>
          <w:lang w:val="en-GB"/>
        </w:rPr>
        <w:t>IOP Conference Series: Earth and Environmental Science</w:t>
      </w:r>
      <w:r w:rsidRPr="33994681" w:rsidR="395ECD15">
        <w:rPr>
          <w:rFonts w:ascii="Arial" w:hAnsi="Arial" w:eastAsia="Arial" w:cs="Arial"/>
          <w:b w:val="1"/>
          <w:bCs w:val="1"/>
          <w:i w:val="0"/>
          <w:iCs w:val="0"/>
          <w:noProof w:val="0"/>
          <w:sz w:val="22"/>
          <w:szCs w:val="22"/>
          <w:lang w:val="en-GB"/>
        </w:rPr>
        <w:t xml:space="preserve">, 1268(1), p. 012054. Available at: </w:t>
      </w:r>
      <w:hyperlink r:id="R3ea57ba245a842bb">
        <w:r w:rsidRPr="33994681" w:rsidR="395ECD15">
          <w:rPr>
            <w:rStyle w:val="Hyperlink"/>
            <w:rFonts w:ascii="Arial" w:hAnsi="Arial" w:eastAsia="Arial" w:cs="Arial"/>
            <w:b w:val="1"/>
            <w:bCs w:val="1"/>
            <w:i w:val="0"/>
            <w:iCs w:val="0"/>
            <w:noProof w:val="0"/>
            <w:color w:val="050CE8"/>
            <w:sz w:val="22"/>
            <w:szCs w:val="22"/>
            <w:lang w:val="en-GB"/>
          </w:rPr>
          <w:t>https://iopscience.iop.org/article/10.1088/1755-1315/1586/1/012054/meta</w:t>
        </w:r>
      </w:hyperlink>
      <w:r w:rsidRPr="33994681" w:rsidR="395ECD15">
        <w:rPr>
          <w:rFonts w:ascii="Arial" w:hAnsi="Arial" w:eastAsia="Arial" w:cs="Arial"/>
          <w:b w:val="1"/>
          <w:bCs w:val="1"/>
          <w:i w:val="0"/>
          <w:iCs w:val="0"/>
          <w:noProof w:val="0"/>
          <w:color w:val="050CE8"/>
          <w:sz w:val="22"/>
          <w:szCs w:val="22"/>
          <w:lang w:val="en-GB"/>
        </w:rPr>
        <w:t xml:space="preserve"> </w:t>
      </w:r>
      <w:r w:rsidRPr="33994681" w:rsidR="395ECD15">
        <w:rPr>
          <w:rFonts w:ascii="Arial" w:hAnsi="Arial" w:eastAsia="Arial" w:cs="Arial"/>
          <w:b w:val="1"/>
          <w:bCs w:val="1"/>
          <w:i w:val="0"/>
          <w:iCs w:val="0"/>
          <w:noProof w:val="0"/>
          <w:sz w:val="22"/>
          <w:szCs w:val="22"/>
          <w:lang w:val="en-GB"/>
        </w:rPr>
        <w:t>(Accessed: 19 March 2026).</w:t>
      </w:r>
      <w:r w:rsidRPr="33994681" w:rsidR="395ECD15">
        <w:rPr>
          <w:rFonts w:ascii="Arial" w:hAnsi="Arial" w:eastAsia="Arial" w:cs="Arial"/>
          <w:i w:val="0"/>
          <w:iCs w:val="0"/>
          <w:noProof w:val="0"/>
          <w:sz w:val="22"/>
          <w:szCs w:val="22"/>
          <w:lang w:val="en-GB"/>
        </w:rPr>
        <w:t xml:space="preserve"> </w:t>
      </w:r>
    </w:p>
    <w:p w:rsidR="33994681" w:rsidP="33994681" w:rsidRDefault="33994681" w14:paraId="775C2910" w14:textId="0D9B6E77">
      <w:pPr>
        <w:spacing w:before="195" w:beforeAutospacing="off" w:after="195" w:afterAutospacing="off" w:line="360" w:lineRule="auto"/>
        <w:rPr>
          <w:rFonts w:ascii="Arial" w:hAnsi="Arial" w:eastAsia="Arial" w:cs="Arial"/>
          <w:i w:val="0"/>
          <w:iCs w:val="0"/>
          <w:noProof w:val="0"/>
          <w:sz w:val="22"/>
          <w:szCs w:val="22"/>
          <w:lang w:val="en-GB"/>
        </w:rPr>
      </w:pPr>
    </w:p>
    <w:p w:rsidR="395ECD15" w:rsidP="33994681" w:rsidRDefault="395ECD15" w14:paraId="55C88EDB" w14:textId="274E90DA">
      <w:pPr>
        <w:spacing w:before="195" w:beforeAutospacing="off" w:after="195" w:afterAutospacing="off" w:line="360" w:lineRule="auto"/>
        <w:rPr>
          <w:rFonts w:ascii="Arial" w:hAnsi="Arial" w:eastAsia="Arial" w:cs="Arial"/>
          <w:i w:val="0"/>
          <w:iCs w:val="0"/>
          <w:noProof w:val="0"/>
          <w:color w:val="000000" w:themeColor="text1" w:themeTint="FF" w:themeShade="FF"/>
          <w:sz w:val="22"/>
          <w:szCs w:val="22"/>
          <w:lang w:val="en-GB"/>
        </w:rPr>
      </w:pPr>
      <w:r w:rsidRPr="33994681" w:rsidR="395ECD15">
        <w:rPr>
          <w:rFonts w:ascii="Arial" w:hAnsi="Arial" w:eastAsia="Arial" w:cs="Arial"/>
          <w:b w:val="1"/>
          <w:bCs w:val="1"/>
          <w:i w:val="0"/>
          <w:iCs w:val="0"/>
          <w:noProof w:val="0"/>
          <w:color w:val="000000" w:themeColor="text1" w:themeTint="FF" w:themeShade="FF"/>
          <w:sz w:val="22"/>
          <w:szCs w:val="22"/>
          <w:lang w:val="en-GB"/>
        </w:rPr>
        <w:t xml:space="preserve">Health Research Authority, NHS (2020) Introducing telehealth in children’s therapy services. Available at: </w:t>
      </w:r>
      <w:hyperlink r:id="R4e8ce0a904a643cf">
        <w:r w:rsidRPr="33994681" w:rsidR="395ECD15">
          <w:rPr>
            <w:rStyle w:val="Hyperlink"/>
            <w:rFonts w:ascii="Arial" w:hAnsi="Arial" w:eastAsia="Arial" w:cs="Arial"/>
            <w:b w:val="1"/>
            <w:bCs w:val="1"/>
            <w:i w:val="0"/>
            <w:iCs w:val="0"/>
            <w:noProof w:val="0"/>
            <w:color w:val="050CE8"/>
            <w:sz w:val="22"/>
            <w:szCs w:val="22"/>
            <w:lang w:val="en-GB"/>
          </w:rPr>
          <w:t>https://www.hra.nhs.uk/planning-and-improving-research/application-summaries/research-summaries/introducing-telehealth-in-childrens-therapy-services-v1/</w:t>
        </w:r>
      </w:hyperlink>
      <w:r w:rsidRPr="33994681" w:rsidR="395ECD15">
        <w:rPr>
          <w:rFonts w:ascii="Arial" w:hAnsi="Arial" w:eastAsia="Arial" w:cs="Arial"/>
          <w:b w:val="1"/>
          <w:bCs w:val="1"/>
          <w:i w:val="0"/>
          <w:iCs w:val="0"/>
          <w:noProof w:val="0"/>
          <w:color w:val="050CE8"/>
          <w:sz w:val="22"/>
          <w:szCs w:val="22"/>
          <w:lang w:val="en-GB"/>
        </w:rPr>
        <w:t xml:space="preserve"> </w:t>
      </w:r>
      <w:r w:rsidRPr="33994681" w:rsidR="395ECD15">
        <w:rPr>
          <w:rFonts w:ascii="Arial" w:hAnsi="Arial" w:eastAsia="Arial" w:cs="Arial"/>
          <w:b w:val="1"/>
          <w:bCs w:val="1"/>
          <w:i w:val="0"/>
          <w:iCs w:val="0"/>
          <w:noProof w:val="0"/>
          <w:color w:val="000000" w:themeColor="text1" w:themeTint="FF" w:themeShade="FF"/>
          <w:sz w:val="22"/>
          <w:szCs w:val="22"/>
          <w:lang w:val="en-GB"/>
        </w:rPr>
        <w:t>(Accessed: 05 March 2026).</w:t>
      </w:r>
      <w:r w:rsidRPr="33994681" w:rsidR="395ECD15">
        <w:rPr>
          <w:rFonts w:ascii="Arial" w:hAnsi="Arial" w:eastAsia="Arial" w:cs="Arial"/>
          <w:i w:val="0"/>
          <w:iCs w:val="0"/>
          <w:noProof w:val="0"/>
          <w:color w:val="000000" w:themeColor="text1" w:themeTint="FF" w:themeShade="FF"/>
          <w:sz w:val="22"/>
          <w:szCs w:val="22"/>
          <w:lang w:val="en-GB"/>
        </w:rPr>
        <w:t xml:space="preserve"> </w:t>
      </w:r>
    </w:p>
    <w:p w:rsidR="33994681" w:rsidP="33994681" w:rsidRDefault="33994681" w14:paraId="07F3E0B8" w14:textId="12D8A657">
      <w:pPr>
        <w:spacing w:before="195" w:beforeAutospacing="off" w:after="195" w:afterAutospacing="off" w:line="360" w:lineRule="auto"/>
        <w:rPr>
          <w:rFonts w:ascii="Arial" w:hAnsi="Arial" w:eastAsia="Arial" w:cs="Arial"/>
          <w:i w:val="0"/>
          <w:iCs w:val="0"/>
          <w:noProof w:val="0"/>
          <w:color w:val="000000" w:themeColor="text1" w:themeTint="FF" w:themeShade="FF"/>
          <w:sz w:val="22"/>
          <w:szCs w:val="22"/>
          <w:lang w:val="en-GB"/>
        </w:rPr>
      </w:pPr>
    </w:p>
    <w:p w:rsidR="395ECD15" w:rsidP="33994681" w:rsidRDefault="395ECD15" w14:paraId="692F2070" w14:textId="1E71404A">
      <w:pPr>
        <w:spacing w:before="195" w:beforeAutospacing="off" w:after="195" w:afterAutospacing="off" w:line="360" w:lineRule="auto"/>
        <w:rPr>
          <w:rFonts w:ascii="Arial" w:hAnsi="Arial" w:eastAsia="Arial" w:cs="Arial"/>
          <w:i w:val="0"/>
          <w:iCs w:val="0"/>
          <w:noProof w:val="0"/>
          <w:color w:val="000000" w:themeColor="text1" w:themeTint="FF" w:themeShade="FF"/>
          <w:sz w:val="22"/>
          <w:szCs w:val="22"/>
          <w:lang w:val="en-GB"/>
        </w:rPr>
      </w:pPr>
      <w:r w:rsidRPr="33994681" w:rsidR="395ECD15">
        <w:rPr>
          <w:rFonts w:ascii="Arial" w:hAnsi="Arial" w:eastAsia="Arial" w:cs="Arial"/>
          <w:b w:val="1"/>
          <w:bCs w:val="1"/>
          <w:i w:val="0"/>
          <w:iCs w:val="0"/>
          <w:noProof w:val="0"/>
          <w:color w:val="000000" w:themeColor="text1" w:themeTint="FF" w:themeShade="FF"/>
          <w:sz w:val="22"/>
          <w:szCs w:val="22"/>
          <w:lang w:val="en-GB"/>
        </w:rPr>
        <w:t xml:space="preserve">International Journal of Practice-based Learning in Health and Social Care (2018) Using Telemedicine in Practice: Implications for Workforce Development. Available at: </w:t>
      </w:r>
      <w:hyperlink r:id="Rc2e22fa634ce4c63">
        <w:r w:rsidRPr="33994681" w:rsidR="395ECD15">
          <w:rPr>
            <w:rStyle w:val="Hyperlink"/>
            <w:rFonts w:ascii="Arial" w:hAnsi="Arial" w:eastAsia="Arial" w:cs="Arial"/>
            <w:b w:val="1"/>
            <w:bCs w:val="1"/>
            <w:i w:val="0"/>
            <w:iCs w:val="0"/>
            <w:noProof w:val="0"/>
            <w:color w:val="050CE8"/>
            <w:sz w:val="22"/>
            <w:szCs w:val="22"/>
            <w:lang w:val="en-GB"/>
          </w:rPr>
          <w:t>https://www.researchgate.net/profile/Elaine-Bidmead-2/publication/329297098_Using_Telemedicine_in_Practice_Implications_for_Workforce_Development/links/5f7ad587299bf1b53e0e3f93/Using-Telemedicine-in-Practice-Implications-for-Workforce-Development.pdf</w:t>
        </w:r>
      </w:hyperlink>
      <w:r w:rsidRPr="33994681" w:rsidR="395ECD15">
        <w:rPr>
          <w:rFonts w:ascii="Arial" w:hAnsi="Arial" w:eastAsia="Arial" w:cs="Arial"/>
          <w:b w:val="1"/>
          <w:bCs w:val="1"/>
          <w:i w:val="0"/>
          <w:iCs w:val="0"/>
          <w:noProof w:val="0"/>
          <w:color w:val="050CE8"/>
          <w:sz w:val="22"/>
          <w:szCs w:val="22"/>
          <w:lang w:val="en-GB"/>
        </w:rPr>
        <w:t xml:space="preserve"> </w:t>
      </w:r>
      <w:r w:rsidRPr="33994681" w:rsidR="395ECD15">
        <w:rPr>
          <w:rFonts w:ascii="Arial" w:hAnsi="Arial" w:eastAsia="Arial" w:cs="Arial"/>
          <w:b w:val="1"/>
          <w:bCs w:val="1"/>
          <w:i w:val="0"/>
          <w:iCs w:val="0"/>
          <w:noProof w:val="0"/>
          <w:color w:val="000000" w:themeColor="text1" w:themeTint="FF" w:themeShade="FF"/>
          <w:sz w:val="22"/>
          <w:szCs w:val="22"/>
          <w:lang w:val="en-GB"/>
        </w:rPr>
        <w:t>(Accessed: 05 March 2026).</w:t>
      </w:r>
      <w:r w:rsidRPr="33994681" w:rsidR="395ECD15">
        <w:rPr>
          <w:rFonts w:ascii="Arial" w:hAnsi="Arial" w:eastAsia="Arial" w:cs="Arial"/>
          <w:i w:val="0"/>
          <w:iCs w:val="0"/>
          <w:noProof w:val="0"/>
          <w:color w:val="000000" w:themeColor="text1" w:themeTint="FF" w:themeShade="FF"/>
          <w:sz w:val="22"/>
          <w:szCs w:val="22"/>
          <w:lang w:val="en-GB"/>
        </w:rPr>
        <w:t xml:space="preserve"> </w:t>
      </w:r>
    </w:p>
    <w:p w:rsidR="33994681" w:rsidP="33994681" w:rsidRDefault="33994681" w14:paraId="2590CEE6" w14:textId="65CF5989">
      <w:pPr>
        <w:spacing w:before="195" w:beforeAutospacing="off" w:after="195" w:afterAutospacing="off" w:line="360" w:lineRule="auto"/>
        <w:rPr>
          <w:rFonts w:ascii="Arial" w:hAnsi="Arial" w:eastAsia="Arial" w:cs="Arial"/>
          <w:i w:val="0"/>
          <w:iCs w:val="0"/>
          <w:noProof w:val="0"/>
          <w:color w:val="000000" w:themeColor="text1" w:themeTint="FF" w:themeShade="FF"/>
          <w:sz w:val="22"/>
          <w:szCs w:val="22"/>
          <w:lang w:val="en-GB"/>
        </w:rPr>
      </w:pPr>
    </w:p>
    <w:p w:rsidR="395ECD15" w:rsidP="33994681" w:rsidRDefault="395ECD15" w14:paraId="2593109E" w14:textId="7FEFB1E8">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National Health Service (2023) Inclusive digital healthcare: A framework for NHS action on digital inclusion. Available at: </w:t>
      </w:r>
      <w:hyperlink r:id="R686a1637c2b5408c">
        <w:r w:rsidRPr="33994681" w:rsidR="395ECD15">
          <w:rPr>
            <w:rStyle w:val="Hyperlink"/>
            <w:rFonts w:ascii="Arial" w:hAnsi="Arial" w:eastAsia="Arial" w:cs="Arial"/>
            <w:b w:val="1"/>
            <w:bCs w:val="1"/>
            <w:i w:val="0"/>
            <w:iCs w:val="0"/>
            <w:noProof w:val="0"/>
            <w:color w:val="050CE8"/>
            <w:sz w:val="22"/>
            <w:szCs w:val="22"/>
            <w:lang w:val="en-GB"/>
          </w:rPr>
          <w:t>https://www.england.nhs.uk/long-read/inclusive-digital-healthcare-a-framework-for-nhs-action-on-digital-inclusion/</w:t>
        </w:r>
      </w:hyperlink>
      <w:r w:rsidRPr="33994681" w:rsidR="395ECD15">
        <w:rPr>
          <w:rFonts w:ascii="Arial" w:hAnsi="Arial" w:eastAsia="Arial" w:cs="Arial"/>
          <w:b w:val="1"/>
          <w:bCs w:val="1"/>
          <w:i w:val="0"/>
          <w:iCs w:val="0"/>
          <w:noProof w:val="0"/>
          <w:color w:val="050CE8"/>
          <w:sz w:val="22"/>
          <w:szCs w:val="22"/>
          <w:lang w:val="en-GB"/>
        </w:rPr>
        <w:t xml:space="preserve"> </w:t>
      </w:r>
      <w:r w:rsidRPr="33994681" w:rsidR="395ECD15">
        <w:rPr>
          <w:rFonts w:ascii="Arial" w:hAnsi="Arial" w:eastAsia="Arial" w:cs="Arial"/>
          <w:b w:val="1"/>
          <w:bCs w:val="1"/>
          <w:i w:val="0"/>
          <w:iCs w:val="0"/>
          <w:noProof w:val="0"/>
          <w:sz w:val="22"/>
          <w:szCs w:val="22"/>
          <w:lang w:val="en-GB"/>
        </w:rPr>
        <w:t>(Accessed: 05 March 2026).</w:t>
      </w:r>
      <w:r w:rsidRPr="33994681" w:rsidR="395ECD15">
        <w:rPr>
          <w:rFonts w:ascii="Arial" w:hAnsi="Arial" w:eastAsia="Arial" w:cs="Arial"/>
          <w:i w:val="0"/>
          <w:iCs w:val="0"/>
          <w:noProof w:val="0"/>
          <w:sz w:val="22"/>
          <w:szCs w:val="22"/>
          <w:lang w:val="en-GB"/>
        </w:rPr>
        <w:t xml:space="preserve"> </w:t>
      </w:r>
    </w:p>
    <w:p w:rsidR="33994681" w:rsidP="33994681" w:rsidRDefault="33994681" w14:paraId="2ADB5296" w14:textId="3D7EC5A0">
      <w:pPr>
        <w:spacing w:before="195" w:beforeAutospacing="off" w:after="195" w:afterAutospacing="off" w:line="360" w:lineRule="auto"/>
        <w:rPr>
          <w:rFonts w:ascii="Arial" w:hAnsi="Arial" w:eastAsia="Arial" w:cs="Arial"/>
          <w:i w:val="0"/>
          <w:iCs w:val="0"/>
          <w:noProof w:val="0"/>
          <w:sz w:val="22"/>
          <w:szCs w:val="22"/>
          <w:lang w:val="en-GB"/>
        </w:rPr>
      </w:pPr>
    </w:p>
    <w:p w:rsidR="395ECD15" w:rsidP="33994681" w:rsidRDefault="395ECD15" w14:paraId="5313A78F" w14:textId="138360D2">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NHS England Transformation Directorate (2023) Supporting care with remote monitoring. Available at: </w:t>
      </w:r>
      <w:hyperlink r:id="Rb4185157d8f0459e">
        <w:r w:rsidRPr="33994681" w:rsidR="395ECD15">
          <w:rPr>
            <w:rStyle w:val="Hyperlink"/>
            <w:rFonts w:ascii="Arial" w:hAnsi="Arial" w:eastAsia="Arial" w:cs="Arial"/>
            <w:b w:val="1"/>
            <w:bCs w:val="1"/>
            <w:i w:val="0"/>
            <w:iCs w:val="0"/>
            <w:noProof w:val="0"/>
            <w:color w:val="050CE8"/>
            <w:sz w:val="22"/>
            <w:szCs w:val="22"/>
            <w:lang w:val="en-GB"/>
          </w:rPr>
          <w:t>https://transform.england.nhs.uk/information-governance/guidance/virtual-wards/</w:t>
        </w:r>
      </w:hyperlink>
      <w:r w:rsidRPr="33994681" w:rsidR="395ECD15">
        <w:rPr>
          <w:rFonts w:ascii="Arial" w:hAnsi="Arial" w:eastAsia="Arial" w:cs="Arial"/>
          <w:b w:val="1"/>
          <w:bCs w:val="1"/>
          <w:i w:val="0"/>
          <w:iCs w:val="0"/>
          <w:noProof w:val="0"/>
          <w:color w:val="050CE8"/>
          <w:sz w:val="22"/>
          <w:szCs w:val="22"/>
          <w:lang w:val="en-GB"/>
        </w:rPr>
        <w:t xml:space="preserve"> </w:t>
      </w:r>
      <w:r w:rsidRPr="33994681" w:rsidR="395ECD15">
        <w:rPr>
          <w:rFonts w:ascii="Arial" w:hAnsi="Arial" w:eastAsia="Arial" w:cs="Arial"/>
          <w:b w:val="1"/>
          <w:bCs w:val="1"/>
          <w:i w:val="0"/>
          <w:iCs w:val="0"/>
          <w:noProof w:val="0"/>
          <w:sz w:val="22"/>
          <w:szCs w:val="22"/>
          <w:lang w:val="en-GB"/>
        </w:rPr>
        <w:t>(Accessed: 15 March 2026).</w:t>
      </w:r>
      <w:r w:rsidRPr="33994681" w:rsidR="395ECD15">
        <w:rPr>
          <w:rFonts w:ascii="Arial" w:hAnsi="Arial" w:eastAsia="Arial" w:cs="Arial"/>
          <w:i w:val="0"/>
          <w:iCs w:val="0"/>
          <w:noProof w:val="0"/>
          <w:sz w:val="22"/>
          <w:szCs w:val="22"/>
          <w:lang w:val="en-GB"/>
        </w:rPr>
        <w:t xml:space="preserve"> </w:t>
      </w:r>
    </w:p>
    <w:p w:rsidR="395ECD15" w:rsidP="33994681" w:rsidRDefault="395ECD15" w14:paraId="6E02184F" w14:textId="6BFE2515">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Sage Journals. May C., Harrison R., Macfarlane A., Williams T., Mair F., Wallace P. (2003) Why do telemedicine systems </w:t>
      </w:r>
      <w:r w:rsidRPr="33994681" w:rsidR="395ECD15">
        <w:rPr>
          <w:rFonts w:ascii="Arial" w:hAnsi="Arial" w:eastAsia="Arial" w:cs="Arial"/>
          <w:b w:val="1"/>
          <w:bCs w:val="1"/>
          <w:i w:val="0"/>
          <w:iCs w:val="0"/>
          <w:noProof w:val="0"/>
          <w:sz w:val="22"/>
          <w:szCs w:val="22"/>
          <w:lang w:val="en-GB"/>
        </w:rPr>
        <w:t>fail to</w:t>
      </w:r>
      <w:r w:rsidRPr="33994681" w:rsidR="395ECD15">
        <w:rPr>
          <w:rFonts w:ascii="Arial" w:hAnsi="Arial" w:eastAsia="Arial" w:cs="Arial"/>
          <w:b w:val="1"/>
          <w:bCs w:val="1"/>
          <w:i w:val="0"/>
          <w:iCs w:val="0"/>
          <w:noProof w:val="0"/>
          <w:sz w:val="22"/>
          <w:szCs w:val="22"/>
          <w:lang w:val="en-GB"/>
        </w:rPr>
        <w:t xml:space="preserve"> normalize as stable models of service delivery? </w:t>
      </w:r>
      <w:r w:rsidRPr="33994681" w:rsidR="395ECD15">
        <w:rPr>
          <w:rFonts w:ascii="Arial" w:hAnsi="Arial" w:eastAsia="Arial" w:cs="Arial"/>
          <w:b w:val="1"/>
          <w:bCs w:val="1"/>
          <w:i w:val="1"/>
          <w:iCs w:val="1"/>
          <w:noProof w:val="0"/>
          <w:sz w:val="22"/>
          <w:szCs w:val="22"/>
          <w:lang w:val="en-GB"/>
        </w:rPr>
        <w:t>Journal of Telemedicine and Telecare</w:t>
      </w:r>
      <w:r w:rsidRPr="33994681" w:rsidR="395ECD15">
        <w:rPr>
          <w:rFonts w:ascii="Arial" w:hAnsi="Arial" w:eastAsia="Arial" w:cs="Arial"/>
          <w:b w:val="1"/>
          <w:bCs w:val="1"/>
          <w:i w:val="0"/>
          <w:iCs w:val="0"/>
          <w:noProof w:val="0"/>
          <w:sz w:val="22"/>
          <w:szCs w:val="22"/>
          <w:lang w:val="en-GB"/>
        </w:rPr>
        <w:t xml:space="preserve">. Available at: </w:t>
      </w:r>
      <w:hyperlink r:id="R5c44446fce264c05">
        <w:r w:rsidRPr="33994681" w:rsidR="395ECD15">
          <w:rPr>
            <w:rStyle w:val="Hyperlink"/>
            <w:rFonts w:ascii="Arial" w:hAnsi="Arial" w:eastAsia="Arial" w:cs="Arial"/>
            <w:b w:val="1"/>
            <w:bCs w:val="1"/>
            <w:i w:val="0"/>
            <w:iCs w:val="0"/>
            <w:noProof w:val="0"/>
            <w:color w:val="050CE8"/>
            <w:sz w:val="22"/>
            <w:szCs w:val="22"/>
            <w:lang w:val="en-GB"/>
          </w:rPr>
          <w:t>https://journals.sagepub.com/doi/abs/10.1258/135763303322196222</w:t>
        </w:r>
      </w:hyperlink>
      <w:r w:rsidRPr="33994681" w:rsidR="395ECD15">
        <w:rPr>
          <w:rFonts w:ascii="Arial" w:hAnsi="Arial" w:eastAsia="Arial" w:cs="Arial"/>
          <w:b w:val="1"/>
          <w:bCs w:val="1"/>
          <w:i w:val="0"/>
          <w:iCs w:val="0"/>
          <w:noProof w:val="0"/>
          <w:color w:val="050CE8"/>
          <w:sz w:val="22"/>
          <w:szCs w:val="22"/>
          <w:lang w:val="en-GB"/>
        </w:rPr>
        <w:t xml:space="preserve"> </w:t>
      </w:r>
      <w:r w:rsidRPr="33994681" w:rsidR="395ECD15">
        <w:rPr>
          <w:rFonts w:ascii="Arial" w:hAnsi="Arial" w:eastAsia="Arial" w:cs="Arial"/>
          <w:b w:val="1"/>
          <w:bCs w:val="1"/>
          <w:i w:val="0"/>
          <w:iCs w:val="0"/>
          <w:noProof w:val="0"/>
          <w:sz w:val="22"/>
          <w:szCs w:val="22"/>
          <w:lang w:val="en-GB"/>
        </w:rPr>
        <w:t>(Accessed: 05 March 2026).</w:t>
      </w:r>
      <w:r w:rsidRPr="33994681" w:rsidR="395ECD15">
        <w:rPr>
          <w:rFonts w:ascii="Arial" w:hAnsi="Arial" w:eastAsia="Arial" w:cs="Arial"/>
          <w:i w:val="0"/>
          <w:iCs w:val="0"/>
          <w:noProof w:val="0"/>
          <w:sz w:val="22"/>
          <w:szCs w:val="22"/>
          <w:lang w:val="en-GB"/>
        </w:rPr>
        <w:t xml:space="preserve"> </w:t>
      </w:r>
    </w:p>
    <w:p w:rsidR="395ECD15" w:rsidP="33994681" w:rsidRDefault="395ECD15" w14:paraId="36F4ADED" w14:textId="3BE88EA7">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i w:val="0"/>
          <w:iCs w:val="0"/>
          <w:noProof w:val="0"/>
          <w:sz w:val="22"/>
          <w:szCs w:val="22"/>
          <w:lang w:val="en-GB"/>
        </w:rPr>
        <w:t xml:space="preserve"> </w:t>
      </w:r>
    </w:p>
    <w:p w:rsidR="395ECD15" w:rsidP="33994681" w:rsidRDefault="395ECD15" w14:paraId="3EDEE2A2" w14:textId="168D311C">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Shaw, S., </w:t>
      </w:r>
      <w:r w:rsidRPr="33994681" w:rsidR="395ECD15">
        <w:rPr>
          <w:rFonts w:ascii="Arial" w:hAnsi="Arial" w:eastAsia="Arial" w:cs="Arial"/>
          <w:b w:val="1"/>
          <w:bCs w:val="1"/>
          <w:i w:val="0"/>
          <w:iCs w:val="0"/>
          <w:noProof w:val="0"/>
          <w:sz w:val="22"/>
          <w:szCs w:val="22"/>
          <w:lang w:val="en-GB"/>
        </w:rPr>
        <w:t>Wherton</w:t>
      </w:r>
      <w:r w:rsidRPr="33994681" w:rsidR="395ECD15">
        <w:rPr>
          <w:rFonts w:ascii="Arial" w:hAnsi="Arial" w:eastAsia="Arial" w:cs="Arial"/>
          <w:b w:val="1"/>
          <w:bCs w:val="1"/>
          <w:i w:val="0"/>
          <w:iCs w:val="0"/>
          <w:noProof w:val="0"/>
          <w:sz w:val="22"/>
          <w:szCs w:val="22"/>
          <w:lang w:val="en-GB"/>
        </w:rPr>
        <w:t xml:space="preserve">, J., Vijayaraghavan, S., Morris, J., Bhattacharya, S., Hanson, P., Campbell-Richards, D., Ramoutar, S., Collard, A., Hodkinson, I. and Greenhalgh, T. (2018) Advantages and limitations of virtual online consultations in a NHS acute trust: the VOCAL mixed-methods study. </w:t>
      </w:r>
      <w:r w:rsidRPr="33994681" w:rsidR="395ECD15">
        <w:rPr>
          <w:rFonts w:ascii="Arial" w:hAnsi="Arial" w:eastAsia="Arial" w:cs="Arial"/>
          <w:b w:val="1"/>
          <w:bCs w:val="1"/>
          <w:i w:val="1"/>
          <w:iCs w:val="1"/>
          <w:noProof w:val="0"/>
          <w:sz w:val="22"/>
          <w:szCs w:val="22"/>
          <w:lang w:val="en-GB"/>
        </w:rPr>
        <w:t>Health Services and Delivery Research</w:t>
      </w:r>
      <w:r w:rsidRPr="33994681" w:rsidR="395ECD15">
        <w:rPr>
          <w:rFonts w:ascii="Arial" w:hAnsi="Arial" w:eastAsia="Arial" w:cs="Arial"/>
          <w:b w:val="1"/>
          <w:bCs w:val="1"/>
          <w:i w:val="0"/>
          <w:iCs w:val="0"/>
          <w:noProof w:val="0"/>
          <w:sz w:val="22"/>
          <w:szCs w:val="22"/>
          <w:lang w:val="en-GB"/>
        </w:rPr>
        <w:t xml:space="preserve">, 6(21). Available at: </w:t>
      </w:r>
      <w:hyperlink r:id="R785612d361bd4ac1">
        <w:r w:rsidRPr="33994681" w:rsidR="395ECD15">
          <w:rPr>
            <w:rStyle w:val="Hyperlink"/>
            <w:rFonts w:ascii="Arial" w:hAnsi="Arial" w:eastAsia="Arial" w:cs="Arial"/>
            <w:b w:val="1"/>
            <w:bCs w:val="1"/>
            <w:i w:val="0"/>
            <w:iCs w:val="0"/>
            <w:noProof w:val="0"/>
            <w:color w:val="050CE8"/>
            <w:sz w:val="22"/>
            <w:szCs w:val="22"/>
            <w:lang w:val="en-GB"/>
          </w:rPr>
          <w:t>https://www.ncbi.nlm.nih.gov/books/NBK507672/pdf/Bookshelf_NBK507672.pdf</w:t>
        </w:r>
      </w:hyperlink>
      <w:r w:rsidRPr="33994681" w:rsidR="395ECD15">
        <w:rPr>
          <w:rFonts w:ascii="Arial" w:hAnsi="Arial" w:eastAsia="Arial" w:cs="Arial"/>
          <w:b w:val="1"/>
          <w:bCs w:val="1"/>
          <w:i w:val="0"/>
          <w:iCs w:val="0"/>
          <w:noProof w:val="0"/>
          <w:color w:val="050CE8"/>
          <w:sz w:val="22"/>
          <w:szCs w:val="22"/>
          <w:lang w:val="en-GB"/>
        </w:rPr>
        <w:t xml:space="preserve"> </w:t>
      </w:r>
      <w:r w:rsidRPr="33994681" w:rsidR="395ECD15">
        <w:rPr>
          <w:rFonts w:ascii="Arial" w:hAnsi="Arial" w:eastAsia="Arial" w:cs="Arial"/>
          <w:b w:val="1"/>
          <w:bCs w:val="1"/>
          <w:i w:val="0"/>
          <w:iCs w:val="0"/>
          <w:noProof w:val="0"/>
          <w:sz w:val="22"/>
          <w:szCs w:val="22"/>
          <w:lang w:val="en-GB"/>
        </w:rPr>
        <w:t>(Accessed: 20 March 2026).</w:t>
      </w:r>
      <w:r w:rsidRPr="33994681" w:rsidR="395ECD15">
        <w:rPr>
          <w:rFonts w:ascii="Arial" w:hAnsi="Arial" w:eastAsia="Arial" w:cs="Arial"/>
          <w:i w:val="0"/>
          <w:iCs w:val="0"/>
          <w:noProof w:val="0"/>
          <w:sz w:val="22"/>
          <w:szCs w:val="22"/>
          <w:lang w:val="en-GB"/>
        </w:rPr>
        <w:t xml:space="preserve"> </w:t>
      </w:r>
    </w:p>
    <w:p w:rsidR="33994681" w:rsidP="33994681" w:rsidRDefault="33994681" w14:paraId="21F80020" w14:textId="624E24F8">
      <w:pPr>
        <w:spacing w:before="195" w:beforeAutospacing="off" w:after="195" w:afterAutospacing="off" w:line="360" w:lineRule="auto"/>
        <w:rPr>
          <w:rFonts w:ascii="Arial" w:hAnsi="Arial" w:eastAsia="Arial" w:cs="Arial"/>
          <w:i w:val="0"/>
          <w:iCs w:val="0"/>
          <w:noProof w:val="0"/>
          <w:sz w:val="22"/>
          <w:szCs w:val="22"/>
          <w:lang w:val="en-GB"/>
        </w:rPr>
      </w:pPr>
    </w:p>
    <w:p w:rsidR="395ECD15" w:rsidP="33994681" w:rsidRDefault="395ECD15" w14:paraId="785B9D08" w14:textId="205C9190">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Staffordshire University (2022) Report calls for national telehealth guidelines for Allied Health Professions. Available at: </w:t>
      </w:r>
      <w:hyperlink r:id="Rad3d58cc8e5b4213">
        <w:r w:rsidRPr="33994681" w:rsidR="395ECD15">
          <w:rPr>
            <w:rStyle w:val="Hyperlink"/>
            <w:rFonts w:ascii="Arial" w:hAnsi="Arial" w:eastAsia="Arial" w:cs="Arial"/>
            <w:b w:val="1"/>
            <w:bCs w:val="1"/>
            <w:i w:val="0"/>
            <w:iCs w:val="0"/>
            <w:noProof w:val="0"/>
            <w:color w:val="050CE8"/>
            <w:sz w:val="22"/>
            <w:szCs w:val="22"/>
            <w:lang w:val="en-GB"/>
          </w:rPr>
          <w:t>https://www.staffslondon.ac.uk/news/2022/12/report-calls-for-national-telehealth-guidelines-for-allied-health-professions</w:t>
        </w:r>
      </w:hyperlink>
      <w:r w:rsidRPr="33994681" w:rsidR="395ECD15">
        <w:rPr>
          <w:rFonts w:ascii="Arial" w:hAnsi="Arial" w:eastAsia="Arial" w:cs="Arial"/>
          <w:b w:val="1"/>
          <w:bCs w:val="1"/>
          <w:i w:val="0"/>
          <w:iCs w:val="0"/>
          <w:noProof w:val="0"/>
          <w:color w:val="050CE8"/>
          <w:sz w:val="22"/>
          <w:szCs w:val="22"/>
          <w:lang w:val="en-GB"/>
        </w:rPr>
        <w:t xml:space="preserve"> </w:t>
      </w:r>
      <w:r w:rsidRPr="33994681" w:rsidR="395ECD15">
        <w:rPr>
          <w:rFonts w:ascii="Arial" w:hAnsi="Arial" w:eastAsia="Arial" w:cs="Arial"/>
          <w:b w:val="1"/>
          <w:bCs w:val="1"/>
          <w:i w:val="0"/>
          <w:iCs w:val="0"/>
          <w:noProof w:val="0"/>
          <w:sz w:val="22"/>
          <w:szCs w:val="22"/>
          <w:lang w:val="en-GB"/>
        </w:rPr>
        <w:t>(Accessed: 16 March 2026).</w:t>
      </w:r>
      <w:r w:rsidRPr="33994681" w:rsidR="395ECD15">
        <w:rPr>
          <w:rFonts w:ascii="Arial" w:hAnsi="Arial" w:eastAsia="Arial" w:cs="Arial"/>
          <w:i w:val="0"/>
          <w:iCs w:val="0"/>
          <w:noProof w:val="0"/>
          <w:sz w:val="22"/>
          <w:szCs w:val="22"/>
          <w:lang w:val="en-GB"/>
        </w:rPr>
        <w:t xml:space="preserve"> </w:t>
      </w:r>
    </w:p>
    <w:p w:rsidR="33994681" w:rsidP="33994681" w:rsidRDefault="33994681" w14:paraId="25618D7C" w14:textId="016EF855">
      <w:pPr>
        <w:spacing w:before="195" w:beforeAutospacing="off" w:after="195" w:afterAutospacing="off" w:line="360" w:lineRule="auto"/>
        <w:rPr>
          <w:rFonts w:ascii="Arial" w:hAnsi="Arial" w:eastAsia="Arial" w:cs="Arial"/>
          <w:i w:val="0"/>
          <w:iCs w:val="0"/>
          <w:noProof w:val="0"/>
          <w:sz w:val="22"/>
          <w:szCs w:val="22"/>
          <w:lang w:val="en-GB"/>
        </w:rPr>
      </w:pPr>
    </w:p>
    <w:p w:rsidR="395ECD15" w:rsidP="33994681" w:rsidRDefault="395ECD15" w14:paraId="743F69EC" w14:textId="7AEF9871">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UK Parliament (2023) Digital transformation in the NHS – Health and Social Care Committee Report. Available at: </w:t>
      </w:r>
      <w:hyperlink r:id="Rd1efe6b6184346a1">
        <w:r w:rsidRPr="33994681" w:rsidR="395ECD15">
          <w:rPr>
            <w:rStyle w:val="Hyperlink"/>
            <w:rFonts w:ascii="Arial" w:hAnsi="Arial" w:eastAsia="Arial" w:cs="Arial"/>
            <w:b w:val="1"/>
            <w:bCs w:val="1"/>
            <w:i w:val="0"/>
            <w:iCs w:val="0"/>
            <w:noProof w:val="0"/>
            <w:color w:val="050CE8"/>
            <w:sz w:val="22"/>
            <w:szCs w:val="22"/>
            <w:lang w:val="en-GB"/>
          </w:rPr>
          <w:t>https://committees.parliament.uk/publications/223/report/</w:t>
        </w:r>
      </w:hyperlink>
      <w:r w:rsidRPr="33994681" w:rsidR="395ECD15">
        <w:rPr>
          <w:rFonts w:ascii="Arial" w:hAnsi="Arial" w:eastAsia="Arial" w:cs="Arial"/>
          <w:b w:val="1"/>
          <w:bCs w:val="1"/>
          <w:i w:val="0"/>
          <w:iCs w:val="0"/>
          <w:noProof w:val="0"/>
          <w:color w:val="050CE8"/>
          <w:sz w:val="22"/>
          <w:szCs w:val="22"/>
          <w:lang w:val="en-GB"/>
        </w:rPr>
        <w:t xml:space="preserve"> </w:t>
      </w:r>
      <w:r w:rsidRPr="33994681" w:rsidR="395ECD15">
        <w:rPr>
          <w:rFonts w:ascii="Arial" w:hAnsi="Arial" w:eastAsia="Arial" w:cs="Arial"/>
          <w:b w:val="1"/>
          <w:bCs w:val="1"/>
          <w:i w:val="0"/>
          <w:iCs w:val="0"/>
          <w:noProof w:val="0"/>
          <w:sz w:val="22"/>
          <w:szCs w:val="22"/>
          <w:lang w:val="en-GB"/>
        </w:rPr>
        <w:t>(Accessed on:16/03/2026).</w:t>
      </w:r>
      <w:r w:rsidRPr="33994681" w:rsidR="395ECD15">
        <w:rPr>
          <w:rFonts w:ascii="Arial" w:hAnsi="Arial" w:eastAsia="Arial" w:cs="Arial"/>
          <w:i w:val="0"/>
          <w:iCs w:val="0"/>
          <w:noProof w:val="0"/>
          <w:sz w:val="22"/>
          <w:szCs w:val="22"/>
          <w:lang w:val="en-GB"/>
        </w:rPr>
        <w:t xml:space="preserve"> </w:t>
      </w:r>
    </w:p>
    <w:p w:rsidR="33994681" w:rsidP="33994681" w:rsidRDefault="33994681" w14:paraId="0586EA07" w14:textId="67DBDE28">
      <w:pPr>
        <w:spacing w:before="195" w:beforeAutospacing="off" w:after="195" w:afterAutospacing="off" w:line="360" w:lineRule="auto"/>
        <w:rPr>
          <w:rFonts w:ascii="Arial" w:hAnsi="Arial" w:eastAsia="Arial" w:cs="Arial"/>
          <w:i w:val="0"/>
          <w:iCs w:val="0"/>
          <w:noProof w:val="0"/>
          <w:sz w:val="22"/>
          <w:szCs w:val="22"/>
          <w:lang w:val="en-GB"/>
        </w:rPr>
      </w:pPr>
    </w:p>
    <w:p w:rsidR="395ECD15" w:rsidP="33994681" w:rsidRDefault="395ECD15" w14:paraId="199B61B5" w14:textId="7267396C">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Wootton, R. (2012) Twenty years of telemedicine in chronic disease management – an evidence synthesis. </w:t>
      </w:r>
      <w:r w:rsidRPr="33994681" w:rsidR="395ECD15">
        <w:rPr>
          <w:rFonts w:ascii="Arial" w:hAnsi="Arial" w:eastAsia="Arial" w:cs="Arial"/>
          <w:b w:val="1"/>
          <w:bCs w:val="1"/>
          <w:i w:val="1"/>
          <w:iCs w:val="1"/>
          <w:noProof w:val="0"/>
          <w:sz w:val="22"/>
          <w:szCs w:val="22"/>
          <w:lang w:val="en-GB"/>
        </w:rPr>
        <w:t>Journal of Telemedicine and Telecare</w:t>
      </w:r>
      <w:r w:rsidRPr="33994681" w:rsidR="395ECD15">
        <w:rPr>
          <w:rFonts w:ascii="Arial" w:hAnsi="Arial" w:eastAsia="Arial" w:cs="Arial"/>
          <w:b w:val="1"/>
          <w:bCs w:val="1"/>
          <w:i w:val="0"/>
          <w:iCs w:val="0"/>
          <w:noProof w:val="0"/>
          <w:sz w:val="22"/>
          <w:szCs w:val="22"/>
          <w:lang w:val="en-GB"/>
        </w:rPr>
        <w:t xml:space="preserve">, 18(4), pp. 211–220. Available at: </w:t>
      </w:r>
      <w:hyperlink r:id="Rbcf6331ae1634cca">
        <w:r w:rsidRPr="33994681" w:rsidR="395ECD15">
          <w:rPr>
            <w:rStyle w:val="Hyperlink"/>
            <w:rFonts w:ascii="Arial" w:hAnsi="Arial" w:eastAsia="Arial" w:cs="Arial"/>
            <w:b w:val="1"/>
            <w:bCs w:val="1"/>
            <w:i w:val="0"/>
            <w:iCs w:val="0"/>
            <w:noProof w:val="0"/>
            <w:color w:val="050CE8"/>
            <w:sz w:val="22"/>
            <w:szCs w:val="22"/>
            <w:lang w:val="en-GB"/>
          </w:rPr>
          <w:t>https://pmc.ncbi.nlm.nih.gov/articles/PMC3366107/</w:t>
        </w:r>
      </w:hyperlink>
      <w:r w:rsidRPr="33994681" w:rsidR="395ECD15">
        <w:rPr>
          <w:rFonts w:ascii="Arial" w:hAnsi="Arial" w:eastAsia="Arial" w:cs="Arial"/>
          <w:b w:val="1"/>
          <w:bCs w:val="1"/>
          <w:i w:val="0"/>
          <w:iCs w:val="0"/>
          <w:noProof w:val="0"/>
          <w:color w:val="050CE8"/>
          <w:sz w:val="22"/>
          <w:szCs w:val="22"/>
          <w:lang w:val="en-GB"/>
        </w:rPr>
        <w:t xml:space="preserve"> </w:t>
      </w:r>
      <w:r w:rsidRPr="33994681" w:rsidR="395ECD15">
        <w:rPr>
          <w:rFonts w:ascii="Arial" w:hAnsi="Arial" w:eastAsia="Arial" w:cs="Arial"/>
          <w:b w:val="1"/>
          <w:bCs w:val="1"/>
          <w:i w:val="0"/>
          <w:iCs w:val="0"/>
          <w:noProof w:val="0"/>
          <w:sz w:val="22"/>
          <w:szCs w:val="22"/>
          <w:lang w:val="en-GB"/>
        </w:rPr>
        <w:t>(Accessed: 20 March 2026).</w:t>
      </w:r>
      <w:r w:rsidRPr="33994681" w:rsidR="395ECD15">
        <w:rPr>
          <w:rFonts w:ascii="Arial" w:hAnsi="Arial" w:eastAsia="Arial" w:cs="Arial"/>
          <w:i w:val="0"/>
          <w:iCs w:val="0"/>
          <w:noProof w:val="0"/>
          <w:sz w:val="22"/>
          <w:szCs w:val="22"/>
          <w:lang w:val="en-GB"/>
        </w:rPr>
        <w:t xml:space="preserve"> </w:t>
      </w:r>
    </w:p>
    <w:p w:rsidR="33994681" w:rsidP="33994681" w:rsidRDefault="33994681" w14:paraId="0D476C0A" w14:textId="7B967CCF">
      <w:pPr>
        <w:spacing w:before="195" w:beforeAutospacing="off" w:after="195" w:afterAutospacing="off" w:line="360" w:lineRule="auto"/>
        <w:rPr>
          <w:rFonts w:ascii="Arial" w:hAnsi="Arial" w:eastAsia="Arial" w:cs="Arial"/>
          <w:i w:val="0"/>
          <w:iCs w:val="0"/>
          <w:noProof w:val="0"/>
          <w:sz w:val="22"/>
          <w:szCs w:val="22"/>
          <w:lang w:val="en-GB"/>
        </w:rPr>
      </w:pPr>
    </w:p>
    <w:p w:rsidR="395ECD15" w:rsidP="33994681" w:rsidRDefault="395ECD15" w14:paraId="14F98DB3" w14:textId="4AC5D71A">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World Health Organization (2020) Implementing telemedicine services during COVID‑19: guiding principles and considerations for a stepwise approach. Geneva: World Health Organization. Available at: </w:t>
      </w:r>
      <w:hyperlink r:id="Rda949089000d4a74">
        <w:r w:rsidRPr="33994681" w:rsidR="395ECD15">
          <w:rPr>
            <w:rStyle w:val="Hyperlink"/>
            <w:rFonts w:ascii="Arial" w:hAnsi="Arial" w:eastAsia="Arial" w:cs="Arial"/>
            <w:b w:val="1"/>
            <w:bCs w:val="1"/>
            <w:i w:val="0"/>
            <w:iCs w:val="0"/>
            <w:noProof w:val="0"/>
            <w:color w:val="050CE8"/>
            <w:sz w:val="22"/>
            <w:szCs w:val="22"/>
            <w:lang w:val="en-GB"/>
          </w:rPr>
          <w:t>https://iris.who.int/handle/10665/336862</w:t>
        </w:r>
      </w:hyperlink>
      <w:r w:rsidRPr="33994681" w:rsidR="395ECD15">
        <w:rPr>
          <w:rFonts w:ascii="Arial" w:hAnsi="Arial" w:eastAsia="Arial" w:cs="Arial"/>
          <w:b w:val="1"/>
          <w:bCs w:val="1"/>
          <w:i w:val="0"/>
          <w:iCs w:val="0"/>
          <w:noProof w:val="0"/>
          <w:color w:val="050CE8"/>
          <w:sz w:val="22"/>
          <w:szCs w:val="22"/>
          <w:lang w:val="en-GB"/>
        </w:rPr>
        <w:t xml:space="preserve"> </w:t>
      </w:r>
      <w:r w:rsidRPr="33994681" w:rsidR="395ECD15">
        <w:rPr>
          <w:rFonts w:ascii="Arial" w:hAnsi="Arial" w:eastAsia="Arial" w:cs="Arial"/>
          <w:b w:val="1"/>
          <w:bCs w:val="1"/>
          <w:i w:val="0"/>
          <w:iCs w:val="0"/>
          <w:noProof w:val="0"/>
          <w:sz w:val="22"/>
          <w:szCs w:val="22"/>
          <w:lang w:val="en-GB"/>
        </w:rPr>
        <w:t>(Accessed: 20 March 2026).</w:t>
      </w:r>
      <w:r w:rsidRPr="33994681" w:rsidR="395ECD15">
        <w:rPr>
          <w:rFonts w:ascii="Arial" w:hAnsi="Arial" w:eastAsia="Arial" w:cs="Arial"/>
          <w:i w:val="0"/>
          <w:iCs w:val="0"/>
          <w:noProof w:val="0"/>
          <w:sz w:val="22"/>
          <w:szCs w:val="22"/>
          <w:lang w:val="en-GB"/>
        </w:rPr>
        <w:t xml:space="preserve"> </w:t>
      </w:r>
    </w:p>
    <w:p w:rsidR="33994681" w:rsidP="33994681" w:rsidRDefault="33994681" w14:paraId="7C8F1C6A" w14:textId="32C96369">
      <w:pPr>
        <w:spacing w:before="195" w:beforeAutospacing="off" w:after="195" w:afterAutospacing="off" w:line="360" w:lineRule="auto"/>
        <w:rPr>
          <w:rFonts w:ascii="Arial" w:hAnsi="Arial" w:eastAsia="Arial" w:cs="Arial"/>
          <w:i w:val="0"/>
          <w:iCs w:val="0"/>
          <w:noProof w:val="0"/>
          <w:sz w:val="22"/>
          <w:szCs w:val="22"/>
          <w:lang w:val="en-GB"/>
        </w:rPr>
      </w:pPr>
    </w:p>
    <w:p w:rsidR="395ECD15" w:rsidP="33994681" w:rsidRDefault="395ECD15" w14:paraId="24F913FF" w14:textId="25EEAD1B">
      <w:pPr>
        <w:spacing w:before="195" w:beforeAutospacing="off" w:after="195" w:afterAutospacing="off" w:line="360" w:lineRule="auto"/>
        <w:rPr>
          <w:rFonts w:ascii="Arial" w:hAnsi="Arial" w:eastAsia="Arial" w:cs="Arial"/>
          <w:i w:val="0"/>
          <w:iCs w:val="0"/>
          <w:noProof w:val="0"/>
          <w:sz w:val="22"/>
          <w:szCs w:val="22"/>
          <w:lang w:val="en-GB"/>
        </w:rPr>
      </w:pPr>
      <w:r w:rsidRPr="33994681" w:rsidR="395ECD15">
        <w:rPr>
          <w:rFonts w:ascii="Arial" w:hAnsi="Arial" w:eastAsia="Arial" w:cs="Arial"/>
          <w:b w:val="1"/>
          <w:bCs w:val="1"/>
          <w:i w:val="0"/>
          <w:iCs w:val="0"/>
          <w:noProof w:val="0"/>
          <w:sz w:val="22"/>
          <w:szCs w:val="22"/>
          <w:lang w:val="en-GB"/>
        </w:rPr>
        <w:t xml:space="preserve">World Health Organization (2020) Telemedicine: Opportunities and developments in Member States. Available at: </w:t>
      </w:r>
      <w:hyperlink r:id="R10c8c972995f4dfd">
        <w:r w:rsidRPr="33994681" w:rsidR="395ECD15">
          <w:rPr>
            <w:rStyle w:val="Hyperlink"/>
            <w:rFonts w:ascii="Arial" w:hAnsi="Arial" w:eastAsia="Arial" w:cs="Arial"/>
            <w:b w:val="1"/>
            <w:bCs w:val="1"/>
            <w:i w:val="0"/>
            <w:iCs w:val="0"/>
            <w:noProof w:val="0"/>
            <w:color w:val="050CE8"/>
            <w:sz w:val="22"/>
            <w:szCs w:val="22"/>
            <w:lang w:val="en-GB"/>
          </w:rPr>
          <w:t>https://www.who.int</w:t>
        </w:r>
      </w:hyperlink>
      <w:r w:rsidRPr="33994681" w:rsidR="395ECD15">
        <w:rPr>
          <w:rFonts w:ascii="Arial" w:hAnsi="Arial" w:eastAsia="Arial" w:cs="Arial"/>
          <w:b w:val="1"/>
          <w:bCs w:val="1"/>
          <w:i w:val="0"/>
          <w:iCs w:val="0"/>
          <w:noProof w:val="0"/>
          <w:color w:val="050CE8"/>
          <w:sz w:val="22"/>
          <w:szCs w:val="22"/>
          <w:lang w:val="en-GB"/>
        </w:rPr>
        <w:t xml:space="preserve"> (</w:t>
      </w:r>
      <w:r w:rsidRPr="33994681" w:rsidR="395ECD15">
        <w:rPr>
          <w:rFonts w:ascii="Arial" w:hAnsi="Arial" w:eastAsia="Arial" w:cs="Arial"/>
          <w:b w:val="1"/>
          <w:bCs w:val="1"/>
          <w:i w:val="0"/>
          <w:iCs w:val="0"/>
          <w:noProof w:val="0"/>
          <w:sz w:val="22"/>
          <w:szCs w:val="22"/>
          <w:lang w:val="en-GB"/>
        </w:rPr>
        <w:t>Accessed: 20 March 2026).</w:t>
      </w:r>
      <w:r w:rsidRPr="33994681" w:rsidR="395ECD15">
        <w:rPr>
          <w:rFonts w:ascii="Arial" w:hAnsi="Arial" w:eastAsia="Arial" w:cs="Arial"/>
          <w:i w:val="0"/>
          <w:iCs w:val="0"/>
          <w:noProof w:val="0"/>
          <w:sz w:val="22"/>
          <w:szCs w:val="22"/>
          <w:lang w:val="en-GB"/>
        </w:rPr>
        <w:t xml:space="preserve"> </w:t>
      </w:r>
    </w:p>
    <w:p w:rsidR="33994681" w:rsidP="33994681" w:rsidRDefault="33994681" w14:paraId="50B3A770" w14:textId="6CA3170C">
      <w:pPr>
        <w:spacing w:before="0" w:beforeAutospacing="off" w:after="0" w:afterAutospacing="off"/>
      </w:pPr>
    </w:p>
    <w:p w:rsidR="33994681" w:rsidP="33994681" w:rsidRDefault="33994681" w14:paraId="3078D2BC" w14:textId="5450CD91">
      <w:pPr>
        <w:pStyle w:val="Normal"/>
        <w:spacing w:before="225" w:after="225"/>
        <w:rPr>
          <w:rFonts w:ascii="Segoe UI" w:hAnsi="Segoe UI" w:eastAsia="Segoe UI" w:cs="Segoe UI"/>
          <w:noProof w:val="0"/>
          <w:sz w:val="22"/>
          <w:szCs w:val="22"/>
          <w:lang w:val="en-GB"/>
        </w:rPr>
      </w:pPr>
    </w:p>
    <w:p w:rsidR="33994681" w:rsidP="33994681" w:rsidRDefault="33994681" w14:paraId="2CC77D0D" w14:textId="23037A0D">
      <w:pPr>
        <w:pStyle w:val="Normal"/>
        <w:spacing w:before="225" w:after="225"/>
        <w:rPr>
          <w:rFonts w:ascii="Segoe UI" w:hAnsi="Segoe UI" w:eastAsia="Segoe UI" w:cs="Segoe UI"/>
          <w:noProof w:val="0"/>
          <w:sz w:val="22"/>
          <w:szCs w:val="22"/>
          <w:lang w:val="en-GB"/>
        </w:rPr>
      </w:pPr>
    </w:p>
    <w:p w:rsidR="00637470" w:rsidRDefault="00637470" w14:paraId="5E5787A5" w14:textId="25DE4470"/>
    <w:sectPr w:rsidR="0063747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7f47e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2BE7C6"/>
    <w:rsid w:val="00535B60"/>
    <w:rsid w:val="00637470"/>
    <w:rsid w:val="0063AB73"/>
    <w:rsid w:val="00A82B05"/>
    <w:rsid w:val="00AD7B28"/>
    <w:rsid w:val="00DE3C7F"/>
    <w:rsid w:val="02E25057"/>
    <w:rsid w:val="05086283"/>
    <w:rsid w:val="053777E2"/>
    <w:rsid w:val="0650A599"/>
    <w:rsid w:val="0699BCA1"/>
    <w:rsid w:val="07072B25"/>
    <w:rsid w:val="076F269D"/>
    <w:rsid w:val="07821994"/>
    <w:rsid w:val="07EE904E"/>
    <w:rsid w:val="08C45ECB"/>
    <w:rsid w:val="0A18A4F6"/>
    <w:rsid w:val="0AB34DCC"/>
    <w:rsid w:val="0ABFCDA4"/>
    <w:rsid w:val="0AE83264"/>
    <w:rsid w:val="0AE9E461"/>
    <w:rsid w:val="0B6D90A6"/>
    <w:rsid w:val="0C47D581"/>
    <w:rsid w:val="0DFF8597"/>
    <w:rsid w:val="0E216C8D"/>
    <w:rsid w:val="0F12D604"/>
    <w:rsid w:val="0FA82668"/>
    <w:rsid w:val="0FF7DA7A"/>
    <w:rsid w:val="0FFBF007"/>
    <w:rsid w:val="1028561F"/>
    <w:rsid w:val="110E69B5"/>
    <w:rsid w:val="1262A1D1"/>
    <w:rsid w:val="128C3F9A"/>
    <w:rsid w:val="13039172"/>
    <w:rsid w:val="131209D5"/>
    <w:rsid w:val="13447916"/>
    <w:rsid w:val="13A05142"/>
    <w:rsid w:val="13A42638"/>
    <w:rsid w:val="144F1B27"/>
    <w:rsid w:val="14F04DC6"/>
    <w:rsid w:val="16130255"/>
    <w:rsid w:val="1621DA96"/>
    <w:rsid w:val="17329CC8"/>
    <w:rsid w:val="17BAE8BA"/>
    <w:rsid w:val="17FC745E"/>
    <w:rsid w:val="183936CA"/>
    <w:rsid w:val="19F2F820"/>
    <w:rsid w:val="1AA7F785"/>
    <w:rsid w:val="1B8DD52B"/>
    <w:rsid w:val="2033F315"/>
    <w:rsid w:val="2110F35C"/>
    <w:rsid w:val="2135CFCE"/>
    <w:rsid w:val="2161086C"/>
    <w:rsid w:val="2224F835"/>
    <w:rsid w:val="2237A45E"/>
    <w:rsid w:val="235848BB"/>
    <w:rsid w:val="24E6A3FA"/>
    <w:rsid w:val="24F3A3EC"/>
    <w:rsid w:val="254DC942"/>
    <w:rsid w:val="2590F63B"/>
    <w:rsid w:val="26DAEDC8"/>
    <w:rsid w:val="26E604D3"/>
    <w:rsid w:val="26FA46F7"/>
    <w:rsid w:val="275A6778"/>
    <w:rsid w:val="27A74B59"/>
    <w:rsid w:val="285C4C4B"/>
    <w:rsid w:val="2875FB78"/>
    <w:rsid w:val="289A78E6"/>
    <w:rsid w:val="29681D17"/>
    <w:rsid w:val="2AE11615"/>
    <w:rsid w:val="2BC583D5"/>
    <w:rsid w:val="2BEC93DE"/>
    <w:rsid w:val="2C17427F"/>
    <w:rsid w:val="2C23BA24"/>
    <w:rsid w:val="2C7E9704"/>
    <w:rsid w:val="2D7C49D6"/>
    <w:rsid w:val="2DE45FC1"/>
    <w:rsid w:val="2E638213"/>
    <w:rsid w:val="2EF93A31"/>
    <w:rsid w:val="30EED024"/>
    <w:rsid w:val="32245750"/>
    <w:rsid w:val="3374ABBD"/>
    <w:rsid w:val="33994681"/>
    <w:rsid w:val="33F4EE95"/>
    <w:rsid w:val="34F27456"/>
    <w:rsid w:val="34FEA559"/>
    <w:rsid w:val="35190668"/>
    <w:rsid w:val="35FC9AA3"/>
    <w:rsid w:val="36074B04"/>
    <w:rsid w:val="3927F3A2"/>
    <w:rsid w:val="395ECD15"/>
    <w:rsid w:val="396D2FA9"/>
    <w:rsid w:val="39DC5585"/>
    <w:rsid w:val="3A0F0493"/>
    <w:rsid w:val="3A5564B6"/>
    <w:rsid w:val="3ADCAC4C"/>
    <w:rsid w:val="3B267EFA"/>
    <w:rsid w:val="3DB78906"/>
    <w:rsid w:val="3F6EA719"/>
    <w:rsid w:val="40D17A8C"/>
    <w:rsid w:val="43D89A8F"/>
    <w:rsid w:val="44CE636C"/>
    <w:rsid w:val="47896B64"/>
    <w:rsid w:val="48F19197"/>
    <w:rsid w:val="4A469E56"/>
    <w:rsid w:val="4A47B727"/>
    <w:rsid w:val="4B8BD9FA"/>
    <w:rsid w:val="4B9C5A06"/>
    <w:rsid w:val="4BC6BDC3"/>
    <w:rsid w:val="4C1CF322"/>
    <w:rsid w:val="4C585421"/>
    <w:rsid w:val="4D25FC86"/>
    <w:rsid w:val="4F0B9E35"/>
    <w:rsid w:val="4F60ACC8"/>
    <w:rsid w:val="50BBC4CF"/>
    <w:rsid w:val="5112C5DA"/>
    <w:rsid w:val="530FADBB"/>
    <w:rsid w:val="53979C5B"/>
    <w:rsid w:val="548DA515"/>
    <w:rsid w:val="54F69A22"/>
    <w:rsid w:val="551A2F87"/>
    <w:rsid w:val="559F8B64"/>
    <w:rsid w:val="570D6678"/>
    <w:rsid w:val="5779425B"/>
    <w:rsid w:val="582B3A94"/>
    <w:rsid w:val="58F0AE33"/>
    <w:rsid w:val="592989F0"/>
    <w:rsid w:val="5952FAE6"/>
    <w:rsid w:val="5979D616"/>
    <w:rsid w:val="59F13A24"/>
    <w:rsid w:val="5A22871C"/>
    <w:rsid w:val="5A36C59B"/>
    <w:rsid w:val="5A6949CF"/>
    <w:rsid w:val="5B2D6506"/>
    <w:rsid w:val="5C4965A0"/>
    <w:rsid w:val="5C8B8E2C"/>
    <w:rsid w:val="5C9F3A2D"/>
    <w:rsid w:val="5CF15B29"/>
    <w:rsid w:val="5D168C83"/>
    <w:rsid w:val="5D2E358B"/>
    <w:rsid w:val="5D4FA55A"/>
    <w:rsid w:val="5D5849AE"/>
    <w:rsid w:val="5D9C95F1"/>
    <w:rsid w:val="5DCAE9AA"/>
    <w:rsid w:val="5E0C4BD4"/>
    <w:rsid w:val="6207BE9B"/>
    <w:rsid w:val="627F7631"/>
    <w:rsid w:val="6298AC37"/>
    <w:rsid w:val="6310EBA9"/>
    <w:rsid w:val="631666DD"/>
    <w:rsid w:val="639B4556"/>
    <w:rsid w:val="643AD593"/>
    <w:rsid w:val="64436505"/>
    <w:rsid w:val="646F8190"/>
    <w:rsid w:val="65462D2F"/>
    <w:rsid w:val="6669F265"/>
    <w:rsid w:val="67053044"/>
    <w:rsid w:val="6789E0B1"/>
    <w:rsid w:val="67FBB78D"/>
    <w:rsid w:val="68B5305E"/>
    <w:rsid w:val="68C2D7A6"/>
    <w:rsid w:val="68CC5214"/>
    <w:rsid w:val="68E849A7"/>
    <w:rsid w:val="6987ABCA"/>
    <w:rsid w:val="6A5C7F7A"/>
    <w:rsid w:val="6AAC34C2"/>
    <w:rsid w:val="6AB594DD"/>
    <w:rsid w:val="6AC31A6C"/>
    <w:rsid w:val="6BABC9B4"/>
    <w:rsid w:val="6BEEA94C"/>
    <w:rsid w:val="6C26FB5C"/>
    <w:rsid w:val="6E69C100"/>
    <w:rsid w:val="6ED1B55E"/>
    <w:rsid w:val="6F4003DD"/>
    <w:rsid w:val="6F5E6CF5"/>
    <w:rsid w:val="6F744D3E"/>
    <w:rsid w:val="6FA0E6CC"/>
    <w:rsid w:val="700F4693"/>
    <w:rsid w:val="700FBE24"/>
    <w:rsid w:val="705EE599"/>
    <w:rsid w:val="706B0B10"/>
    <w:rsid w:val="706BC1FF"/>
    <w:rsid w:val="70ABDC36"/>
    <w:rsid w:val="70AFDD67"/>
    <w:rsid w:val="711C31BF"/>
    <w:rsid w:val="711C9ACF"/>
    <w:rsid w:val="718375DA"/>
    <w:rsid w:val="722BE7C6"/>
    <w:rsid w:val="727F597D"/>
    <w:rsid w:val="7302F48B"/>
    <w:rsid w:val="739EB0C8"/>
    <w:rsid w:val="75A99EB6"/>
    <w:rsid w:val="75C40CC6"/>
    <w:rsid w:val="76E7A47C"/>
    <w:rsid w:val="782CF076"/>
    <w:rsid w:val="787EA0CC"/>
    <w:rsid w:val="7A5EF1F6"/>
    <w:rsid w:val="7B1C9B32"/>
    <w:rsid w:val="7C0ABB62"/>
    <w:rsid w:val="7D1167AA"/>
    <w:rsid w:val="7D21C374"/>
    <w:rsid w:val="7D2D853A"/>
    <w:rsid w:val="7E71A79D"/>
    <w:rsid w:val="7EA756AC"/>
    <w:rsid w:val="7F9457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BE7C6"/>
  <w15:chartTrackingRefBased/>
  <w15:docId w15:val="{8F0F2BF0-C5FF-4B18-8A15-6A03A0561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9681D1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29681D1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29681D17"/>
    <w:rPr>
      <w:color w:val="467886"/>
      <w:u w:val="single"/>
    </w:rPr>
  </w:style>
  <w:style w:type="paragraph" w:styleId="ListParagraph">
    <w:uiPriority w:val="34"/>
    <w:name w:val="List Paragraph"/>
    <w:basedOn w:val="Normal"/>
    <w:qFormat/>
    <w:rsid w:val="33994681"/>
    <w:pPr>
      <w:spacing/>
      <w:ind w:left="720"/>
      <w:contextualSpacing/>
    </w:pPr>
  </w:style>
  <w:style w:type="character" w:styleId="Strong">
    <w:uiPriority w:val="22"/>
    <w:name w:val="Strong"/>
    <w:basedOn w:val="DefaultParagraphFont"/>
    <w:qFormat/>
    <w:rsid w:val="33994681"/>
    <w:rPr>
      <w:b w:val="1"/>
      <w:bCs w:val="1"/>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0" /><Relationship Type="http://schemas.openxmlformats.org/officeDocument/2006/relationships/fontTable" Target="fontTable.xml" Id="rId9" /><Relationship Type="http://schemas.openxmlformats.org/officeDocument/2006/relationships/image" Target="/media/image.png" Id="rId723939267" /><Relationship Type="http://schemas.openxmlformats.org/officeDocument/2006/relationships/hyperlink" Target="https://iopscience.iop.org/article/10.1088/1755-1315/1586/1/012054/meta" TargetMode="External" Id="R3ea57ba245a842bb" /><Relationship Type="http://schemas.openxmlformats.org/officeDocument/2006/relationships/hyperlink" Target="https://www.hra.nhs.uk/planning-and-improving-research/application-summaries/research-summaries/introducing-telehealth-in-childrens-therapy-services-v1/" TargetMode="External" Id="R4e8ce0a904a643cf" /><Relationship Type="http://schemas.openxmlformats.org/officeDocument/2006/relationships/hyperlink" Target="https://www.researchgate.net/profile/Elaine-Bidmead-2/publication/329297098_Using_Telemedicine_in_Practice_Implications_for_Workforce_Development/links/5f7ad587299bf1b53e0e3f93/Using-Telemedicine-in-Practice-Implications-for-Workforce-Development.pdf" TargetMode="External" Id="Rc2e22fa634ce4c63" /><Relationship Type="http://schemas.openxmlformats.org/officeDocument/2006/relationships/hyperlink" Target="https://www.england.nhs.uk/long-read/inclusive-digital-healthcare-a-framework-for-nhs-action-on-digital-inclusion/" TargetMode="External" Id="R686a1637c2b5408c" /><Relationship Type="http://schemas.openxmlformats.org/officeDocument/2006/relationships/hyperlink" Target="https://transform.england.nhs.uk/information-governance/guidance/virtual-wards/" TargetMode="External" Id="Rb4185157d8f0459e" /><Relationship Type="http://schemas.openxmlformats.org/officeDocument/2006/relationships/hyperlink" Target="https://journals.sagepub.com/doi/abs/10.1258/135763303322196222" TargetMode="External" Id="R5c44446fce264c05" /><Relationship Type="http://schemas.openxmlformats.org/officeDocument/2006/relationships/hyperlink" Target="https://www.ncbi.nlm.nih.gov/books/NBK507672/pdf/Bookshelf_NBK507672.pdf" TargetMode="External" Id="R785612d361bd4ac1" /><Relationship Type="http://schemas.openxmlformats.org/officeDocument/2006/relationships/hyperlink" Target="https://www.staffslondon.ac.uk/news/2022/12/report-calls-for-national-telehealth-guidelines-for-allied-health-professions" TargetMode="External" Id="Rad3d58cc8e5b4213" /><Relationship Type="http://schemas.openxmlformats.org/officeDocument/2006/relationships/hyperlink" Target="https://committees.parliament.uk/publications/223/report/" TargetMode="External" Id="Rd1efe6b6184346a1" /><Relationship Type="http://schemas.openxmlformats.org/officeDocument/2006/relationships/hyperlink" Target="https://pmc.ncbi.nlm.nih.gov/articles/PMC3366107/?utm_source=chatgpt.com" TargetMode="External" Id="Rbcf6331ae1634cca" /><Relationship Type="http://schemas.openxmlformats.org/officeDocument/2006/relationships/hyperlink" Target="https://iris.who.int/handle/10665/336862?utm_source=chatgpt.com" TargetMode="External" Id="Rda949089000d4a74" /><Relationship Type="http://schemas.openxmlformats.org/officeDocument/2006/relationships/hyperlink" Target="https://www.who.int/" TargetMode="External" Id="R10c8c972995f4dfd" /><Relationship Type="http://schemas.openxmlformats.org/officeDocument/2006/relationships/numbering" Target="numbering.xml" Id="R94b872952f9e4e1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Sintia Ponta Garca Do Rosario (2316842)</dc:creator>
  <keywords/>
  <dc:description/>
  <lastModifiedBy>Sintia Ponta Garca Do Rosario (2316842)</lastModifiedBy>
  <revision>5</revision>
  <dcterms:created xsi:type="dcterms:W3CDTF">2026-03-16T11:45:00.0000000Z</dcterms:created>
  <dcterms:modified xsi:type="dcterms:W3CDTF">2026-03-23T11:27:17.7047873Z</dcterms:modified>
</coreProperties>
</file>