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F4D76B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64146">
              <w:rPr>
                <w:rFonts w:ascii="Times New Roman" w:hAnsi="Times New Roman" w:cs="Times New Roman"/>
                <w:b/>
                <w:color w:val="auto"/>
                <w:sz w:val="48"/>
              </w:rPr>
              <w:t>Hazel Bates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BBC9CB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228AF">
              <w:rPr>
                <w:rFonts w:ascii="Times New Roman" w:hAnsi="Times New Roman" w:cs="Times New Roman"/>
                <w:b/>
                <w:color w:val="auto"/>
                <w:sz w:val="48"/>
              </w:rPr>
              <w:t xml:space="preserve"> </w:t>
            </w:r>
            <w:r w:rsidR="00764146">
              <w:rPr>
                <w:rFonts w:ascii="Times New Roman" w:hAnsi="Times New Roman" w:cs="Times New Roman"/>
                <w:b/>
                <w:color w:val="auto"/>
                <w:sz w:val="48"/>
              </w:rPr>
              <w:t>HEBates@carmarthenshire.gov.uk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5B3E06D" w14:textId="77777777" w:rsidR="00645E5B" w:rsidRDefault="00645E5B" w:rsidP="00645E5B">
            <w:pPr>
              <w:ind w:right="-957"/>
              <w:rPr>
                <w:rFonts w:ascii="Times New Roman" w:hAnsi="Times New Roman" w:cs="Times New Roman"/>
                <w:b/>
                <w:color w:val="auto"/>
                <w:sz w:val="48"/>
              </w:rPr>
            </w:pPr>
            <w:r>
              <w:rPr>
                <w:rFonts w:ascii="Times New Roman" w:hAnsi="Times New Roman" w:cs="Times New Roman"/>
                <w:b/>
                <w:sz w:val="48"/>
              </w:rPr>
              <w:t>2236135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CA25D8C" w14:textId="77777777" w:rsidR="00A307D1" w:rsidRDefault="00A307D1" w:rsidP="00A307D1">
            <w:pPr>
              <w:jc w:val="both"/>
              <w:rPr>
                <w:iCs/>
                <w:sz w:val="24"/>
                <w:szCs w:val="24"/>
              </w:rPr>
            </w:pPr>
            <w:r>
              <w:rPr>
                <w:iCs/>
                <w:sz w:val="24"/>
                <w:szCs w:val="24"/>
              </w:rPr>
              <w:t>I am based within a children’s assessment team who assess the needs of a child for care and support. The Social Service and Wellbeing Act (2014) Wales section 21 places a duty on my role to assess the needs of a child for care and support and what those needs may be.  As part of these assessments, I will establish through gathering and analysing information, applying professional judgment to whether the child has care and support needs which can be managed through the provision of advice or preventative support or whether there is risk of significant harm (The Children Act).</w:t>
            </w:r>
          </w:p>
          <w:p w14:paraId="1BEB8F2A" w14:textId="77777777" w:rsidR="00A307D1" w:rsidRDefault="00A307D1" w:rsidP="00A307D1">
            <w:pPr>
              <w:jc w:val="both"/>
              <w:rPr>
                <w:iCs/>
                <w:sz w:val="24"/>
                <w:szCs w:val="24"/>
              </w:rPr>
            </w:pPr>
          </w:p>
          <w:p w14:paraId="36E006CA" w14:textId="77777777" w:rsidR="00A307D1" w:rsidRDefault="00A307D1" w:rsidP="00A307D1">
            <w:pPr>
              <w:jc w:val="both"/>
              <w:rPr>
                <w:iCs/>
                <w:sz w:val="24"/>
                <w:szCs w:val="24"/>
              </w:rPr>
            </w:pPr>
            <w:r>
              <w:rPr>
                <w:iCs/>
                <w:sz w:val="24"/>
                <w:szCs w:val="24"/>
              </w:rPr>
              <w:t>The Children Act introduced significant harm as the threshold which justifies compulsory intervention into a family’s circumstances for the best interests of the child.  It is a tension I have become more aware of within my role between a family right to a private family life (EHRC) and that the child’s welfare will always remain paramount. (The Children Act).</w:t>
            </w:r>
          </w:p>
          <w:p w14:paraId="4B7146A1" w14:textId="77777777" w:rsidR="00A307D1" w:rsidRDefault="00A307D1" w:rsidP="00A307D1">
            <w:pPr>
              <w:jc w:val="both"/>
              <w:rPr>
                <w:iCs/>
                <w:sz w:val="24"/>
                <w:szCs w:val="24"/>
              </w:rPr>
            </w:pPr>
            <w:r w:rsidRPr="00AD25B3">
              <w:rPr>
                <w:iCs/>
                <w:sz w:val="24"/>
                <w:szCs w:val="24"/>
              </w:rPr>
              <w:t>This case study involves a family consisting of Mother</w:t>
            </w:r>
            <w:r>
              <w:rPr>
                <w:i/>
                <w:sz w:val="24"/>
                <w:szCs w:val="24"/>
              </w:rPr>
              <w:t xml:space="preserve"> (</w:t>
            </w:r>
            <w:r>
              <w:rPr>
                <w:b/>
                <w:bCs/>
                <w:i/>
                <w:sz w:val="24"/>
                <w:szCs w:val="24"/>
              </w:rPr>
              <w:t xml:space="preserve">1) </w:t>
            </w:r>
            <w:r>
              <w:rPr>
                <w:iCs/>
                <w:sz w:val="24"/>
                <w:szCs w:val="24"/>
              </w:rPr>
              <w:t xml:space="preserve">father </w:t>
            </w:r>
            <w:r w:rsidRPr="00AB5F90">
              <w:rPr>
                <w:b/>
                <w:bCs/>
                <w:iCs/>
                <w:sz w:val="24"/>
                <w:szCs w:val="24"/>
              </w:rPr>
              <w:t xml:space="preserve">(2) </w:t>
            </w:r>
            <w:r>
              <w:rPr>
                <w:b/>
                <w:bCs/>
                <w:iCs/>
                <w:sz w:val="24"/>
                <w:szCs w:val="24"/>
              </w:rPr>
              <w:t xml:space="preserve">child </w:t>
            </w:r>
            <w:r w:rsidRPr="005E4C38">
              <w:rPr>
                <w:iCs/>
                <w:sz w:val="24"/>
                <w:szCs w:val="24"/>
              </w:rPr>
              <w:t>(3)</w:t>
            </w:r>
            <w:r>
              <w:rPr>
                <w:iCs/>
                <w:sz w:val="24"/>
                <w:szCs w:val="24"/>
              </w:rPr>
              <w:t xml:space="preserve"> and child </w:t>
            </w:r>
            <w:r w:rsidRPr="005E4C38">
              <w:rPr>
                <w:b/>
                <w:bCs/>
                <w:iCs/>
                <w:sz w:val="24"/>
                <w:szCs w:val="24"/>
              </w:rPr>
              <w:t>(4)</w:t>
            </w:r>
            <w:r>
              <w:rPr>
                <w:b/>
                <w:bCs/>
                <w:iCs/>
                <w:sz w:val="24"/>
                <w:szCs w:val="24"/>
              </w:rPr>
              <w:t xml:space="preserve">. </w:t>
            </w:r>
            <w:r w:rsidRPr="005E4C38">
              <w:rPr>
                <w:iCs/>
                <w:sz w:val="24"/>
                <w:szCs w:val="24"/>
              </w:rPr>
              <w:t xml:space="preserve">Paternal grandfather </w:t>
            </w:r>
            <w:r>
              <w:rPr>
                <w:iCs/>
                <w:sz w:val="24"/>
                <w:szCs w:val="24"/>
              </w:rPr>
              <w:t>(</w:t>
            </w:r>
            <w:r w:rsidRPr="00D87987">
              <w:rPr>
                <w:iCs/>
                <w:sz w:val="24"/>
                <w:szCs w:val="24"/>
              </w:rPr>
              <w:t>5</w:t>
            </w:r>
            <w:r>
              <w:rPr>
                <w:iCs/>
                <w:sz w:val="24"/>
                <w:szCs w:val="24"/>
              </w:rPr>
              <w:t xml:space="preserve">) </w:t>
            </w:r>
            <w:r w:rsidRPr="00D87987">
              <w:rPr>
                <w:iCs/>
                <w:sz w:val="24"/>
                <w:szCs w:val="24"/>
              </w:rPr>
              <w:t>was</w:t>
            </w:r>
            <w:r w:rsidRPr="005E4C38">
              <w:rPr>
                <w:iCs/>
                <w:sz w:val="24"/>
                <w:szCs w:val="24"/>
              </w:rPr>
              <w:t xml:space="preserve"> involved </w:t>
            </w:r>
            <w:r>
              <w:rPr>
                <w:iCs/>
                <w:sz w:val="24"/>
                <w:szCs w:val="24"/>
              </w:rPr>
              <w:t xml:space="preserve">to form the safety network for the children whilst the assessment was ongoing. The family resided in a small Welsh town with a strong industrial heritage and strong resources in terms of schools and transport links. The loss of these industries low employment was a concern for many of the families living within the area.  The area the family recently moved from had housed many low - income families and was widely known for issues such as poverty, domestic violence and substance use. Many of the homes were run down and needing repair. The Welsh Government has recognised these issues through the Wellbeing of Future Generations (Wales) Act 2015 and had made provision to demolish the estate with the aim of rebuilding new houses as part of Wales sustainable development. Although this meant the family had relocated to a home that provided better </w:t>
            </w:r>
            <w:r>
              <w:rPr>
                <w:iCs/>
                <w:sz w:val="24"/>
                <w:szCs w:val="24"/>
              </w:rPr>
              <w:lastRenderedPageBreak/>
              <w:t xml:space="preserve">accommodation due to the town huge loss of employment social deprivation along with the additional factors of substance use and poverty remained with the family </w:t>
            </w:r>
          </w:p>
          <w:p w14:paraId="53AF60C2" w14:textId="77777777" w:rsidR="00A307D1" w:rsidRDefault="00A307D1" w:rsidP="00A307D1">
            <w:pPr>
              <w:jc w:val="both"/>
              <w:rPr>
                <w:iCs/>
                <w:sz w:val="24"/>
                <w:szCs w:val="24"/>
              </w:rPr>
            </w:pPr>
          </w:p>
          <w:p w14:paraId="0A1FDD41" w14:textId="77777777" w:rsidR="00A307D1" w:rsidRDefault="00A307D1" w:rsidP="00A307D1">
            <w:pPr>
              <w:jc w:val="both"/>
              <w:rPr>
                <w:iCs/>
                <w:sz w:val="24"/>
                <w:szCs w:val="24"/>
              </w:rPr>
            </w:pPr>
            <w:r>
              <w:rPr>
                <w:iCs/>
                <w:sz w:val="24"/>
                <w:szCs w:val="24"/>
              </w:rPr>
              <w:t>Although I was aware of this, I had reflected using Gibbs “description” (Gibbs 1988) that this should not influence my judgment and analysis and each family I assess must be taken on their own merit and not on where they live or their family background. All information relating to the family forms the assessment, but professional judgement should not be influenced by these factors.  Turnell states that child abuse is by its nature secretive (Turnell 2024), so it is important that my assessments are robust considering evidence and facts to examine the child’s lived experience and the impact of this lived experience on the child’s wellbeing and development to inform my decision making around risk.</w:t>
            </w:r>
          </w:p>
          <w:p w14:paraId="0377B3E0" w14:textId="77777777" w:rsidR="00A307D1" w:rsidRDefault="00A307D1" w:rsidP="00A307D1">
            <w:pPr>
              <w:jc w:val="both"/>
              <w:rPr>
                <w:iCs/>
                <w:sz w:val="24"/>
                <w:szCs w:val="24"/>
              </w:rPr>
            </w:pPr>
          </w:p>
          <w:p w14:paraId="223C40C3" w14:textId="77777777" w:rsidR="00A307D1" w:rsidRDefault="00A307D1" w:rsidP="00A307D1">
            <w:pPr>
              <w:jc w:val="both"/>
              <w:rPr>
                <w:iCs/>
                <w:sz w:val="24"/>
                <w:szCs w:val="24"/>
              </w:rPr>
            </w:pPr>
            <w:r>
              <w:rPr>
                <w:iCs/>
                <w:sz w:val="24"/>
                <w:szCs w:val="24"/>
              </w:rPr>
              <w:t>(</w:t>
            </w:r>
            <w:r>
              <w:rPr>
                <w:b/>
                <w:bCs/>
                <w:iCs/>
                <w:sz w:val="24"/>
                <w:szCs w:val="24"/>
              </w:rPr>
              <w:t xml:space="preserve">1)  </w:t>
            </w:r>
            <w:r>
              <w:rPr>
                <w:iCs/>
                <w:sz w:val="24"/>
                <w:szCs w:val="24"/>
              </w:rPr>
              <w:t xml:space="preserve">was of European descent and had relocated with her parents as a teenager.  </w:t>
            </w:r>
            <w:r>
              <w:rPr>
                <w:b/>
                <w:bCs/>
                <w:iCs/>
                <w:sz w:val="24"/>
                <w:szCs w:val="24"/>
              </w:rPr>
              <w:t xml:space="preserve">(2) </w:t>
            </w:r>
            <w:r w:rsidRPr="00216D05">
              <w:rPr>
                <w:iCs/>
                <w:sz w:val="24"/>
                <w:szCs w:val="24"/>
              </w:rPr>
              <w:t xml:space="preserve">was local to the area </w:t>
            </w:r>
            <w:r>
              <w:rPr>
                <w:iCs/>
                <w:sz w:val="24"/>
                <w:szCs w:val="24"/>
              </w:rPr>
              <w:t>as were his family.  (</w:t>
            </w:r>
            <w:r>
              <w:rPr>
                <w:b/>
                <w:bCs/>
                <w:iCs/>
                <w:sz w:val="24"/>
                <w:szCs w:val="24"/>
              </w:rPr>
              <w:t>1</w:t>
            </w:r>
            <w:r>
              <w:rPr>
                <w:iCs/>
                <w:sz w:val="24"/>
                <w:szCs w:val="24"/>
              </w:rPr>
              <w:t>) was fluent in English and happy to undertake meeting in English so no translator was required. (</w:t>
            </w:r>
            <w:r>
              <w:rPr>
                <w:b/>
                <w:bCs/>
                <w:iCs/>
                <w:sz w:val="24"/>
                <w:szCs w:val="24"/>
              </w:rPr>
              <w:t>2)</w:t>
            </w:r>
            <w:r>
              <w:rPr>
                <w:iCs/>
                <w:sz w:val="24"/>
                <w:szCs w:val="24"/>
              </w:rPr>
              <w:t xml:space="preserve">  Though of Welsh descent was English first language and did not require the assessment to be undertaken through the medium of Welsh.  In line with The Welsh Measure 2011, COPP 2.2 2.3 and The National Occupational Standards (NOS) for social worker these matters were established with the family prior to beginning any discussions. Use of these standards is important within practice not just to work under the framework of legislation but also to balance the use pf power and to promote trust from the start of the assessment.     </w:t>
            </w:r>
          </w:p>
          <w:p w14:paraId="7C8D4F01" w14:textId="77777777" w:rsidR="00A307D1" w:rsidRDefault="00A307D1" w:rsidP="00A307D1">
            <w:pPr>
              <w:jc w:val="both"/>
              <w:rPr>
                <w:iCs/>
                <w:sz w:val="24"/>
                <w:szCs w:val="24"/>
              </w:rPr>
            </w:pPr>
          </w:p>
          <w:p w14:paraId="541CD538" w14:textId="77777777" w:rsidR="00A307D1" w:rsidRPr="00AD25B3" w:rsidRDefault="00A307D1" w:rsidP="00A307D1">
            <w:pPr>
              <w:jc w:val="both"/>
              <w:rPr>
                <w:sz w:val="22"/>
                <w:szCs w:val="22"/>
              </w:rPr>
            </w:pPr>
            <w:r>
              <w:rPr>
                <w:iCs/>
                <w:sz w:val="24"/>
                <w:szCs w:val="24"/>
              </w:rPr>
              <w:t xml:space="preserve">Concerns were raised by school in relation to child </w:t>
            </w:r>
            <w:r>
              <w:rPr>
                <w:b/>
                <w:bCs/>
                <w:iCs/>
                <w:sz w:val="24"/>
                <w:szCs w:val="24"/>
              </w:rPr>
              <w:t xml:space="preserve">(3) </w:t>
            </w:r>
            <w:r>
              <w:rPr>
                <w:iCs/>
                <w:sz w:val="24"/>
                <w:szCs w:val="24"/>
              </w:rPr>
              <w:t>attending school with a significant injury to her face consisting of a swollen and bruised nose and two</w:t>
            </w:r>
            <w:r>
              <w:rPr>
                <w:b/>
                <w:bCs/>
                <w:iCs/>
                <w:sz w:val="24"/>
                <w:szCs w:val="24"/>
              </w:rPr>
              <w:t xml:space="preserve"> </w:t>
            </w:r>
            <w:r>
              <w:rPr>
                <w:iCs/>
                <w:sz w:val="24"/>
                <w:szCs w:val="24"/>
              </w:rPr>
              <w:t>black eyes.</w:t>
            </w:r>
            <w:r w:rsidRPr="00D968A2">
              <w:rPr>
                <w:b/>
                <w:bCs/>
                <w:iCs/>
                <w:sz w:val="24"/>
                <w:szCs w:val="24"/>
              </w:rPr>
              <w:t xml:space="preserve"> (2)</w:t>
            </w:r>
            <w:r>
              <w:rPr>
                <w:iCs/>
                <w:sz w:val="24"/>
                <w:szCs w:val="24"/>
              </w:rPr>
              <w:t xml:space="preserve">  had given an explanation when arriving at the school of how the injuries had concurred however (2) gave a differing account when contacted by school later that day. This had raised concerns as the accounts did not match. </w:t>
            </w:r>
            <w:r w:rsidRPr="004C12D9">
              <w:rPr>
                <w:iCs/>
                <w:sz w:val="24"/>
                <w:szCs w:val="24"/>
              </w:rPr>
              <w:t xml:space="preserve">In line with The Local Safeguarding Board procedures school had submitted a multi-agency referral which led strategy discussion </w:t>
            </w:r>
            <w:r w:rsidRPr="004C12D9">
              <w:rPr>
                <w:sz w:val="24"/>
                <w:szCs w:val="24"/>
              </w:rPr>
              <w:t>between Central referral team and Dyfed Powys Police to determine whether S47 proceedings should be initiated and how these enquires should be undertaken. (Wales Safeguarding Procedures).</w:t>
            </w:r>
            <w:r>
              <w:rPr>
                <w:sz w:val="22"/>
                <w:szCs w:val="22"/>
              </w:rPr>
              <w:t xml:space="preserve">  School has also raised concern that there had been a decline in </w:t>
            </w:r>
            <w:r>
              <w:rPr>
                <w:b/>
                <w:bCs/>
                <w:sz w:val="22"/>
                <w:szCs w:val="22"/>
              </w:rPr>
              <w:t xml:space="preserve">3’s </w:t>
            </w:r>
            <w:r w:rsidRPr="00AD25B3">
              <w:rPr>
                <w:sz w:val="22"/>
                <w:szCs w:val="22"/>
              </w:rPr>
              <w:t>presentation</w:t>
            </w:r>
            <w:r>
              <w:rPr>
                <w:b/>
                <w:bCs/>
                <w:sz w:val="22"/>
                <w:szCs w:val="22"/>
              </w:rPr>
              <w:t xml:space="preserve"> </w:t>
            </w:r>
            <w:r w:rsidRPr="00AD25B3">
              <w:rPr>
                <w:sz w:val="22"/>
                <w:szCs w:val="22"/>
              </w:rPr>
              <w:t>within school</w:t>
            </w:r>
            <w:r>
              <w:rPr>
                <w:sz w:val="22"/>
                <w:szCs w:val="22"/>
              </w:rPr>
              <w:t xml:space="preserve"> with staff reporting </w:t>
            </w:r>
            <w:r>
              <w:rPr>
                <w:b/>
                <w:bCs/>
                <w:sz w:val="22"/>
                <w:szCs w:val="22"/>
              </w:rPr>
              <w:t xml:space="preserve">3 </w:t>
            </w:r>
            <w:r>
              <w:rPr>
                <w:sz w:val="22"/>
                <w:szCs w:val="22"/>
              </w:rPr>
              <w:t>looking unclean, untidy and arriving hungry at school.</w:t>
            </w:r>
          </w:p>
          <w:p w14:paraId="712CA8EC" w14:textId="77777777" w:rsidR="00A307D1" w:rsidRDefault="00A307D1" w:rsidP="00A307D1">
            <w:pPr>
              <w:jc w:val="both"/>
              <w:rPr>
                <w:sz w:val="22"/>
                <w:szCs w:val="22"/>
              </w:rPr>
            </w:pPr>
          </w:p>
          <w:p w14:paraId="59594EEF" w14:textId="77777777" w:rsidR="00A307D1" w:rsidRDefault="00A307D1" w:rsidP="00A307D1">
            <w:pPr>
              <w:jc w:val="both"/>
              <w:rPr>
                <w:sz w:val="24"/>
                <w:szCs w:val="24"/>
              </w:rPr>
            </w:pPr>
            <w:r w:rsidRPr="004C12D9">
              <w:rPr>
                <w:sz w:val="24"/>
                <w:szCs w:val="24"/>
              </w:rPr>
              <w:t xml:space="preserve">The outcome of this strategy discussion was that a joint investigation S47 would between police and the local authority, and this would include a Child Protection Medical.  My role was to undertake the S47 assessment and attend the CP medical with </w:t>
            </w:r>
            <w:r w:rsidRPr="004C12D9">
              <w:rPr>
                <w:b/>
                <w:bCs/>
                <w:sz w:val="24"/>
                <w:szCs w:val="24"/>
              </w:rPr>
              <w:t xml:space="preserve">3.  </w:t>
            </w:r>
            <w:r w:rsidRPr="004C12D9">
              <w:rPr>
                <w:sz w:val="24"/>
                <w:szCs w:val="24"/>
              </w:rPr>
              <w:t xml:space="preserve">All professionals were concerned around </w:t>
            </w:r>
            <w:r w:rsidRPr="004C12D9">
              <w:rPr>
                <w:b/>
                <w:bCs/>
                <w:sz w:val="24"/>
                <w:szCs w:val="24"/>
              </w:rPr>
              <w:t xml:space="preserve">3’s </w:t>
            </w:r>
            <w:r w:rsidRPr="004C12D9">
              <w:rPr>
                <w:sz w:val="24"/>
                <w:szCs w:val="24"/>
              </w:rPr>
              <w:t>welfare as a similar incident had occurred three years prior but a CP medical had not been agreed at the time.</w:t>
            </w:r>
            <w:r w:rsidRPr="00665A5B">
              <w:rPr>
                <w:sz w:val="24"/>
                <w:szCs w:val="24"/>
              </w:rPr>
              <w:t xml:space="preserve"> </w:t>
            </w:r>
            <w:r>
              <w:rPr>
                <w:sz w:val="24"/>
                <w:szCs w:val="24"/>
              </w:rPr>
              <w:t xml:space="preserve">The Children Act (1989) outlines a voluntary agreement between a parent or carer with PR and the Local Authority to place a child with a chosen family member or foster carer whilst children’s services undertake necessary investigations or interventions. </w:t>
            </w:r>
            <w:r w:rsidRPr="004C12D9">
              <w:rPr>
                <w:sz w:val="24"/>
                <w:szCs w:val="24"/>
              </w:rPr>
              <w:t xml:space="preserve"> </w:t>
            </w:r>
            <w:r>
              <w:rPr>
                <w:sz w:val="24"/>
                <w:szCs w:val="24"/>
              </w:rPr>
              <w:t xml:space="preserve">Following difficult discussions with the family around our concerns </w:t>
            </w:r>
            <w:r w:rsidRPr="004C12D9">
              <w:rPr>
                <w:b/>
                <w:bCs/>
                <w:sz w:val="24"/>
                <w:szCs w:val="24"/>
              </w:rPr>
              <w:t xml:space="preserve">1 </w:t>
            </w:r>
            <w:r w:rsidRPr="004C12D9">
              <w:rPr>
                <w:sz w:val="24"/>
                <w:szCs w:val="24"/>
              </w:rPr>
              <w:t xml:space="preserve">and </w:t>
            </w:r>
            <w:r w:rsidRPr="004C12D9">
              <w:rPr>
                <w:b/>
                <w:bCs/>
                <w:sz w:val="24"/>
                <w:szCs w:val="24"/>
              </w:rPr>
              <w:t>2</w:t>
            </w:r>
            <w:r w:rsidRPr="004C12D9">
              <w:rPr>
                <w:sz w:val="24"/>
                <w:szCs w:val="24"/>
              </w:rPr>
              <w:t xml:space="preserve"> agreed that both children could stay with </w:t>
            </w:r>
            <w:r w:rsidRPr="004C12D9">
              <w:rPr>
                <w:b/>
                <w:bCs/>
                <w:sz w:val="24"/>
                <w:szCs w:val="24"/>
              </w:rPr>
              <w:t>4 with</w:t>
            </w:r>
            <w:r w:rsidRPr="004C12D9">
              <w:rPr>
                <w:sz w:val="24"/>
                <w:szCs w:val="24"/>
              </w:rPr>
              <w:t xml:space="preserve"> </w:t>
            </w:r>
            <w:r w:rsidRPr="004C12D9">
              <w:rPr>
                <w:b/>
                <w:bCs/>
                <w:sz w:val="24"/>
                <w:szCs w:val="24"/>
              </w:rPr>
              <w:t xml:space="preserve">4 </w:t>
            </w:r>
            <w:r w:rsidRPr="004C12D9">
              <w:rPr>
                <w:sz w:val="24"/>
                <w:szCs w:val="24"/>
              </w:rPr>
              <w:t xml:space="preserve">supervising all care of </w:t>
            </w:r>
            <w:r w:rsidRPr="004C12D9">
              <w:rPr>
                <w:b/>
                <w:bCs/>
                <w:sz w:val="24"/>
                <w:szCs w:val="24"/>
              </w:rPr>
              <w:t>3 and 4</w:t>
            </w:r>
            <w:r w:rsidRPr="004C12D9">
              <w:rPr>
                <w:sz w:val="24"/>
                <w:szCs w:val="24"/>
              </w:rPr>
              <w:t xml:space="preserve"> until the CP medical had been undertaken. </w:t>
            </w:r>
          </w:p>
          <w:p w14:paraId="52360190" w14:textId="77777777" w:rsidR="00A307D1" w:rsidRDefault="00A307D1" w:rsidP="00A307D1">
            <w:pPr>
              <w:jc w:val="both"/>
              <w:rPr>
                <w:sz w:val="24"/>
                <w:szCs w:val="24"/>
              </w:rPr>
            </w:pPr>
          </w:p>
          <w:p w14:paraId="7CE6C9E0" w14:textId="77777777" w:rsidR="00A307D1" w:rsidRPr="004C12D9" w:rsidRDefault="00A307D1" w:rsidP="00A307D1">
            <w:pPr>
              <w:jc w:val="both"/>
              <w:rPr>
                <w:sz w:val="24"/>
                <w:szCs w:val="24"/>
              </w:rPr>
            </w:pPr>
            <w:r w:rsidRPr="004C12D9">
              <w:rPr>
                <w:sz w:val="24"/>
                <w:szCs w:val="24"/>
              </w:rPr>
              <w:t>Following</w:t>
            </w:r>
            <w:r w:rsidRPr="004C12D9">
              <w:rPr>
                <w:b/>
                <w:bCs/>
                <w:sz w:val="24"/>
                <w:szCs w:val="24"/>
              </w:rPr>
              <w:t xml:space="preserve"> 3</w:t>
            </w:r>
            <w:r w:rsidRPr="004C12D9">
              <w:rPr>
                <w:sz w:val="24"/>
                <w:szCs w:val="24"/>
              </w:rPr>
              <w:t xml:space="preserve"> being examined by paediatricians including skeletal survey’s the C</w:t>
            </w:r>
            <w:r>
              <w:rPr>
                <w:sz w:val="24"/>
                <w:szCs w:val="24"/>
              </w:rPr>
              <w:t>P</w:t>
            </w:r>
            <w:r w:rsidRPr="004C12D9">
              <w:rPr>
                <w:sz w:val="24"/>
                <w:szCs w:val="24"/>
              </w:rPr>
              <w:t xml:space="preserve"> medical gave a probable outcome of a non -accidental injury. Parents strongly denied this was the case.  </w:t>
            </w:r>
            <w:r w:rsidRPr="004C12D9">
              <w:rPr>
                <w:b/>
                <w:bCs/>
                <w:sz w:val="24"/>
                <w:szCs w:val="24"/>
              </w:rPr>
              <w:t xml:space="preserve">3 </w:t>
            </w:r>
            <w:r w:rsidRPr="004C12D9">
              <w:rPr>
                <w:sz w:val="24"/>
                <w:szCs w:val="24"/>
              </w:rPr>
              <w:t>and</w:t>
            </w:r>
            <w:r w:rsidRPr="004C12D9">
              <w:rPr>
                <w:b/>
                <w:bCs/>
                <w:sz w:val="24"/>
                <w:szCs w:val="24"/>
              </w:rPr>
              <w:t xml:space="preserve"> 4 </w:t>
            </w:r>
            <w:r w:rsidRPr="004C12D9">
              <w:rPr>
                <w:sz w:val="24"/>
                <w:szCs w:val="24"/>
              </w:rPr>
              <w:t xml:space="preserve">were returned to the care of </w:t>
            </w:r>
            <w:r w:rsidRPr="004C12D9">
              <w:rPr>
                <w:b/>
                <w:bCs/>
                <w:sz w:val="24"/>
                <w:szCs w:val="24"/>
              </w:rPr>
              <w:t xml:space="preserve">5 </w:t>
            </w:r>
            <w:r w:rsidRPr="004C12D9">
              <w:rPr>
                <w:sz w:val="24"/>
                <w:szCs w:val="24"/>
              </w:rPr>
              <w:t xml:space="preserve">with parents reluctantly agreeing to the continuation of </w:t>
            </w:r>
            <w:r w:rsidRPr="004C12D9">
              <w:rPr>
                <w:sz w:val="24"/>
                <w:szCs w:val="24"/>
              </w:rPr>
              <w:lastRenderedPageBreak/>
              <w:t xml:space="preserve">supervised care only with </w:t>
            </w:r>
            <w:r w:rsidRPr="004C12D9">
              <w:rPr>
                <w:b/>
                <w:bCs/>
                <w:sz w:val="24"/>
                <w:szCs w:val="24"/>
              </w:rPr>
              <w:t xml:space="preserve">4 </w:t>
            </w:r>
            <w:r w:rsidRPr="004C12D9">
              <w:rPr>
                <w:sz w:val="24"/>
                <w:szCs w:val="24"/>
              </w:rPr>
              <w:t xml:space="preserve">supervising. I found this conversation difficult with the family members as we appeared stuck between the denial of the family and the evidence from the injury and previous concerns. </w:t>
            </w:r>
            <w:r w:rsidRPr="004C12D9">
              <w:rPr>
                <w:b/>
                <w:bCs/>
                <w:sz w:val="24"/>
                <w:szCs w:val="24"/>
              </w:rPr>
              <w:t xml:space="preserve">2 </w:t>
            </w:r>
            <w:r w:rsidRPr="004C12D9">
              <w:rPr>
                <w:sz w:val="24"/>
                <w:szCs w:val="24"/>
              </w:rPr>
              <w:t xml:space="preserve">had not disclosed any abuse from parents but school had raised further concerns around </w:t>
            </w:r>
            <w:r>
              <w:rPr>
                <w:sz w:val="24"/>
                <w:szCs w:val="24"/>
              </w:rPr>
              <w:t>her</w:t>
            </w:r>
            <w:r w:rsidRPr="004C12D9">
              <w:rPr>
                <w:sz w:val="24"/>
                <w:szCs w:val="24"/>
              </w:rPr>
              <w:t xml:space="preserve"> general presentation within school. </w:t>
            </w:r>
          </w:p>
          <w:p w14:paraId="3CDB8B0A" w14:textId="77777777" w:rsidR="00A307D1" w:rsidRDefault="00A307D1" w:rsidP="00A307D1">
            <w:pPr>
              <w:jc w:val="both"/>
              <w:rPr>
                <w:sz w:val="22"/>
                <w:szCs w:val="22"/>
              </w:rPr>
            </w:pPr>
          </w:p>
          <w:p w14:paraId="227C37CA" w14:textId="77777777" w:rsidR="00A307D1" w:rsidRDefault="00A307D1" w:rsidP="00A307D1">
            <w:pPr>
              <w:jc w:val="both"/>
              <w:rPr>
                <w:bCs/>
                <w:iCs/>
                <w:sz w:val="24"/>
                <w:szCs w:val="24"/>
              </w:rPr>
            </w:pPr>
          </w:p>
          <w:p w14:paraId="1274F729" w14:textId="77777777" w:rsidR="00A307D1" w:rsidRDefault="00A307D1" w:rsidP="00A307D1">
            <w:pPr>
              <w:jc w:val="both"/>
              <w:rPr>
                <w:bCs/>
                <w:iCs/>
                <w:sz w:val="24"/>
                <w:szCs w:val="24"/>
              </w:rPr>
            </w:pPr>
            <w:r>
              <w:rPr>
                <w:bCs/>
                <w:iCs/>
                <w:sz w:val="24"/>
                <w:szCs w:val="24"/>
              </w:rPr>
              <w:t xml:space="preserve">Due to concerns being substantiated from the S47 enquiry (Wales Safeguarding Procedures) A discussion was held with my supervisor and manager where we agreed that the risks could not be managed under a Child Protection framework. A legal gateway meeting was agreed to consider the signs and indicators presented within the enquiry and to establish whether threshold under section 31 CA 1989 had been met. In preparation for the meeting, I was required to prepare a synopsis of the case including the family’s backgrounds, strengths, needs and circumstances leading to our concerns. It was clear from my discussions with the </w:t>
            </w:r>
            <w:r w:rsidRPr="00DC4059">
              <w:rPr>
                <w:b/>
                <w:iCs/>
                <w:sz w:val="24"/>
                <w:szCs w:val="24"/>
              </w:rPr>
              <w:t xml:space="preserve">1 </w:t>
            </w:r>
            <w:r>
              <w:rPr>
                <w:bCs/>
                <w:iCs/>
                <w:sz w:val="24"/>
                <w:szCs w:val="24"/>
              </w:rPr>
              <w:t xml:space="preserve">and </w:t>
            </w:r>
            <w:r w:rsidRPr="00DC4059">
              <w:rPr>
                <w:b/>
                <w:iCs/>
                <w:sz w:val="24"/>
                <w:szCs w:val="24"/>
              </w:rPr>
              <w:t>2</w:t>
            </w:r>
            <w:r>
              <w:rPr>
                <w:bCs/>
                <w:iCs/>
                <w:sz w:val="24"/>
                <w:szCs w:val="24"/>
              </w:rPr>
              <w:t xml:space="preserve"> that both clearly loved the children and were under great distress following the children living with </w:t>
            </w:r>
            <w:r>
              <w:rPr>
                <w:b/>
                <w:iCs/>
                <w:sz w:val="24"/>
                <w:szCs w:val="24"/>
              </w:rPr>
              <w:t xml:space="preserve">5 </w:t>
            </w:r>
            <w:r>
              <w:rPr>
                <w:bCs/>
                <w:iCs/>
                <w:sz w:val="24"/>
                <w:szCs w:val="24"/>
              </w:rPr>
              <w:t xml:space="preserve">and I wondered whether stress factors such as poverty, substance misuse and social deprivation had led to poor supervision of the children resulting in injury rather than a deliberate injury being inflicted on the child.  This analysis is important as it will help me formulate a potential plan of agreement between the local authority and parents which will support the children to return home. </w:t>
            </w:r>
          </w:p>
          <w:p w14:paraId="2C3A8AE8" w14:textId="77777777" w:rsidR="00A307D1" w:rsidRDefault="00A307D1" w:rsidP="00A307D1">
            <w:pPr>
              <w:jc w:val="both"/>
              <w:rPr>
                <w:bCs/>
                <w:iCs/>
                <w:sz w:val="24"/>
                <w:szCs w:val="24"/>
              </w:rPr>
            </w:pPr>
          </w:p>
          <w:p w14:paraId="5CEFA3CC" w14:textId="77777777" w:rsidR="00A307D1" w:rsidRDefault="00A307D1" w:rsidP="00A307D1">
            <w:pPr>
              <w:jc w:val="both"/>
              <w:rPr>
                <w:bCs/>
                <w:iCs/>
                <w:sz w:val="24"/>
                <w:szCs w:val="24"/>
              </w:rPr>
            </w:pPr>
            <w:r>
              <w:rPr>
                <w:bCs/>
                <w:iCs/>
                <w:sz w:val="24"/>
                <w:szCs w:val="24"/>
              </w:rPr>
              <w:t xml:space="preserve">In 1995 a groundbreaking study identified several negative childhood experiences to be averse to a child’s development and ability to thrive. Termed ACE’s the research was formed around the impact of single or prolonged events or situations which can “breach a child’s sense of safety, security or bodily integrity. (Young Minds, 2018). Due to further assessment highlighting potential substance use, domestic violence on top of the suspected physical abuse and indicators of neglect there was a high level of professional concern around </w:t>
            </w:r>
            <w:r>
              <w:rPr>
                <w:b/>
                <w:iCs/>
                <w:sz w:val="24"/>
                <w:szCs w:val="24"/>
              </w:rPr>
              <w:t>3</w:t>
            </w:r>
            <w:r>
              <w:rPr>
                <w:bCs/>
                <w:iCs/>
                <w:sz w:val="24"/>
                <w:szCs w:val="24"/>
              </w:rPr>
              <w:t xml:space="preserve"> due to the presenting ACE’s and potential subsequent impact on </w:t>
            </w:r>
            <w:r>
              <w:rPr>
                <w:b/>
                <w:iCs/>
                <w:sz w:val="24"/>
                <w:szCs w:val="24"/>
              </w:rPr>
              <w:t xml:space="preserve">3’s </w:t>
            </w:r>
            <w:r w:rsidRPr="009E24DC">
              <w:rPr>
                <w:bCs/>
                <w:iCs/>
                <w:sz w:val="24"/>
                <w:szCs w:val="24"/>
              </w:rPr>
              <w:t>welfare and development</w:t>
            </w:r>
            <w:r>
              <w:rPr>
                <w:bCs/>
                <w:iCs/>
                <w:sz w:val="24"/>
                <w:szCs w:val="24"/>
              </w:rPr>
              <w:t xml:space="preserve">. These concerns were not accepted by the family who fiercely denied they presented any risk to their child’s welfare. </w:t>
            </w:r>
          </w:p>
          <w:p w14:paraId="706BA7D1" w14:textId="77777777" w:rsidR="00A307D1" w:rsidRDefault="00A307D1" w:rsidP="00A307D1">
            <w:pPr>
              <w:jc w:val="both"/>
              <w:rPr>
                <w:bCs/>
                <w:iCs/>
                <w:sz w:val="24"/>
                <w:szCs w:val="24"/>
              </w:rPr>
            </w:pPr>
            <w:r>
              <w:rPr>
                <w:bCs/>
                <w:iCs/>
                <w:sz w:val="24"/>
                <w:szCs w:val="24"/>
              </w:rPr>
              <w:t xml:space="preserve"> </w:t>
            </w:r>
          </w:p>
          <w:p w14:paraId="445FFAFB" w14:textId="77777777" w:rsidR="00A307D1" w:rsidRDefault="00A307D1" w:rsidP="00A307D1">
            <w:pPr>
              <w:jc w:val="both"/>
              <w:rPr>
                <w:bCs/>
                <w:iCs/>
                <w:sz w:val="24"/>
                <w:szCs w:val="24"/>
              </w:rPr>
            </w:pPr>
            <w:r>
              <w:rPr>
                <w:bCs/>
                <w:iCs/>
                <w:sz w:val="24"/>
                <w:szCs w:val="24"/>
              </w:rPr>
              <w:t xml:space="preserve">Best practice within collaborative working requires me to expect and navigate tensions within professionals’ views and families’ views and to keep the safety and best interests of the child central when applying professional judgement within all discussions. I cannot advocate for children to be removed from their homes to satisfy professional concerns but am required to consider the long-term impact on the child of remaining in the family home or being taken into a placement. The CA 1989 states that children are best placed with their families unless it is not safe for them my analysis needed to balance this against The United Nations Conventions of the rights of the child (UNCRC) which enshrines that children have the right to be safe. </w:t>
            </w:r>
          </w:p>
          <w:p w14:paraId="312C53AA" w14:textId="77777777" w:rsidR="00A307D1" w:rsidRDefault="00A307D1" w:rsidP="00A307D1">
            <w:pPr>
              <w:jc w:val="both"/>
              <w:rPr>
                <w:bCs/>
                <w:iCs/>
                <w:sz w:val="24"/>
                <w:szCs w:val="24"/>
              </w:rPr>
            </w:pPr>
          </w:p>
          <w:p w14:paraId="0C926A7E" w14:textId="77777777" w:rsidR="00A307D1" w:rsidRDefault="00A307D1" w:rsidP="00A307D1">
            <w:pPr>
              <w:jc w:val="both"/>
              <w:rPr>
                <w:bCs/>
                <w:iCs/>
                <w:sz w:val="24"/>
                <w:szCs w:val="24"/>
              </w:rPr>
            </w:pPr>
            <w:r>
              <w:rPr>
                <w:bCs/>
                <w:iCs/>
                <w:sz w:val="24"/>
                <w:szCs w:val="24"/>
              </w:rPr>
              <w:t xml:space="preserve">During a meeting with myself my supervisor, my manager and a representative from the local authority legal team to discuss threshold it was agreed that the concerns could not be managed within a child protection and that threshold had been met. This enabled a pre proceedings meeting as outlined as part of the Public Law Outline (PLO) as outlined within the Children and Families Act (2014) which sets out the duties of the local authority when consideration is given for application of a care order or supervision order to ensure safety of a child.   </w:t>
            </w:r>
          </w:p>
          <w:p w14:paraId="680C0D0F" w14:textId="77777777" w:rsidR="00A307D1" w:rsidRDefault="00A307D1" w:rsidP="00A307D1">
            <w:pPr>
              <w:jc w:val="both"/>
              <w:rPr>
                <w:bCs/>
                <w:iCs/>
                <w:sz w:val="24"/>
                <w:szCs w:val="24"/>
              </w:rPr>
            </w:pPr>
          </w:p>
          <w:p w14:paraId="315DD583" w14:textId="77777777" w:rsidR="00A307D1" w:rsidRDefault="00A307D1" w:rsidP="00A307D1">
            <w:pPr>
              <w:jc w:val="both"/>
              <w:rPr>
                <w:color w:val="3D3D3D"/>
                <w:sz w:val="24"/>
                <w:szCs w:val="24"/>
                <w:shd w:val="clear" w:color="auto" w:fill="FFFFFF"/>
              </w:rPr>
            </w:pPr>
            <w:r>
              <w:rPr>
                <w:bCs/>
                <w:iCs/>
                <w:sz w:val="24"/>
                <w:szCs w:val="24"/>
              </w:rPr>
              <w:t xml:space="preserve"> This required me to prepare a PPM letter outlining our concerns to the family which was delivered within 10 days of the PPM meeting date. This is important as it allows the family time to process our worries and gain legal advice both prior to the meeting and to attend the meeting with the family.</w:t>
            </w:r>
            <w:r>
              <w:rPr>
                <w:color w:val="3D3D3D"/>
                <w:sz w:val="24"/>
                <w:szCs w:val="24"/>
                <w:shd w:val="clear" w:color="auto" w:fill="FFFFFF"/>
              </w:rPr>
              <w:t xml:space="preserve"> When meeting with the parents to deliver the PPM letter it was clear that this decision caused great anxiety and mistrust of the local authority. I was concerned that the break down in relationship between the local authority and parents may serve as a barrier to the parents achieving their outcome of the children returning to their care as they were refusing to work with the PPM process. SSWBA 2014 embeds in social work practice the need to help individuals to achieve their outcomes and I wanted to support parents to understand that working with the PPM process would give them opportunity to demonstrate safe care for the children so they could return home and to strengthen parental responsibility over the care and supervision of their children, </w:t>
            </w:r>
          </w:p>
          <w:p w14:paraId="77D4CCFE" w14:textId="77777777" w:rsidR="00A307D1" w:rsidRDefault="00A307D1" w:rsidP="00A307D1">
            <w:pPr>
              <w:jc w:val="both"/>
              <w:rPr>
                <w:bCs/>
                <w:iCs/>
                <w:sz w:val="24"/>
                <w:szCs w:val="24"/>
              </w:rPr>
            </w:pPr>
          </w:p>
          <w:p w14:paraId="39C91446" w14:textId="77777777" w:rsidR="00A307D1" w:rsidRDefault="00A307D1" w:rsidP="00A307D1">
            <w:pPr>
              <w:jc w:val="both"/>
              <w:rPr>
                <w:bCs/>
                <w:iCs/>
                <w:sz w:val="24"/>
                <w:szCs w:val="24"/>
              </w:rPr>
            </w:pPr>
            <w:r>
              <w:rPr>
                <w:bCs/>
                <w:iCs/>
                <w:sz w:val="24"/>
                <w:szCs w:val="24"/>
              </w:rPr>
              <w:t xml:space="preserve">One of the most difficult factors within this case was parents’ strong consistent denial against the evidence that professionals stated pointed to the likelihood of a non-accidental injury. This led to each discussion held around our concerns as a circle of conflict around our worries and the parents’ denial. Professionals had also raised concerns that (5) was not a safe person as he was collaborating the family’s responses to the allegations. (5) had been confrontational to me within visits and had recorded me on one occasion as he stated he did not trust professionals </w:t>
            </w:r>
          </w:p>
          <w:p w14:paraId="721B9FC3" w14:textId="77777777" w:rsidR="00A307D1" w:rsidRDefault="00A307D1" w:rsidP="00A307D1">
            <w:pPr>
              <w:jc w:val="both"/>
              <w:rPr>
                <w:bCs/>
                <w:iCs/>
                <w:sz w:val="24"/>
                <w:szCs w:val="24"/>
              </w:rPr>
            </w:pPr>
          </w:p>
          <w:p w14:paraId="28CCEFFB" w14:textId="77777777" w:rsidR="00A307D1" w:rsidRPr="009D42BA" w:rsidRDefault="00A307D1" w:rsidP="00A307D1">
            <w:pPr>
              <w:overflowPunct/>
              <w:autoSpaceDE/>
              <w:autoSpaceDN/>
              <w:adjustRightInd/>
              <w:textAlignment w:val="auto"/>
              <w:rPr>
                <w:bCs/>
                <w:sz w:val="24"/>
                <w:szCs w:val="24"/>
              </w:rPr>
            </w:pPr>
            <w:r>
              <w:rPr>
                <w:bCs/>
                <w:iCs/>
                <w:sz w:val="24"/>
                <w:szCs w:val="24"/>
              </w:rPr>
              <w:t xml:space="preserve"> It was also obvious there was clear frustration of the parents and extended family in the face of the lack of power they felt they had within the professional arena.  Reading the Resolutions approach by Andrew </w:t>
            </w:r>
            <w:r>
              <w:rPr>
                <w:bCs/>
                <w:i/>
                <w:iCs/>
                <w:sz w:val="24"/>
                <w:szCs w:val="24"/>
              </w:rPr>
              <w:t xml:space="preserve">Turnell </w:t>
            </w:r>
            <w:r w:rsidRPr="00FB58E1">
              <w:rPr>
                <w:bCs/>
                <w:sz w:val="24"/>
                <w:szCs w:val="24"/>
              </w:rPr>
              <w:t>challenged my thought process round how we consider safety and risk</w:t>
            </w:r>
            <w:r>
              <w:rPr>
                <w:bCs/>
                <w:sz w:val="24"/>
                <w:szCs w:val="24"/>
              </w:rPr>
              <w:t xml:space="preserve"> and how I had approached the plan agreed for </w:t>
            </w:r>
            <w:r>
              <w:rPr>
                <w:b/>
                <w:sz w:val="24"/>
                <w:szCs w:val="24"/>
              </w:rPr>
              <w:t xml:space="preserve">3 </w:t>
            </w:r>
            <w:r>
              <w:rPr>
                <w:bCs/>
                <w:sz w:val="24"/>
                <w:szCs w:val="24"/>
              </w:rPr>
              <w:t>and sibling to stay with paternal grandfather who clearly did not trust the local authority and that this had made me doubt his suitability to care for the children ,</w:t>
            </w:r>
            <w:r>
              <w:rPr>
                <w:bCs/>
                <w:i/>
                <w:iCs/>
                <w:sz w:val="24"/>
                <w:szCs w:val="24"/>
              </w:rPr>
              <w:t xml:space="preserve">  </w:t>
            </w:r>
            <w:r>
              <w:rPr>
                <w:bCs/>
                <w:sz w:val="24"/>
                <w:szCs w:val="24"/>
              </w:rPr>
              <w:t>Reflecting on this (GIBBS 1089) I was aware that I felt</w:t>
            </w:r>
            <w:r w:rsidRPr="009D42BA">
              <w:rPr>
                <w:bCs/>
                <w:sz w:val="24"/>
                <w:szCs w:val="24"/>
              </w:rPr>
              <w:t xml:space="preserve"> as a practitioner </w:t>
            </w:r>
            <w:r>
              <w:rPr>
                <w:bCs/>
                <w:sz w:val="24"/>
                <w:szCs w:val="24"/>
              </w:rPr>
              <w:t xml:space="preserve">to agree a safe network I </w:t>
            </w:r>
            <w:r w:rsidRPr="009D42BA">
              <w:rPr>
                <w:bCs/>
                <w:sz w:val="24"/>
                <w:szCs w:val="24"/>
              </w:rPr>
              <w:t xml:space="preserve">needed to consider a person safe </w:t>
            </w:r>
            <w:r>
              <w:rPr>
                <w:bCs/>
                <w:sz w:val="24"/>
                <w:szCs w:val="24"/>
              </w:rPr>
              <w:t xml:space="preserve">however </w:t>
            </w:r>
            <w:r w:rsidRPr="009D42BA">
              <w:rPr>
                <w:bCs/>
                <w:sz w:val="24"/>
                <w:szCs w:val="24"/>
              </w:rPr>
              <w:t xml:space="preserve">Turnell states that we do not have the right to challenge this but rather we challenge the concern and ask the family what their plan is around this. </w:t>
            </w:r>
            <w:r w:rsidRPr="009D42BA">
              <w:rPr>
                <w:color w:val="auto"/>
                <w:sz w:val="24"/>
                <w:szCs w:val="24"/>
              </w:rPr>
              <w:t xml:space="preserve">(Turnell and Essex, 2006). </w:t>
            </w:r>
            <w:r w:rsidRPr="009D42BA">
              <w:rPr>
                <w:bCs/>
                <w:sz w:val="24"/>
                <w:szCs w:val="24"/>
              </w:rPr>
              <w:t xml:space="preserve"> I found this both useful and challenging in terms of my personal response to (5) to whether Granddad was a viable and safe person within the network. This was important as Turnell states that professionals do not last forever so I needed to work on the premise the children may be returned and ensure my feelings did not impact any sustainable plan beyond LA involvement and any personal feelings I may have to an individual family member involved within a safety plan. </w:t>
            </w:r>
          </w:p>
          <w:p w14:paraId="591F38A3" w14:textId="77777777" w:rsidR="00A307D1" w:rsidRDefault="00A307D1" w:rsidP="00A307D1">
            <w:pPr>
              <w:jc w:val="both"/>
              <w:rPr>
                <w:bCs/>
                <w:iCs/>
                <w:sz w:val="24"/>
                <w:szCs w:val="24"/>
              </w:rPr>
            </w:pPr>
          </w:p>
          <w:p w14:paraId="1DCCB7DC" w14:textId="77777777" w:rsidR="00A307D1" w:rsidRDefault="00A307D1" w:rsidP="00A307D1">
            <w:pPr>
              <w:jc w:val="both"/>
              <w:rPr>
                <w:bCs/>
                <w:iCs/>
                <w:sz w:val="24"/>
                <w:szCs w:val="24"/>
              </w:rPr>
            </w:pPr>
            <w:r>
              <w:rPr>
                <w:bCs/>
                <w:iCs/>
                <w:sz w:val="24"/>
                <w:szCs w:val="24"/>
              </w:rPr>
              <w:t xml:space="preserve">Milner O’Byrne (1998,2002) also states A social worker’s role is to reduce the powerlessness they may experience within their situation. A dilemma that can arise within social service involvement particularly within a S47 investigation is how we balance a family’s right to private family life (ECHR Article 8) against the Welfare of the Child is paramount. In its nature Child protection will always be dealing with disputes as parents may not admit or recognise risk.  Use of power who dealing with dispute is important.  SSWBA highlights co production between professionals and people within its 5 key principles. Section 3 places particular emphasis on co production between people and professionals particularly 3.1 and 3.2. </w:t>
            </w:r>
          </w:p>
          <w:p w14:paraId="51B622F3" w14:textId="77777777" w:rsidR="00A307D1" w:rsidRDefault="00A307D1" w:rsidP="00A307D1">
            <w:pPr>
              <w:jc w:val="both"/>
              <w:rPr>
                <w:bCs/>
                <w:iCs/>
                <w:sz w:val="24"/>
                <w:szCs w:val="24"/>
              </w:rPr>
            </w:pPr>
          </w:p>
          <w:p w14:paraId="5367AEAD" w14:textId="77777777" w:rsidR="00A307D1" w:rsidRDefault="00A307D1" w:rsidP="00A307D1">
            <w:pPr>
              <w:jc w:val="both"/>
              <w:rPr>
                <w:bCs/>
                <w:iCs/>
                <w:sz w:val="24"/>
                <w:szCs w:val="24"/>
              </w:rPr>
            </w:pPr>
            <w:r>
              <w:rPr>
                <w:bCs/>
                <w:iCs/>
                <w:sz w:val="24"/>
                <w:szCs w:val="24"/>
              </w:rPr>
              <w:t>Using (GIBBS 1989) to reflect on the analysis of information I had gained and the seriousness of the situation I reflected on how I could have shaped my approach  to help the family re gain some sense of power and how we may support them to reunite as a family rather than the outcome they feared which was a court deciding that the children could no longer live within the family home.</w:t>
            </w:r>
          </w:p>
          <w:p w14:paraId="13174245" w14:textId="77777777" w:rsidR="00A307D1" w:rsidRDefault="00A307D1" w:rsidP="00A307D1">
            <w:pPr>
              <w:jc w:val="both"/>
              <w:rPr>
                <w:bCs/>
                <w:iCs/>
                <w:sz w:val="24"/>
                <w:szCs w:val="24"/>
              </w:rPr>
            </w:pPr>
          </w:p>
          <w:p w14:paraId="7E55FEFE" w14:textId="6C0700AF" w:rsidR="00A307D1" w:rsidRDefault="00A307D1" w:rsidP="00A307D1">
            <w:pPr>
              <w:jc w:val="both"/>
              <w:rPr>
                <w:bCs/>
                <w:iCs/>
                <w:sz w:val="24"/>
                <w:szCs w:val="24"/>
              </w:rPr>
            </w:pPr>
            <w:r>
              <w:rPr>
                <w:bCs/>
                <w:iCs/>
                <w:sz w:val="24"/>
                <w:szCs w:val="24"/>
              </w:rPr>
              <w:t xml:space="preserve">I spent time reflecting on the tensions between social work values and legislation and how this impacts the power imbalance.  Siobhan Mclean talks about the importance of use of established models and theories within social work, Mclean also talks about the importance of social worker developing their own models and theories as an aid to their practice. </w:t>
            </w:r>
            <w:r w:rsidR="00F910C4">
              <w:rPr>
                <w:bCs/>
                <w:iCs/>
                <w:sz w:val="24"/>
                <w:szCs w:val="24"/>
              </w:rPr>
              <w:t xml:space="preserve"> (Maclean </w:t>
            </w:r>
            <w:r w:rsidR="00B9564F">
              <w:rPr>
                <w:bCs/>
                <w:iCs/>
                <w:sz w:val="24"/>
                <w:szCs w:val="24"/>
              </w:rPr>
              <w:t>and Harrison, 2015).</w:t>
            </w:r>
            <w:r>
              <w:rPr>
                <w:bCs/>
                <w:iCs/>
                <w:sz w:val="24"/>
                <w:szCs w:val="24"/>
              </w:rPr>
              <w:t xml:space="preserve"> Prior to this referral I had thought developing a model that would help families and children visualise the process of when social workers become involved. I wanted a clear and simple tool that would support my practice, initial approach use of power in complex and high-risk situations. Bringing in correct use of legislation, process, policy and power when working with families in crisis.  Developing this I also considered how metaphors within a model may help a family understand intervention which would strengthen our interconnection. Mike Nolan describes this as “interconnected wellbeing”. I understood this to mean if individuals can be drawn into a shared sense of purpose and goal setting then the quality of the working relationship is improved which can will mean better outcomes.</w:t>
            </w:r>
          </w:p>
          <w:p w14:paraId="442463BD" w14:textId="77777777" w:rsidR="00A307D1" w:rsidRDefault="00A307D1" w:rsidP="00A307D1">
            <w:pPr>
              <w:jc w:val="both"/>
              <w:rPr>
                <w:bCs/>
                <w:iCs/>
                <w:sz w:val="24"/>
                <w:szCs w:val="24"/>
              </w:rPr>
            </w:pPr>
            <w:r>
              <w:rPr>
                <w:bCs/>
                <w:iCs/>
                <w:sz w:val="24"/>
                <w:szCs w:val="24"/>
              </w:rPr>
              <w:t xml:space="preserve"> </w:t>
            </w:r>
          </w:p>
          <w:p w14:paraId="4313211A" w14:textId="77777777" w:rsidR="00A307D1" w:rsidRPr="00B41C4F" w:rsidRDefault="00A307D1" w:rsidP="00A307D1">
            <w:pPr>
              <w:overflowPunct/>
              <w:autoSpaceDE/>
              <w:autoSpaceDN/>
              <w:adjustRightInd/>
              <w:textAlignment w:val="auto"/>
              <w:rPr>
                <w:rFonts w:ascii="Times New Roman" w:hAnsi="Times New Roman" w:cs="Times New Roman"/>
                <w:color w:val="auto"/>
                <w:sz w:val="24"/>
                <w:szCs w:val="24"/>
              </w:rPr>
            </w:pPr>
            <w:r>
              <w:rPr>
                <w:bCs/>
                <w:iCs/>
                <w:sz w:val="24"/>
                <w:szCs w:val="24"/>
              </w:rPr>
              <w:t xml:space="preserve">To achieve a model that would be simple and accessible I considered   a simple metaphor of boats would encompass communication for a wide range of ages and abilities and could be drawn if working with young children or with individuals with additional or learning needs.  The boat would represent the home and environment the parents had created for the child out of their own lived experience with parents / carers or family members. The boat may be a very secure and robust boat, or it may have holes within the framework of the boat which may be causing the boat to sink or damage within the boat that was causing the children to feel frightened of worried. (ACE’S) </w:t>
            </w:r>
          </w:p>
          <w:p w14:paraId="4FE9BB4F" w14:textId="77777777" w:rsidR="00A307D1" w:rsidRDefault="00A307D1" w:rsidP="00A307D1">
            <w:pPr>
              <w:jc w:val="both"/>
              <w:rPr>
                <w:bCs/>
                <w:iCs/>
                <w:sz w:val="24"/>
                <w:szCs w:val="24"/>
              </w:rPr>
            </w:pPr>
          </w:p>
          <w:p w14:paraId="723EE69C" w14:textId="13AE12FF" w:rsidR="00A307D1" w:rsidRDefault="00A307D1" w:rsidP="00A307D1">
            <w:pPr>
              <w:jc w:val="both"/>
              <w:rPr>
                <w:bCs/>
                <w:iCs/>
                <w:sz w:val="24"/>
                <w:szCs w:val="24"/>
              </w:rPr>
            </w:pPr>
            <w:r>
              <w:rPr>
                <w:bCs/>
                <w:iCs/>
                <w:sz w:val="24"/>
                <w:szCs w:val="24"/>
              </w:rPr>
              <w:t xml:space="preserve"> The holes and damage may represent patterns of trauma, abuse, domestic violence substance use poor attachments which are impacting on the children’s wellbeing and development.    </w:t>
            </w:r>
          </w:p>
          <w:p w14:paraId="7221DE63" w14:textId="77777777" w:rsidR="00A307D1" w:rsidRDefault="00A307D1" w:rsidP="00A307D1">
            <w:pPr>
              <w:jc w:val="both"/>
              <w:rPr>
                <w:bCs/>
                <w:iCs/>
                <w:sz w:val="24"/>
                <w:szCs w:val="24"/>
              </w:rPr>
            </w:pPr>
            <w:r>
              <w:rPr>
                <w:bCs/>
                <w:iCs/>
                <w:sz w:val="24"/>
                <w:szCs w:val="24"/>
              </w:rPr>
              <w:t xml:space="preserve">The boat’s damage may be clearly visible to all who see it, or the damage may be hidden under glossy colours and a well-kept exterior. This highlights how trauma and risk can relate to all families regardless of income or social standing. To enable strong, analyse skills and measure strengths and risk to apply professional judgment I need to be able to recognise patterns of damage or holes that may have occurred over generations but where also a crisis may have led to a family being unable to cope resulting in a sudden hole in their boat. </w:t>
            </w:r>
          </w:p>
          <w:p w14:paraId="54745ABF" w14:textId="447FCF2D" w:rsidR="00A307D1" w:rsidRDefault="00A307D1" w:rsidP="00A307D1">
            <w:pPr>
              <w:jc w:val="both"/>
              <w:rPr>
                <w:bCs/>
                <w:iCs/>
                <w:sz w:val="24"/>
                <w:szCs w:val="24"/>
              </w:rPr>
            </w:pPr>
            <w:r>
              <w:rPr>
                <w:bCs/>
                <w:iCs/>
                <w:sz w:val="24"/>
                <w:szCs w:val="24"/>
              </w:rPr>
              <w:t xml:space="preserve"> </w:t>
            </w:r>
          </w:p>
          <w:p w14:paraId="0ECA4322" w14:textId="77777777" w:rsidR="00A307D1" w:rsidRDefault="00A307D1" w:rsidP="00A307D1">
            <w:pPr>
              <w:jc w:val="both"/>
              <w:rPr>
                <w:bCs/>
                <w:iCs/>
                <w:sz w:val="24"/>
                <w:szCs w:val="24"/>
              </w:rPr>
            </w:pPr>
            <w:r>
              <w:rPr>
                <w:bCs/>
                <w:iCs/>
                <w:sz w:val="24"/>
                <w:szCs w:val="24"/>
              </w:rPr>
              <w:t xml:space="preserve">A model of Social Work involvement would be a boat who approaches at these times, when the boat is damaged or the boat is sinking –The boat may have life jackets which the family are wearing such as coping mechanisms, some family support strong resilience or protective factors within the home. However, the life jackets may also be insufficient to keep the children’s safe due habits, trauma and unhealthy coping mechanisms. Often the family may not realise the boat is sinking or they need help due to having grown up in boats that are </w:t>
            </w:r>
            <w:r>
              <w:rPr>
                <w:bCs/>
                <w:iCs/>
                <w:sz w:val="24"/>
                <w:szCs w:val="24"/>
              </w:rPr>
              <w:lastRenderedPageBreak/>
              <w:t>damaged themselves. The feeling of crisis or sinking may be familiar or safe</w:t>
            </w:r>
            <w:r w:rsidRPr="00A813FD">
              <w:rPr>
                <w:bCs/>
                <w:iCs/>
                <w:sz w:val="24"/>
                <w:szCs w:val="24"/>
              </w:rPr>
              <w:t xml:space="preserve"> </w:t>
            </w:r>
            <w:r>
              <w:rPr>
                <w:bCs/>
                <w:iCs/>
                <w:sz w:val="24"/>
                <w:szCs w:val="24"/>
              </w:rPr>
              <w:t xml:space="preserve">or may not recognise that the children are worried and frightened, and this may cause resistant in accepting help from the lifeboat approaching.  </w:t>
            </w:r>
          </w:p>
          <w:p w14:paraId="007E187E" w14:textId="77777777" w:rsidR="00A307D1" w:rsidRDefault="00A307D1" w:rsidP="00A307D1">
            <w:pPr>
              <w:jc w:val="both"/>
              <w:rPr>
                <w:bCs/>
                <w:iCs/>
                <w:sz w:val="24"/>
                <w:szCs w:val="24"/>
              </w:rPr>
            </w:pPr>
          </w:p>
          <w:p w14:paraId="007E428A" w14:textId="77777777" w:rsidR="00A307D1" w:rsidRDefault="00A307D1" w:rsidP="00A307D1">
            <w:pPr>
              <w:jc w:val="both"/>
              <w:rPr>
                <w:bCs/>
                <w:iCs/>
                <w:sz w:val="24"/>
                <w:szCs w:val="24"/>
              </w:rPr>
            </w:pPr>
            <w:r>
              <w:rPr>
                <w:bCs/>
                <w:iCs/>
                <w:sz w:val="24"/>
                <w:szCs w:val="24"/>
              </w:rPr>
              <w:t xml:space="preserve">I need to consider how my approach and the legal interventions of my approach can impact the family’s response and the building of the interconnected relationship. For example, a S47 approach will often be fast moving with no prior consent for approach needed. This can cause waves for the family leaving them unsettled and feeling disempowered – blame will often be placed at the social worker’s boat of the force of the intervention and will require skilled communication and planning to settle these waves and the family to accept your boat has drawn up alongside their own.  </w:t>
            </w:r>
          </w:p>
          <w:p w14:paraId="41725942" w14:textId="77777777" w:rsidR="00A307D1" w:rsidRDefault="00A307D1" w:rsidP="00A307D1">
            <w:pPr>
              <w:jc w:val="both"/>
              <w:rPr>
                <w:bCs/>
                <w:iCs/>
                <w:sz w:val="24"/>
                <w:szCs w:val="24"/>
              </w:rPr>
            </w:pPr>
          </w:p>
          <w:p w14:paraId="5AD71602" w14:textId="77777777" w:rsidR="00A307D1" w:rsidRDefault="00A307D1" w:rsidP="00A307D1">
            <w:pPr>
              <w:jc w:val="both"/>
              <w:rPr>
                <w:bCs/>
                <w:iCs/>
                <w:sz w:val="24"/>
                <w:szCs w:val="24"/>
              </w:rPr>
            </w:pPr>
            <w:r>
              <w:rPr>
                <w:bCs/>
                <w:iCs/>
                <w:sz w:val="24"/>
                <w:szCs w:val="24"/>
              </w:rPr>
              <w:t>I needed to consider collaboration between professionals and which boats may be needed such as the police, education or health to establish the cause of the holes and how they could be fixed. More boats may need to be drawn alongside with specific tools and skills to help the family recognise where the damage may have begun and how to prevent the damage from happening in the future.  All these boats may have different paces of approach to a social work practitioner and again may feel overwhelming on approach to the family.  It is important and in the best interests of the family that as practitioners we find ways of developing our joined-up approach,</w:t>
            </w:r>
            <w:r w:rsidRPr="00E7361C">
              <w:rPr>
                <w:rFonts w:ascii="Times New Roman" w:hAnsi="Times New Roman" w:cs="Times New Roman"/>
                <w:color w:val="auto"/>
                <w:sz w:val="24"/>
                <w:szCs w:val="24"/>
              </w:rPr>
              <w:t xml:space="preserve"> </w:t>
            </w:r>
            <w:r w:rsidRPr="00E67EEC">
              <w:rPr>
                <w:color w:val="auto"/>
                <w:sz w:val="24"/>
                <w:szCs w:val="24"/>
              </w:rPr>
              <w:t>(Wilson, Ruch, and Copper 2008)</w:t>
            </w:r>
            <w:r>
              <w:rPr>
                <w:color w:val="auto"/>
                <w:sz w:val="24"/>
                <w:szCs w:val="24"/>
              </w:rPr>
              <w:t xml:space="preserve"> r</w:t>
            </w:r>
            <w:r>
              <w:rPr>
                <w:bCs/>
                <w:iCs/>
                <w:sz w:val="24"/>
                <w:szCs w:val="24"/>
              </w:rPr>
              <w:t>ecognising differing values and measure of risk and how these can impact collaborative decision making.</w:t>
            </w:r>
          </w:p>
          <w:p w14:paraId="08743414" w14:textId="77777777" w:rsidR="00A307D1" w:rsidRDefault="00A307D1" w:rsidP="00A307D1">
            <w:pPr>
              <w:jc w:val="both"/>
              <w:rPr>
                <w:bCs/>
                <w:iCs/>
                <w:sz w:val="24"/>
                <w:szCs w:val="24"/>
              </w:rPr>
            </w:pPr>
          </w:p>
          <w:p w14:paraId="6CFEA593" w14:textId="77777777" w:rsidR="00A307D1" w:rsidRDefault="00A307D1" w:rsidP="00A307D1">
            <w:pPr>
              <w:jc w:val="both"/>
              <w:rPr>
                <w:bCs/>
                <w:iCs/>
                <w:sz w:val="24"/>
                <w:szCs w:val="24"/>
              </w:rPr>
            </w:pPr>
            <w:r>
              <w:rPr>
                <w:bCs/>
                <w:iCs/>
                <w:sz w:val="24"/>
                <w:szCs w:val="24"/>
              </w:rPr>
              <w:t xml:space="preserve"> It will often be the social work boat that is the lead boat on approach so as a practitioner it is important that I ensure the family understand and agree the approach of these boats. A family need to be able to understand and be partners in the repair of their boat (SSWBA 2014.) This would help to balance power and promotes critical thinking around the restorative approach to promote the families voice and rights in the people they wanted to form part of their plan and would promote my skills in developing any plans to include the family.  </w:t>
            </w:r>
          </w:p>
          <w:p w14:paraId="0022EF18" w14:textId="77777777" w:rsidR="00A307D1" w:rsidRDefault="00A307D1" w:rsidP="00A307D1">
            <w:pPr>
              <w:overflowPunct/>
              <w:autoSpaceDE/>
              <w:autoSpaceDN/>
              <w:adjustRightInd/>
              <w:textAlignment w:val="auto"/>
              <w:rPr>
                <w:bCs/>
                <w:iCs/>
                <w:sz w:val="24"/>
                <w:szCs w:val="24"/>
              </w:rPr>
            </w:pPr>
          </w:p>
          <w:p w14:paraId="108AA577" w14:textId="77777777" w:rsidR="00A307D1" w:rsidRDefault="00A307D1" w:rsidP="00A307D1">
            <w:pPr>
              <w:jc w:val="both"/>
              <w:rPr>
                <w:bCs/>
                <w:iCs/>
                <w:sz w:val="24"/>
                <w:szCs w:val="24"/>
              </w:rPr>
            </w:pPr>
            <w:r>
              <w:rPr>
                <w:bCs/>
                <w:iCs/>
                <w:sz w:val="24"/>
                <w:szCs w:val="24"/>
              </w:rPr>
              <w:t xml:space="preserve">To help support my understanding of how we use legislation within our practice I would consider that our boats were formed from legislation such as The Children Act 1989, The Social Service and Wellbeing Act (Wales) 2014, Regional Safeguarding boards and Human Rights Act 1998.  </w:t>
            </w:r>
          </w:p>
          <w:p w14:paraId="31FA7343" w14:textId="77777777" w:rsidR="00A307D1" w:rsidRDefault="00A307D1" w:rsidP="00A307D1">
            <w:pPr>
              <w:jc w:val="both"/>
              <w:rPr>
                <w:bCs/>
                <w:iCs/>
                <w:sz w:val="24"/>
                <w:szCs w:val="24"/>
              </w:rPr>
            </w:pPr>
            <w:r>
              <w:rPr>
                <w:bCs/>
                <w:iCs/>
                <w:sz w:val="24"/>
                <w:szCs w:val="24"/>
              </w:rPr>
              <w:t xml:space="preserve">On both sides of the boat were oars we use to steer the boat and to make sure we approached the families both ethically with accountability. Oar’s such as The Code of Professional Practice and the national occupational standards ensure we are approaching the boat with person centred practice correct use of power and law. My professional judgement on how quickly intervention for the boat’s damage is needed would be led within Wales-by-Wales Safeguarding procedures which guide safeguarding principles effective practice and response to a report of a child or children at risk. </w:t>
            </w:r>
          </w:p>
          <w:p w14:paraId="7024B18C" w14:textId="77777777" w:rsidR="00A307D1" w:rsidRDefault="00A307D1" w:rsidP="00A307D1">
            <w:pPr>
              <w:jc w:val="both"/>
              <w:rPr>
                <w:bCs/>
                <w:iCs/>
                <w:sz w:val="24"/>
                <w:szCs w:val="24"/>
              </w:rPr>
            </w:pPr>
          </w:p>
          <w:p w14:paraId="03E4049C" w14:textId="51DE9CC2" w:rsidR="00A307D1" w:rsidRDefault="00A307D1" w:rsidP="00A307D1">
            <w:pPr>
              <w:jc w:val="both"/>
              <w:rPr>
                <w:bCs/>
                <w:iCs/>
                <w:sz w:val="24"/>
                <w:szCs w:val="24"/>
              </w:rPr>
            </w:pPr>
            <w:r>
              <w:rPr>
                <w:bCs/>
                <w:iCs/>
                <w:sz w:val="24"/>
                <w:szCs w:val="24"/>
              </w:rPr>
              <w:t>Best practice states social work practitioners should always adopt the least intrusive approach when working with families (</w:t>
            </w:r>
            <w:r w:rsidRPr="00E67EEC">
              <w:rPr>
                <w:sz w:val="24"/>
                <w:szCs w:val="24"/>
              </w:rPr>
              <w:t xml:space="preserve">Matthews, H., Sibbald, S., Szoke, T. and Varela, T. (2020BC). </w:t>
            </w:r>
            <w:r w:rsidRPr="00E67EEC">
              <w:rPr>
                <w:i/>
                <w:iCs/>
                <w:sz w:val="24"/>
                <w:szCs w:val="24"/>
              </w:rPr>
              <w:t>Critically Infused Social Work</w:t>
            </w:r>
            <w:r w:rsidRPr="00E67EEC">
              <w:rPr>
                <w:sz w:val="24"/>
                <w:szCs w:val="24"/>
              </w:rPr>
              <w:t>. [online] Critically Infused Social Work. Available at: https://www.criticallyinfusedsw.com</w:t>
            </w:r>
            <w:r>
              <w:rPr>
                <w:sz w:val="24"/>
                <w:szCs w:val="24"/>
              </w:rPr>
              <w:t>)</w:t>
            </w:r>
            <w:r w:rsidRPr="00E67EEC">
              <w:rPr>
                <w:sz w:val="24"/>
                <w:szCs w:val="24"/>
              </w:rPr>
              <w:t>.</w:t>
            </w:r>
            <w:r w:rsidRPr="00E67EEC">
              <w:rPr>
                <w:bCs/>
                <w:iCs/>
                <w:sz w:val="24"/>
                <w:szCs w:val="24"/>
              </w:rPr>
              <w:t xml:space="preserve">  </w:t>
            </w:r>
            <w:r>
              <w:rPr>
                <w:bCs/>
                <w:iCs/>
                <w:sz w:val="24"/>
                <w:szCs w:val="24"/>
              </w:rPr>
              <w:t xml:space="preserve">Within an approach of a S47 investigation where we consider the child is at risk or may be at risk of suffering significant harm (CA 1989) we might </w:t>
            </w:r>
            <w:r>
              <w:rPr>
                <w:bCs/>
                <w:iCs/>
                <w:sz w:val="24"/>
                <w:szCs w:val="24"/>
              </w:rPr>
              <w:lastRenderedPageBreak/>
              <w:t>need to ask the children to stay in a family member or friends’ boat or ask a family member to come and stay on the family boat while this work was done. This demonstrated to me the process we had asked of the family within the case study to agree and that the parenting assessments were tools that could ensure the whole boat could be re secured so the hope would be we had made sure the boat would not sink again. The S76 I had asked the family to agree to demonstrate another tool to balance risk and that allowed promoted good use of power and control however due to mistrust formed form previous intervention the family had been resistant to our approach which had greatly impacted the relationship built between us.  Considering this whilst I could not change how we approached I could impact how the next boat of long-term support approaches through clear and honest communication of concerns and plans. This helped to stabilise the boat and ensure the long-term boat can draw up smoothly alongside the family promoting the quality of their long-term working relationship.</w:t>
            </w:r>
          </w:p>
          <w:p w14:paraId="5D917D82" w14:textId="77777777" w:rsidR="00A307D1" w:rsidRDefault="00A307D1" w:rsidP="00A307D1">
            <w:pPr>
              <w:jc w:val="both"/>
              <w:rPr>
                <w:bCs/>
                <w:iCs/>
                <w:sz w:val="24"/>
                <w:szCs w:val="24"/>
              </w:rPr>
            </w:pPr>
          </w:p>
          <w:p w14:paraId="3188BDD8" w14:textId="77777777" w:rsidR="00A307D1" w:rsidRDefault="00A307D1" w:rsidP="00A307D1">
            <w:pPr>
              <w:jc w:val="both"/>
              <w:rPr>
                <w:bCs/>
                <w:iCs/>
                <w:sz w:val="24"/>
                <w:szCs w:val="24"/>
              </w:rPr>
            </w:pPr>
            <w:r>
              <w:rPr>
                <w:bCs/>
                <w:iCs/>
                <w:sz w:val="24"/>
                <w:szCs w:val="24"/>
              </w:rPr>
              <w:t xml:space="preserve">There will also be occasions the children may need to leave their families boats to stay in a boat we have chosen while the families work on mending their boats to ensure the children are safe.  All of these will require the family to engage in change and will require me a practitioner to use micro skills of engagement to promote the two boats working alongside together thus creating and facilitating change, Micro skills such as empathy, understanding my own values and how these impact professional judgment, the families lived experience and how this impacts understanding of risk and being able to adapt my approach to the clients receptiveness and circumstances would be my rudder to steer my approach and  engagement. Use of these skills factors utilizes a strength-based approach and recognises the as experts of their circumstances and their children.  (Strengths – based social care: Children, young people and families </w:t>
            </w:r>
            <w:proofErr w:type="spellStart"/>
            <w:r>
              <w:rPr>
                <w:bCs/>
                <w:iCs/>
                <w:sz w:val="24"/>
                <w:szCs w:val="24"/>
              </w:rPr>
              <w:t>n.d</w:t>
            </w:r>
            <w:proofErr w:type="spellEnd"/>
            <w:r>
              <w:rPr>
                <w:bCs/>
                <w:iCs/>
                <w:sz w:val="24"/>
                <w:szCs w:val="24"/>
              </w:rPr>
              <w:t xml:space="preserve">). </w:t>
            </w:r>
          </w:p>
          <w:p w14:paraId="65E7C43C" w14:textId="77777777" w:rsidR="00A307D1" w:rsidRDefault="00A307D1" w:rsidP="00A307D1">
            <w:pPr>
              <w:jc w:val="both"/>
              <w:rPr>
                <w:bCs/>
                <w:iCs/>
                <w:sz w:val="24"/>
                <w:szCs w:val="24"/>
              </w:rPr>
            </w:pPr>
          </w:p>
          <w:p w14:paraId="642DCB78" w14:textId="77777777" w:rsidR="00A307D1" w:rsidRDefault="00A307D1" w:rsidP="00A307D1">
            <w:pPr>
              <w:jc w:val="both"/>
              <w:rPr>
                <w:bCs/>
                <w:iCs/>
                <w:sz w:val="24"/>
                <w:szCs w:val="24"/>
              </w:rPr>
            </w:pPr>
            <w:r>
              <w:rPr>
                <w:bCs/>
                <w:iCs/>
                <w:sz w:val="24"/>
                <w:szCs w:val="24"/>
              </w:rPr>
              <w:t xml:space="preserve">Siobhan Mclean states that her most recent work has been around making social work theories and models more accessible for students and baby practitioners. Using a bone metaphor Siobhan describes methods as the tool that sits in the hands of Practioner, our approach is all about our heart and theory is about the heart of practice. (Siobhan Mclean 20203). Translating this into the boat metaphor caused me to consider how theories models and Ace’s match the string parts of a boat and the parts of a boat that may be damaged and causing the boat to sink impacting the child and causing risk of harm. For example, John Bowlby describes early attachment between a child and their primary caregiver profoundly shapes emotional and social development. (Holmes,2014).  </w:t>
            </w:r>
            <w:r>
              <w:rPr>
                <w:rFonts w:ascii="Roboto" w:hAnsi="Roboto"/>
                <w:color w:val="2C3E50"/>
                <w:sz w:val="23"/>
                <w:szCs w:val="23"/>
                <w:shd w:val="clear" w:color="auto" w:fill="FFFFFF"/>
              </w:rPr>
              <w:t>If</w:t>
            </w:r>
            <w:r>
              <w:rPr>
                <w:bCs/>
                <w:iCs/>
                <w:sz w:val="24"/>
                <w:szCs w:val="24"/>
              </w:rPr>
              <w:t xml:space="preserve"> I were to consider this within the </w:t>
            </w:r>
            <w:proofErr w:type="spellStart"/>
            <w:r>
              <w:rPr>
                <w:bCs/>
                <w:iCs/>
                <w:sz w:val="24"/>
                <w:szCs w:val="24"/>
              </w:rPr>
              <w:t>make up</w:t>
            </w:r>
            <w:proofErr w:type="spellEnd"/>
            <w:r>
              <w:rPr>
                <w:bCs/>
                <w:iCs/>
                <w:sz w:val="24"/>
                <w:szCs w:val="24"/>
              </w:rPr>
              <w:t xml:space="preserve"> of the case study above this would help me consider the strengths of the family as attachment had appeared positive but I could also balance this with the presented ACE’s, physical harm, substance use, the damaged parts of the boat, how these occurred, were they inherited with the boat as in generational, learned behaviour. The Welsh Adverse Childhood experience (ACE) (Public Health Wales NHS Trust 2015) states:</w:t>
            </w:r>
          </w:p>
          <w:p w14:paraId="4BE39E06" w14:textId="77777777" w:rsidR="00A307D1" w:rsidRDefault="00A307D1" w:rsidP="00A307D1">
            <w:pPr>
              <w:jc w:val="both"/>
              <w:rPr>
                <w:bCs/>
                <w:iCs/>
                <w:sz w:val="24"/>
                <w:szCs w:val="24"/>
              </w:rPr>
            </w:pPr>
          </w:p>
          <w:p w14:paraId="76322770" w14:textId="77777777" w:rsidR="00A307D1" w:rsidRPr="00A67B29" w:rsidRDefault="00A307D1" w:rsidP="00A307D1">
            <w:pPr>
              <w:ind w:left="70"/>
              <w:jc w:val="both"/>
              <w:rPr>
                <w:bCs/>
                <w:iCs/>
                <w:sz w:val="24"/>
                <w:szCs w:val="24"/>
              </w:rPr>
            </w:pPr>
            <w:r w:rsidRPr="00A67B29">
              <w:rPr>
                <w:bCs/>
                <w:iCs/>
                <w:sz w:val="24"/>
                <w:szCs w:val="24"/>
              </w:rPr>
              <w:t>“People who experience ACES as children often end up in households where ACES are more common”</w:t>
            </w:r>
            <w:r>
              <w:rPr>
                <w:bCs/>
                <w:iCs/>
                <w:sz w:val="24"/>
                <w:szCs w:val="24"/>
              </w:rPr>
              <w:t xml:space="preserve"> (2015 pg.2)</w:t>
            </w:r>
          </w:p>
          <w:p w14:paraId="7D1FFD07" w14:textId="77777777" w:rsidR="00A307D1" w:rsidRDefault="00A307D1" w:rsidP="00A307D1">
            <w:pPr>
              <w:jc w:val="both"/>
              <w:rPr>
                <w:bCs/>
                <w:iCs/>
                <w:sz w:val="24"/>
                <w:szCs w:val="24"/>
              </w:rPr>
            </w:pPr>
          </w:p>
          <w:p w14:paraId="4F3AF3CC" w14:textId="77777777" w:rsidR="00A307D1" w:rsidRDefault="00A307D1" w:rsidP="00A307D1">
            <w:pPr>
              <w:jc w:val="both"/>
              <w:rPr>
                <w:bCs/>
                <w:iCs/>
                <w:sz w:val="24"/>
                <w:szCs w:val="24"/>
              </w:rPr>
            </w:pPr>
            <w:r>
              <w:rPr>
                <w:bCs/>
                <w:iCs/>
                <w:sz w:val="24"/>
                <w:szCs w:val="24"/>
              </w:rPr>
              <w:t>Linking this with the cycle of change</w:t>
            </w:r>
            <w:r w:rsidRPr="00937FDE">
              <w:rPr>
                <w:rFonts w:ascii="Roboto" w:hAnsi="Roboto"/>
                <w:color w:val="2C3E50"/>
                <w:sz w:val="23"/>
                <w:szCs w:val="23"/>
                <w:shd w:val="clear" w:color="auto" w:fill="FFFFFF"/>
              </w:rPr>
              <w:t xml:space="preserve"> </w:t>
            </w:r>
            <w:r w:rsidRPr="009C1760">
              <w:rPr>
                <w:color w:val="2C3E50"/>
                <w:sz w:val="24"/>
                <w:szCs w:val="24"/>
                <w:shd w:val="clear" w:color="auto" w:fill="FFFFFF"/>
              </w:rPr>
              <w:t>(Prochaska and DiClemente, 1994)</w:t>
            </w:r>
            <w:r>
              <w:rPr>
                <w:bCs/>
                <w:iCs/>
                <w:sz w:val="24"/>
                <w:szCs w:val="24"/>
              </w:rPr>
              <w:t xml:space="preserve"> developed my thinking about the resistance of the family in acceptance of risk and how this may be linked to their own lived experiences of ACES as normality within families. Reflecting on this (GIBBS </w:t>
            </w:r>
            <w:r>
              <w:rPr>
                <w:bCs/>
                <w:iCs/>
                <w:sz w:val="24"/>
                <w:szCs w:val="24"/>
              </w:rPr>
              <w:lastRenderedPageBreak/>
              <w:t xml:space="preserve">1998) I felt earlier use of this model would have promoted a stronger questioning approach which may have strengthened engagement. It also led me to consider how the cycle of change may impact any repairs on their boat which would help to develop plans of support and intervention.  I realised through this model I was developing my critical thought process which also utilized the signs of safety model which strengthened my analysis within my written assessments. </w:t>
            </w:r>
          </w:p>
          <w:p w14:paraId="23A7B57F" w14:textId="77777777" w:rsidR="00A307D1" w:rsidRDefault="00A307D1" w:rsidP="00A307D1">
            <w:pPr>
              <w:jc w:val="both"/>
              <w:rPr>
                <w:bCs/>
                <w:iCs/>
                <w:sz w:val="24"/>
                <w:szCs w:val="24"/>
              </w:rPr>
            </w:pPr>
          </w:p>
          <w:p w14:paraId="73EAA18D" w14:textId="77777777" w:rsidR="00A307D1" w:rsidRDefault="00A307D1" w:rsidP="00A307D1">
            <w:pPr>
              <w:jc w:val="both"/>
              <w:rPr>
                <w:bCs/>
                <w:iCs/>
                <w:sz w:val="24"/>
                <w:szCs w:val="24"/>
              </w:rPr>
            </w:pPr>
            <w:r>
              <w:rPr>
                <w:bCs/>
                <w:iCs/>
                <w:sz w:val="24"/>
                <w:szCs w:val="24"/>
              </w:rPr>
              <w:t xml:space="preserve">  The above case was a key factor in developing my learning and understanding of balancing rights and risks and how to overcome barriers in developing interconnected relationships with parents / carers and professionals. I have become very aware of my approach within social worker and which legal framework I am using to approach and the impact this can have on families and the outcome of intervention. This was a difficult case, and I was not able to build the relationship I had wanted with the family due to time constraints of assessment. This taught me much about myself, how I feel when I receive resistance from a family and how this impacts my practice if allowed. I will continue to develop the boat model terms of approach, harm and change in the aim of strengthening my future practice and supporting the families and children I serve towards their best outcomes </w:t>
            </w:r>
          </w:p>
          <w:p w14:paraId="0B4484F4" w14:textId="77777777" w:rsidR="00A307D1" w:rsidRDefault="00A307D1" w:rsidP="00A307D1">
            <w:pPr>
              <w:jc w:val="both"/>
              <w:rPr>
                <w:bCs/>
                <w:iCs/>
                <w:sz w:val="24"/>
                <w:szCs w:val="24"/>
              </w:rPr>
            </w:pPr>
          </w:p>
          <w:p w14:paraId="5EAD3950" w14:textId="77777777" w:rsidR="00A307D1" w:rsidRDefault="00A307D1" w:rsidP="00A307D1">
            <w:pPr>
              <w:jc w:val="both"/>
              <w:rPr>
                <w:i/>
                <w:sz w:val="24"/>
                <w:szCs w:val="24"/>
              </w:rPr>
            </w:pPr>
            <w:r>
              <w:rPr>
                <w:bCs/>
                <w:iCs/>
                <w:sz w:val="24"/>
                <w:szCs w:val="24"/>
              </w:rPr>
              <w:t>Word Count 4107</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3D4"/>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225"/>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EE3"/>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063"/>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7A85"/>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A3B"/>
    <w:rsid w:val="003B16C7"/>
    <w:rsid w:val="003B29BC"/>
    <w:rsid w:val="003B3115"/>
    <w:rsid w:val="003C19F1"/>
    <w:rsid w:val="003C3C67"/>
    <w:rsid w:val="003C4186"/>
    <w:rsid w:val="003C5880"/>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6C2E"/>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21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5E5B"/>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DD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076"/>
    <w:rsid w:val="0075031F"/>
    <w:rsid w:val="00751263"/>
    <w:rsid w:val="007544FC"/>
    <w:rsid w:val="00755427"/>
    <w:rsid w:val="00756548"/>
    <w:rsid w:val="0075673A"/>
    <w:rsid w:val="0075704F"/>
    <w:rsid w:val="00763B2D"/>
    <w:rsid w:val="00764146"/>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8AF"/>
    <w:rsid w:val="00822B44"/>
    <w:rsid w:val="00824E67"/>
    <w:rsid w:val="00825A64"/>
    <w:rsid w:val="00826F48"/>
    <w:rsid w:val="00827B4F"/>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5AD"/>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7D1"/>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64F"/>
    <w:rsid w:val="00B9689A"/>
    <w:rsid w:val="00B97056"/>
    <w:rsid w:val="00BA531E"/>
    <w:rsid w:val="00BA728B"/>
    <w:rsid w:val="00BB06CB"/>
    <w:rsid w:val="00BB14F2"/>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5AE1"/>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48B"/>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00F"/>
    <w:rsid w:val="00F66272"/>
    <w:rsid w:val="00F709C0"/>
    <w:rsid w:val="00F81FEC"/>
    <w:rsid w:val="00F910C4"/>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A307D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2887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4315</Words>
  <Characters>21874</Characters>
  <Application>Microsoft Office Word</Application>
  <DocSecurity>0</DocSecurity>
  <Lines>182</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Hazel E Bates</cp:lastModifiedBy>
  <cp:revision>2</cp:revision>
  <cp:lastPrinted>2020-02-11T19:20:00Z</cp:lastPrinted>
  <dcterms:created xsi:type="dcterms:W3CDTF">2024-10-06T19:29:00Z</dcterms:created>
  <dcterms:modified xsi:type="dcterms:W3CDTF">2024-10-06T19:29:00Z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