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2256C" w14:textId="77777777" w:rsidR="007365E6" w:rsidRPr="00ED365A" w:rsidRDefault="007365E6" w:rsidP="00ED365A">
      <w:pPr>
        <w:pStyle w:val="Heading3"/>
        <w:spacing w:line="360" w:lineRule="auto"/>
        <w:jc w:val="both"/>
        <w:rPr>
          <w:rStyle w:val="Strong"/>
          <w:rFonts w:ascii="Times New Roman" w:hAnsi="Times New Roman" w:cs="Times New Roman"/>
          <w:b/>
          <w:bCs/>
          <w:color w:val="auto"/>
          <w:sz w:val="24"/>
          <w:szCs w:val="24"/>
        </w:rPr>
      </w:pPr>
    </w:p>
    <w:p w14:paraId="14F25CB4" w14:textId="77777777" w:rsidR="007365E6" w:rsidRDefault="007365E6" w:rsidP="00ED365A">
      <w:pPr>
        <w:pStyle w:val="Heading3"/>
        <w:spacing w:line="360" w:lineRule="auto"/>
        <w:jc w:val="both"/>
        <w:rPr>
          <w:rStyle w:val="Strong"/>
          <w:rFonts w:ascii="Times New Roman" w:hAnsi="Times New Roman" w:cs="Times New Roman"/>
          <w:b/>
          <w:bCs/>
          <w:color w:val="auto"/>
          <w:sz w:val="24"/>
          <w:szCs w:val="24"/>
        </w:rPr>
      </w:pPr>
    </w:p>
    <w:p w14:paraId="697A2B49" w14:textId="77777777" w:rsidR="00C8602A" w:rsidRDefault="00C8602A" w:rsidP="00C8602A"/>
    <w:p w14:paraId="0EDB90A0" w14:textId="77777777" w:rsidR="00C8602A" w:rsidRDefault="00C8602A" w:rsidP="00C8602A"/>
    <w:tbl>
      <w:tblPr>
        <w:tblStyle w:val="MediumGrid1"/>
        <w:tblW w:w="0" w:type="auto"/>
        <w:tblLook w:val="04A0" w:firstRow="1" w:lastRow="0" w:firstColumn="1" w:lastColumn="0" w:noHBand="0" w:noVBand="1"/>
      </w:tblPr>
      <w:tblGrid>
        <w:gridCol w:w="4612"/>
        <w:gridCol w:w="4631"/>
      </w:tblGrid>
      <w:tr w:rsidR="00ED365A" w:rsidRPr="008C3411" w14:paraId="3E172289" w14:textId="77777777" w:rsidTr="008C34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A805F5" w14:textId="77777777" w:rsidR="008C3411" w:rsidRPr="008C3411" w:rsidRDefault="008C3411" w:rsidP="00ED365A">
            <w:pPr>
              <w:spacing w:line="360" w:lineRule="auto"/>
              <w:jc w:val="both"/>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Programme</w:t>
            </w:r>
          </w:p>
        </w:tc>
        <w:tc>
          <w:tcPr>
            <w:tcW w:w="0" w:type="auto"/>
            <w:shd w:val="clear" w:color="auto" w:fill="auto"/>
            <w:hideMark/>
          </w:tcPr>
          <w:p w14:paraId="1FF967FD" w14:textId="77777777" w:rsidR="008C3411" w:rsidRPr="008C3411" w:rsidRDefault="008C3411" w:rsidP="00ED365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BA (Hons) Business Management</w:t>
            </w:r>
          </w:p>
        </w:tc>
      </w:tr>
      <w:tr w:rsidR="00ED365A" w:rsidRPr="008C3411" w14:paraId="17D0144D" w14:textId="77777777" w:rsidTr="008C34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94C281" w14:textId="77777777" w:rsidR="008C3411" w:rsidRPr="008C3411" w:rsidRDefault="008C3411" w:rsidP="00ED365A">
            <w:pPr>
              <w:spacing w:line="360" w:lineRule="auto"/>
              <w:jc w:val="both"/>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Module</w:t>
            </w:r>
          </w:p>
        </w:tc>
        <w:tc>
          <w:tcPr>
            <w:tcW w:w="0" w:type="auto"/>
            <w:shd w:val="clear" w:color="auto" w:fill="auto"/>
            <w:hideMark/>
          </w:tcPr>
          <w:p w14:paraId="1DF69573" w14:textId="77777777" w:rsidR="008C3411" w:rsidRPr="008C3411" w:rsidRDefault="008C3411" w:rsidP="00ED365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Principles of Human Resource Management</w:t>
            </w:r>
          </w:p>
        </w:tc>
      </w:tr>
      <w:tr w:rsidR="00ED365A" w:rsidRPr="008C3411" w14:paraId="7D9C3FD1" w14:textId="77777777" w:rsidTr="008C3411">
        <w:tc>
          <w:tcPr>
            <w:cnfStyle w:val="001000000000" w:firstRow="0" w:lastRow="0" w:firstColumn="1" w:lastColumn="0" w:oddVBand="0" w:evenVBand="0" w:oddHBand="0" w:evenHBand="0" w:firstRowFirstColumn="0" w:firstRowLastColumn="0" w:lastRowFirstColumn="0" w:lastRowLastColumn="0"/>
            <w:tcW w:w="0" w:type="auto"/>
            <w:hideMark/>
          </w:tcPr>
          <w:p w14:paraId="24A7984E" w14:textId="77777777" w:rsidR="008C3411" w:rsidRPr="008C3411" w:rsidRDefault="008C3411" w:rsidP="00ED365A">
            <w:pPr>
              <w:spacing w:line="360" w:lineRule="auto"/>
              <w:jc w:val="both"/>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Module Code</w:t>
            </w:r>
          </w:p>
        </w:tc>
        <w:tc>
          <w:tcPr>
            <w:tcW w:w="0" w:type="auto"/>
            <w:shd w:val="clear" w:color="auto" w:fill="auto"/>
            <w:hideMark/>
          </w:tcPr>
          <w:p w14:paraId="4C8AA301" w14:textId="77777777" w:rsidR="008C3411" w:rsidRPr="008C3411" w:rsidRDefault="008C3411" w:rsidP="00ED365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LCBB5012</w:t>
            </w:r>
          </w:p>
        </w:tc>
      </w:tr>
      <w:tr w:rsidR="00ED365A" w:rsidRPr="008C3411" w14:paraId="4081D6E1" w14:textId="77777777" w:rsidTr="008C34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4928B0" w14:textId="77777777" w:rsidR="008C3411" w:rsidRPr="008C3411" w:rsidRDefault="008C3411" w:rsidP="00ED365A">
            <w:pPr>
              <w:spacing w:line="360" w:lineRule="auto"/>
              <w:jc w:val="both"/>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Assignment Title</w:t>
            </w:r>
          </w:p>
        </w:tc>
        <w:tc>
          <w:tcPr>
            <w:tcW w:w="0" w:type="auto"/>
            <w:shd w:val="clear" w:color="auto" w:fill="auto"/>
            <w:hideMark/>
          </w:tcPr>
          <w:p w14:paraId="07AADA35" w14:textId="77777777" w:rsidR="008C3411" w:rsidRPr="008C3411" w:rsidRDefault="008C3411" w:rsidP="00ED365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Component 2: Coursework – Individual Report</w:t>
            </w:r>
          </w:p>
        </w:tc>
      </w:tr>
      <w:tr w:rsidR="00ED365A" w:rsidRPr="008C3411" w14:paraId="4F3225A8" w14:textId="77777777" w:rsidTr="008C3411">
        <w:tc>
          <w:tcPr>
            <w:cnfStyle w:val="001000000000" w:firstRow="0" w:lastRow="0" w:firstColumn="1" w:lastColumn="0" w:oddVBand="0" w:evenVBand="0" w:oddHBand="0" w:evenHBand="0" w:firstRowFirstColumn="0" w:firstRowLastColumn="0" w:lastRowFirstColumn="0" w:lastRowLastColumn="0"/>
            <w:tcW w:w="0" w:type="auto"/>
            <w:hideMark/>
          </w:tcPr>
          <w:p w14:paraId="501D5559" w14:textId="77777777" w:rsidR="008C3411" w:rsidRPr="008C3411" w:rsidRDefault="008C3411" w:rsidP="00ED365A">
            <w:pPr>
              <w:spacing w:line="360" w:lineRule="auto"/>
              <w:jc w:val="both"/>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Contribution to Overall Module Assessment</w:t>
            </w:r>
          </w:p>
        </w:tc>
        <w:tc>
          <w:tcPr>
            <w:tcW w:w="0" w:type="auto"/>
            <w:shd w:val="clear" w:color="auto" w:fill="auto"/>
            <w:hideMark/>
          </w:tcPr>
          <w:p w14:paraId="1060087C" w14:textId="77777777" w:rsidR="008C3411" w:rsidRPr="008C3411" w:rsidRDefault="008C3411" w:rsidP="00ED365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50%</w:t>
            </w:r>
          </w:p>
        </w:tc>
      </w:tr>
      <w:tr w:rsidR="00ED365A" w:rsidRPr="008C3411" w14:paraId="004970D2" w14:textId="77777777" w:rsidTr="008C34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DB891A" w14:textId="77777777" w:rsidR="008C3411" w:rsidRPr="008C3411" w:rsidRDefault="008C3411" w:rsidP="00ED365A">
            <w:pPr>
              <w:spacing w:line="360" w:lineRule="auto"/>
              <w:jc w:val="both"/>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Word Count</w:t>
            </w:r>
          </w:p>
        </w:tc>
        <w:tc>
          <w:tcPr>
            <w:tcW w:w="0" w:type="auto"/>
            <w:shd w:val="clear" w:color="auto" w:fill="auto"/>
            <w:hideMark/>
          </w:tcPr>
          <w:p w14:paraId="6E2799F0" w14:textId="77777777" w:rsidR="008C3411" w:rsidRPr="008C3411" w:rsidRDefault="008C3411" w:rsidP="00ED365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2000 words (±10%)</w:t>
            </w:r>
          </w:p>
        </w:tc>
      </w:tr>
      <w:tr w:rsidR="00ED365A" w:rsidRPr="008C3411" w14:paraId="644A4736" w14:textId="77777777" w:rsidTr="008C3411">
        <w:tc>
          <w:tcPr>
            <w:cnfStyle w:val="001000000000" w:firstRow="0" w:lastRow="0" w:firstColumn="1" w:lastColumn="0" w:oddVBand="0" w:evenVBand="0" w:oddHBand="0" w:evenHBand="0" w:firstRowFirstColumn="0" w:firstRowLastColumn="0" w:lastRowFirstColumn="0" w:lastRowLastColumn="0"/>
            <w:tcW w:w="0" w:type="auto"/>
            <w:hideMark/>
          </w:tcPr>
          <w:p w14:paraId="1C79D9AB" w14:textId="77777777" w:rsidR="008C3411" w:rsidRPr="008C3411" w:rsidRDefault="008C3411" w:rsidP="00ED365A">
            <w:pPr>
              <w:spacing w:line="360" w:lineRule="auto"/>
              <w:jc w:val="both"/>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Lecturer</w:t>
            </w:r>
          </w:p>
        </w:tc>
        <w:tc>
          <w:tcPr>
            <w:tcW w:w="0" w:type="auto"/>
            <w:shd w:val="clear" w:color="auto" w:fill="auto"/>
            <w:hideMark/>
          </w:tcPr>
          <w:p w14:paraId="09A04380" w14:textId="77777777" w:rsidR="008C3411" w:rsidRPr="008C3411" w:rsidRDefault="008C3411" w:rsidP="00ED365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TBC / Mr. Nadeem Mirza</w:t>
            </w:r>
          </w:p>
        </w:tc>
      </w:tr>
      <w:tr w:rsidR="00ED365A" w:rsidRPr="008C3411" w14:paraId="68D52F02" w14:textId="77777777" w:rsidTr="008C34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9AC7EC" w14:textId="77777777" w:rsidR="008C3411" w:rsidRPr="008C3411" w:rsidRDefault="008C3411" w:rsidP="00ED365A">
            <w:pPr>
              <w:spacing w:line="360" w:lineRule="auto"/>
              <w:jc w:val="both"/>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Internal Verifier</w:t>
            </w:r>
          </w:p>
        </w:tc>
        <w:tc>
          <w:tcPr>
            <w:tcW w:w="0" w:type="auto"/>
            <w:shd w:val="clear" w:color="auto" w:fill="auto"/>
            <w:hideMark/>
          </w:tcPr>
          <w:p w14:paraId="1CF47264" w14:textId="77777777" w:rsidR="008C3411" w:rsidRPr="008C3411" w:rsidRDefault="008C3411" w:rsidP="00ED365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8C3411">
              <w:rPr>
                <w:rFonts w:ascii="Times New Roman" w:eastAsia="Times New Roman" w:hAnsi="Times New Roman" w:cs="Times New Roman"/>
                <w:sz w:val="24"/>
                <w:szCs w:val="24"/>
              </w:rPr>
              <w:t>Dr Anupam Mazumdar</w:t>
            </w:r>
          </w:p>
        </w:tc>
      </w:tr>
    </w:tbl>
    <w:p w14:paraId="30DB2F45" w14:textId="77777777" w:rsidR="007365E6" w:rsidRPr="00ED365A" w:rsidRDefault="007365E6" w:rsidP="00ED365A">
      <w:pPr>
        <w:pStyle w:val="Heading3"/>
        <w:spacing w:line="360" w:lineRule="auto"/>
        <w:jc w:val="both"/>
        <w:rPr>
          <w:rStyle w:val="Strong"/>
          <w:rFonts w:ascii="Times New Roman" w:hAnsi="Times New Roman" w:cs="Times New Roman"/>
          <w:b/>
          <w:bCs/>
          <w:color w:val="auto"/>
          <w:sz w:val="24"/>
          <w:szCs w:val="24"/>
        </w:rPr>
      </w:pPr>
    </w:p>
    <w:p w14:paraId="63B147A6" w14:textId="77777777" w:rsidR="007365E6" w:rsidRPr="00ED365A" w:rsidRDefault="007365E6" w:rsidP="00ED365A">
      <w:pPr>
        <w:pStyle w:val="Heading3"/>
        <w:spacing w:line="360" w:lineRule="auto"/>
        <w:jc w:val="both"/>
        <w:rPr>
          <w:rStyle w:val="Strong"/>
          <w:rFonts w:ascii="Times New Roman" w:hAnsi="Times New Roman" w:cs="Times New Roman"/>
          <w:b/>
          <w:bCs/>
          <w:color w:val="auto"/>
          <w:sz w:val="24"/>
          <w:szCs w:val="24"/>
        </w:rPr>
      </w:pPr>
    </w:p>
    <w:p w14:paraId="2316A67D" w14:textId="77777777" w:rsidR="007365E6" w:rsidRPr="00ED365A" w:rsidRDefault="007365E6" w:rsidP="00ED365A">
      <w:pPr>
        <w:pStyle w:val="Heading3"/>
        <w:spacing w:line="360" w:lineRule="auto"/>
        <w:jc w:val="both"/>
        <w:rPr>
          <w:rStyle w:val="Strong"/>
          <w:rFonts w:ascii="Times New Roman" w:hAnsi="Times New Roman" w:cs="Times New Roman"/>
          <w:b/>
          <w:bCs/>
          <w:color w:val="auto"/>
          <w:sz w:val="24"/>
          <w:szCs w:val="24"/>
        </w:rPr>
      </w:pPr>
    </w:p>
    <w:p w14:paraId="36FDD490" w14:textId="621D84EC" w:rsidR="007365E6" w:rsidRPr="00ED365A" w:rsidRDefault="007365E6" w:rsidP="00ED365A">
      <w:pPr>
        <w:pStyle w:val="Heading3"/>
        <w:spacing w:line="360" w:lineRule="auto"/>
        <w:jc w:val="both"/>
        <w:rPr>
          <w:rStyle w:val="Strong"/>
          <w:rFonts w:ascii="Times New Roman" w:hAnsi="Times New Roman" w:cs="Times New Roman"/>
          <w:b/>
          <w:bCs/>
          <w:color w:val="auto"/>
          <w:sz w:val="24"/>
          <w:szCs w:val="24"/>
        </w:rPr>
      </w:pPr>
    </w:p>
    <w:p w14:paraId="42D07945" w14:textId="77777777" w:rsidR="007365E6" w:rsidRPr="00ED365A" w:rsidRDefault="007365E6" w:rsidP="00ED365A">
      <w:pPr>
        <w:pStyle w:val="Heading3"/>
        <w:spacing w:line="360" w:lineRule="auto"/>
        <w:jc w:val="both"/>
        <w:rPr>
          <w:rStyle w:val="Strong"/>
          <w:rFonts w:ascii="Times New Roman" w:hAnsi="Times New Roman" w:cs="Times New Roman"/>
          <w:b/>
          <w:bCs/>
          <w:color w:val="auto"/>
          <w:sz w:val="24"/>
          <w:szCs w:val="24"/>
        </w:rPr>
      </w:pPr>
    </w:p>
    <w:p w14:paraId="4DF62D0B" w14:textId="77777777" w:rsidR="007365E6" w:rsidRPr="00ED365A" w:rsidRDefault="007365E6" w:rsidP="00ED365A">
      <w:pPr>
        <w:pStyle w:val="Heading3"/>
        <w:spacing w:line="360" w:lineRule="auto"/>
        <w:jc w:val="both"/>
        <w:rPr>
          <w:rStyle w:val="Strong"/>
          <w:rFonts w:ascii="Times New Roman" w:hAnsi="Times New Roman" w:cs="Times New Roman"/>
          <w:b/>
          <w:bCs/>
          <w:color w:val="auto"/>
          <w:sz w:val="24"/>
          <w:szCs w:val="24"/>
        </w:rPr>
      </w:pPr>
    </w:p>
    <w:p w14:paraId="34F5F6E7" w14:textId="77777777" w:rsidR="008C3411" w:rsidRPr="00ED365A" w:rsidRDefault="008C3411" w:rsidP="00ED365A">
      <w:pPr>
        <w:spacing w:line="360" w:lineRule="auto"/>
        <w:jc w:val="both"/>
        <w:rPr>
          <w:rFonts w:ascii="Times New Roman" w:hAnsi="Times New Roman" w:cs="Times New Roman"/>
        </w:rPr>
      </w:pPr>
    </w:p>
    <w:p w14:paraId="5B0DCD4A" w14:textId="77777777" w:rsidR="008C3411" w:rsidRPr="00ED365A" w:rsidRDefault="008C3411" w:rsidP="00ED365A">
      <w:pPr>
        <w:spacing w:line="360" w:lineRule="auto"/>
        <w:jc w:val="both"/>
        <w:rPr>
          <w:rFonts w:ascii="Times New Roman" w:hAnsi="Times New Roman" w:cs="Times New Roman"/>
        </w:rPr>
      </w:pPr>
    </w:p>
    <w:p w14:paraId="6D0691A9" w14:textId="77777777" w:rsidR="007365E6" w:rsidRPr="00ED365A" w:rsidRDefault="007365E6" w:rsidP="00ED365A">
      <w:pPr>
        <w:pStyle w:val="Heading3"/>
        <w:spacing w:line="360" w:lineRule="auto"/>
        <w:jc w:val="both"/>
        <w:rPr>
          <w:rStyle w:val="Strong"/>
          <w:rFonts w:ascii="Times New Roman" w:hAnsi="Times New Roman" w:cs="Times New Roman"/>
          <w:b/>
          <w:bCs/>
          <w:color w:val="auto"/>
          <w:sz w:val="24"/>
          <w:szCs w:val="24"/>
        </w:rPr>
      </w:pPr>
    </w:p>
    <w:p w14:paraId="3B8973C3" w14:textId="77777777" w:rsidR="008C3411" w:rsidRPr="00ED365A" w:rsidRDefault="008C3411" w:rsidP="00ED365A">
      <w:pPr>
        <w:spacing w:line="360" w:lineRule="auto"/>
        <w:jc w:val="both"/>
        <w:rPr>
          <w:rFonts w:ascii="Times New Roman" w:hAnsi="Times New Roman" w:cs="Times New Roman"/>
        </w:rPr>
      </w:pPr>
    </w:p>
    <w:p w14:paraId="232ADE8D" w14:textId="77777777" w:rsidR="008C3411" w:rsidRPr="00ED365A" w:rsidRDefault="008C3411" w:rsidP="00ED365A">
      <w:pPr>
        <w:spacing w:line="360" w:lineRule="auto"/>
        <w:jc w:val="both"/>
        <w:rPr>
          <w:rFonts w:ascii="Times New Roman" w:hAnsi="Times New Roman" w:cs="Times New Roman"/>
        </w:rPr>
      </w:pPr>
    </w:p>
    <w:p w14:paraId="3EA8917A" w14:textId="77777777" w:rsidR="008C3411" w:rsidRPr="00ED365A" w:rsidRDefault="008C3411" w:rsidP="00ED365A">
      <w:pPr>
        <w:spacing w:line="360" w:lineRule="auto"/>
        <w:jc w:val="both"/>
        <w:rPr>
          <w:rFonts w:ascii="Times New Roman" w:hAnsi="Times New Roman" w:cs="Times New Roman"/>
        </w:rPr>
      </w:pPr>
    </w:p>
    <w:p w14:paraId="63E1CF62" w14:textId="77777777" w:rsidR="008C3411" w:rsidRPr="00ED365A" w:rsidRDefault="008C3411" w:rsidP="00ED365A">
      <w:pPr>
        <w:spacing w:line="360" w:lineRule="auto"/>
        <w:jc w:val="both"/>
        <w:rPr>
          <w:rFonts w:ascii="Times New Roman" w:hAnsi="Times New Roman" w:cs="Times New Roman"/>
        </w:rPr>
      </w:pPr>
    </w:p>
    <w:p w14:paraId="68DDC92D" w14:textId="77777777" w:rsidR="008C3411" w:rsidRPr="00ED365A" w:rsidRDefault="008C3411" w:rsidP="00ED365A">
      <w:pPr>
        <w:spacing w:line="360" w:lineRule="auto"/>
        <w:jc w:val="both"/>
        <w:rPr>
          <w:rFonts w:ascii="Times New Roman" w:hAnsi="Times New Roman" w:cs="Times New Roman"/>
        </w:rPr>
      </w:pPr>
    </w:p>
    <w:sdt>
      <w:sdtPr>
        <w:rPr>
          <w:rFonts w:asciiTheme="minorHAnsi" w:eastAsiaTheme="minorHAnsi" w:hAnsiTheme="minorHAnsi" w:cstheme="minorBidi"/>
          <w:color w:val="auto"/>
          <w:sz w:val="22"/>
          <w:szCs w:val="22"/>
          <w:lang w:eastAsia="en-US"/>
        </w:rPr>
        <w:id w:val="-1263912686"/>
        <w:docPartObj>
          <w:docPartGallery w:val="Table of Contents"/>
          <w:docPartUnique/>
        </w:docPartObj>
      </w:sdtPr>
      <w:sdtEndPr>
        <w:rPr>
          <w:b w:val="0"/>
          <w:bCs w:val="0"/>
          <w:noProof/>
        </w:rPr>
      </w:sdtEndPr>
      <w:sdtContent>
        <w:p w14:paraId="76B333F6" w14:textId="56BFFA2C" w:rsidR="00C8602A" w:rsidRPr="00C8602A" w:rsidRDefault="00C8602A" w:rsidP="00C8602A">
          <w:pPr>
            <w:pStyle w:val="TOCHeading"/>
            <w:spacing w:line="360" w:lineRule="auto"/>
            <w:jc w:val="both"/>
            <w:rPr>
              <w:rFonts w:ascii="Times New Roman" w:hAnsi="Times New Roman" w:cs="Times New Roman"/>
            </w:rPr>
          </w:pPr>
          <w:r w:rsidRPr="00C8602A">
            <w:rPr>
              <w:rFonts w:ascii="Times New Roman" w:hAnsi="Times New Roman" w:cs="Times New Roman"/>
            </w:rPr>
            <w:t xml:space="preserve">                                      Table of Contents</w:t>
          </w:r>
        </w:p>
        <w:p w14:paraId="1600A641"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r w:rsidRPr="00C8602A">
            <w:rPr>
              <w:rFonts w:ascii="Times New Roman" w:hAnsi="Times New Roman" w:cs="Times New Roman"/>
            </w:rPr>
            <w:fldChar w:fldCharType="begin"/>
          </w:r>
          <w:r w:rsidRPr="00C8602A">
            <w:rPr>
              <w:rFonts w:ascii="Times New Roman" w:hAnsi="Times New Roman" w:cs="Times New Roman"/>
            </w:rPr>
            <w:instrText xml:space="preserve"> TOC \o "1-3" \h \z \u </w:instrText>
          </w:r>
          <w:r w:rsidRPr="00C8602A">
            <w:rPr>
              <w:rFonts w:ascii="Times New Roman" w:hAnsi="Times New Roman" w:cs="Times New Roman"/>
            </w:rPr>
            <w:fldChar w:fldCharType="separate"/>
          </w:r>
          <w:hyperlink w:anchor="_Toc216523116" w:history="1">
            <w:r w:rsidRPr="00C8602A">
              <w:rPr>
                <w:rStyle w:val="Hyperlink"/>
                <w:rFonts w:ascii="Times New Roman" w:hAnsi="Times New Roman" w:cs="Times New Roman"/>
                <w:noProof/>
              </w:rPr>
              <w:t>Executive Summary</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_Toc216523116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3</w:t>
            </w:r>
            <w:r w:rsidRPr="00C8602A">
              <w:rPr>
                <w:rFonts w:ascii="Times New Roman" w:hAnsi="Times New Roman" w:cs="Times New Roman"/>
                <w:noProof/>
                <w:webHidden/>
              </w:rPr>
              <w:fldChar w:fldCharType="end"/>
            </w:r>
          </w:hyperlink>
        </w:p>
        <w:p w14:paraId="31F6DC2A"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17" w:history="1">
            <w:r w:rsidRPr="00C8602A">
              <w:rPr>
                <w:rStyle w:val="Hyperlink"/>
                <w:rFonts w:ascii="Times New Roman" w:hAnsi="Times New Roman" w:cs="Times New Roman"/>
                <w:noProof/>
              </w:rPr>
              <w:t>1. Introduction</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_Toc216523117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4</w:t>
            </w:r>
            <w:r w:rsidRPr="00C8602A">
              <w:rPr>
                <w:rFonts w:ascii="Times New Roman" w:hAnsi="Times New Roman" w:cs="Times New Roman"/>
                <w:noProof/>
                <w:webHidden/>
              </w:rPr>
              <w:fldChar w:fldCharType="end"/>
            </w:r>
          </w:hyperlink>
        </w:p>
        <w:p w14:paraId="6668F4D9"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18" w:history="1">
            <w:r w:rsidRPr="00C8602A">
              <w:rPr>
                <w:rStyle w:val="Hyperlink"/>
                <w:rFonts w:ascii="Times New Roman" w:hAnsi="Times New Roman" w:cs="Times New Roman"/>
                <w:noProof/>
              </w:rPr>
              <w:t>2. Internal &amp; External Environment (SWOT Analysis)</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_Toc216523118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4</w:t>
            </w:r>
            <w:r w:rsidRPr="00C8602A">
              <w:rPr>
                <w:rFonts w:ascii="Times New Roman" w:hAnsi="Times New Roman" w:cs="Times New Roman"/>
                <w:noProof/>
                <w:webHidden/>
              </w:rPr>
              <w:fldChar w:fldCharType="end"/>
            </w:r>
          </w:hyperlink>
        </w:p>
        <w:p w14:paraId="63860E82"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19" w:history="1">
            <w:r w:rsidRPr="00C8602A">
              <w:rPr>
                <w:rStyle w:val="Hyperlink"/>
                <w:rFonts w:ascii="Times New Roman" w:hAnsi="Times New Roman" w:cs="Times New Roman"/>
                <w:noProof/>
              </w:rPr>
              <w:t>2.1 Choice of Model and Rationale</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_Toc216523119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5</w:t>
            </w:r>
            <w:r w:rsidRPr="00C8602A">
              <w:rPr>
                <w:rFonts w:ascii="Times New Roman" w:hAnsi="Times New Roman" w:cs="Times New Roman"/>
                <w:noProof/>
                <w:webHidden/>
              </w:rPr>
              <w:fldChar w:fldCharType="end"/>
            </w:r>
          </w:hyperlink>
        </w:p>
        <w:p w14:paraId="28E77DB9"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20" w:history="1">
            <w:r w:rsidRPr="00C8602A">
              <w:rPr>
                <w:rStyle w:val="Hyperlink"/>
                <w:rFonts w:ascii="Times New Roman" w:hAnsi="Times New Roman" w:cs="Times New Roman"/>
                <w:noProof/>
              </w:rPr>
              <w:t>2.2 Usefulness of the Model</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_Toc216523120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5</w:t>
            </w:r>
            <w:r w:rsidRPr="00C8602A">
              <w:rPr>
                <w:rFonts w:ascii="Times New Roman" w:hAnsi="Times New Roman" w:cs="Times New Roman"/>
                <w:noProof/>
                <w:webHidden/>
              </w:rPr>
              <w:fldChar w:fldCharType="end"/>
            </w:r>
          </w:hyperlink>
        </w:p>
        <w:p w14:paraId="53CEFCA5"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21" w:history="1">
            <w:r w:rsidRPr="00C8602A">
              <w:rPr>
                <w:rStyle w:val="Hyperlink"/>
                <w:rFonts w:ascii="Times New Roman" w:hAnsi="Times New Roman" w:cs="Times New Roman"/>
                <w:noProof/>
              </w:rPr>
              <w:t>2.3 Limitations of the Model</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_Toc216523121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5</w:t>
            </w:r>
            <w:r w:rsidRPr="00C8602A">
              <w:rPr>
                <w:rFonts w:ascii="Times New Roman" w:hAnsi="Times New Roman" w:cs="Times New Roman"/>
                <w:noProof/>
                <w:webHidden/>
              </w:rPr>
              <w:fldChar w:fldCharType="end"/>
            </w:r>
          </w:hyperlink>
        </w:p>
        <w:p w14:paraId="46BF28FF"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22" w:history="1">
            <w:r w:rsidRPr="00C8602A">
              <w:rPr>
                <w:rStyle w:val="Hyperlink"/>
                <w:rFonts w:ascii="Times New Roman" w:hAnsi="Times New Roman" w:cs="Times New Roman"/>
                <w:noProof/>
              </w:rPr>
              <w:t>2.4 Linking the Model to HR Functions</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_Toc216523122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6</w:t>
            </w:r>
            <w:r w:rsidRPr="00C8602A">
              <w:rPr>
                <w:rFonts w:ascii="Times New Roman" w:hAnsi="Times New Roman" w:cs="Times New Roman"/>
                <w:noProof/>
                <w:webHidden/>
              </w:rPr>
              <w:fldChar w:fldCharType="end"/>
            </w:r>
          </w:hyperlink>
        </w:p>
        <w:p w14:paraId="2E949D6C"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23" w:history="1">
            <w:r w:rsidRPr="00C8602A">
              <w:rPr>
                <w:rStyle w:val="Hyperlink"/>
                <w:rFonts w:ascii="Times New Roman" w:hAnsi="Times New Roman" w:cs="Times New Roman"/>
                <w:noProof/>
              </w:rPr>
              <w:t>3. Organisation Application</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_Toc216523123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6</w:t>
            </w:r>
            <w:r w:rsidRPr="00C8602A">
              <w:rPr>
                <w:rFonts w:ascii="Times New Roman" w:hAnsi="Times New Roman" w:cs="Times New Roman"/>
                <w:noProof/>
                <w:webHidden/>
              </w:rPr>
              <w:fldChar w:fldCharType="end"/>
            </w:r>
          </w:hyperlink>
        </w:p>
        <w:p w14:paraId="16680976"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24" w:history="1">
            <w:r w:rsidRPr="00C8602A">
              <w:rPr>
                <w:rStyle w:val="Hyperlink"/>
                <w:rFonts w:ascii="Times New Roman" w:hAnsi="Times New Roman" w:cs="Times New Roman"/>
                <w:noProof/>
              </w:rPr>
              <w:t>3.1 Organisation Introduction:</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_Toc216523124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6</w:t>
            </w:r>
            <w:r w:rsidRPr="00C8602A">
              <w:rPr>
                <w:rFonts w:ascii="Times New Roman" w:hAnsi="Times New Roman" w:cs="Times New Roman"/>
                <w:noProof/>
                <w:webHidden/>
              </w:rPr>
              <w:fldChar w:fldCharType="end"/>
            </w:r>
          </w:hyperlink>
        </w:p>
        <w:p w14:paraId="303FA373"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25" w:history="1">
            <w:r w:rsidRPr="00C8602A">
              <w:rPr>
                <w:rStyle w:val="Hyperlink"/>
                <w:rFonts w:ascii="Times New Roman" w:hAnsi="Times New Roman" w:cs="Times New Roman"/>
                <w:noProof/>
              </w:rPr>
              <w:t>3.2 HR Practices:</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_Toc216523125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6</w:t>
            </w:r>
            <w:r w:rsidRPr="00C8602A">
              <w:rPr>
                <w:rFonts w:ascii="Times New Roman" w:hAnsi="Times New Roman" w:cs="Times New Roman"/>
                <w:noProof/>
                <w:webHidden/>
              </w:rPr>
              <w:fldChar w:fldCharType="end"/>
            </w:r>
          </w:hyperlink>
        </w:p>
        <w:p w14:paraId="146E335E"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26" w:history="1">
            <w:r w:rsidRPr="00C8602A">
              <w:rPr>
                <w:rStyle w:val="Hyperlink"/>
                <w:rFonts w:ascii="Times New Roman" w:hAnsi="Times New Roman" w:cs="Times New Roman"/>
                <w:noProof/>
              </w:rPr>
              <w:t>4. Application of Model</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_Toc216523126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7</w:t>
            </w:r>
            <w:r w:rsidRPr="00C8602A">
              <w:rPr>
                <w:rFonts w:ascii="Times New Roman" w:hAnsi="Times New Roman" w:cs="Times New Roman"/>
                <w:noProof/>
                <w:webHidden/>
              </w:rPr>
              <w:fldChar w:fldCharType="end"/>
            </w:r>
          </w:hyperlink>
        </w:p>
        <w:p w14:paraId="62B566A7"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27" w:history="1">
            <w:r w:rsidRPr="00C8602A">
              <w:rPr>
                <w:rStyle w:val="Hyperlink"/>
                <w:rFonts w:ascii="Times New Roman" w:hAnsi="Times New Roman" w:cs="Times New Roman"/>
                <w:noProof/>
              </w:rPr>
              <w:t>4.1 Internal Factors (Strengths &amp; Weaknesses):</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_Toc216523127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7</w:t>
            </w:r>
            <w:r w:rsidRPr="00C8602A">
              <w:rPr>
                <w:rFonts w:ascii="Times New Roman" w:hAnsi="Times New Roman" w:cs="Times New Roman"/>
                <w:noProof/>
                <w:webHidden/>
              </w:rPr>
              <w:fldChar w:fldCharType="end"/>
            </w:r>
          </w:hyperlink>
        </w:p>
        <w:p w14:paraId="642FF5C6"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28" w:history="1">
            <w:r w:rsidRPr="00C8602A">
              <w:rPr>
                <w:rStyle w:val="Hyperlink"/>
                <w:rFonts w:ascii="Times New Roman" w:hAnsi="Times New Roman" w:cs="Times New Roman"/>
                <w:noProof/>
              </w:rPr>
              <w:t>4.2 External Factors (Opportunities &amp; Threats):</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_Toc216523128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8</w:t>
            </w:r>
            <w:r w:rsidRPr="00C8602A">
              <w:rPr>
                <w:rFonts w:ascii="Times New Roman" w:hAnsi="Times New Roman" w:cs="Times New Roman"/>
                <w:noProof/>
                <w:webHidden/>
              </w:rPr>
              <w:fldChar w:fldCharType="end"/>
            </w:r>
          </w:hyperlink>
        </w:p>
        <w:p w14:paraId="1EF4965B"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29" w:history="1">
            <w:r w:rsidRPr="00C8602A">
              <w:rPr>
                <w:rStyle w:val="Hyperlink"/>
                <w:rFonts w:ascii="Times New Roman" w:hAnsi="Times New Roman" w:cs="Times New Roman"/>
                <w:noProof/>
              </w:rPr>
              <w:t>4.3 Integration of SWOT Analysis into HR Practices:</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_Toc216523129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8</w:t>
            </w:r>
            <w:r w:rsidRPr="00C8602A">
              <w:rPr>
                <w:rFonts w:ascii="Times New Roman" w:hAnsi="Times New Roman" w:cs="Times New Roman"/>
                <w:noProof/>
                <w:webHidden/>
              </w:rPr>
              <w:fldChar w:fldCharType="end"/>
            </w:r>
          </w:hyperlink>
        </w:p>
        <w:p w14:paraId="2838EA57"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30" w:history="1">
            <w:r w:rsidRPr="00C8602A">
              <w:rPr>
                <w:rStyle w:val="Hyperlink"/>
                <w:rFonts w:ascii="Times New Roman" w:hAnsi="Times New Roman" w:cs="Times New Roman"/>
                <w:noProof/>
              </w:rPr>
              <w:t>4.4 Country Differences: United Kingdom vs United States</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_Toc216523130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9</w:t>
            </w:r>
            <w:r w:rsidRPr="00C8602A">
              <w:rPr>
                <w:rFonts w:ascii="Times New Roman" w:hAnsi="Times New Roman" w:cs="Times New Roman"/>
                <w:noProof/>
                <w:webHidden/>
              </w:rPr>
              <w:fldChar w:fldCharType="end"/>
            </w:r>
          </w:hyperlink>
        </w:p>
        <w:p w14:paraId="2A82D7CF"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31" w:history="1">
            <w:r w:rsidRPr="00C8602A">
              <w:rPr>
                <w:rStyle w:val="Hyperlink"/>
                <w:rFonts w:ascii="Times New Roman" w:hAnsi="Times New Roman" w:cs="Times New Roman"/>
                <w:noProof/>
              </w:rPr>
              <w:t>5. Conclusion</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_Toc216523131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10</w:t>
            </w:r>
            <w:r w:rsidRPr="00C8602A">
              <w:rPr>
                <w:rFonts w:ascii="Times New Roman" w:hAnsi="Times New Roman" w:cs="Times New Roman"/>
                <w:noProof/>
                <w:webHidden/>
              </w:rPr>
              <w:fldChar w:fldCharType="end"/>
            </w:r>
          </w:hyperlink>
        </w:p>
        <w:p w14:paraId="789DEF9F" w14:textId="77777777" w:rsidR="00C8602A" w:rsidRPr="00C8602A" w:rsidRDefault="00C8602A" w:rsidP="00C8602A">
          <w:pPr>
            <w:pStyle w:val="TOC1"/>
            <w:tabs>
              <w:tab w:val="right" w:leader="dot" w:pos="9017"/>
            </w:tabs>
            <w:spacing w:line="360" w:lineRule="auto"/>
            <w:jc w:val="both"/>
            <w:rPr>
              <w:rFonts w:ascii="Times New Roman" w:eastAsiaTheme="minorEastAsia" w:hAnsi="Times New Roman" w:cs="Times New Roman"/>
              <w:noProof/>
            </w:rPr>
          </w:pPr>
          <w:hyperlink w:anchor="_Toc216523132" w:history="1">
            <w:r w:rsidRPr="00C8602A">
              <w:rPr>
                <w:rStyle w:val="Hyperlink"/>
                <w:rFonts w:ascii="Times New Roman" w:hAnsi="Times New Roman" w:cs="Times New Roman"/>
                <w:noProof/>
              </w:rPr>
              <w:t>References</w:t>
            </w:r>
            <w:r w:rsidRPr="00C8602A">
              <w:rPr>
                <w:rFonts w:ascii="Times New Roman" w:hAnsi="Times New Roman" w:cs="Times New Roman"/>
                <w:noProof/>
                <w:webHidden/>
              </w:rPr>
              <w:tab/>
            </w:r>
            <w:r w:rsidRPr="00C8602A">
              <w:rPr>
                <w:rFonts w:ascii="Times New Roman" w:hAnsi="Times New Roman" w:cs="Times New Roman"/>
                <w:noProof/>
                <w:webHidden/>
              </w:rPr>
              <w:fldChar w:fldCharType="begin"/>
            </w:r>
            <w:r w:rsidRPr="00C8602A">
              <w:rPr>
                <w:rFonts w:ascii="Times New Roman" w:hAnsi="Times New Roman" w:cs="Times New Roman"/>
                <w:noProof/>
                <w:webHidden/>
              </w:rPr>
              <w:instrText xml:space="preserve"> PAGEREF _Toc216523132 \h </w:instrText>
            </w:r>
            <w:r w:rsidRPr="00C8602A">
              <w:rPr>
                <w:rFonts w:ascii="Times New Roman" w:hAnsi="Times New Roman" w:cs="Times New Roman"/>
                <w:noProof/>
                <w:webHidden/>
              </w:rPr>
            </w:r>
            <w:r w:rsidRPr="00C8602A">
              <w:rPr>
                <w:rFonts w:ascii="Times New Roman" w:hAnsi="Times New Roman" w:cs="Times New Roman"/>
                <w:noProof/>
                <w:webHidden/>
              </w:rPr>
              <w:fldChar w:fldCharType="separate"/>
            </w:r>
            <w:r w:rsidRPr="00C8602A">
              <w:rPr>
                <w:rFonts w:ascii="Times New Roman" w:hAnsi="Times New Roman" w:cs="Times New Roman"/>
                <w:noProof/>
                <w:webHidden/>
              </w:rPr>
              <w:t>11</w:t>
            </w:r>
            <w:r w:rsidRPr="00C8602A">
              <w:rPr>
                <w:rFonts w:ascii="Times New Roman" w:hAnsi="Times New Roman" w:cs="Times New Roman"/>
                <w:noProof/>
                <w:webHidden/>
              </w:rPr>
              <w:fldChar w:fldCharType="end"/>
            </w:r>
          </w:hyperlink>
        </w:p>
        <w:p w14:paraId="53DD5908" w14:textId="021BEC96" w:rsidR="00C8602A" w:rsidRDefault="00C8602A" w:rsidP="00C8602A">
          <w:pPr>
            <w:spacing w:line="360" w:lineRule="auto"/>
            <w:jc w:val="both"/>
          </w:pPr>
          <w:r w:rsidRPr="00C8602A">
            <w:rPr>
              <w:rFonts w:ascii="Times New Roman" w:hAnsi="Times New Roman" w:cs="Times New Roman"/>
              <w:b/>
              <w:bCs/>
              <w:noProof/>
            </w:rPr>
            <w:fldChar w:fldCharType="end"/>
          </w:r>
        </w:p>
      </w:sdtContent>
    </w:sdt>
    <w:p w14:paraId="1F7BB6BD" w14:textId="77777777" w:rsidR="008C3411" w:rsidRPr="00ED365A" w:rsidRDefault="008C3411" w:rsidP="00ED365A">
      <w:pPr>
        <w:spacing w:line="360" w:lineRule="auto"/>
        <w:jc w:val="both"/>
        <w:rPr>
          <w:rFonts w:ascii="Times New Roman" w:hAnsi="Times New Roman" w:cs="Times New Roman"/>
        </w:rPr>
      </w:pPr>
    </w:p>
    <w:p w14:paraId="681E4002" w14:textId="77777777" w:rsidR="008C3411" w:rsidRPr="00ED365A" w:rsidRDefault="008C3411" w:rsidP="00ED365A">
      <w:pPr>
        <w:spacing w:line="360" w:lineRule="auto"/>
        <w:jc w:val="both"/>
        <w:rPr>
          <w:rFonts w:ascii="Times New Roman" w:hAnsi="Times New Roman" w:cs="Times New Roman"/>
        </w:rPr>
      </w:pPr>
    </w:p>
    <w:p w14:paraId="6B8A7446" w14:textId="77777777" w:rsidR="008C3411" w:rsidRPr="00ED365A" w:rsidRDefault="008C3411" w:rsidP="00ED365A">
      <w:pPr>
        <w:spacing w:line="360" w:lineRule="auto"/>
        <w:jc w:val="both"/>
        <w:rPr>
          <w:rFonts w:ascii="Times New Roman" w:hAnsi="Times New Roman" w:cs="Times New Roman"/>
        </w:rPr>
      </w:pPr>
    </w:p>
    <w:p w14:paraId="399BA2AF" w14:textId="77777777" w:rsidR="008C3411" w:rsidRPr="00ED365A" w:rsidRDefault="008C3411" w:rsidP="00ED365A">
      <w:pPr>
        <w:spacing w:line="360" w:lineRule="auto"/>
        <w:jc w:val="both"/>
        <w:rPr>
          <w:rFonts w:ascii="Times New Roman" w:hAnsi="Times New Roman" w:cs="Times New Roman"/>
        </w:rPr>
      </w:pPr>
    </w:p>
    <w:p w14:paraId="22BCD3CA" w14:textId="77777777" w:rsidR="008C3411" w:rsidRPr="00ED365A" w:rsidRDefault="008C3411" w:rsidP="00ED365A">
      <w:pPr>
        <w:spacing w:line="360" w:lineRule="auto"/>
        <w:jc w:val="both"/>
        <w:rPr>
          <w:rFonts w:ascii="Times New Roman" w:hAnsi="Times New Roman" w:cs="Times New Roman"/>
        </w:rPr>
      </w:pPr>
    </w:p>
    <w:p w14:paraId="4115B969" w14:textId="77777777" w:rsidR="008C3411" w:rsidRPr="00ED365A" w:rsidRDefault="008C3411" w:rsidP="00ED365A">
      <w:pPr>
        <w:spacing w:line="360" w:lineRule="auto"/>
        <w:jc w:val="both"/>
        <w:rPr>
          <w:rFonts w:ascii="Times New Roman" w:hAnsi="Times New Roman" w:cs="Times New Roman"/>
        </w:rPr>
      </w:pPr>
    </w:p>
    <w:p w14:paraId="774B5C29" w14:textId="77777777" w:rsidR="008C3411" w:rsidRPr="00ED365A" w:rsidRDefault="008C3411" w:rsidP="00ED365A">
      <w:pPr>
        <w:spacing w:line="360" w:lineRule="auto"/>
        <w:jc w:val="both"/>
        <w:rPr>
          <w:rFonts w:ascii="Times New Roman" w:hAnsi="Times New Roman" w:cs="Times New Roman"/>
        </w:rPr>
      </w:pPr>
    </w:p>
    <w:p w14:paraId="51C29DE4" w14:textId="300EFFB3" w:rsidR="00595711" w:rsidRPr="00ED365A" w:rsidRDefault="00595711" w:rsidP="00ED365A">
      <w:pPr>
        <w:pStyle w:val="Heading1"/>
      </w:pPr>
      <w:bookmarkStart w:id="0" w:name="_Toc216523116"/>
      <w:r w:rsidRPr="00ED365A">
        <w:rPr>
          <w:rStyle w:val="Strong"/>
          <w:b/>
          <w:bCs/>
        </w:rPr>
        <w:t>Executive Summary</w:t>
      </w:r>
      <w:bookmarkEnd w:id="0"/>
      <w:r w:rsidRPr="00ED365A">
        <w:rPr>
          <w:rStyle w:val="Strong"/>
          <w:b/>
          <w:bCs/>
        </w:rPr>
        <w:t xml:space="preserve"> </w:t>
      </w:r>
    </w:p>
    <w:p w14:paraId="32300307" w14:textId="1E268FF7" w:rsidR="00595711" w:rsidRPr="00ED365A" w:rsidRDefault="00130128" w:rsidP="00ED365A">
      <w:pPr>
        <w:pStyle w:val="NormalWeb"/>
        <w:spacing w:line="360" w:lineRule="auto"/>
        <w:jc w:val="both"/>
      </w:pPr>
      <w:r w:rsidRPr="00ED365A">
        <w:t xml:space="preserve">In this report, the Human Resource Management (HRM) practices within Tesco PLC have been investigated and discussed in relation to the recruitment, training, performance management as well as employee relations within its international operations. Based on the SWOT framework, the analysis shows internal strengths (organized training </w:t>
      </w:r>
      <w:proofErr w:type="spellStart"/>
      <w:r w:rsidRPr="00ED365A">
        <w:t>programmes</w:t>
      </w:r>
      <w:proofErr w:type="spellEnd"/>
      <w:r w:rsidRPr="00ED365A">
        <w:t xml:space="preserve"> and sophisticated HR systems) and weaknesses </w:t>
      </w:r>
      <w:r w:rsidR="00ED365A" w:rsidRPr="00ED365A">
        <w:t>(skill</w:t>
      </w:r>
      <w:r w:rsidRPr="00ED365A">
        <w:t xml:space="preserve"> gaps and inconsistent policies). Strategic workforce planning is facilitated by external opportunities such as technology and global talent mobility, as well as threats such as labour shortages, economic shocks and changes in regulations are adaptive HR strategies. The report further makes comparisons between HR in the UK and U.S that are based on differences in culture, law and economic settings, as well as stressing on the critical role of evidence-based and tailored HR practice concerning the effectiveness of organisations.</w:t>
      </w:r>
    </w:p>
    <w:p w14:paraId="76F0FD27" w14:textId="7D8F114F" w:rsidR="007A087C" w:rsidRPr="00AE5722" w:rsidRDefault="00AE5722" w:rsidP="00AE5722">
      <w:pPr>
        <w:pStyle w:val="Heading1"/>
      </w:pPr>
      <w:bookmarkStart w:id="1" w:name="_Toc216523117"/>
      <w:r w:rsidRPr="00AE5722">
        <w:t xml:space="preserve">1. </w:t>
      </w:r>
      <w:r w:rsidR="007A087C" w:rsidRPr="00AE5722">
        <w:t>Introduction</w:t>
      </w:r>
      <w:bookmarkEnd w:id="1"/>
    </w:p>
    <w:p w14:paraId="771B3FA2" w14:textId="57F7AA03" w:rsidR="00130128" w:rsidRPr="00ED365A" w:rsidRDefault="00130128" w:rsidP="00ED365A">
      <w:pPr>
        <w:spacing w:before="100" w:beforeAutospacing="1" w:after="100" w:afterAutospacing="1" w:line="360" w:lineRule="auto"/>
        <w:jc w:val="both"/>
        <w:rPr>
          <w:rFonts w:ascii="Times New Roman" w:eastAsia="Times New Roman" w:hAnsi="Times New Roman" w:cs="Times New Roman"/>
          <w:sz w:val="24"/>
          <w:szCs w:val="24"/>
        </w:rPr>
      </w:pPr>
      <w:r w:rsidRPr="00ED365A">
        <w:rPr>
          <w:rFonts w:ascii="Times New Roman" w:eastAsia="Times New Roman" w:hAnsi="Times New Roman" w:cs="Times New Roman"/>
          <w:sz w:val="24"/>
          <w:szCs w:val="24"/>
        </w:rPr>
        <w:t xml:space="preserve">Human Resource Management (HRM) plays a crucial role in ensuring that organisations access, develop and retain talents necessary in the achievement of both operational and strategic objectives. The HR role represents a set of fundamental tasks such as recruiting and choosing the employees, training their skills, performance management, and ensuring that the relationships between the employees and the employer remain positive (Armstrong and Taylor, 2020). By effective recruitment and selection, the HR professionals are able to recruit qualified candidates and assign them to a job that they are most suited to perform effectively in enhancing organisational productivity and success in the long run. </w:t>
      </w:r>
      <w:r w:rsidR="00726A92" w:rsidRPr="00726A92">
        <w:rPr>
          <w:rFonts w:ascii="Times New Roman" w:eastAsia="Times New Roman" w:hAnsi="Times New Roman" w:cs="Times New Roman"/>
          <w:sz w:val="24"/>
          <w:szCs w:val="24"/>
        </w:rPr>
        <w:t>It is also the development of HR-based capacity building by giving systematic training and professional development initiatives that enhance knowledge and competencies and a continuous improvement to the workforce (Potgieter and Ferreira, 2022).</w:t>
      </w:r>
    </w:p>
    <w:p w14:paraId="6B65196B" w14:textId="5823E060" w:rsidR="00130128" w:rsidRPr="00ED365A" w:rsidRDefault="00130128" w:rsidP="00ED365A">
      <w:pPr>
        <w:spacing w:before="100" w:beforeAutospacing="1" w:after="100" w:afterAutospacing="1" w:line="360" w:lineRule="auto"/>
        <w:jc w:val="both"/>
        <w:rPr>
          <w:rFonts w:ascii="Times New Roman" w:eastAsia="Times New Roman" w:hAnsi="Times New Roman" w:cs="Times New Roman"/>
          <w:sz w:val="24"/>
          <w:szCs w:val="24"/>
        </w:rPr>
      </w:pPr>
      <w:r w:rsidRPr="00ED365A">
        <w:rPr>
          <w:rFonts w:ascii="Times New Roman" w:eastAsia="Times New Roman" w:hAnsi="Times New Roman" w:cs="Times New Roman"/>
          <w:sz w:val="24"/>
          <w:szCs w:val="24"/>
        </w:rPr>
        <w:t xml:space="preserve">Additionally, HR works jointly with managers when it comes to conducting performance management processes that can help check the progress of employees, assess the outcomes, and offer constructive feedback (Taylor, 2021). Periodic performance meetings can be used to establish succinct expectations, foster responsibility, and make sure that the personal objectives are consistent with the organisational interests. HR is also instrumental in fostering </w:t>
      </w:r>
      <w:r w:rsidRPr="00ED365A">
        <w:rPr>
          <w:rFonts w:ascii="Times New Roman" w:eastAsia="Times New Roman" w:hAnsi="Times New Roman" w:cs="Times New Roman"/>
          <w:sz w:val="24"/>
          <w:szCs w:val="24"/>
        </w:rPr>
        <w:lastRenderedPageBreak/>
        <w:t>healthy employee relations through ensuring that there is open communication, consistency in policy implementation and that workplace issues are addressed in a healthy and effective manner. The compensation and benefits is another key area of responsibility, under which HR should ensure the creation of competitive reward systems that will inspire employees and increase retention rates (Marchington,</w:t>
      </w:r>
      <w:r w:rsidR="00ED365A" w:rsidRPr="00ED365A">
        <w:rPr>
          <w:rFonts w:ascii="Times New Roman" w:eastAsia="Times New Roman" w:hAnsi="Times New Roman" w:cs="Times New Roman"/>
          <w:sz w:val="24"/>
          <w:szCs w:val="24"/>
        </w:rPr>
        <w:t xml:space="preserve"> Wilkinson and Marchington, 2021</w:t>
      </w:r>
      <w:r w:rsidRPr="00ED365A">
        <w:rPr>
          <w:rFonts w:ascii="Times New Roman" w:eastAsia="Times New Roman" w:hAnsi="Times New Roman" w:cs="Times New Roman"/>
          <w:sz w:val="24"/>
          <w:szCs w:val="24"/>
        </w:rPr>
        <w:t>).</w:t>
      </w:r>
    </w:p>
    <w:p w14:paraId="54BAADC7" w14:textId="78B9773D" w:rsidR="007A087C" w:rsidRPr="00ED365A" w:rsidRDefault="00130128" w:rsidP="00ED365A">
      <w:pPr>
        <w:pStyle w:val="NormalWeb"/>
        <w:spacing w:line="360" w:lineRule="auto"/>
        <w:jc w:val="both"/>
      </w:pPr>
      <w:r w:rsidRPr="00ED365A">
        <w:t>The following report discusses the main HR functions in organisations, the external and internal environmental factors that shape the HR decision-making process, uses a relevant analytical model to evaluate the impact of these factors on the work of a global organisation, and finally, makes a reflection on how the HR functions in the modern dynamic business environment</w:t>
      </w:r>
      <w:r w:rsidR="004F75AA" w:rsidRPr="00ED365A">
        <w:t xml:space="preserve"> (Renwick, Redman and Maguire, 2013)</w:t>
      </w:r>
      <w:r w:rsidRPr="00ED365A">
        <w:t>.</w:t>
      </w:r>
    </w:p>
    <w:p w14:paraId="18A97D7E" w14:textId="52A0181C" w:rsidR="007A087C" w:rsidRPr="00AE5722" w:rsidRDefault="00AE5722" w:rsidP="00AE5722">
      <w:pPr>
        <w:pStyle w:val="Heading1"/>
      </w:pPr>
      <w:bookmarkStart w:id="2" w:name="_Toc216523118"/>
      <w:r w:rsidRPr="00AE5722">
        <w:rPr>
          <w:rStyle w:val="Strong"/>
          <w:b/>
          <w:bCs/>
        </w:rPr>
        <w:t xml:space="preserve">2. </w:t>
      </w:r>
      <w:r w:rsidR="007A087C" w:rsidRPr="00AE5722">
        <w:rPr>
          <w:rStyle w:val="Strong"/>
          <w:b/>
          <w:bCs/>
        </w:rPr>
        <w:t>Internal &amp; External Enviro</w:t>
      </w:r>
      <w:r w:rsidR="007365E6" w:rsidRPr="00AE5722">
        <w:rPr>
          <w:rStyle w:val="Strong"/>
          <w:b/>
          <w:bCs/>
        </w:rPr>
        <w:t>nment (SWOT Analysis</w:t>
      </w:r>
      <w:r w:rsidR="007A087C" w:rsidRPr="00AE5722">
        <w:rPr>
          <w:rStyle w:val="Strong"/>
          <w:b/>
          <w:bCs/>
        </w:rPr>
        <w:t>)</w:t>
      </w:r>
      <w:bookmarkEnd w:id="2"/>
    </w:p>
    <w:p w14:paraId="6887FDB8" w14:textId="01469056" w:rsidR="007A087C" w:rsidRPr="00ED365A" w:rsidRDefault="00C8602A" w:rsidP="00C8602A">
      <w:pPr>
        <w:pStyle w:val="Heading1"/>
      </w:pPr>
      <w:bookmarkStart w:id="3" w:name="_Toc216522968"/>
      <w:bookmarkStart w:id="4" w:name="_Toc216523119"/>
      <w:r>
        <w:rPr>
          <w:rStyle w:val="Strong"/>
          <w:b/>
          <w:bCs/>
          <w:szCs w:val="24"/>
        </w:rPr>
        <w:t xml:space="preserve">2.1 </w:t>
      </w:r>
      <w:r w:rsidR="007A087C" w:rsidRPr="00ED365A">
        <w:rPr>
          <w:rStyle w:val="Strong"/>
          <w:b/>
          <w:bCs/>
          <w:szCs w:val="24"/>
        </w:rPr>
        <w:t>Choice of</w:t>
      </w:r>
      <w:r w:rsidR="007365E6" w:rsidRPr="00ED365A">
        <w:rPr>
          <w:rStyle w:val="Strong"/>
          <w:b/>
          <w:bCs/>
          <w:szCs w:val="24"/>
        </w:rPr>
        <w:t xml:space="preserve"> Model and Rationale</w:t>
      </w:r>
      <w:bookmarkEnd w:id="3"/>
      <w:bookmarkEnd w:id="4"/>
      <w:r w:rsidR="007365E6" w:rsidRPr="00ED365A">
        <w:rPr>
          <w:rStyle w:val="Strong"/>
          <w:b/>
          <w:bCs/>
          <w:szCs w:val="24"/>
        </w:rPr>
        <w:t xml:space="preserve"> </w:t>
      </w:r>
    </w:p>
    <w:p w14:paraId="7264F246" w14:textId="4E8A5450" w:rsidR="007365E6" w:rsidRPr="00726A92" w:rsidRDefault="007365E6" w:rsidP="00ED365A">
      <w:pPr>
        <w:pStyle w:val="NormalWeb"/>
        <w:spacing w:line="360" w:lineRule="auto"/>
        <w:jc w:val="both"/>
        <w:rPr>
          <w:b/>
          <w:bCs/>
        </w:rPr>
      </w:pPr>
      <w:r w:rsidRPr="007365E6">
        <w:t xml:space="preserve">SWOT analysis is an effective framework for evaluating HR activities by assessing both internal and external factors. Unlike tools focused only on macro environments, SWOT provides a balanced view of organisational strengths and weaknesses alongside external opportunities and threats, offering a comprehensive assessment of HR effectiveness (Johnson, Whittington and Scholes, 2018). </w:t>
      </w:r>
      <w:r w:rsidR="00726A92" w:rsidRPr="00726A92">
        <w:t xml:space="preserve">Internal factors emphasize how </w:t>
      </w:r>
      <w:proofErr w:type="gramStart"/>
      <w:r w:rsidR="00726A92" w:rsidRPr="00726A92">
        <w:t>the HR</w:t>
      </w:r>
      <w:proofErr w:type="gramEnd"/>
      <w:r w:rsidR="00726A92" w:rsidRPr="00726A92">
        <w:t xml:space="preserve"> resources, systems and culture contribute or limit performance whilst the external factors indicate the trends in the </w:t>
      </w:r>
      <w:proofErr w:type="spellStart"/>
      <w:r w:rsidR="00726A92" w:rsidRPr="00726A92">
        <w:t>labour</w:t>
      </w:r>
      <w:proofErr w:type="spellEnd"/>
      <w:r w:rsidR="00726A92" w:rsidRPr="00726A92">
        <w:t xml:space="preserve"> market, regulatory modifications and technological advancements. That is why SWOT is especially useful when it comes to international </w:t>
      </w:r>
      <w:proofErr w:type="spellStart"/>
      <w:r w:rsidR="00726A92" w:rsidRPr="00726A92">
        <w:t>organisations</w:t>
      </w:r>
      <w:proofErr w:type="spellEnd"/>
      <w:r w:rsidR="00726A92" w:rsidRPr="00726A92">
        <w:t>, as it will enable HR managers to match internal strengths and opportunities with external demands to make evidence-based decisions about strategies (Renwick, Redman and Maguire, 2013).</w:t>
      </w:r>
    </w:p>
    <w:p w14:paraId="3874DDD2" w14:textId="77777777" w:rsidR="007A087C" w:rsidRPr="00726A92" w:rsidRDefault="00000000" w:rsidP="00ED365A">
      <w:pPr>
        <w:spacing w:line="360" w:lineRule="auto"/>
        <w:jc w:val="both"/>
        <w:rPr>
          <w:rFonts w:ascii="Times New Roman" w:hAnsi="Times New Roman" w:cs="Times New Roman"/>
          <w:b/>
          <w:bCs/>
          <w:sz w:val="24"/>
          <w:szCs w:val="24"/>
        </w:rPr>
      </w:pPr>
      <w:r w:rsidRPr="00726A92">
        <w:rPr>
          <w:rFonts w:ascii="Times New Roman" w:hAnsi="Times New Roman" w:cs="Times New Roman"/>
          <w:b/>
          <w:bCs/>
          <w:sz w:val="24"/>
          <w:szCs w:val="24"/>
        </w:rPr>
        <w:pict w14:anchorId="01DA54D1">
          <v:rect id="_x0000_i1025" style="width:0;height:1.5pt" o:hralign="center" o:hrstd="t" o:hr="t" fillcolor="#a0a0a0" stroked="f"/>
        </w:pict>
      </w:r>
    </w:p>
    <w:p w14:paraId="766E8505" w14:textId="0B1BF329" w:rsidR="007A087C" w:rsidRPr="00726A92" w:rsidRDefault="00C8602A" w:rsidP="00C8602A">
      <w:pPr>
        <w:pStyle w:val="Heading1"/>
        <w:rPr>
          <w:b w:val="0"/>
          <w:bCs w:val="0"/>
        </w:rPr>
      </w:pPr>
      <w:bookmarkStart w:id="5" w:name="_Toc216522969"/>
      <w:bookmarkStart w:id="6" w:name="_Toc216523120"/>
      <w:r w:rsidRPr="00726A92">
        <w:rPr>
          <w:rStyle w:val="Strong"/>
          <w:b/>
          <w:bCs/>
        </w:rPr>
        <w:t>2</w:t>
      </w:r>
      <w:r w:rsidR="007A087C" w:rsidRPr="00726A92">
        <w:rPr>
          <w:rStyle w:val="Strong"/>
          <w:b/>
          <w:bCs/>
        </w:rPr>
        <w:t>.2 Use</w:t>
      </w:r>
      <w:r w:rsidR="007365E6" w:rsidRPr="00726A92">
        <w:rPr>
          <w:rStyle w:val="Strong"/>
          <w:b/>
          <w:bCs/>
        </w:rPr>
        <w:t>fulness of the Model</w:t>
      </w:r>
      <w:bookmarkEnd w:id="5"/>
      <w:bookmarkEnd w:id="6"/>
      <w:r w:rsidR="007365E6" w:rsidRPr="00726A92">
        <w:rPr>
          <w:rStyle w:val="Strong"/>
          <w:b/>
          <w:bCs/>
        </w:rPr>
        <w:t xml:space="preserve"> </w:t>
      </w:r>
    </w:p>
    <w:p w14:paraId="5D265658" w14:textId="002F0DF7" w:rsidR="007365E6" w:rsidRPr="00726A92" w:rsidRDefault="00726A92" w:rsidP="00ED365A">
      <w:pPr>
        <w:spacing w:before="100" w:beforeAutospacing="1" w:after="100" w:afterAutospacing="1" w:line="360" w:lineRule="auto"/>
        <w:jc w:val="both"/>
        <w:rPr>
          <w:rFonts w:ascii="Times New Roman" w:eastAsia="Times New Roman" w:hAnsi="Times New Roman" w:cs="Times New Roman"/>
          <w:sz w:val="24"/>
          <w:szCs w:val="24"/>
        </w:rPr>
      </w:pPr>
      <w:r w:rsidRPr="00726A92">
        <w:rPr>
          <w:rFonts w:ascii="Times New Roman" w:eastAsia="Times New Roman" w:hAnsi="Times New Roman" w:cs="Times New Roman"/>
          <w:sz w:val="24"/>
          <w:szCs w:val="24"/>
        </w:rPr>
        <w:t xml:space="preserve">The SWOT analysis is also beneficial to the HR management because it provides </w:t>
      </w:r>
      <w:proofErr w:type="gramStart"/>
      <w:r w:rsidRPr="00726A92">
        <w:rPr>
          <w:rFonts w:ascii="Times New Roman" w:eastAsia="Times New Roman" w:hAnsi="Times New Roman" w:cs="Times New Roman"/>
          <w:sz w:val="24"/>
          <w:szCs w:val="24"/>
        </w:rPr>
        <w:t>the</w:t>
      </w:r>
      <w:proofErr w:type="gramEnd"/>
      <w:r w:rsidRPr="00726A92">
        <w:rPr>
          <w:rFonts w:ascii="Times New Roman" w:eastAsia="Times New Roman" w:hAnsi="Times New Roman" w:cs="Times New Roman"/>
          <w:sz w:val="24"/>
          <w:szCs w:val="24"/>
        </w:rPr>
        <w:t xml:space="preserve"> method of </w:t>
      </w:r>
      <w:proofErr w:type="spellStart"/>
      <w:r w:rsidRPr="00726A92">
        <w:rPr>
          <w:rFonts w:ascii="Times New Roman" w:eastAsia="Times New Roman" w:hAnsi="Times New Roman" w:cs="Times New Roman"/>
          <w:sz w:val="24"/>
          <w:szCs w:val="24"/>
        </w:rPr>
        <w:t>organised</w:t>
      </w:r>
      <w:proofErr w:type="spellEnd"/>
      <w:r w:rsidRPr="00726A92">
        <w:rPr>
          <w:rFonts w:ascii="Times New Roman" w:eastAsia="Times New Roman" w:hAnsi="Times New Roman" w:cs="Times New Roman"/>
          <w:sz w:val="24"/>
          <w:szCs w:val="24"/>
        </w:rPr>
        <w:t xml:space="preserve"> evaluation of the compatibility of internal HR practices and the external </w:t>
      </w:r>
      <w:proofErr w:type="spellStart"/>
      <w:r w:rsidRPr="00726A92">
        <w:rPr>
          <w:rFonts w:ascii="Times New Roman" w:eastAsia="Times New Roman" w:hAnsi="Times New Roman" w:cs="Times New Roman"/>
          <w:sz w:val="24"/>
          <w:szCs w:val="24"/>
        </w:rPr>
        <w:t>labour</w:t>
      </w:r>
      <w:proofErr w:type="spellEnd"/>
      <w:r w:rsidRPr="00726A92">
        <w:rPr>
          <w:rFonts w:ascii="Times New Roman" w:eastAsia="Times New Roman" w:hAnsi="Times New Roman" w:cs="Times New Roman"/>
          <w:sz w:val="24"/>
          <w:szCs w:val="24"/>
        </w:rPr>
        <w:t xml:space="preserve"> market. The success of recruitment, training, and performance management is enabled by strengths like high levels of employer branding, sophisticated HR technology, and competent HR professionals (Armstrong and Taylor, 2020). Such weaknesses as skills gaps or insufficient investment in HR systems are identified to indicate the areas that need to be </w:t>
      </w:r>
      <w:r w:rsidRPr="00726A92">
        <w:rPr>
          <w:rFonts w:ascii="Times New Roman" w:eastAsia="Times New Roman" w:hAnsi="Times New Roman" w:cs="Times New Roman"/>
          <w:sz w:val="24"/>
          <w:szCs w:val="24"/>
        </w:rPr>
        <w:lastRenderedPageBreak/>
        <w:t xml:space="preserve">improved. On the external front, there are opportunities that are created by demographic changes, technological advancements, and global movement of talent, and threats that include economic uncertainty, </w:t>
      </w:r>
      <w:proofErr w:type="spellStart"/>
      <w:r w:rsidRPr="00726A92">
        <w:rPr>
          <w:rFonts w:ascii="Times New Roman" w:eastAsia="Times New Roman" w:hAnsi="Times New Roman" w:cs="Times New Roman"/>
          <w:sz w:val="24"/>
          <w:szCs w:val="24"/>
        </w:rPr>
        <w:t>labour</w:t>
      </w:r>
      <w:proofErr w:type="spellEnd"/>
      <w:r w:rsidRPr="00726A92">
        <w:rPr>
          <w:rFonts w:ascii="Times New Roman" w:eastAsia="Times New Roman" w:hAnsi="Times New Roman" w:cs="Times New Roman"/>
          <w:sz w:val="24"/>
          <w:szCs w:val="24"/>
        </w:rPr>
        <w:t xml:space="preserve"> shortage, and shifting legislation on employment indicate the possibility of risks. Combining all these aspects, SWOT will allow HR managers to synchronize the plans, be flexible, and take initiative to adapt to the change.</w:t>
      </w:r>
    </w:p>
    <w:p w14:paraId="4AAEB11D" w14:textId="77777777" w:rsidR="007A087C" w:rsidRPr="00726A92" w:rsidRDefault="00000000" w:rsidP="00ED365A">
      <w:pPr>
        <w:spacing w:line="360" w:lineRule="auto"/>
        <w:jc w:val="both"/>
        <w:rPr>
          <w:rFonts w:ascii="Times New Roman" w:hAnsi="Times New Roman" w:cs="Times New Roman"/>
          <w:b/>
          <w:bCs/>
          <w:sz w:val="24"/>
          <w:szCs w:val="24"/>
        </w:rPr>
      </w:pPr>
      <w:r w:rsidRPr="00726A92">
        <w:rPr>
          <w:rFonts w:ascii="Times New Roman" w:hAnsi="Times New Roman" w:cs="Times New Roman"/>
          <w:b/>
          <w:bCs/>
          <w:sz w:val="24"/>
          <w:szCs w:val="24"/>
        </w:rPr>
        <w:pict w14:anchorId="2FF48B5A">
          <v:rect id="_x0000_i1026" style="width:0;height:1.5pt" o:hralign="center" o:hrstd="t" o:hr="t" fillcolor="#a0a0a0" stroked="f"/>
        </w:pict>
      </w:r>
    </w:p>
    <w:p w14:paraId="2ACD7F4D" w14:textId="650340B1" w:rsidR="007A087C" w:rsidRPr="00726A92" w:rsidRDefault="00C8602A" w:rsidP="00C8602A">
      <w:pPr>
        <w:pStyle w:val="Heading1"/>
        <w:rPr>
          <w:b w:val="0"/>
          <w:bCs w:val="0"/>
        </w:rPr>
      </w:pPr>
      <w:bookmarkStart w:id="7" w:name="_Toc216522970"/>
      <w:bookmarkStart w:id="8" w:name="_Toc216523121"/>
      <w:r w:rsidRPr="00726A92">
        <w:rPr>
          <w:rStyle w:val="Strong"/>
          <w:b/>
          <w:bCs/>
          <w:szCs w:val="24"/>
        </w:rPr>
        <w:t>2</w:t>
      </w:r>
      <w:r w:rsidR="007A087C" w:rsidRPr="00726A92">
        <w:rPr>
          <w:rStyle w:val="Strong"/>
          <w:b/>
          <w:bCs/>
          <w:szCs w:val="24"/>
        </w:rPr>
        <w:t>.3 Limi</w:t>
      </w:r>
      <w:r w:rsidR="007365E6" w:rsidRPr="00726A92">
        <w:rPr>
          <w:rStyle w:val="Strong"/>
          <w:b/>
          <w:bCs/>
          <w:szCs w:val="24"/>
        </w:rPr>
        <w:t>tations of the Model</w:t>
      </w:r>
      <w:bookmarkEnd w:id="7"/>
      <w:bookmarkEnd w:id="8"/>
    </w:p>
    <w:p w14:paraId="630FD145" w14:textId="6A4AED18" w:rsidR="007365E6" w:rsidRPr="00726A92" w:rsidRDefault="00726A92" w:rsidP="00ED365A">
      <w:pPr>
        <w:spacing w:before="100" w:beforeAutospacing="1" w:after="100" w:afterAutospacing="1" w:line="360" w:lineRule="auto"/>
        <w:jc w:val="both"/>
        <w:rPr>
          <w:rFonts w:ascii="Times New Roman" w:eastAsia="Times New Roman" w:hAnsi="Times New Roman" w:cs="Times New Roman"/>
          <w:sz w:val="24"/>
          <w:szCs w:val="24"/>
        </w:rPr>
      </w:pPr>
      <w:r w:rsidRPr="00726A92">
        <w:rPr>
          <w:rFonts w:ascii="Times New Roman" w:eastAsia="Times New Roman" w:hAnsi="Times New Roman" w:cs="Times New Roman"/>
          <w:sz w:val="24"/>
          <w:szCs w:val="24"/>
        </w:rPr>
        <w:t xml:space="preserve">SWOT analysis has </w:t>
      </w:r>
      <w:proofErr w:type="gramStart"/>
      <w:r w:rsidRPr="00726A92">
        <w:rPr>
          <w:rFonts w:ascii="Times New Roman" w:eastAsia="Times New Roman" w:hAnsi="Times New Roman" w:cs="Times New Roman"/>
          <w:sz w:val="24"/>
          <w:szCs w:val="24"/>
        </w:rPr>
        <w:t>a number of</w:t>
      </w:r>
      <w:proofErr w:type="gramEnd"/>
      <w:r w:rsidRPr="00726A92">
        <w:rPr>
          <w:rFonts w:ascii="Times New Roman" w:eastAsia="Times New Roman" w:hAnsi="Times New Roman" w:cs="Times New Roman"/>
          <w:sz w:val="24"/>
          <w:szCs w:val="24"/>
        </w:rPr>
        <w:t xml:space="preserve"> </w:t>
      </w:r>
      <w:proofErr w:type="gramStart"/>
      <w:r w:rsidRPr="00726A92">
        <w:rPr>
          <w:rFonts w:ascii="Times New Roman" w:eastAsia="Times New Roman" w:hAnsi="Times New Roman" w:cs="Times New Roman"/>
          <w:sz w:val="24"/>
          <w:szCs w:val="24"/>
        </w:rPr>
        <w:t>limitations,</w:t>
      </w:r>
      <w:proofErr w:type="gramEnd"/>
      <w:r w:rsidRPr="00726A92">
        <w:rPr>
          <w:rFonts w:ascii="Times New Roman" w:eastAsia="Times New Roman" w:hAnsi="Times New Roman" w:cs="Times New Roman"/>
          <w:sz w:val="24"/>
          <w:szCs w:val="24"/>
        </w:rPr>
        <w:t xml:space="preserve"> despite the benefits it has. It has the potential to simplify </w:t>
      </w:r>
      <w:proofErr w:type="gramStart"/>
      <w:r w:rsidRPr="00726A92">
        <w:rPr>
          <w:rFonts w:ascii="Times New Roman" w:eastAsia="Times New Roman" w:hAnsi="Times New Roman" w:cs="Times New Roman"/>
          <w:sz w:val="24"/>
          <w:szCs w:val="24"/>
        </w:rPr>
        <w:t>the complex</w:t>
      </w:r>
      <w:proofErr w:type="gramEnd"/>
      <w:r w:rsidRPr="00726A92">
        <w:rPr>
          <w:rFonts w:ascii="Times New Roman" w:eastAsia="Times New Roman" w:hAnsi="Times New Roman" w:cs="Times New Roman"/>
          <w:sz w:val="24"/>
          <w:szCs w:val="24"/>
        </w:rPr>
        <w:t xml:space="preserve"> </w:t>
      </w:r>
      <w:proofErr w:type="spellStart"/>
      <w:r w:rsidRPr="00726A92">
        <w:rPr>
          <w:rFonts w:ascii="Times New Roman" w:eastAsia="Times New Roman" w:hAnsi="Times New Roman" w:cs="Times New Roman"/>
          <w:sz w:val="24"/>
          <w:szCs w:val="24"/>
        </w:rPr>
        <w:t>organisational</w:t>
      </w:r>
      <w:proofErr w:type="spellEnd"/>
      <w:r w:rsidRPr="00726A92">
        <w:rPr>
          <w:rFonts w:ascii="Times New Roman" w:eastAsia="Times New Roman" w:hAnsi="Times New Roman" w:cs="Times New Roman"/>
          <w:sz w:val="24"/>
          <w:szCs w:val="24"/>
        </w:rPr>
        <w:t xml:space="preserve"> situations because general categories might not reflect the dynamism of the HR practices (Johnson et al., 2018). The strengths, weaknesses, opportunities and threats are normally identified subjectively thus rendering it to bias or incomplete analysis. Moreover, the SWOT does not prioritize or measure any </w:t>
      </w:r>
      <w:proofErr w:type="gramStart"/>
      <w:r w:rsidRPr="00726A92">
        <w:rPr>
          <w:rFonts w:ascii="Times New Roman" w:eastAsia="Times New Roman" w:hAnsi="Times New Roman" w:cs="Times New Roman"/>
          <w:sz w:val="24"/>
          <w:szCs w:val="24"/>
        </w:rPr>
        <w:t>issues</w:t>
      </w:r>
      <w:proofErr w:type="gramEnd"/>
      <w:r w:rsidRPr="00726A92">
        <w:rPr>
          <w:rFonts w:ascii="Times New Roman" w:eastAsia="Times New Roman" w:hAnsi="Times New Roman" w:cs="Times New Roman"/>
          <w:sz w:val="24"/>
          <w:szCs w:val="24"/>
        </w:rPr>
        <w:t xml:space="preserve"> so the HR managers need additional tools to identify the urgency and the impact. This model does </w:t>
      </w:r>
      <w:proofErr w:type="gramStart"/>
      <w:r w:rsidRPr="00726A92">
        <w:rPr>
          <w:rFonts w:ascii="Times New Roman" w:eastAsia="Times New Roman" w:hAnsi="Times New Roman" w:cs="Times New Roman"/>
          <w:sz w:val="24"/>
          <w:szCs w:val="24"/>
        </w:rPr>
        <w:t>not also</w:t>
      </w:r>
      <w:proofErr w:type="gramEnd"/>
      <w:r w:rsidRPr="00726A92">
        <w:rPr>
          <w:rFonts w:ascii="Times New Roman" w:eastAsia="Times New Roman" w:hAnsi="Times New Roman" w:cs="Times New Roman"/>
          <w:sz w:val="24"/>
          <w:szCs w:val="24"/>
        </w:rPr>
        <w:t xml:space="preserve"> provide a clear relationship between internal and external or developmental relationships with time. SWOT thus should be updated </w:t>
      </w:r>
      <w:proofErr w:type="gramStart"/>
      <w:r w:rsidRPr="00726A92">
        <w:rPr>
          <w:rFonts w:ascii="Times New Roman" w:eastAsia="Times New Roman" w:hAnsi="Times New Roman" w:cs="Times New Roman"/>
          <w:sz w:val="24"/>
          <w:szCs w:val="24"/>
        </w:rPr>
        <w:t>frequently</w:t>
      </w:r>
      <w:proofErr w:type="gramEnd"/>
      <w:r w:rsidRPr="00726A92">
        <w:rPr>
          <w:rFonts w:ascii="Times New Roman" w:eastAsia="Times New Roman" w:hAnsi="Times New Roman" w:cs="Times New Roman"/>
          <w:sz w:val="24"/>
          <w:szCs w:val="24"/>
        </w:rPr>
        <w:t xml:space="preserve"> and other HR strategic analysis tools should be in support.</w:t>
      </w:r>
    </w:p>
    <w:p w14:paraId="2291055C" w14:textId="77777777" w:rsidR="007A087C" w:rsidRPr="00726A92" w:rsidRDefault="00000000" w:rsidP="00ED365A">
      <w:pPr>
        <w:spacing w:line="360" w:lineRule="auto"/>
        <w:jc w:val="both"/>
        <w:rPr>
          <w:rFonts w:ascii="Times New Roman" w:hAnsi="Times New Roman" w:cs="Times New Roman"/>
          <w:b/>
          <w:bCs/>
          <w:sz w:val="24"/>
          <w:szCs w:val="24"/>
        </w:rPr>
      </w:pPr>
      <w:r w:rsidRPr="00726A92">
        <w:rPr>
          <w:rFonts w:ascii="Times New Roman" w:hAnsi="Times New Roman" w:cs="Times New Roman"/>
          <w:b/>
          <w:bCs/>
          <w:sz w:val="24"/>
          <w:szCs w:val="24"/>
        </w:rPr>
        <w:pict w14:anchorId="5392C2BB">
          <v:rect id="_x0000_i1027" style="width:0;height:1.5pt" o:hralign="center" o:hrstd="t" o:hr="t" fillcolor="#a0a0a0" stroked="f"/>
        </w:pict>
      </w:r>
    </w:p>
    <w:p w14:paraId="30876846" w14:textId="4A754852" w:rsidR="007A087C" w:rsidRPr="00726A92" w:rsidRDefault="00C8602A" w:rsidP="00C8602A">
      <w:pPr>
        <w:pStyle w:val="Heading1"/>
        <w:rPr>
          <w:b w:val="0"/>
          <w:bCs w:val="0"/>
        </w:rPr>
      </w:pPr>
      <w:bookmarkStart w:id="9" w:name="_Toc216522971"/>
      <w:bookmarkStart w:id="10" w:name="_Toc216523122"/>
      <w:r w:rsidRPr="00726A92">
        <w:rPr>
          <w:rStyle w:val="Strong"/>
          <w:b/>
          <w:bCs/>
          <w:szCs w:val="24"/>
        </w:rPr>
        <w:t>2</w:t>
      </w:r>
      <w:r w:rsidR="007A087C" w:rsidRPr="00726A92">
        <w:rPr>
          <w:rStyle w:val="Strong"/>
          <w:b/>
          <w:bCs/>
          <w:szCs w:val="24"/>
        </w:rPr>
        <w:t>.4 Linking the M</w:t>
      </w:r>
      <w:r w:rsidR="007365E6" w:rsidRPr="00726A92">
        <w:rPr>
          <w:rStyle w:val="Strong"/>
          <w:b/>
          <w:bCs/>
          <w:szCs w:val="24"/>
        </w:rPr>
        <w:t>odel to HR Functions</w:t>
      </w:r>
      <w:bookmarkEnd w:id="9"/>
      <w:bookmarkEnd w:id="10"/>
      <w:r w:rsidR="007365E6" w:rsidRPr="00726A92">
        <w:rPr>
          <w:rStyle w:val="Strong"/>
          <w:b/>
          <w:bCs/>
          <w:szCs w:val="24"/>
        </w:rPr>
        <w:t xml:space="preserve"> </w:t>
      </w:r>
    </w:p>
    <w:p w14:paraId="31A89E6A" w14:textId="48B971FB" w:rsidR="007365E6" w:rsidRPr="007365E6" w:rsidRDefault="00726A92" w:rsidP="00ED365A">
      <w:pPr>
        <w:pStyle w:val="NormalWeb"/>
        <w:spacing w:line="360" w:lineRule="auto"/>
        <w:jc w:val="both"/>
      </w:pPr>
      <w:r w:rsidRPr="00726A92">
        <w:t xml:space="preserve">The implications of each of the elements of SWOT are directly related to HR functions. The acquisition of talent and the development of employees are facilitated by internal strengths like an efficient recruitment system and good learning cultures. On the other hand, such weaknesses as the use of old HR </w:t>
      </w:r>
      <w:proofErr w:type="gramStart"/>
      <w:r w:rsidRPr="00726A92">
        <w:t>technology,</w:t>
      </w:r>
      <w:proofErr w:type="gramEnd"/>
      <w:r w:rsidRPr="00726A92">
        <w:t xml:space="preserve"> lack of regular performance management may prevent communication, slow down the recruitment process and demotivate employees. The access to external opportunities such as technological progress, availability of talents around the world and government programs on skills allows better training, employer branding and planning of the workforce.</w:t>
      </w:r>
      <w:r w:rsidR="007365E6" w:rsidRPr="007365E6">
        <w:t xml:space="preserve"> However, threats such as labour shortages, changing employment regulations, and rising employee expectations affect attraction and retention strategies. By </w:t>
      </w:r>
      <w:proofErr w:type="spellStart"/>
      <w:r w:rsidR="007365E6" w:rsidRPr="007365E6">
        <w:t>analysing</w:t>
      </w:r>
      <w:proofErr w:type="spellEnd"/>
      <w:r w:rsidR="007365E6" w:rsidRPr="007365E6">
        <w:t xml:space="preserve"> these factors, HR managers can design more strategic recruitment, development, performance management, and employee relations practices aligned with </w:t>
      </w:r>
      <w:proofErr w:type="spellStart"/>
      <w:r w:rsidR="007365E6" w:rsidRPr="007365E6">
        <w:t>organisational</w:t>
      </w:r>
      <w:proofErr w:type="spellEnd"/>
      <w:r w:rsidR="007365E6" w:rsidRPr="007365E6">
        <w:t xml:space="preserve"> goals</w:t>
      </w:r>
      <w:r w:rsidR="004F75AA" w:rsidRPr="00ED365A">
        <w:t xml:space="preserve"> (Hidayat and Putra, 2023)</w:t>
      </w:r>
      <w:r w:rsidR="007365E6" w:rsidRPr="007365E6">
        <w:t>.</w:t>
      </w:r>
    </w:p>
    <w:p w14:paraId="11FF1DFA" w14:textId="32464CB7" w:rsidR="000F6D4E" w:rsidRPr="00ED365A" w:rsidRDefault="00AE5722" w:rsidP="00AE5722">
      <w:pPr>
        <w:pStyle w:val="Heading1"/>
      </w:pPr>
      <w:bookmarkStart w:id="11" w:name="_Toc216523123"/>
      <w:r>
        <w:rPr>
          <w:rStyle w:val="Strong"/>
          <w:b/>
          <w:bCs/>
          <w:szCs w:val="24"/>
        </w:rPr>
        <w:lastRenderedPageBreak/>
        <w:t>3.</w:t>
      </w:r>
      <w:r w:rsidRPr="00ED365A">
        <w:rPr>
          <w:rStyle w:val="Strong"/>
          <w:b/>
          <w:bCs/>
          <w:szCs w:val="24"/>
        </w:rPr>
        <w:t xml:space="preserve"> Organisation</w:t>
      </w:r>
      <w:r w:rsidR="007365E6" w:rsidRPr="00ED365A">
        <w:rPr>
          <w:rStyle w:val="Strong"/>
          <w:b/>
          <w:bCs/>
          <w:szCs w:val="24"/>
        </w:rPr>
        <w:t xml:space="preserve"> Application</w:t>
      </w:r>
      <w:bookmarkEnd w:id="11"/>
      <w:r w:rsidR="007365E6" w:rsidRPr="00ED365A">
        <w:rPr>
          <w:rStyle w:val="Strong"/>
          <w:b/>
          <w:bCs/>
          <w:szCs w:val="24"/>
        </w:rPr>
        <w:t xml:space="preserve"> </w:t>
      </w:r>
    </w:p>
    <w:p w14:paraId="1D0C0B45" w14:textId="10645BE4" w:rsidR="00130128" w:rsidRPr="00C8602A" w:rsidRDefault="00C8602A" w:rsidP="00C8602A">
      <w:pPr>
        <w:pStyle w:val="Heading1"/>
      </w:pPr>
      <w:bookmarkStart w:id="12" w:name="_Toc216523124"/>
      <w:r w:rsidRPr="00C8602A">
        <w:rPr>
          <w:rStyle w:val="Strong"/>
          <w:b/>
          <w:bCs/>
        </w:rPr>
        <w:t xml:space="preserve">3.1 </w:t>
      </w:r>
      <w:r w:rsidR="000F6D4E" w:rsidRPr="00C8602A">
        <w:rPr>
          <w:rStyle w:val="Strong"/>
          <w:b/>
          <w:bCs/>
        </w:rPr>
        <w:t>Organisation Introduction:</w:t>
      </w:r>
      <w:bookmarkEnd w:id="12"/>
    </w:p>
    <w:p w14:paraId="032DB878" w14:textId="087574BC" w:rsidR="000F6D4E" w:rsidRPr="00ED365A" w:rsidRDefault="00130128" w:rsidP="00ED365A">
      <w:pPr>
        <w:pStyle w:val="NormalWeb"/>
        <w:spacing w:line="360" w:lineRule="auto"/>
        <w:jc w:val="both"/>
      </w:pPr>
      <w:r w:rsidRPr="00ED365A">
        <w:t>Tesco PLC is a multinational retail business with its headquarters in Welwyn Garden City, England and is one of the largest global retailers dealing in groceries and general merchandise with headquarters in more than a dozen countries in Europe and Asia (Wikipedia, 2025). Tesco employs over 330,000 people to serve millions of customers in different formats, such as large hypermarkets, supermarkets, and even convenience stores in the UK, Ireland, Czech Republic, Hungary, Poland and Slovakia and by strategy partnerships and operation internationally (Wikipedia, 2025; Times100, 2025). The company is exposed to a wide range of cultures, legal and economic environments due to its wide geographic presence and therefore requires strong global HR practices.</w:t>
      </w:r>
    </w:p>
    <w:p w14:paraId="785D52D1" w14:textId="7525F518" w:rsidR="00130128" w:rsidRPr="00C8602A" w:rsidRDefault="00C8602A" w:rsidP="00C8602A">
      <w:pPr>
        <w:pStyle w:val="Heading1"/>
      </w:pPr>
      <w:bookmarkStart w:id="13" w:name="_Toc216523125"/>
      <w:r w:rsidRPr="00C8602A">
        <w:rPr>
          <w:rStyle w:val="Strong"/>
          <w:b/>
          <w:bCs/>
        </w:rPr>
        <w:t xml:space="preserve">3.2 </w:t>
      </w:r>
      <w:r w:rsidR="000F6D4E" w:rsidRPr="00C8602A">
        <w:rPr>
          <w:rStyle w:val="Strong"/>
          <w:b/>
          <w:bCs/>
        </w:rPr>
        <w:t>HR Practices:</w:t>
      </w:r>
      <w:bookmarkEnd w:id="13"/>
    </w:p>
    <w:p w14:paraId="0C0A935C" w14:textId="6D0BCAF1" w:rsidR="000F6D4E" w:rsidRPr="00ED365A" w:rsidRDefault="00130128" w:rsidP="00ED365A">
      <w:pPr>
        <w:pStyle w:val="NormalWeb"/>
        <w:spacing w:line="360" w:lineRule="auto"/>
        <w:jc w:val="both"/>
      </w:pPr>
      <w:r w:rsidRPr="00ED365A">
        <w:t xml:space="preserve">The Tesco human resource management strategy is in line with its strategic organisational objectives, through employee relations, performance management, learning and development, and recruitment processes in several countries. At Tesco, recruitment is done through workforce planning and </w:t>
      </w:r>
      <w:r w:rsidR="007365E6" w:rsidRPr="00ED365A">
        <w:t>multi-channel</w:t>
      </w:r>
      <w:r w:rsidRPr="00ED365A">
        <w:t xml:space="preserve"> sourcing, which is a combination of both internal and external recruitment through inner talent pipelines and outer recruitment chann</w:t>
      </w:r>
      <w:r w:rsidR="004F75AA" w:rsidRPr="00ED365A">
        <w:t>els</w:t>
      </w:r>
      <w:r w:rsidRPr="00ED365A">
        <w:t xml:space="preserve">. The company prioritizes training and development by pursuing regular </w:t>
      </w:r>
      <w:proofErr w:type="spellStart"/>
      <w:r w:rsidRPr="00ED365A">
        <w:t>programmes</w:t>
      </w:r>
      <w:proofErr w:type="spellEnd"/>
      <w:r w:rsidRPr="00ED365A">
        <w:t xml:space="preserve"> that help to boost skills and cross cultural awareness as well as ca</w:t>
      </w:r>
      <w:r w:rsidR="00ED365A" w:rsidRPr="00ED365A">
        <w:t>reer progression (UK Essays, 201</w:t>
      </w:r>
      <w:r w:rsidRPr="00ED365A">
        <w:t>5; Rapid Assistance Help, 2025). At Tesco, performance management involves frequent appraisals and feedback systems, which are used to align the goals of individuals to the organization to achieve business goals, which promotes productivity and employee engagement (</w:t>
      </w:r>
      <w:r w:rsidR="008C3411" w:rsidRPr="00ED365A">
        <w:t>Kumar, 2015</w:t>
      </w:r>
      <w:r w:rsidRPr="00ED365A">
        <w:t xml:space="preserve">). Regarding employee relations, Tesco also cooperates with trade unions and applies the mentioned survey and communication channels to address work-related nonetheless and promote the </w:t>
      </w:r>
      <w:r w:rsidR="008C3411" w:rsidRPr="00ED365A">
        <w:t>well-being</w:t>
      </w:r>
      <w:r w:rsidRPr="00ED365A">
        <w:t xml:space="preserve"> of the employees (</w:t>
      </w:r>
      <w:r w:rsidR="00ED365A" w:rsidRPr="00ED365A">
        <w:t>Tesco PLC, 2025</w:t>
      </w:r>
      <w:r w:rsidRPr="00ED365A">
        <w:t>). All in all, the Tesco HR practices can be characterized by a balance of the local responsiveness coupled with global consistency that enables the company to control its large workforce without facing different external environments</w:t>
      </w:r>
      <w:r w:rsidR="004F75AA" w:rsidRPr="00ED365A">
        <w:t xml:space="preserve"> (Alhassan, 2016)</w:t>
      </w:r>
      <w:r w:rsidRPr="00ED365A">
        <w:t>.</w:t>
      </w:r>
    </w:p>
    <w:p w14:paraId="0CC3FA02" w14:textId="4DF9C77F" w:rsidR="000F6D4E" w:rsidRPr="00ED365A" w:rsidRDefault="00AE5722" w:rsidP="00AE5722">
      <w:pPr>
        <w:pStyle w:val="Heading1"/>
      </w:pPr>
      <w:bookmarkStart w:id="14" w:name="_Toc216523126"/>
      <w:r>
        <w:rPr>
          <w:rStyle w:val="Strong"/>
          <w:b/>
          <w:bCs/>
          <w:szCs w:val="24"/>
        </w:rPr>
        <w:t xml:space="preserve">4. </w:t>
      </w:r>
      <w:r w:rsidR="008C3411" w:rsidRPr="00ED365A">
        <w:rPr>
          <w:rStyle w:val="Strong"/>
          <w:b/>
          <w:bCs/>
          <w:szCs w:val="24"/>
        </w:rPr>
        <w:t>Application of Model</w:t>
      </w:r>
      <w:bookmarkEnd w:id="14"/>
      <w:r w:rsidR="008C3411" w:rsidRPr="00ED365A">
        <w:rPr>
          <w:rStyle w:val="Strong"/>
          <w:b/>
          <w:bCs/>
          <w:szCs w:val="24"/>
        </w:rPr>
        <w:t xml:space="preserve"> </w:t>
      </w:r>
      <w:r w:rsidR="00FE4A89" w:rsidRPr="00ED365A">
        <w:rPr>
          <w:rStyle w:val="Strong"/>
          <w:b/>
          <w:bCs/>
          <w:szCs w:val="24"/>
        </w:rPr>
        <w:t xml:space="preserve"> </w:t>
      </w:r>
    </w:p>
    <w:p w14:paraId="555AD111" w14:textId="77777777" w:rsidR="000F6D4E" w:rsidRPr="00ED365A" w:rsidRDefault="000F6D4E" w:rsidP="00ED365A">
      <w:pPr>
        <w:pStyle w:val="Heading4"/>
        <w:spacing w:line="360" w:lineRule="auto"/>
        <w:jc w:val="both"/>
        <w:rPr>
          <w:rFonts w:ascii="Times New Roman" w:hAnsi="Times New Roman" w:cs="Times New Roman"/>
          <w:color w:val="auto"/>
          <w:sz w:val="24"/>
          <w:szCs w:val="24"/>
        </w:rPr>
      </w:pPr>
      <w:r w:rsidRPr="00ED365A">
        <w:rPr>
          <w:rStyle w:val="Strong"/>
          <w:rFonts w:ascii="Times New Roman" w:hAnsi="Times New Roman" w:cs="Times New Roman"/>
          <w:b/>
          <w:bCs/>
          <w:color w:val="auto"/>
          <w:sz w:val="24"/>
          <w:szCs w:val="24"/>
        </w:rPr>
        <w:lastRenderedPageBreak/>
        <w:t>Impact on Organisation: Internal &amp; External Environmental Factors (SWOT Analysis)</w:t>
      </w:r>
    </w:p>
    <w:p w14:paraId="18136C85" w14:textId="6D7B5B9B" w:rsidR="000F6D4E" w:rsidRPr="00ED365A" w:rsidRDefault="00130128" w:rsidP="00ED365A">
      <w:pPr>
        <w:pStyle w:val="NormalWeb"/>
        <w:spacing w:line="360" w:lineRule="auto"/>
        <w:jc w:val="both"/>
      </w:pPr>
      <w:r w:rsidRPr="00ED365A">
        <w:t xml:space="preserve">SWOT is a prominently known strategic instrument of studying both the internal and external environments of an organisation (Johnson, Whittington and Scholes, 2018). As it is applied to human resource management (HRM) in the case of Tesco PLC, the application allows to </w:t>
      </w:r>
      <w:proofErr w:type="spellStart"/>
      <w:r w:rsidRPr="00ED365A">
        <w:t>recognise</w:t>
      </w:r>
      <w:proofErr w:type="spellEnd"/>
      <w:r w:rsidRPr="00ED365A">
        <w:t xml:space="preserve"> internal strengths and weaknesses, external opportunities and threats, which are directly applicable to the effectiveness of the HR managers in meeting the </w:t>
      </w:r>
      <w:proofErr w:type="spellStart"/>
      <w:r w:rsidRPr="00ED365A">
        <w:t>organisational</w:t>
      </w:r>
      <w:proofErr w:type="spellEnd"/>
      <w:r w:rsidRPr="00ED365A">
        <w:t xml:space="preserve"> objectives</w:t>
      </w:r>
      <w:r w:rsidR="004F75AA" w:rsidRPr="00ED365A">
        <w:t xml:space="preserve"> (Alhassan, 2016)</w:t>
      </w:r>
      <w:r w:rsidRPr="00ED365A">
        <w:t>.</w:t>
      </w:r>
    </w:p>
    <w:p w14:paraId="17E58F8A" w14:textId="5E727C9E" w:rsidR="00130128" w:rsidRPr="00C8602A" w:rsidRDefault="00C8602A" w:rsidP="00C8602A">
      <w:pPr>
        <w:pStyle w:val="Heading1"/>
      </w:pPr>
      <w:bookmarkStart w:id="15" w:name="_Toc216523127"/>
      <w:r w:rsidRPr="00C8602A">
        <w:rPr>
          <w:rStyle w:val="Strong"/>
          <w:b/>
          <w:bCs/>
        </w:rPr>
        <w:t xml:space="preserve">4.1 </w:t>
      </w:r>
      <w:r w:rsidR="000F6D4E" w:rsidRPr="00C8602A">
        <w:rPr>
          <w:rStyle w:val="Strong"/>
          <w:b/>
          <w:bCs/>
        </w:rPr>
        <w:t>Internal Factors (Strengths &amp; Weaknesses):</w:t>
      </w:r>
      <w:bookmarkEnd w:id="15"/>
    </w:p>
    <w:p w14:paraId="53E6CF81" w14:textId="77777777" w:rsidR="00130128" w:rsidRPr="00ED365A" w:rsidRDefault="00130128" w:rsidP="00ED365A">
      <w:pPr>
        <w:pStyle w:val="NormalWeb"/>
        <w:spacing w:line="360" w:lineRule="auto"/>
        <w:jc w:val="both"/>
      </w:pPr>
      <w:r w:rsidRPr="00ED365A">
        <w:t xml:space="preserve">Internal strengths refer to factors within the organisation that place Tesco at a competitive advantage when it comes to the management of its human resource. To illustrate a case in point, Tesco has a well-established employee recruitment systems, employee training </w:t>
      </w:r>
      <w:proofErr w:type="spellStart"/>
      <w:r w:rsidRPr="00ED365A">
        <w:t>programme</w:t>
      </w:r>
      <w:proofErr w:type="spellEnd"/>
      <w:r w:rsidRPr="00ED365A">
        <w:t xml:space="preserve"> and performance management system. These internal strengths enable HR managers to recruit, train and keep a talented workforce, align employee goals with organisational goals, and have high engagement and productivity (Armstrong and Taylor, 2020). The internal capabilities of Tesco also encompass the developed HR technology used in workforce planning and data management, as it allows the HR teams to use evidence-based decision-making and enhance operational efficiency (Smart Life Skills, 2025).</w:t>
      </w:r>
    </w:p>
    <w:p w14:paraId="2F461AD0" w14:textId="77777777" w:rsidR="004F75AA" w:rsidRPr="00ED365A" w:rsidRDefault="007365E6" w:rsidP="00ED365A">
      <w:pPr>
        <w:pStyle w:val="NormalWeb"/>
        <w:numPr>
          <w:ilvl w:val="0"/>
          <w:numId w:val="2"/>
        </w:numPr>
        <w:spacing w:line="360" w:lineRule="auto"/>
        <w:jc w:val="both"/>
      </w:pPr>
      <w:r w:rsidRPr="00ED365A">
        <w:t>HR effectiveness is constrained by administrative complexity across countries (</w:t>
      </w:r>
      <w:r w:rsidR="004F75AA" w:rsidRPr="00ED365A">
        <w:t>UK Essays, 2019</w:t>
      </w:r>
      <w:r w:rsidRPr="00ED365A">
        <w:t>)</w:t>
      </w:r>
    </w:p>
    <w:p w14:paraId="548E0A76" w14:textId="77777777" w:rsidR="004F75AA" w:rsidRPr="00ED365A" w:rsidRDefault="007365E6" w:rsidP="00ED365A">
      <w:pPr>
        <w:pStyle w:val="NormalWeb"/>
        <w:numPr>
          <w:ilvl w:val="0"/>
          <w:numId w:val="2"/>
        </w:numPr>
        <w:spacing w:line="360" w:lineRule="auto"/>
        <w:jc w:val="both"/>
      </w:pPr>
      <w:r w:rsidRPr="00ED365A">
        <w:t>Inconsistent HR policies and communication hinder cultural alignment (</w:t>
      </w:r>
      <w:r w:rsidR="004F75AA" w:rsidRPr="00ED365A">
        <w:t>UK Essays, 2019</w:t>
      </w:r>
      <w:r w:rsidRPr="00ED365A">
        <w:t>)</w:t>
      </w:r>
    </w:p>
    <w:p w14:paraId="53B69BB7" w14:textId="77777777" w:rsidR="004F75AA" w:rsidRPr="00ED365A" w:rsidRDefault="007365E6" w:rsidP="00ED365A">
      <w:pPr>
        <w:pStyle w:val="NormalWeb"/>
        <w:numPr>
          <w:ilvl w:val="0"/>
          <w:numId w:val="2"/>
        </w:numPr>
        <w:spacing w:line="360" w:lineRule="auto"/>
        <w:jc w:val="both"/>
      </w:pPr>
      <w:r w:rsidRPr="00ED365A">
        <w:t xml:space="preserve">Regional skill gaps limit effective talent </w:t>
      </w:r>
      <w:proofErr w:type="spellStart"/>
      <w:r w:rsidRPr="00ED365A">
        <w:t>utilisation</w:t>
      </w:r>
      <w:proofErr w:type="spellEnd"/>
      <w:r w:rsidRPr="00ED365A">
        <w:t xml:space="preserve"> (</w:t>
      </w:r>
      <w:r w:rsidR="004F75AA" w:rsidRPr="00ED365A">
        <w:t>UK Essays, 2019</w:t>
      </w:r>
      <w:r w:rsidRPr="00ED365A">
        <w:t>)</w:t>
      </w:r>
    </w:p>
    <w:p w14:paraId="20EAF005" w14:textId="1F80A2F5" w:rsidR="007365E6" w:rsidRPr="00ED365A" w:rsidRDefault="007365E6" w:rsidP="00ED365A">
      <w:pPr>
        <w:pStyle w:val="NormalWeb"/>
        <w:numPr>
          <w:ilvl w:val="0"/>
          <w:numId w:val="2"/>
        </w:numPr>
        <w:spacing w:line="360" w:lineRule="auto"/>
        <w:jc w:val="both"/>
      </w:pPr>
      <w:r w:rsidRPr="00ED365A">
        <w:t>Ongoing monitoring and strategic HR interventions are needed to align with Tesco’s goals (</w:t>
      </w:r>
      <w:r w:rsidR="004F75AA" w:rsidRPr="00ED365A">
        <w:t>UK Essays, 2019</w:t>
      </w:r>
      <w:r w:rsidRPr="00ED365A">
        <w:t>)</w:t>
      </w:r>
    </w:p>
    <w:p w14:paraId="4AA5BE0C" w14:textId="0BE571D9" w:rsidR="00130128" w:rsidRPr="00C8602A" w:rsidRDefault="00C8602A" w:rsidP="00C8602A">
      <w:pPr>
        <w:pStyle w:val="Heading1"/>
      </w:pPr>
      <w:bookmarkStart w:id="16" w:name="_Toc216523128"/>
      <w:r w:rsidRPr="00C8602A">
        <w:rPr>
          <w:rStyle w:val="Strong"/>
          <w:b/>
          <w:bCs/>
        </w:rPr>
        <w:t xml:space="preserve">4.2 </w:t>
      </w:r>
      <w:r w:rsidR="000F6D4E" w:rsidRPr="00C8602A">
        <w:rPr>
          <w:rStyle w:val="Strong"/>
          <w:b/>
          <w:bCs/>
        </w:rPr>
        <w:t>External Factors (Opportunities &amp; Threats):</w:t>
      </w:r>
      <w:bookmarkEnd w:id="16"/>
    </w:p>
    <w:p w14:paraId="5843D41B" w14:textId="56CE7B60" w:rsidR="00130128" w:rsidRPr="00ED365A" w:rsidRDefault="00130128" w:rsidP="00ED365A">
      <w:pPr>
        <w:pStyle w:val="NormalWeb"/>
        <w:spacing w:line="360" w:lineRule="auto"/>
        <w:jc w:val="both"/>
      </w:pPr>
      <w:r w:rsidRPr="00ED365A">
        <w:t>Eternal opportunities refer to situations in the environment that can be utilized by Tesco to improve its performance through its HR division. An example is the introduction of flexibility around working remotely and higher access to labour market digital talent, which offers the possibility to recruit and keep employees with specialized skills</w:t>
      </w:r>
      <w:r w:rsidR="004F75AA" w:rsidRPr="00ED365A">
        <w:t xml:space="preserve"> (Renwick, Redman and Maguire, 2013)</w:t>
      </w:r>
      <w:r w:rsidRPr="00ED365A">
        <w:t xml:space="preserve">. Furthermore, new technologies, including AI-based recruitment </w:t>
      </w:r>
      <w:r w:rsidRPr="00ED365A">
        <w:lastRenderedPageBreak/>
        <w:t xml:space="preserve">applications and e-learning systems, allow the HR to </w:t>
      </w:r>
      <w:proofErr w:type="spellStart"/>
      <w:r w:rsidRPr="00ED365A">
        <w:t>optimise</w:t>
      </w:r>
      <w:proofErr w:type="spellEnd"/>
      <w:r w:rsidRPr="00ED365A">
        <w:t xml:space="preserve"> the recruitment, training, and performance management performance (Giri and Chatterjee, 2020). Government </w:t>
      </w:r>
      <w:proofErr w:type="spellStart"/>
      <w:r w:rsidRPr="00ED365A">
        <w:t>programmes</w:t>
      </w:r>
      <w:proofErr w:type="spellEnd"/>
      <w:r w:rsidRPr="00ED365A">
        <w:t xml:space="preserve">, such as skill development </w:t>
      </w:r>
      <w:proofErr w:type="spellStart"/>
      <w:r w:rsidRPr="00ED365A">
        <w:t>programmes</w:t>
      </w:r>
      <w:proofErr w:type="spellEnd"/>
      <w:r w:rsidRPr="00ED365A">
        <w:t xml:space="preserve"> or job subsidies across various countries, also provide avenues that can be exploited by the HR to provide employees with opportunities to upskill and better workforce planning (</w:t>
      </w:r>
      <w:r w:rsidR="008C3411" w:rsidRPr="00ED365A">
        <w:t>UK Essays, 2018</w:t>
      </w:r>
      <w:r w:rsidRPr="00ED365A">
        <w:t>).</w:t>
      </w:r>
    </w:p>
    <w:p w14:paraId="3EFF2BA2" w14:textId="1641FF94" w:rsidR="007365E6" w:rsidRPr="007365E6" w:rsidRDefault="007365E6" w:rsidP="00ED365A">
      <w:pPr>
        <w:pStyle w:val="NormalWeb"/>
        <w:numPr>
          <w:ilvl w:val="0"/>
          <w:numId w:val="4"/>
        </w:numPr>
        <w:spacing w:line="360" w:lineRule="auto"/>
        <w:jc w:val="both"/>
      </w:pPr>
      <w:r w:rsidRPr="007365E6">
        <w:t xml:space="preserve">Economic uncertainty (inflation/recession) restricts HR budgets, shifting focus to cost efficiency </w:t>
      </w:r>
      <w:r w:rsidR="00ED365A" w:rsidRPr="00ED365A">
        <w:t xml:space="preserve">(CIPD, 2024) </w:t>
      </w:r>
    </w:p>
    <w:p w14:paraId="5E39B559" w14:textId="23A48E16" w:rsidR="007365E6" w:rsidRPr="007365E6" w:rsidRDefault="007365E6" w:rsidP="00ED365A">
      <w:pPr>
        <w:pStyle w:val="NormalWeb"/>
        <w:numPr>
          <w:ilvl w:val="0"/>
          <w:numId w:val="4"/>
        </w:numPr>
        <w:spacing w:line="360" w:lineRule="auto"/>
        <w:jc w:val="both"/>
      </w:pPr>
      <w:r w:rsidRPr="007365E6">
        <w:t xml:space="preserve">Labour shortages and intense competition for skilled talent challenge recruitment </w:t>
      </w:r>
      <w:r w:rsidR="00ED365A" w:rsidRPr="00ED365A">
        <w:t xml:space="preserve">(CIPD, 2024) </w:t>
      </w:r>
    </w:p>
    <w:p w14:paraId="66EF0CD1" w14:textId="063F5D41" w:rsidR="007365E6" w:rsidRPr="00ED365A" w:rsidRDefault="007365E6" w:rsidP="00ED365A">
      <w:pPr>
        <w:pStyle w:val="ListParagraph"/>
        <w:numPr>
          <w:ilvl w:val="0"/>
          <w:numId w:val="4"/>
        </w:numPr>
        <w:spacing w:before="100" w:beforeAutospacing="1" w:after="100" w:afterAutospacing="1" w:line="360" w:lineRule="auto"/>
        <w:jc w:val="both"/>
        <w:rPr>
          <w:rFonts w:ascii="Times New Roman" w:eastAsia="Times New Roman" w:hAnsi="Times New Roman" w:cs="Times New Roman"/>
          <w:sz w:val="24"/>
          <w:szCs w:val="24"/>
        </w:rPr>
      </w:pPr>
      <w:r w:rsidRPr="00ED365A">
        <w:rPr>
          <w:rFonts w:ascii="Times New Roman" w:eastAsia="Times New Roman" w:hAnsi="Times New Roman" w:cs="Times New Roman"/>
          <w:sz w:val="24"/>
          <w:szCs w:val="24"/>
        </w:rPr>
        <w:t xml:space="preserve">Changing labour laws increase pressure on HR flexibility and compliance </w:t>
      </w:r>
    </w:p>
    <w:p w14:paraId="2615F796" w14:textId="571FC5CA" w:rsidR="00ED365A" w:rsidRPr="00ED365A" w:rsidRDefault="007365E6" w:rsidP="00ED365A">
      <w:pPr>
        <w:pStyle w:val="NormalWeb"/>
        <w:numPr>
          <w:ilvl w:val="0"/>
          <w:numId w:val="4"/>
        </w:numPr>
        <w:spacing w:line="360" w:lineRule="auto"/>
        <w:jc w:val="both"/>
      </w:pPr>
      <w:r w:rsidRPr="007365E6">
        <w:t xml:space="preserve">Evolving social expectations around diversity, equity, and inclusion require continuous HR policy updates to reduce turnover </w:t>
      </w:r>
      <w:r w:rsidR="00ED365A" w:rsidRPr="00ED365A">
        <w:t xml:space="preserve">(CIPD, 2024) </w:t>
      </w:r>
    </w:p>
    <w:p w14:paraId="7BCBA6EF" w14:textId="0D4B8ABC" w:rsidR="007365E6" w:rsidRPr="007365E6" w:rsidRDefault="007365E6" w:rsidP="00ED365A">
      <w:pPr>
        <w:pStyle w:val="NormalWeb"/>
        <w:spacing w:line="360" w:lineRule="auto"/>
        <w:jc w:val="both"/>
      </w:pPr>
    </w:p>
    <w:p w14:paraId="499100C9" w14:textId="27DDF6ED" w:rsidR="00130128" w:rsidRPr="00C8602A" w:rsidRDefault="00C8602A" w:rsidP="00C8602A">
      <w:pPr>
        <w:pStyle w:val="Heading1"/>
      </w:pPr>
      <w:bookmarkStart w:id="17" w:name="_Toc216523129"/>
      <w:r w:rsidRPr="00C8602A">
        <w:rPr>
          <w:rStyle w:val="Strong"/>
          <w:b/>
          <w:bCs/>
        </w:rPr>
        <w:t>4.3</w:t>
      </w:r>
      <w:r w:rsidR="00AE5722" w:rsidRPr="00C8602A">
        <w:rPr>
          <w:rStyle w:val="Strong"/>
          <w:b/>
          <w:bCs/>
        </w:rPr>
        <w:t xml:space="preserve"> </w:t>
      </w:r>
      <w:r w:rsidR="000F6D4E" w:rsidRPr="00C8602A">
        <w:rPr>
          <w:rStyle w:val="Strong"/>
          <w:b/>
          <w:bCs/>
        </w:rPr>
        <w:t>Integration of SWOT Analysis into HR Practices:</w:t>
      </w:r>
      <w:bookmarkEnd w:id="17"/>
    </w:p>
    <w:p w14:paraId="0B252FA2" w14:textId="77777777" w:rsidR="00130128" w:rsidRPr="00ED365A" w:rsidRDefault="00130128" w:rsidP="00ED365A">
      <w:pPr>
        <w:spacing w:line="360" w:lineRule="auto"/>
        <w:jc w:val="both"/>
        <w:rPr>
          <w:rFonts w:ascii="Times New Roman" w:eastAsia="Times New Roman" w:hAnsi="Times New Roman" w:cs="Times New Roman"/>
          <w:sz w:val="24"/>
          <w:szCs w:val="24"/>
        </w:rPr>
      </w:pPr>
      <w:r w:rsidRPr="00ED365A">
        <w:rPr>
          <w:rFonts w:ascii="Times New Roman" w:eastAsia="Times New Roman" w:hAnsi="Times New Roman" w:cs="Times New Roman"/>
          <w:sz w:val="24"/>
          <w:szCs w:val="24"/>
        </w:rPr>
        <w:t xml:space="preserve">Through a systematic evaluation of internal and external forces using SWOT, the HR managers of Tesco will be able to focus the workforce strategies on the organisational priorities. The external opportunities can be exploited by using the internal strengths, including exploiting good training </w:t>
      </w:r>
      <w:proofErr w:type="spellStart"/>
      <w:r w:rsidRPr="00ED365A">
        <w:rPr>
          <w:rFonts w:ascii="Times New Roman" w:eastAsia="Times New Roman" w:hAnsi="Times New Roman" w:cs="Times New Roman"/>
          <w:sz w:val="24"/>
          <w:szCs w:val="24"/>
        </w:rPr>
        <w:t>programmes</w:t>
      </w:r>
      <w:proofErr w:type="spellEnd"/>
      <w:r w:rsidRPr="00ED365A">
        <w:rPr>
          <w:rFonts w:ascii="Times New Roman" w:eastAsia="Times New Roman" w:hAnsi="Times New Roman" w:cs="Times New Roman"/>
          <w:sz w:val="24"/>
          <w:szCs w:val="24"/>
        </w:rPr>
        <w:t xml:space="preserve"> to equip digital skills in the case of technological changes. In the same way, internal weaknesses may be eliminated by managing skills gaps, or better HR systems can be developed to absorb external threats, including regulatory changes or competitive labour market (Armstrong and Taylor, 2020).</w:t>
      </w:r>
    </w:p>
    <w:p w14:paraId="5C7E5B74" w14:textId="621D6D75" w:rsidR="0087267A" w:rsidRPr="00ED365A" w:rsidRDefault="00130128" w:rsidP="00ED365A">
      <w:pPr>
        <w:pStyle w:val="NormalWeb"/>
        <w:spacing w:line="360" w:lineRule="auto"/>
        <w:jc w:val="both"/>
      </w:pPr>
      <w:r w:rsidRPr="00ED365A">
        <w:t xml:space="preserve">SWOT also helps the HR managers to make strategic and evidence based decisions. As an example, a weakness such as lack of uniformity in performance management in various regions will enable the HR to adopt </w:t>
      </w:r>
      <w:proofErr w:type="spellStart"/>
      <w:r w:rsidRPr="00ED365A">
        <w:t>standardised</w:t>
      </w:r>
      <w:proofErr w:type="spellEnd"/>
      <w:r w:rsidRPr="00ED365A">
        <w:t xml:space="preserve"> performance appraisals system, whereas </w:t>
      </w:r>
      <w:proofErr w:type="spellStart"/>
      <w:r w:rsidRPr="00ED365A">
        <w:t>recognising</w:t>
      </w:r>
      <w:proofErr w:type="spellEnd"/>
      <w:r w:rsidRPr="00ED365A">
        <w:t xml:space="preserve"> the opportunity created by the remote work technology will push the HR to increase the number of flexible working opportunities available to the employees worldwide. Legal changes or labour shortages are some of the threats that will lead to proactive HR planning, which may involve the revision of policies, the reassigning of workforce, and the succession planning. In this regard, SWOT not only brings into focus the environmental factors but also provides informational practical HR interventions that improve the organisational performance of Tesco</w:t>
      </w:r>
      <w:r w:rsidR="00ED365A" w:rsidRPr="00ED365A">
        <w:t xml:space="preserve"> (Tesco PLC, 2025)</w:t>
      </w:r>
      <w:r w:rsidRPr="00ED365A">
        <w:t>.</w:t>
      </w:r>
    </w:p>
    <w:p w14:paraId="768758FD" w14:textId="14039EF4" w:rsidR="000F6D4E" w:rsidRPr="00C8602A" w:rsidRDefault="00C8602A" w:rsidP="00C8602A">
      <w:pPr>
        <w:pStyle w:val="Heading1"/>
        <w:rPr>
          <w:rStyle w:val="Strong"/>
          <w:b/>
          <w:bCs/>
        </w:rPr>
      </w:pPr>
      <w:bookmarkStart w:id="18" w:name="_Toc216523130"/>
      <w:r w:rsidRPr="00C8602A">
        <w:rPr>
          <w:rStyle w:val="Strong"/>
          <w:b/>
          <w:bCs/>
        </w:rPr>
        <w:lastRenderedPageBreak/>
        <w:t>4.4</w:t>
      </w:r>
      <w:r w:rsidR="00AE5722" w:rsidRPr="00C8602A">
        <w:rPr>
          <w:rStyle w:val="Strong"/>
          <w:b/>
          <w:bCs/>
        </w:rPr>
        <w:t xml:space="preserve"> </w:t>
      </w:r>
      <w:r w:rsidR="000F6D4E" w:rsidRPr="00C8602A">
        <w:rPr>
          <w:rStyle w:val="Strong"/>
          <w:b/>
          <w:bCs/>
        </w:rPr>
        <w:t>Country Differences: United King</w:t>
      </w:r>
      <w:r w:rsidR="008C3411" w:rsidRPr="00C8602A">
        <w:rPr>
          <w:rStyle w:val="Strong"/>
          <w:b/>
          <w:bCs/>
        </w:rPr>
        <w:t>dom vs United States</w:t>
      </w:r>
      <w:bookmarkEnd w:id="18"/>
      <w:r w:rsidR="008C3411" w:rsidRPr="00C8602A">
        <w:rPr>
          <w:rStyle w:val="Strong"/>
          <w:b/>
          <w:bCs/>
        </w:rPr>
        <w:t xml:space="preserve"> </w:t>
      </w:r>
    </w:p>
    <w:p w14:paraId="10387E1E" w14:textId="77777777" w:rsidR="008C3411" w:rsidRPr="00ED365A" w:rsidRDefault="008C3411" w:rsidP="00ED365A">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1710"/>
        <w:gridCol w:w="2942"/>
        <w:gridCol w:w="2742"/>
        <w:gridCol w:w="1849"/>
      </w:tblGrid>
      <w:tr w:rsidR="00ED365A" w:rsidRPr="00ED365A" w14:paraId="0B45E316" w14:textId="77777777" w:rsidTr="000F6D4E">
        <w:tc>
          <w:tcPr>
            <w:tcW w:w="0" w:type="auto"/>
            <w:hideMark/>
          </w:tcPr>
          <w:p w14:paraId="416DD8AC" w14:textId="77777777" w:rsidR="000F6D4E" w:rsidRPr="00ED365A" w:rsidRDefault="000F6D4E" w:rsidP="00ED365A">
            <w:pPr>
              <w:spacing w:line="360" w:lineRule="auto"/>
              <w:jc w:val="both"/>
              <w:rPr>
                <w:rFonts w:ascii="Times New Roman" w:hAnsi="Times New Roman" w:cs="Times New Roman"/>
                <w:b/>
                <w:bCs/>
                <w:sz w:val="24"/>
                <w:szCs w:val="24"/>
              </w:rPr>
            </w:pPr>
            <w:r w:rsidRPr="00ED365A">
              <w:rPr>
                <w:rStyle w:val="Strong"/>
                <w:rFonts w:ascii="Times New Roman" w:hAnsi="Times New Roman" w:cs="Times New Roman"/>
                <w:sz w:val="24"/>
                <w:szCs w:val="24"/>
              </w:rPr>
              <w:t>Factor</w:t>
            </w:r>
          </w:p>
        </w:tc>
        <w:tc>
          <w:tcPr>
            <w:tcW w:w="0" w:type="auto"/>
            <w:hideMark/>
          </w:tcPr>
          <w:p w14:paraId="2E1E1494" w14:textId="77777777" w:rsidR="000F6D4E" w:rsidRPr="00ED365A" w:rsidRDefault="000F6D4E" w:rsidP="00ED365A">
            <w:pPr>
              <w:spacing w:line="360" w:lineRule="auto"/>
              <w:jc w:val="both"/>
              <w:rPr>
                <w:rFonts w:ascii="Times New Roman" w:hAnsi="Times New Roman" w:cs="Times New Roman"/>
                <w:b/>
                <w:bCs/>
                <w:sz w:val="24"/>
                <w:szCs w:val="24"/>
              </w:rPr>
            </w:pPr>
            <w:r w:rsidRPr="00ED365A">
              <w:rPr>
                <w:rStyle w:val="Strong"/>
                <w:rFonts w:ascii="Times New Roman" w:hAnsi="Times New Roman" w:cs="Times New Roman"/>
                <w:sz w:val="24"/>
                <w:szCs w:val="24"/>
              </w:rPr>
              <w:t>United Kingdom</w:t>
            </w:r>
          </w:p>
        </w:tc>
        <w:tc>
          <w:tcPr>
            <w:tcW w:w="0" w:type="auto"/>
            <w:hideMark/>
          </w:tcPr>
          <w:p w14:paraId="5308404A" w14:textId="77777777" w:rsidR="000F6D4E" w:rsidRPr="00ED365A" w:rsidRDefault="000F6D4E" w:rsidP="00ED365A">
            <w:pPr>
              <w:spacing w:line="360" w:lineRule="auto"/>
              <w:jc w:val="both"/>
              <w:rPr>
                <w:rFonts w:ascii="Times New Roman" w:hAnsi="Times New Roman" w:cs="Times New Roman"/>
                <w:b/>
                <w:bCs/>
                <w:sz w:val="24"/>
                <w:szCs w:val="24"/>
              </w:rPr>
            </w:pPr>
            <w:r w:rsidRPr="00ED365A">
              <w:rPr>
                <w:rStyle w:val="Strong"/>
                <w:rFonts w:ascii="Times New Roman" w:hAnsi="Times New Roman" w:cs="Times New Roman"/>
                <w:sz w:val="24"/>
                <w:szCs w:val="24"/>
              </w:rPr>
              <w:t>United States</w:t>
            </w:r>
          </w:p>
        </w:tc>
        <w:tc>
          <w:tcPr>
            <w:tcW w:w="0" w:type="auto"/>
            <w:hideMark/>
          </w:tcPr>
          <w:p w14:paraId="7E973E81" w14:textId="77777777" w:rsidR="000F6D4E" w:rsidRPr="00ED365A" w:rsidRDefault="000F6D4E" w:rsidP="00ED365A">
            <w:pPr>
              <w:spacing w:line="360" w:lineRule="auto"/>
              <w:jc w:val="both"/>
              <w:rPr>
                <w:rFonts w:ascii="Times New Roman" w:hAnsi="Times New Roman" w:cs="Times New Roman"/>
                <w:b/>
                <w:bCs/>
                <w:sz w:val="24"/>
                <w:szCs w:val="24"/>
              </w:rPr>
            </w:pPr>
            <w:r w:rsidRPr="00ED365A">
              <w:rPr>
                <w:rStyle w:val="Strong"/>
                <w:rFonts w:ascii="Times New Roman" w:hAnsi="Times New Roman" w:cs="Times New Roman"/>
                <w:sz w:val="24"/>
                <w:szCs w:val="24"/>
              </w:rPr>
              <w:t>References</w:t>
            </w:r>
          </w:p>
        </w:tc>
      </w:tr>
      <w:tr w:rsidR="00ED365A" w:rsidRPr="00ED365A" w14:paraId="2075E579" w14:textId="77777777" w:rsidTr="000F6D4E">
        <w:tc>
          <w:tcPr>
            <w:tcW w:w="0" w:type="auto"/>
            <w:hideMark/>
          </w:tcPr>
          <w:p w14:paraId="13257F2A" w14:textId="77777777" w:rsidR="000F6D4E" w:rsidRPr="00ED365A" w:rsidRDefault="000F6D4E" w:rsidP="00ED365A">
            <w:pPr>
              <w:spacing w:line="360" w:lineRule="auto"/>
              <w:jc w:val="both"/>
              <w:rPr>
                <w:rFonts w:ascii="Times New Roman" w:hAnsi="Times New Roman" w:cs="Times New Roman"/>
                <w:sz w:val="24"/>
                <w:szCs w:val="24"/>
              </w:rPr>
            </w:pPr>
            <w:r w:rsidRPr="00ED365A">
              <w:rPr>
                <w:rStyle w:val="Strong"/>
                <w:rFonts w:ascii="Times New Roman" w:hAnsi="Times New Roman" w:cs="Times New Roman"/>
                <w:sz w:val="24"/>
                <w:szCs w:val="24"/>
              </w:rPr>
              <w:t>Culture &amp; Work Norms</w:t>
            </w:r>
          </w:p>
        </w:tc>
        <w:tc>
          <w:tcPr>
            <w:tcW w:w="0" w:type="auto"/>
            <w:hideMark/>
          </w:tcPr>
          <w:p w14:paraId="208C1C44" w14:textId="77777777" w:rsidR="000F6D4E" w:rsidRPr="00ED365A" w:rsidRDefault="000F6D4E" w:rsidP="00ED365A">
            <w:pPr>
              <w:spacing w:line="360" w:lineRule="auto"/>
              <w:jc w:val="both"/>
              <w:rPr>
                <w:rFonts w:ascii="Times New Roman" w:hAnsi="Times New Roman" w:cs="Times New Roman"/>
                <w:sz w:val="24"/>
                <w:szCs w:val="24"/>
              </w:rPr>
            </w:pPr>
            <w:r w:rsidRPr="00ED365A">
              <w:rPr>
                <w:rFonts w:ascii="Times New Roman" w:hAnsi="Times New Roman" w:cs="Times New Roman"/>
                <w:sz w:val="24"/>
                <w:szCs w:val="24"/>
              </w:rPr>
              <w:t xml:space="preserve">Team cohesion, long-term employment, structured career progression. HR </w:t>
            </w:r>
            <w:proofErr w:type="spellStart"/>
            <w:r w:rsidRPr="00ED365A">
              <w:rPr>
                <w:rFonts w:ascii="Times New Roman" w:hAnsi="Times New Roman" w:cs="Times New Roman"/>
                <w:sz w:val="24"/>
                <w:szCs w:val="24"/>
              </w:rPr>
              <w:t>emphasises</w:t>
            </w:r>
            <w:proofErr w:type="spellEnd"/>
            <w:r w:rsidRPr="00ED365A">
              <w:rPr>
                <w:rFonts w:ascii="Times New Roman" w:hAnsi="Times New Roman" w:cs="Times New Roman"/>
                <w:sz w:val="24"/>
                <w:szCs w:val="24"/>
              </w:rPr>
              <w:t xml:space="preserve"> inclusive communication and union collaboration (USDAW).</w:t>
            </w:r>
          </w:p>
        </w:tc>
        <w:tc>
          <w:tcPr>
            <w:tcW w:w="0" w:type="auto"/>
            <w:hideMark/>
          </w:tcPr>
          <w:p w14:paraId="3A252469" w14:textId="77777777" w:rsidR="000F6D4E" w:rsidRPr="00ED365A" w:rsidRDefault="000F6D4E" w:rsidP="00ED365A">
            <w:pPr>
              <w:spacing w:line="360" w:lineRule="auto"/>
              <w:jc w:val="both"/>
              <w:rPr>
                <w:rFonts w:ascii="Times New Roman" w:hAnsi="Times New Roman" w:cs="Times New Roman"/>
                <w:sz w:val="24"/>
                <w:szCs w:val="24"/>
              </w:rPr>
            </w:pPr>
            <w:r w:rsidRPr="00ED365A">
              <w:rPr>
                <w:rFonts w:ascii="Times New Roman" w:hAnsi="Times New Roman" w:cs="Times New Roman"/>
                <w:sz w:val="24"/>
                <w:szCs w:val="24"/>
              </w:rPr>
              <w:t>Individual achievement, flexibility, merit-based rewards, higher workforce mobility. HR focuses on incentives and performance management.</w:t>
            </w:r>
          </w:p>
        </w:tc>
        <w:tc>
          <w:tcPr>
            <w:tcW w:w="0" w:type="auto"/>
            <w:hideMark/>
          </w:tcPr>
          <w:p w14:paraId="3DF2A377" w14:textId="46793DAF" w:rsidR="000F6D4E" w:rsidRPr="00ED365A" w:rsidRDefault="00ED365A" w:rsidP="00ED365A">
            <w:pPr>
              <w:spacing w:line="360" w:lineRule="auto"/>
              <w:jc w:val="both"/>
              <w:rPr>
                <w:rFonts w:ascii="Times New Roman" w:hAnsi="Times New Roman" w:cs="Times New Roman"/>
                <w:sz w:val="24"/>
                <w:szCs w:val="24"/>
              </w:rPr>
            </w:pPr>
            <w:r w:rsidRPr="00ED365A">
              <w:rPr>
                <w:rFonts w:ascii="Times New Roman" w:hAnsi="Times New Roman" w:cs="Times New Roman"/>
                <w:sz w:val="24"/>
                <w:szCs w:val="24"/>
              </w:rPr>
              <w:t>Personnel Today (2015</w:t>
            </w:r>
            <w:r w:rsidR="000F6D4E" w:rsidRPr="00ED365A">
              <w:rPr>
                <w:rFonts w:ascii="Times New Roman" w:hAnsi="Times New Roman" w:cs="Times New Roman"/>
                <w:sz w:val="24"/>
                <w:szCs w:val="24"/>
              </w:rPr>
              <w:t xml:space="preserve">); </w:t>
            </w:r>
            <w:r w:rsidRPr="00ED365A">
              <w:rPr>
                <w:rFonts w:ascii="Times New Roman" w:hAnsi="Times New Roman" w:cs="Times New Roman"/>
              </w:rPr>
              <w:t>(Adewale and Ojo, 2023)</w:t>
            </w:r>
          </w:p>
        </w:tc>
      </w:tr>
      <w:tr w:rsidR="00ED365A" w:rsidRPr="00ED365A" w14:paraId="2E81147E" w14:textId="77777777" w:rsidTr="000F6D4E">
        <w:tc>
          <w:tcPr>
            <w:tcW w:w="0" w:type="auto"/>
            <w:hideMark/>
          </w:tcPr>
          <w:p w14:paraId="65F1133E" w14:textId="77777777" w:rsidR="000F6D4E" w:rsidRPr="00ED365A" w:rsidRDefault="000F6D4E" w:rsidP="00ED365A">
            <w:pPr>
              <w:spacing w:line="360" w:lineRule="auto"/>
              <w:jc w:val="both"/>
              <w:rPr>
                <w:rFonts w:ascii="Times New Roman" w:hAnsi="Times New Roman" w:cs="Times New Roman"/>
                <w:sz w:val="24"/>
                <w:szCs w:val="24"/>
              </w:rPr>
            </w:pPr>
            <w:r w:rsidRPr="00ED365A">
              <w:rPr>
                <w:rStyle w:val="Strong"/>
                <w:rFonts w:ascii="Times New Roman" w:hAnsi="Times New Roman" w:cs="Times New Roman"/>
                <w:sz w:val="24"/>
                <w:szCs w:val="24"/>
              </w:rPr>
              <w:t>Legal Regulations</w:t>
            </w:r>
          </w:p>
        </w:tc>
        <w:tc>
          <w:tcPr>
            <w:tcW w:w="0" w:type="auto"/>
            <w:hideMark/>
          </w:tcPr>
          <w:p w14:paraId="6C7C2BE1" w14:textId="77777777" w:rsidR="000F6D4E" w:rsidRPr="00ED365A" w:rsidRDefault="000F6D4E" w:rsidP="00ED365A">
            <w:pPr>
              <w:spacing w:line="360" w:lineRule="auto"/>
              <w:jc w:val="both"/>
              <w:rPr>
                <w:rFonts w:ascii="Times New Roman" w:hAnsi="Times New Roman" w:cs="Times New Roman"/>
                <w:sz w:val="24"/>
                <w:szCs w:val="24"/>
              </w:rPr>
            </w:pPr>
            <w:r w:rsidRPr="00ED365A">
              <w:rPr>
                <w:rFonts w:ascii="Times New Roman" w:hAnsi="Times New Roman" w:cs="Times New Roman"/>
                <w:sz w:val="24"/>
                <w:szCs w:val="24"/>
              </w:rPr>
              <w:t>Equality Act 2010 mandates contracts, statutory leave, anti-discrimination compliance, structured grievance procedures.</w:t>
            </w:r>
          </w:p>
        </w:tc>
        <w:tc>
          <w:tcPr>
            <w:tcW w:w="0" w:type="auto"/>
            <w:hideMark/>
          </w:tcPr>
          <w:p w14:paraId="72AC4854" w14:textId="77777777" w:rsidR="000F6D4E" w:rsidRPr="00ED365A" w:rsidRDefault="000F6D4E" w:rsidP="00ED365A">
            <w:pPr>
              <w:spacing w:line="360" w:lineRule="auto"/>
              <w:jc w:val="both"/>
              <w:rPr>
                <w:rFonts w:ascii="Times New Roman" w:hAnsi="Times New Roman" w:cs="Times New Roman"/>
                <w:sz w:val="24"/>
                <w:szCs w:val="24"/>
              </w:rPr>
            </w:pPr>
            <w:r w:rsidRPr="00ED365A">
              <w:rPr>
                <w:rFonts w:ascii="Times New Roman" w:hAnsi="Times New Roman" w:cs="Times New Roman"/>
                <w:sz w:val="24"/>
                <w:szCs w:val="24"/>
              </w:rPr>
              <w:t>At-will employment dominates; fewer statutory leave requirements; HR must design competitive benefits and ensure federal/state compliance.</w:t>
            </w:r>
          </w:p>
        </w:tc>
        <w:tc>
          <w:tcPr>
            <w:tcW w:w="0" w:type="auto"/>
            <w:hideMark/>
          </w:tcPr>
          <w:p w14:paraId="565FA671" w14:textId="77777777" w:rsidR="000F6D4E" w:rsidRPr="00ED365A" w:rsidRDefault="000F6D4E" w:rsidP="00ED365A">
            <w:pPr>
              <w:spacing w:line="360" w:lineRule="auto"/>
              <w:jc w:val="both"/>
              <w:rPr>
                <w:rFonts w:ascii="Times New Roman" w:hAnsi="Times New Roman" w:cs="Times New Roman"/>
                <w:sz w:val="24"/>
                <w:szCs w:val="24"/>
              </w:rPr>
            </w:pPr>
            <w:r w:rsidRPr="00ED365A">
              <w:rPr>
                <w:rFonts w:ascii="Times New Roman" w:hAnsi="Times New Roman" w:cs="Times New Roman"/>
                <w:sz w:val="24"/>
                <w:szCs w:val="24"/>
              </w:rPr>
              <w:t xml:space="preserve">Equality Act 2010; </w:t>
            </w:r>
            <w:proofErr w:type="spellStart"/>
            <w:r w:rsidRPr="00ED365A">
              <w:rPr>
                <w:rFonts w:ascii="Times New Roman" w:hAnsi="Times New Roman" w:cs="Times New Roman"/>
                <w:sz w:val="24"/>
                <w:szCs w:val="24"/>
              </w:rPr>
              <w:t>Primerus</w:t>
            </w:r>
            <w:proofErr w:type="spellEnd"/>
            <w:r w:rsidRPr="00ED365A">
              <w:rPr>
                <w:rFonts w:ascii="Times New Roman" w:hAnsi="Times New Roman" w:cs="Times New Roman"/>
                <w:sz w:val="24"/>
                <w:szCs w:val="24"/>
              </w:rPr>
              <w:t xml:space="preserve"> (2025)</w:t>
            </w:r>
          </w:p>
        </w:tc>
      </w:tr>
      <w:tr w:rsidR="00ED365A" w:rsidRPr="00ED365A" w14:paraId="1DDD3914" w14:textId="77777777" w:rsidTr="000F6D4E">
        <w:tc>
          <w:tcPr>
            <w:tcW w:w="0" w:type="auto"/>
            <w:hideMark/>
          </w:tcPr>
          <w:p w14:paraId="28FBFEA4" w14:textId="77777777" w:rsidR="000F6D4E" w:rsidRPr="00ED365A" w:rsidRDefault="000F6D4E" w:rsidP="00ED365A">
            <w:pPr>
              <w:spacing w:line="360" w:lineRule="auto"/>
              <w:jc w:val="both"/>
              <w:rPr>
                <w:rFonts w:ascii="Times New Roman" w:hAnsi="Times New Roman" w:cs="Times New Roman"/>
                <w:sz w:val="24"/>
                <w:szCs w:val="24"/>
              </w:rPr>
            </w:pPr>
            <w:r w:rsidRPr="00ED365A">
              <w:rPr>
                <w:rStyle w:val="Strong"/>
                <w:rFonts w:ascii="Times New Roman" w:hAnsi="Times New Roman" w:cs="Times New Roman"/>
                <w:sz w:val="24"/>
                <w:szCs w:val="24"/>
              </w:rPr>
              <w:t>Employee Relations &amp; Unions</w:t>
            </w:r>
          </w:p>
        </w:tc>
        <w:tc>
          <w:tcPr>
            <w:tcW w:w="0" w:type="auto"/>
            <w:hideMark/>
          </w:tcPr>
          <w:p w14:paraId="66649D63" w14:textId="77777777" w:rsidR="000F6D4E" w:rsidRPr="00ED365A" w:rsidRDefault="000F6D4E" w:rsidP="00ED365A">
            <w:pPr>
              <w:spacing w:line="360" w:lineRule="auto"/>
              <w:jc w:val="both"/>
              <w:rPr>
                <w:rFonts w:ascii="Times New Roman" w:hAnsi="Times New Roman" w:cs="Times New Roman"/>
                <w:sz w:val="24"/>
                <w:szCs w:val="24"/>
              </w:rPr>
            </w:pPr>
            <w:r w:rsidRPr="00ED365A">
              <w:rPr>
                <w:rFonts w:ascii="Times New Roman" w:hAnsi="Times New Roman" w:cs="Times New Roman"/>
                <w:sz w:val="24"/>
                <w:szCs w:val="24"/>
              </w:rPr>
              <w:t>Strong union presence; formal consultation and negotiation processes.</w:t>
            </w:r>
          </w:p>
        </w:tc>
        <w:tc>
          <w:tcPr>
            <w:tcW w:w="0" w:type="auto"/>
            <w:hideMark/>
          </w:tcPr>
          <w:p w14:paraId="3CF6C791" w14:textId="77777777" w:rsidR="000F6D4E" w:rsidRPr="00ED365A" w:rsidRDefault="000F6D4E" w:rsidP="00ED365A">
            <w:pPr>
              <w:spacing w:line="360" w:lineRule="auto"/>
              <w:jc w:val="both"/>
              <w:rPr>
                <w:rFonts w:ascii="Times New Roman" w:hAnsi="Times New Roman" w:cs="Times New Roman"/>
                <w:sz w:val="24"/>
                <w:szCs w:val="24"/>
              </w:rPr>
            </w:pPr>
            <w:r w:rsidRPr="00ED365A">
              <w:rPr>
                <w:rFonts w:ascii="Times New Roman" w:hAnsi="Times New Roman" w:cs="Times New Roman"/>
                <w:sz w:val="24"/>
                <w:szCs w:val="24"/>
              </w:rPr>
              <w:t xml:space="preserve">Lower </w:t>
            </w:r>
            <w:proofErr w:type="spellStart"/>
            <w:r w:rsidRPr="00ED365A">
              <w:rPr>
                <w:rFonts w:ascii="Times New Roman" w:hAnsi="Times New Roman" w:cs="Times New Roman"/>
                <w:sz w:val="24"/>
                <w:szCs w:val="24"/>
              </w:rPr>
              <w:t>unionisation</w:t>
            </w:r>
            <w:proofErr w:type="spellEnd"/>
            <w:r w:rsidRPr="00ED365A">
              <w:rPr>
                <w:rFonts w:ascii="Times New Roman" w:hAnsi="Times New Roman" w:cs="Times New Roman"/>
                <w:sz w:val="24"/>
                <w:szCs w:val="24"/>
              </w:rPr>
              <w:t>; HR relies on direct employee engagement and individual dispute resolution.</w:t>
            </w:r>
          </w:p>
        </w:tc>
        <w:tc>
          <w:tcPr>
            <w:tcW w:w="0" w:type="auto"/>
            <w:hideMark/>
          </w:tcPr>
          <w:p w14:paraId="6252CF07" w14:textId="6737E5A3" w:rsidR="000F6D4E" w:rsidRPr="00ED365A" w:rsidRDefault="00ED365A" w:rsidP="00ED365A">
            <w:pPr>
              <w:spacing w:line="360" w:lineRule="auto"/>
              <w:jc w:val="both"/>
              <w:rPr>
                <w:rFonts w:ascii="Times New Roman" w:hAnsi="Times New Roman" w:cs="Times New Roman"/>
                <w:sz w:val="24"/>
                <w:szCs w:val="24"/>
              </w:rPr>
            </w:pPr>
            <w:r w:rsidRPr="00ED365A">
              <w:rPr>
                <w:rFonts w:ascii="Times New Roman" w:hAnsi="Times New Roman" w:cs="Times New Roman"/>
              </w:rPr>
              <w:t>(Adewale and Ojo, 2023)</w:t>
            </w:r>
          </w:p>
        </w:tc>
      </w:tr>
      <w:tr w:rsidR="00ED365A" w:rsidRPr="00ED365A" w14:paraId="2544FA28" w14:textId="77777777" w:rsidTr="000F6D4E">
        <w:tc>
          <w:tcPr>
            <w:tcW w:w="0" w:type="auto"/>
            <w:hideMark/>
          </w:tcPr>
          <w:p w14:paraId="4AE37F91" w14:textId="77777777" w:rsidR="000F6D4E" w:rsidRPr="00ED365A" w:rsidRDefault="000F6D4E" w:rsidP="00ED365A">
            <w:pPr>
              <w:spacing w:line="360" w:lineRule="auto"/>
              <w:jc w:val="both"/>
              <w:rPr>
                <w:rFonts w:ascii="Times New Roman" w:hAnsi="Times New Roman" w:cs="Times New Roman"/>
                <w:sz w:val="24"/>
                <w:szCs w:val="24"/>
              </w:rPr>
            </w:pPr>
            <w:r w:rsidRPr="00ED365A">
              <w:rPr>
                <w:rStyle w:val="Strong"/>
                <w:rFonts w:ascii="Times New Roman" w:hAnsi="Times New Roman" w:cs="Times New Roman"/>
                <w:sz w:val="24"/>
                <w:szCs w:val="24"/>
              </w:rPr>
              <w:t>Economic Conditions &amp; Labour Market</w:t>
            </w:r>
          </w:p>
        </w:tc>
        <w:tc>
          <w:tcPr>
            <w:tcW w:w="0" w:type="auto"/>
            <w:hideMark/>
          </w:tcPr>
          <w:p w14:paraId="14A1CC93" w14:textId="77777777" w:rsidR="000F6D4E" w:rsidRPr="00ED365A" w:rsidRDefault="000F6D4E" w:rsidP="00ED365A">
            <w:pPr>
              <w:spacing w:line="360" w:lineRule="auto"/>
              <w:jc w:val="both"/>
              <w:rPr>
                <w:rFonts w:ascii="Times New Roman" w:hAnsi="Times New Roman" w:cs="Times New Roman"/>
                <w:sz w:val="24"/>
                <w:szCs w:val="24"/>
              </w:rPr>
            </w:pPr>
            <w:r w:rsidRPr="00ED365A">
              <w:rPr>
                <w:rFonts w:ascii="Times New Roman" w:hAnsi="Times New Roman" w:cs="Times New Roman"/>
                <w:sz w:val="24"/>
                <w:szCs w:val="24"/>
              </w:rPr>
              <w:t>Post-Brexit labour constraints, structured wage systems, statutory benefits influence HR recruitment and retention.</w:t>
            </w:r>
          </w:p>
        </w:tc>
        <w:tc>
          <w:tcPr>
            <w:tcW w:w="0" w:type="auto"/>
            <w:hideMark/>
          </w:tcPr>
          <w:p w14:paraId="1E31D049" w14:textId="77777777" w:rsidR="000F6D4E" w:rsidRPr="00ED365A" w:rsidRDefault="000F6D4E" w:rsidP="00ED365A">
            <w:pPr>
              <w:spacing w:line="360" w:lineRule="auto"/>
              <w:jc w:val="both"/>
              <w:rPr>
                <w:rFonts w:ascii="Times New Roman" w:hAnsi="Times New Roman" w:cs="Times New Roman"/>
                <w:sz w:val="24"/>
                <w:szCs w:val="24"/>
              </w:rPr>
            </w:pPr>
            <w:r w:rsidRPr="00ED365A">
              <w:rPr>
                <w:rFonts w:ascii="Times New Roman" w:hAnsi="Times New Roman" w:cs="Times New Roman"/>
                <w:sz w:val="24"/>
                <w:szCs w:val="24"/>
              </w:rPr>
              <w:t>Competitive wages, variable benefits (healthcare), state-specific labour regulations shape HR compensation and hiring strategies.</w:t>
            </w:r>
          </w:p>
        </w:tc>
        <w:tc>
          <w:tcPr>
            <w:tcW w:w="0" w:type="auto"/>
            <w:hideMark/>
          </w:tcPr>
          <w:p w14:paraId="781052CA" w14:textId="39B75B5D" w:rsidR="000F6D4E" w:rsidRPr="00ED365A" w:rsidRDefault="000F6D4E" w:rsidP="00ED365A">
            <w:pPr>
              <w:spacing w:line="360" w:lineRule="auto"/>
              <w:jc w:val="both"/>
              <w:rPr>
                <w:rFonts w:ascii="Times New Roman" w:hAnsi="Times New Roman" w:cs="Times New Roman"/>
                <w:sz w:val="24"/>
                <w:szCs w:val="24"/>
              </w:rPr>
            </w:pPr>
            <w:proofErr w:type="spellStart"/>
            <w:r w:rsidRPr="00ED365A">
              <w:rPr>
                <w:rFonts w:ascii="Times New Roman" w:hAnsi="Times New Roman" w:cs="Times New Roman"/>
                <w:sz w:val="24"/>
                <w:szCs w:val="24"/>
              </w:rPr>
              <w:t>ThinkGlobal</w:t>
            </w:r>
            <w:proofErr w:type="spellEnd"/>
            <w:r w:rsidRPr="00ED365A">
              <w:rPr>
                <w:rFonts w:ascii="Times New Roman" w:hAnsi="Times New Roman" w:cs="Times New Roman"/>
                <w:sz w:val="24"/>
                <w:szCs w:val="24"/>
              </w:rPr>
              <w:t xml:space="preserve">-HR (2025); </w:t>
            </w:r>
            <w:r w:rsidR="00ED365A" w:rsidRPr="00ED365A">
              <w:rPr>
                <w:rFonts w:ascii="Times New Roman" w:hAnsi="Times New Roman" w:cs="Times New Roman"/>
              </w:rPr>
              <w:t>(CIPD, 2024)</w:t>
            </w:r>
          </w:p>
        </w:tc>
      </w:tr>
    </w:tbl>
    <w:p w14:paraId="66AAA8F2" w14:textId="77777777" w:rsidR="007365E6" w:rsidRPr="007365E6" w:rsidRDefault="007365E6" w:rsidP="00ED365A">
      <w:pPr>
        <w:spacing w:before="100" w:beforeAutospacing="1" w:after="100" w:afterAutospacing="1" w:line="360" w:lineRule="auto"/>
        <w:jc w:val="both"/>
        <w:rPr>
          <w:rFonts w:ascii="Times New Roman" w:eastAsia="Times New Roman" w:hAnsi="Times New Roman" w:cs="Times New Roman"/>
          <w:sz w:val="24"/>
          <w:szCs w:val="24"/>
        </w:rPr>
      </w:pPr>
      <w:r w:rsidRPr="007365E6">
        <w:rPr>
          <w:rFonts w:ascii="Times New Roman" w:eastAsia="Times New Roman" w:hAnsi="Times New Roman" w:cs="Times New Roman"/>
          <w:sz w:val="24"/>
          <w:szCs w:val="24"/>
        </w:rPr>
        <w:t xml:space="preserve">Tesco’s HR practices must adapt to country-specific contexts: UK HR </w:t>
      </w:r>
      <w:proofErr w:type="spellStart"/>
      <w:r w:rsidRPr="007365E6">
        <w:rPr>
          <w:rFonts w:ascii="Times New Roman" w:eastAsia="Times New Roman" w:hAnsi="Times New Roman" w:cs="Times New Roman"/>
          <w:sz w:val="24"/>
          <w:szCs w:val="24"/>
        </w:rPr>
        <w:t>prioritises</w:t>
      </w:r>
      <w:proofErr w:type="spellEnd"/>
      <w:r w:rsidRPr="007365E6">
        <w:rPr>
          <w:rFonts w:ascii="Times New Roman" w:eastAsia="Times New Roman" w:hAnsi="Times New Roman" w:cs="Times New Roman"/>
          <w:sz w:val="24"/>
          <w:szCs w:val="24"/>
        </w:rPr>
        <w:t xml:space="preserve"> compliance and union collaboration, while U.S. HR </w:t>
      </w:r>
      <w:proofErr w:type="spellStart"/>
      <w:r w:rsidRPr="007365E6">
        <w:rPr>
          <w:rFonts w:ascii="Times New Roman" w:eastAsia="Times New Roman" w:hAnsi="Times New Roman" w:cs="Times New Roman"/>
          <w:sz w:val="24"/>
          <w:szCs w:val="24"/>
        </w:rPr>
        <w:t>emphasises</w:t>
      </w:r>
      <w:proofErr w:type="spellEnd"/>
      <w:r w:rsidRPr="007365E6">
        <w:rPr>
          <w:rFonts w:ascii="Times New Roman" w:eastAsia="Times New Roman" w:hAnsi="Times New Roman" w:cs="Times New Roman"/>
          <w:sz w:val="24"/>
          <w:szCs w:val="24"/>
        </w:rPr>
        <w:t xml:space="preserve"> flexibility and competitive pay, requiring </w:t>
      </w:r>
      <w:proofErr w:type="spellStart"/>
      <w:r w:rsidRPr="007365E6">
        <w:rPr>
          <w:rFonts w:ascii="Times New Roman" w:eastAsia="Times New Roman" w:hAnsi="Times New Roman" w:cs="Times New Roman"/>
          <w:sz w:val="24"/>
          <w:szCs w:val="24"/>
        </w:rPr>
        <w:t>customised</w:t>
      </w:r>
      <w:proofErr w:type="spellEnd"/>
      <w:r w:rsidRPr="007365E6">
        <w:rPr>
          <w:rFonts w:ascii="Times New Roman" w:eastAsia="Times New Roman" w:hAnsi="Times New Roman" w:cs="Times New Roman"/>
          <w:sz w:val="24"/>
          <w:szCs w:val="24"/>
        </w:rPr>
        <w:t xml:space="preserve"> policies to sustain effectiveness.</w:t>
      </w:r>
    </w:p>
    <w:p w14:paraId="71D21AC9" w14:textId="238D5F2E" w:rsidR="000F6D4E" w:rsidRPr="00C8602A" w:rsidRDefault="00C8602A" w:rsidP="00C8602A">
      <w:pPr>
        <w:pStyle w:val="Heading1"/>
      </w:pPr>
      <w:bookmarkStart w:id="19" w:name="_Toc216523131"/>
      <w:r w:rsidRPr="00C8602A">
        <w:rPr>
          <w:rStyle w:val="Strong"/>
          <w:b/>
          <w:bCs/>
        </w:rPr>
        <w:lastRenderedPageBreak/>
        <w:t xml:space="preserve">5. </w:t>
      </w:r>
      <w:r w:rsidR="000F6D4E" w:rsidRPr="00C8602A">
        <w:rPr>
          <w:rStyle w:val="Strong"/>
          <w:b/>
          <w:bCs/>
        </w:rPr>
        <w:t>Conclusion</w:t>
      </w:r>
      <w:bookmarkEnd w:id="19"/>
      <w:r w:rsidR="000F6D4E" w:rsidRPr="00C8602A">
        <w:rPr>
          <w:rStyle w:val="Strong"/>
          <w:b/>
          <w:bCs/>
        </w:rPr>
        <w:t xml:space="preserve"> </w:t>
      </w:r>
    </w:p>
    <w:p w14:paraId="452458FB" w14:textId="77777777" w:rsidR="00130128" w:rsidRPr="00ED365A" w:rsidRDefault="00130128" w:rsidP="00ED365A">
      <w:pPr>
        <w:pStyle w:val="NormalWeb"/>
        <w:spacing w:line="360" w:lineRule="auto"/>
        <w:jc w:val="both"/>
      </w:pPr>
      <w:r w:rsidRPr="00ED365A">
        <w:t xml:space="preserve">This report has discussed the importance of Human Resource Management (HRM) in assisting </w:t>
      </w:r>
      <w:proofErr w:type="spellStart"/>
      <w:r w:rsidRPr="00ED365A">
        <w:t>organisations</w:t>
      </w:r>
      <w:proofErr w:type="spellEnd"/>
      <w:r w:rsidRPr="00ED365A">
        <w:t xml:space="preserve"> to </w:t>
      </w:r>
      <w:proofErr w:type="spellStart"/>
      <w:r w:rsidRPr="00ED365A">
        <w:t>realise</w:t>
      </w:r>
      <w:proofErr w:type="spellEnd"/>
      <w:r w:rsidRPr="00ED365A">
        <w:t xml:space="preserve"> operational and strategic goals and specifically Tesco PLC. The discussion showed that the functions of the HR such as recruitment, training, performance management, employee relations, and compensation are part and parcel of attracting, developing, and keeping talents and considering the alignment with organisational objectives (Armstrong and Taylor, 2020; Potgieter and Ferreira, 2022). The use of the SWOT model demonstrated that internal strengths, such as effective training programs and developed HR systems, allow Tesco to improve workforce possibilities, and weaknesses, such as the lack of skills or the irregularities of HR procedures, should be addressed through specific improvement programs. The proactive workforce planning is supported by external opportunities, such as technological innovations, digital talent pools, and government skills development initiatives, and the strategic adaptability is required by external threats, such as </w:t>
      </w:r>
      <w:proofErr w:type="spellStart"/>
      <w:r w:rsidRPr="00ED365A">
        <w:t>labour</w:t>
      </w:r>
      <w:proofErr w:type="spellEnd"/>
      <w:r w:rsidRPr="00ED365A">
        <w:t xml:space="preserve"> shortages, economic </w:t>
      </w:r>
      <w:proofErr w:type="spellStart"/>
      <w:r w:rsidRPr="00ED365A">
        <w:t>unpredictabilities</w:t>
      </w:r>
      <w:proofErr w:type="spellEnd"/>
      <w:r w:rsidRPr="00ED365A">
        <w:t>, and changing employment laws (Johnson, Whittington and Scholes, 2018; Giri and Chatterjee, 2020).</w:t>
      </w:r>
    </w:p>
    <w:p w14:paraId="0A053D40" w14:textId="262ECC0E" w:rsidR="007365E6" w:rsidRDefault="007365E6" w:rsidP="00ED365A">
      <w:pPr>
        <w:spacing w:before="100" w:beforeAutospacing="1" w:after="100" w:afterAutospacing="1" w:line="360" w:lineRule="auto"/>
        <w:jc w:val="both"/>
        <w:rPr>
          <w:rFonts w:ascii="Times New Roman" w:eastAsia="Times New Roman" w:hAnsi="Times New Roman" w:cs="Times New Roman"/>
          <w:sz w:val="24"/>
          <w:szCs w:val="24"/>
        </w:rPr>
      </w:pPr>
      <w:r w:rsidRPr="007365E6">
        <w:rPr>
          <w:rFonts w:ascii="Times New Roman" w:eastAsia="Times New Roman" w:hAnsi="Times New Roman" w:cs="Times New Roman"/>
          <w:sz w:val="24"/>
          <w:szCs w:val="24"/>
        </w:rPr>
        <w:t xml:space="preserve">The comparative analysis of the UK and U.S. demonstrates how cultural, legal, and economic differences shape HR practices. </w:t>
      </w:r>
      <w:r w:rsidR="00726A92" w:rsidRPr="00726A92">
        <w:rPr>
          <w:rFonts w:ascii="Times New Roman" w:eastAsia="Times New Roman" w:hAnsi="Times New Roman" w:cs="Times New Roman"/>
          <w:sz w:val="24"/>
          <w:szCs w:val="24"/>
        </w:rPr>
        <w:t xml:space="preserve">UK operations are based on compliance, systematic development and union relations whereas U.S. operations are not based on union relations and emphasize on flexibility and </w:t>
      </w:r>
      <w:r w:rsidR="00726A92" w:rsidRPr="00726A92">
        <w:rPr>
          <w:rFonts w:ascii="Times New Roman" w:eastAsia="Times New Roman" w:hAnsi="Times New Roman" w:cs="Times New Roman"/>
          <w:sz w:val="24"/>
          <w:szCs w:val="24"/>
        </w:rPr>
        <w:t>performance-based</w:t>
      </w:r>
      <w:r w:rsidR="00726A92" w:rsidRPr="00726A92">
        <w:rPr>
          <w:rFonts w:ascii="Times New Roman" w:eastAsia="Times New Roman" w:hAnsi="Times New Roman" w:cs="Times New Roman"/>
          <w:sz w:val="24"/>
          <w:szCs w:val="24"/>
        </w:rPr>
        <w:t xml:space="preserve"> rewards. Global HR needs to be adapted on a local level and consistent in strategy, agile, </w:t>
      </w:r>
      <w:proofErr w:type="gramStart"/>
      <w:r w:rsidR="00726A92" w:rsidRPr="00726A92">
        <w:rPr>
          <w:rFonts w:ascii="Times New Roman" w:eastAsia="Times New Roman" w:hAnsi="Times New Roman" w:cs="Times New Roman"/>
          <w:sz w:val="24"/>
          <w:szCs w:val="24"/>
        </w:rPr>
        <w:t>culturally</w:t>
      </w:r>
      <w:proofErr w:type="gramEnd"/>
      <w:r w:rsidR="00726A92" w:rsidRPr="00726A92">
        <w:rPr>
          <w:rFonts w:ascii="Times New Roman" w:eastAsia="Times New Roman" w:hAnsi="Times New Roman" w:cs="Times New Roman"/>
          <w:sz w:val="24"/>
          <w:szCs w:val="24"/>
        </w:rPr>
        <w:t xml:space="preserve"> </w:t>
      </w:r>
      <w:r w:rsidR="00726A92" w:rsidRPr="00726A92">
        <w:rPr>
          <w:rFonts w:ascii="Times New Roman" w:eastAsia="Times New Roman" w:hAnsi="Times New Roman" w:cs="Times New Roman"/>
          <w:sz w:val="24"/>
          <w:szCs w:val="24"/>
        </w:rPr>
        <w:t>awareness</w:t>
      </w:r>
      <w:r w:rsidR="00726A92" w:rsidRPr="00726A92">
        <w:rPr>
          <w:rFonts w:ascii="Times New Roman" w:eastAsia="Times New Roman" w:hAnsi="Times New Roman" w:cs="Times New Roman"/>
          <w:sz w:val="24"/>
          <w:szCs w:val="24"/>
        </w:rPr>
        <w:t xml:space="preserve"> and evidence based </w:t>
      </w:r>
      <w:proofErr w:type="gramStart"/>
      <w:r w:rsidR="00726A92" w:rsidRPr="00726A92">
        <w:rPr>
          <w:rFonts w:ascii="Times New Roman" w:eastAsia="Times New Roman" w:hAnsi="Times New Roman" w:cs="Times New Roman"/>
          <w:sz w:val="24"/>
          <w:szCs w:val="24"/>
        </w:rPr>
        <w:t>to remain</w:t>
      </w:r>
      <w:proofErr w:type="gramEnd"/>
      <w:r w:rsidR="00726A92" w:rsidRPr="00726A92">
        <w:rPr>
          <w:rFonts w:ascii="Times New Roman" w:eastAsia="Times New Roman" w:hAnsi="Times New Roman" w:cs="Times New Roman"/>
          <w:sz w:val="24"/>
          <w:szCs w:val="24"/>
        </w:rPr>
        <w:t xml:space="preserve"> competitive and resilient in </w:t>
      </w:r>
      <w:r w:rsidR="00726A92" w:rsidRPr="00726A92">
        <w:rPr>
          <w:rFonts w:ascii="Times New Roman" w:eastAsia="Times New Roman" w:hAnsi="Times New Roman" w:cs="Times New Roman"/>
          <w:sz w:val="24"/>
          <w:szCs w:val="24"/>
        </w:rPr>
        <w:t>organizations</w:t>
      </w:r>
      <w:r w:rsidR="00726A92" w:rsidRPr="00726A92">
        <w:rPr>
          <w:rFonts w:ascii="Times New Roman" w:eastAsia="Times New Roman" w:hAnsi="Times New Roman" w:cs="Times New Roman"/>
          <w:sz w:val="24"/>
          <w:szCs w:val="24"/>
        </w:rPr>
        <w:t>.</w:t>
      </w:r>
    </w:p>
    <w:p w14:paraId="7A139AB5" w14:textId="77777777" w:rsidR="00AE5722" w:rsidRDefault="00AE5722" w:rsidP="00ED365A">
      <w:pPr>
        <w:spacing w:before="100" w:beforeAutospacing="1" w:after="100" w:afterAutospacing="1" w:line="360" w:lineRule="auto"/>
        <w:jc w:val="both"/>
        <w:rPr>
          <w:rFonts w:ascii="Times New Roman" w:eastAsia="Times New Roman" w:hAnsi="Times New Roman" w:cs="Times New Roman"/>
          <w:sz w:val="24"/>
          <w:szCs w:val="24"/>
        </w:rPr>
      </w:pPr>
    </w:p>
    <w:p w14:paraId="5D230764" w14:textId="77777777" w:rsidR="00AE5722" w:rsidRDefault="00AE5722" w:rsidP="00ED365A">
      <w:pPr>
        <w:spacing w:before="100" w:beforeAutospacing="1" w:after="100" w:afterAutospacing="1" w:line="360" w:lineRule="auto"/>
        <w:jc w:val="both"/>
        <w:rPr>
          <w:rFonts w:ascii="Times New Roman" w:eastAsia="Times New Roman" w:hAnsi="Times New Roman" w:cs="Times New Roman"/>
          <w:sz w:val="24"/>
          <w:szCs w:val="24"/>
        </w:rPr>
      </w:pPr>
    </w:p>
    <w:p w14:paraId="23DF6810" w14:textId="77777777" w:rsidR="00AE5722" w:rsidRDefault="00AE5722" w:rsidP="00ED365A">
      <w:pPr>
        <w:spacing w:before="100" w:beforeAutospacing="1" w:after="100" w:afterAutospacing="1" w:line="360" w:lineRule="auto"/>
        <w:jc w:val="both"/>
        <w:rPr>
          <w:rFonts w:ascii="Times New Roman" w:eastAsia="Times New Roman" w:hAnsi="Times New Roman" w:cs="Times New Roman"/>
          <w:sz w:val="24"/>
          <w:szCs w:val="24"/>
        </w:rPr>
      </w:pPr>
    </w:p>
    <w:p w14:paraId="4CA7F465" w14:textId="77777777" w:rsidR="00AE5722" w:rsidRPr="007365E6" w:rsidRDefault="00AE5722" w:rsidP="00ED365A">
      <w:pPr>
        <w:spacing w:before="100" w:beforeAutospacing="1" w:after="100" w:afterAutospacing="1" w:line="360" w:lineRule="auto"/>
        <w:jc w:val="both"/>
        <w:rPr>
          <w:rFonts w:ascii="Times New Roman" w:eastAsia="Times New Roman" w:hAnsi="Times New Roman" w:cs="Times New Roman"/>
          <w:sz w:val="24"/>
          <w:szCs w:val="24"/>
        </w:rPr>
      </w:pPr>
    </w:p>
    <w:p w14:paraId="42A76E84" w14:textId="77777777" w:rsidR="000F6D4E" w:rsidRPr="00ED365A" w:rsidRDefault="000F6D4E" w:rsidP="00AE5722">
      <w:pPr>
        <w:pStyle w:val="Heading1"/>
      </w:pPr>
      <w:bookmarkStart w:id="20" w:name="_Toc216523132"/>
      <w:r w:rsidRPr="00ED365A">
        <w:rPr>
          <w:rStyle w:val="Strong"/>
          <w:b/>
          <w:bCs/>
          <w:szCs w:val="24"/>
        </w:rPr>
        <w:t>References</w:t>
      </w:r>
      <w:bookmarkEnd w:id="20"/>
    </w:p>
    <w:p w14:paraId="2C479F10" w14:textId="77777777" w:rsidR="000F6D4E" w:rsidRPr="00ED365A" w:rsidRDefault="000F6D4E" w:rsidP="00ED365A">
      <w:pPr>
        <w:pStyle w:val="NormalWeb"/>
        <w:spacing w:line="360" w:lineRule="auto"/>
        <w:ind w:left="360"/>
        <w:jc w:val="both"/>
      </w:pPr>
      <w:r w:rsidRPr="00ED365A">
        <w:t xml:space="preserve">Armstrong, M. &amp; Taylor, S. (2020) </w:t>
      </w:r>
      <w:r w:rsidRPr="00ED365A">
        <w:rPr>
          <w:rStyle w:val="Emphasis"/>
          <w:rFonts w:eastAsiaTheme="majorEastAsia"/>
        </w:rPr>
        <w:t>Armstrong's Handbook of Human Resource Management Practice</w:t>
      </w:r>
      <w:r w:rsidRPr="00ED365A">
        <w:t xml:space="preserve">. 15th </w:t>
      </w:r>
      <w:proofErr w:type="spellStart"/>
      <w:r w:rsidRPr="00ED365A">
        <w:t>edn</w:t>
      </w:r>
      <w:proofErr w:type="spellEnd"/>
      <w:r w:rsidRPr="00ED365A">
        <w:t>. London: Kogan Page.</w:t>
      </w:r>
    </w:p>
    <w:p w14:paraId="047EE97F" w14:textId="0980CF4E" w:rsidR="004F75AA" w:rsidRPr="00ED365A" w:rsidRDefault="004F75AA" w:rsidP="00ED365A">
      <w:pPr>
        <w:pStyle w:val="NormalWeb"/>
        <w:spacing w:line="360" w:lineRule="auto"/>
        <w:ind w:left="360"/>
        <w:jc w:val="both"/>
      </w:pPr>
      <w:r w:rsidRPr="00ED365A">
        <w:lastRenderedPageBreak/>
        <w:t xml:space="preserve">Alhassan, A.L. (2016) </w:t>
      </w:r>
      <w:r w:rsidRPr="00ED365A">
        <w:rPr>
          <w:rStyle w:val="Emphasis"/>
        </w:rPr>
        <w:t>The Role of Strategic Human Resource Management within Tesco plc</w:t>
      </w:r>
      <w:r w:rsidRPr="00ED365A">
        <w:t xml:space="preserve">. Available at: </w:t>
      </w:r>
      <w:hyperlink r:id="rId8" w:tgtFrame="_new" w:history="1">
        <w:r w:rsidRPr="00ED365A">
          <w:rPr>
            <w:rStyle w:val="Hyperlink"/>
            <w:color w:val="auto"/>
          </w:rPr>
          <w:t>https://www.researchgate.net/publication/292607732_The_role_of_Strategic_Human_Resource_Management_within_Tesco_plc</w:t>
        </w:r>
      </w:hyperlink>
    </w:p>
    <w:p w14:paraId="2B498B5F" w14:textId="157B5E72" w:rsidR="004F75AA" w:rsidRPr="00ED365A" w:rsidRDefault="004F75AA" w:rsidP="00ED365A">
      <w:pPr>
        <w:pStyle w:val="NormalWeb"/>
        <w:spacing w:line="360" w:lineRule="auto"/>
        <w:ind w:left="360"/>
        <w:jc w:val="both"/>
      </w:pPr>
      <w:r w:rsidRPr="00ED365A">
        <w:t xml:space="preserve">Hidayat, R. and Putra, A.P. (2023) </w:t>
      </w:r>
      <w:r w:rsidRPr="00ED365A">
        <w:rPr>
          <w:rStyle w:val="Emphasis"/>
        </w:rPr>
        <w:t>SWOT Analysis as HR Development and Performance Assessment: PT Santosa Kurnia Jaya</w:t>
      </w:r>
      <w:r w:rsidRPr="00ED365A">
        <w:t xml:space="preserve">. Available at: </w:t>
      </w:r>
      <w:hyperlink r:id="rId9" w:tgtFrame="_new" w:history="1">
        <w:r w:rsidRPr="00ED365A">
          <w:rPr>
            <w:rStyle w:val="Hyperlink"/>
            <w:color w:val="auto"/>
          </w:rPr>
          <w:t>https://www.researchgate.net/publication/366666990_SWOT_analysis_as_HR_development_and_performance_assessment_PT_Santosa_Kurnia_Jaya</w:t>
        </w:r>
      </w:hyperlink>
    </w:p>
    <w:p w14:paraId="0CA22314" w14:textId="77777777" w:rsidR="008C3411" w:rsidRPr="00ED365A" w:rsidRDefault="008C3411" w:rsidP="00ED365A">
      <w:pPr>
        <w:pStyle w:val="NormalWeb"/>
        <w:spacing w:line="360" w:lineRule="auto"/>
        <w:ind w:left="360"/>
        <w:jc w:val="both"/>
      </w:pPr>
      <w:r w:rsidRPr="00ED365A">
        <w:t xml:space="preserve">Kumar, S. (2015) </w:t>
      </w:r>
      <w:r w:rsidRPr="00ED365A">
        <w:rPr>
          <w:rStyle w:val="Emphasis"/>
        </w:rPr>
        <w:t>Analyzing and Evaluating Critically Tesco's Current Operations Management</w:t>
      </w:r>
      <w:r w:rsidRPr="00ED365A">
        <w:t xml:space="preserve">. Available at: </w:t>
      </w:r>
      <w:hyperlink r:id="rId10" w:tgtFrame="_new" w:history="1">
        <w:r w:rsidRPr="00ED365A">
          <w:rPr>
            <w:rStyle w:val="Hyperlink"/>
            <w:color w:val="auto"/>
          </w:rPr>
          <w:t>https://www.researchgate.net/publication/287555635_Analyzing_and_Evaluating_Critically_Tesco's_Current_Operations_Management</w:t>
        </w:r>
      </w:hyperlink>
      <w:r w:rsidRPr="00ED365A">
        <w:t xml:space="preserve"> </w:t>
      </w:r>
    </w:p>
    <w:p w14:paraId="78912882" w14:textId="77777777" w:rsidR="008C3411" w:rsidRPr="00ED365A" w:rsidRDefault="008C3411" w:rsidP="00ED365A">
      <w:pPr>
        <w:pStyle w:val="NormalWeb"/>
        <w:spacing w:line="360" w:lineRule="auto"/>
        <w:ind w:left="360"/>
        <w:jc w:val="both"/>
      </w:pPr>
      <w:r w:rsidRPr="00ED365A">
        <w:t xml:space="preserve">Stahl, G.K., </w:t>
      </w:r>
      <w:proofErr w:type="spellStart"/>
      <w:r w:rsidRPr="00ED365A">
        <w:t>Maznevski</w:t>
      </w:r>
      <w:proofErr w:type="spellEnd"/>
      <w:r w:rsidRPr="00ED365A">
        <w:t xml:space="preserve">, M.L., Voigt, A. and Jonsen, K. (2010) </w:t>
      </w:r>
      <w:r w:rsidRPr="00ED365A">
        <w:rPr>
          <w:rStyle w:val="Emphasis"/>
        </w:rPr>
        <w:t>Cultural Diversity and Human Resource Management in Multinational Companies</w:t>
      </w:r>
      <w:r w:rsidRPr="00ED365A">
        <w:t xml:space="preserve">. Available at: </w:t>
      </w:r>
      <w:hyperlink r:id="rId11" w:tgtFrame="_new" w:history="1">
        <w:r w:rsidRPr="00ED365A">
          <w:rPr>
            <w:rStyle w:val="Hyperlink"/>
            <w:color w:val="auto"/>
          </w:rPr>
          <w:t>https://www.researchgate.net/publication/49583735_CULTURAL_DIVERSITY_AND_HUMAN_RESOURCE_MANAGEMENT_IN_MULTINATIONAL_COMPANIES</w:t>
        </w:r>
      </w:hyperlink>
      <w:r w:rsidRPr="00ED365A">
        <w:t xml:space="preserve"> </w:t>
      </w:r>
    </w:p>
    <w:p w14:paraId="26B6C78C" w14:textId="77777777" w:rsidR="008C3411" w:rsidRPr="00ED365A" w:rsidRDefault="008C3411" w:rsidP="00ED365A">
      <w:pPr>
        <w:pStyle w:val="NormalWeb"/>
        <w:spacing w:line="360" w:lineRule="auto"/>
        <w:ind w:left="360"/>
        <w:jc w:val="both"/>
      </w:pPr>
      <w:r w:rsidRPr="00ED365A">
        <w:t xml:space="preserve">UK Essays (2018) </w:t>
      </w:r>
      <w:r w:rsidRPr="00ED365A">
        <w:rPr>
          <w:rStyle w:val="Emphasis"/>
        </w:rPr>
        <w:t>Evaluating Human Resource Planning and Development: Tesco</w:t>
      </w:r>
      <w:r w:rsidRPr="00ED365A">
        <w:t xml:space="preserve">. Available at: </w:t>
      </w:r>
      <w:hyperlink r:id="rId12" w:tgtFrame="_new" w:history="1">
        <w:r w:rsidRPr="00ED365A">
          <w:rPr>
            <w:rStyle w:val="Hyperlink"/>
            <w:color w:val="auto"/>
          </w:rPr>
          <w:t>https://www.ukessays.com/essays/business/evaluating-human-resource-planning-and-development-tesco-business-essay.php</w:t>
        </w:r>
      </w:hyperlink>
      <w:r w:rsidRPr="00ED365A">
        <w:t xml:space="preserve"> </w:t>
      </w:r>
    </w:p>
    <w:p w14:paraId="45B5AB23" w14:textId="77777777" w:rsidR="004F75AA" w:rsidRPr="00ED365A" w:rsidRDefault="004F75AA" w:rsidP="00ED365A">
      <w:pPr>
        <w:pStyle w:val="NormalWeb"/>
        <w:spacing w:line="360" w:lineRule="auto"/>
        <w:ind w:left="360"/>
        <w:jc w:val="both"/>
      </w:pPr>
      <w:r w:rsidRPr="00ED365A">
        <w:t xml:space="preserve">UK Essays (2019) </w:t>
      </w:r>
      <w:r w:rsidRPr="00ED365A">
        <w:rPr>
          <w:rStyle w:val="Emphasis"/>
        </w:rPr>
        <w:t xml:space="preserve">Human Resource Policies and Practices at </w:t>
      </w:r>
      <w:proofErr w:type="spellStart"/>
      <w:r w:rsidRPr="00ED365A">
        <w:rPr>
          <w:rStyle w:val="Emphasis"/>
        </w:rPr>
        <w:t>Tescos</w:t>
      </w:r>
      <w:proofErr w:type="spellEnd"/>
      <w:r w:rsidRPr="00ED365A">
        <w:t xml:space="preserve">. Available at: </w:t>
      </w:r>
      <w:hyperlink r:id="rId13" w:tgtFrame="_new" w:history="1">
        <w:r w:rsidRPr="00ED365A">
          <w:rPr>
            <w:rStyle w:val="Hyperlink"/>
            <w:color w:val="auto"/>
          </w:rPr>
          <w:t>https://www.ukessays.com/essays/management/human-resource-policies-and-practices-at-tescos-management-essay.php</w:t>
        </w:r>
      </w:hyperlink>
      <w:r w:rsidRPr="00ED365A">
        <w:t xml:space="preserve"> </w:t>
      </w:r>
    </w:p>
    <w:p w14:paraId="4D48DA28" w14:textId="77777777" w:rsidR="00ED365A" w:rsidRPr="00ED365A" w:rsidRDefault="00ED365A" w:rsidP="00ED365A">
      <w:pPr>
        <w:pStyle w:val="NormalWeb"/>
        <w:spacing w:line="360" w:lineRule="auto"/>
        <w:ind w:left="360"/>
        <w:jc w:val="both"/>
      </w:pPr>
      <w:r w:rsidRPr="00ED365A">
        <w:t xml:space="preserve">Renwick, D.W.S., Redman, T. and Maguire, S. (2013) </w:t>
      </w:r>
      <w:r w:rsidRPr="00ED365A">
        <w:rPr>
          <w:rStyle w:val="Emphasis"/>
        </w:rPr>
        <w:t>The Impact of Human Resource Management on Environmental Performance: An Employee-Level Study</w:t>
      </w:r>
      <w:r w:rsidRPr="00ED365A">
        <w:t xml:space="preserve">. Available at: </w:t>
      </w:r>
      <w:hyperlink r:id="rId14" w:tgtFrame="_new" w:history="1">
        <w:r w:rsidRPr="00ED365A">
          <w:rPr>
            <w:rStyle w:val="Hyperlink"/>
            <w:color w:val="auto"/>
          </w:rPr>
          <w:t>https://www.researchgate.net/publication/257542278_The_Impact_of_Human_Resource_Management_on_Environmental_Performance_An_Employee-Level_Study</w:t>
        </w:r>
      </w:hyperlink>
      <w:r w:rsidRPr="00ED365A">
        <w:t xml:space="preserve"> </w:t>
      </w:r>
    </w:p>
    <w:p w14:paraId="5BC01B05" w14:textId="7EE60592" w:rsidR="000F6D4E" w:rsidRPr="00ED365A" w:rsidRDefault="000F6D4E" w:rsidP="00ED365A">
      <w:pPr>
        <w:pStyle w:val="NormalWeb"/>
        <w:spacing w:line="360" w:lineRule="auto"/>
        <w:ind w:left="360"/>
        <w:jc w:val="both"/>
      </w:pPr>
      <w:r w:rsidRPr="00ED365A">
        <w:t xml:space="preserve">Johnson, G., Whittington, R. &amp; Scholes, K. (2018) </w:t>
      </w:r>
      <w:r w:rsidRPr="00ED365A">
        <w:rPr>
          <w:rStyle w:val="Emphasis"/>
          <w:rFonts w:eastAsiaTheme="majorEastAsia"/>
        </w:rPr>
        <w:t>Exploring Strategy: Text and Cases</w:t>
      </w:r>
      <w:r w:rsidRPr="00ED365A">
        <w:t xml:space="preserve">. 11th </w:t>
      </w:r>
      <w:proofErr w:type="spellStart"/>
      <w:r w:rsidRPr="00ED365A">
        <w:t>edn</w:t>
      </w:r>
      <w:proofErr w:type="spellEnd"/>
      <w:r w:rsidRPr="00ED365A">
        <w:t>. Harlow: Pearson.</w:t>
      </w:r>
    </w:p>
    <w:p w14:paraId="73D973F7" w14:textId="3A1B088F" w:rsidR="000F6D4E" w:rsidRPr="00ED365A" w:rsidRDefault="000F6D4E" w:rsidP="00ED365A">
      <w:pPr>
        <w:pStyle w:val="NormalWeb"/>
        <w:spacing w:line="360" w:lineRule="auto"/>
        <w:ind w:left="360"/>
        <w:jc w:val="both"/>
      </w:pPr>
      <w:r w:rsidRPr="00ED365A">
        <w:lastRenderedPageBreak/>
        <w:t>Marchington, M., Wilki</w:t>
      </w:r>
      <w:r w:rsidR="00ED365A" w:rsidRPr="00ED365A">
        <w:t>nson, A. &amp; Marchington, D. (2021</w:t>
      </w:r>
      <w:r w:rsidRPr="00ED365A">
        <w:t xml:space="preserve">) </w:t>
      </w:r>
      <w:r w:rsidRPr="00ED365A">
        <w:rPr>
          <w:rStyle w:val="Emphasis"/>
          <w:rFonts w:eastAsiaTheme="majorEastAsia"/>
        </w:rPr>
        <w:t>Human Resource Management at Work</w:t>
      </w:r>
      <w:r w:rsidRPr="00ED365A">
        <w:t xml:space="preserve">. 6th </w:t>
      </w:r>
      <w:proofErr w:type="spellStart"/>
      <w:r w:rsidRPr="00ED365A">
        <w:t>edn</w:t>
      </w:r>
      <w:proofErr w:type="spellEnd"/>
      <w:r w:rsidRPr="00ED365A">
        <w:t>. London: Routledge.</w:t>
      </w:r>
    </w:p>
    <w:p w14:paraId="7842D32C" w14:textId="1A3E7A6B" w:rsidR="000F6D4E" w:rsidRPr="00ED365A" w:rsidRDefault="00ED365A" w:rsidP="00ED365A">
      <w:pPr>
        <w:pStyle w:val="NormalWeb"/>
        <w:spacing w:line="360" w:lineRule="auto"/>
        <w:ind w:left="360"/>
        <w:jc w:val="both"/>
      </w:pPr>
      <w:r w:rsidRPr="00ED365A">
        <w:t>Personnel Today (</w:t>
      </w:r>
      <w:proofErr w:type="gramStart"/>
      <w:r w:rsidRPr="00ED365A">
        <w:t>2015</w:t>
      </w:r>
      <w:r w:rsidR="000F6D4E" w:rsidRPr="00ED365A">
        <w:t>) ‘</w:t>
      </w:r>
      <w:proofErr w:type="gramEnd"/>
      <w:r w:rsidR="000F6D4E" w:rsidRPr="00ED365A">
        <w:t xml:space="preserve">Transatlantic HR: How similar is HR in the US and UK?’. Available at: </w:t>
      </w:r>
      <w:hyperlink r:id="rId15" w:tgtFrame="_new" w:history="1">
        <w:r w:rsidR="000F6D4E" w:rsidRPr="00ED365A">
          <w:rPr>
            <w:rStyle w:val="Hyperlink"/>
            <w:rFonts w:eastAsiaTheme="majorEastAsia"/>
            <w:color w:val="auto"/>
          </w:rPr>
          <w:t>https://www.personneltoday.com</w:t>
        </w:r>
      </w:hyperlink>
      <w:r w:rsidR="000F6D4E" w:rsidRPr="00ED365A">
        <w:t xml:space="preserve"> (Accessed: 11 December 2025).</w:t>
      </w:r>
    </w:p>
    <w:p w14:paraId="36AC3659" w14:textId="77777777" w:rsidR="000F6D4E" w:rsidRPr="00ED365A" w:rsidRDefault="000F6D4E" w:rsidP="00ED365A">
      <w:pPr>
        <w:pStyle w:val="NormalWeb"/>
        <w:spacing w:line="360" w:lineRule="auto"/>
        <w:ind w:left="360"/>
        <w:jc w:val="both"/>
      </w:pPr>
      <w:proofErr w:type="spellStart"/>
      <w:r w:rsidRPr="00ED365A">
        <w:t>Primerus</w:t>
      </w:r>
      <w:proofErr w:type="spellEnd"/>
      <w:r w:rsidRPr="00ED365A">
        <w:t xml:space="preserve"> (2025) ‘Key differences between UK and US employment law’. Available at: </w:t>
      </w:r>
      <w:hyperlink r:id="rId16" w:tgtFrame="_new" w:history="1">
        <w:r w:rsidRPr="00ED365A">
          <w:rPr>
            <w:rStyle w:val="Hyperlink"/>
            <w:rFonts w:eastAsiaTheme="majorEastAsia"/>
            <w:color w:val="auto"/>
          </w:rPr>
          <w:t>https://www.primerus.com</w:t>
        </w:r>
      </w:hyperlink>
      <w:r w:rsidRPr="00ED365A">
        <w:t xml:space="preserve"> (Accessed: 11 December 2025).</w:t>
      </w:r>
    </w:p>
    <w:p w14:paraId="41428032" w14:textId="77777777" w:rsidR="00ED365A" w:rsidRPr="00ED365A" w:rsidRDefault="00ED365A" w:rsidP="00ED365A">
      <w:pPr>
        <w:pStyle w:val="NormalWeb"/>
        <w:spacing w:line="360" w:lineRule="auto"/>
        <w:ind w:left="360"/>
        <w:jc w:val="both"/>
      </w:pPr>
      <w:r w:rsidRPr="00ED365A">
        <w:t xml:space="preserve">CIPD (2024) </w:t>
      </w:r>
      <w:r w:rsidRPr="00ED365A">
        <w:rPr>
          <w:rStyle w:val="Emphasis"/>
        </w:rPr>
        <w:t>Transforming the HR operating model: Tesco</w:t>
      </w:r>
      <w:r w:rsidRPr="00ED365A">
        <w:t xml:space="preserve">. Available at: </w:t>
      </w:r>
      <w:hyperlink r:id="rId17" w:tgtFrame="_new" w:history="1">
        <w:r w:rsidRPr="00ED365A">
          <w:rPr>
            <w:rStyle w:val="Hyperlink"/>
            <w:color w:val="auto"/>
          </w:rPr>
          <w:t>https://www.cipd.org/uk/knowledge/case-studies/operating-model-tesco/</w:t>
        </w:r>
      </w:hyperlink>
      <w:r w:rsidRPr="00ED365A">
        <w:t xml:space="preserve"> </w:t>
      </w:r>
    </w:p>
    <w:p w14:paraId="2E16AA56" w14:textId="2F3CD070" w:rsidR="000F6D4E" w:rsidRPr="00ED365A" w:rsidRDefault="000F6D4E" w:rsidP="00ED365A">
      <w:pPr>
        <w:pStyle w:val="NormalWeb"/>
        <w:spacing w:line="360" w:lineRule="auto"/>
        <w:ind w:left="360"/>
        <w:jc w:val="both"/>
      </w:pPr>
      <w:r w:rsidRPr="00ED365A">
        <w:t xml:space="preserve">Smart Life Skills (2025) </w:t>
      </w:r>
      <w:r w:rsidRPr="00ED365A">
        <w:rPr>
          <w:rStyle w:val="Emphasis"/>
          <w:rFonts w:eastAsiaTheme="majorEastAsia"/>
        </w:rPr>
        <w:t>Tesco recruitment and HR technology practices</w:t>
      </w:r>
      <w:r w:rsidRPr="00ED365A">
        <w:t>. Available at: https://www.smartlifeskills.com (Accessed: 11 December 2025).</w:t>
      </w:r>
    </w:p>
    <w:p w14:paraId="3CAA2FF3" w14:textId="77777777" w:rsidR="00ED365A" w:rsidRPr="00ED365A" w:rsidRDefault="00ED365A" w:rsidP="00ED365A">
      <w:pPr>
        <w:pStyle w:val="NormalWeb"/>
        <w:spacing w:line="360" w:lineRule="auto"/>
        <w:ind w:left="360"/>
        <w:jc w:val="both"/>
      </w:pPr>
      <w:r w:rsidRPr="00ED365A">
        <w:t xml:space="preserve">Adewale, T.O. and Ojo, O. (2023) </w:t>
      </w:r>
      <w:r w:rsidRPr="00ED365A">
        <w:rPr>
          <w:rStyle w:val="Emphasis"/>
        </w:rPr>
        <w:t>Strategic Analysis of Tesco Supermarket</w:t>
      </w:r>
      <w:r w:rsidRPr="00ED365A">
        <w:t xml:space="preserve">. Available at: </w:t>
      </w:r>
      <w:hyperlink r:id="rId18" w:tgtFrame="_new" w:history="1">
        <w:r w:rsidRPr="00ED365A">
          <w:rPr>
            <w:rStyle w:val="Hyperlink"/>
            <w:color w:val="auto"/>
          </w:rPr>
          <w:t>https://www.researchgate.net/publication/367625637_STRATEGIC_ANALYSIS_OF_TESCO_SUPERMARKET</w:t>
        </w:r>
      </w:hyperlink>
      <w:r w:rsidRPr="00ED365A">
        <w:t xml:space="preserve"> </w:t>
      </w:r>
    </w:p>
    <w:p w14:paraId="03893F8D" w14:textId="67FE58C3" w:rsidR="000F6D4E" w:rsidRPr="00ED365A" w:rsidRDefault="000F6D4E" w:rsidP="00ED365A">
      <w:pPr>
        <w:pStyle w:val="NormalWeb"/>
        <w:spacing w:line="360" w:lineRule="auto"/>
        <w:ind w:left="360"/>
        <w:jc w:val="both"/>
      </w:pPr>
      <w:r w:rsidRPr="00ED365A">
        <w:t xml:space="preserve">Times100 (2025) </w:t>
      </w:r>
      <w:r w:rsidRPr="00ED365A">
        <w:rPr>
          <w:rStyle w:val="Emphasis"/>
          <w:rFonts w:eastAsiaTheme="majorEastAsia"/>
        </w:rPr>
        <w:t>Tesco plc company overview</w:t>
      </w:r>
      <w:r w:rsidRPr="00ED365A">
        <w:t>. Available at: https://www.thetimes100.co.uk (Accessed: 11 December 2025).</w:t>
      </w:r>
    </w:p>
    <w:p w14:paraId="5C0E56DC" w14:textId="77777777" w:rsidR="00ED365A" w:rsidRPr="00ED365A" w:rsidRDefault="00ED365A" w:rsidP="00ED365A">
      <w:pPr>
        <w:pStyle w:val="NormalWeb"/>
        <w:spacing w:line="360" w:lineRule="auto"/>
        <w:ind w:left="360"/>
        <w:jc w:val="both"/>
      </w:pPr>
      <w:r w:rsidRPr="00ED365A">
        <w:t xml:space="preserve">Tesco PLC (2025) </w:t>
      </w:r>
      <w:r w:rsidRPr="00ED365A">
        <w:rPr>
          <w:rStyle w:val="Emphasis"/>
        </w:rPr>
        <w:t>Colleagues Factsheet</w:t>
      </w:r>
      <w:r w:rsidRPr="00ED365A">
        <w:t xml:space="preserve">. Available at: </w:t>
      </w:r>
      <w:hyperlink r:id="rId19" w:tgtFrame="_new" w:history="1">
        <w:r w:rsidRPr="00ED365A">
          <w:rPr>
            <w:rStyle w:val="Hyperlink"/>
            <w:color w:val="auto"/>
          </w:rPr>
          <w:t>https://www.tescoplc.com/media/3zef0bvr/tesco_factsheets_colleagues.pdf</w:t>
        </w:r>
      </w:hyperlink>
      <w:r w:rsidRPr="00ED365A">
        <w:t xml:space="preserve"> </w:t>
      </w:r>
    </w:p>
    <w:p w14:paraId="16C1E49E" w14:textId="128FD50E" w:rsidR="000F6D4E" w:rsidRPr="00ED365A" w:rsidRDefault="00ED365A" w:rsidP="00ED365A">
      <w:pPr>
        <w:pStyle w:val="NormalWeb"/>
        <w:spacing w:line="360" w:lineRule="auto"/>
        <w:ind w:left="360"/>
        <w:jc w:val="both"/>
      </w:pPr>
      <w:r w:rsidRPr="00ED365A">
        <w:t>UK Essays (201</w:t>
      </w:r>
      <w:r w:rsidR="000F6D4E" w:rsidRPr="00ED365A">
        <w:t xml:space="preserve">5) </w:t>
      </w:r>
      <w:r w:rsidR="000F6D4E" w:rsidRPr="00ED365A">
        <w:rPr>
          <w:rStyle w:val="Emphasis"/>
          <w:rFonts w:eastAsiaTheme="majorEastAsia"/>
        </w:rPr>
        <w:t>Training and development at Tesco PLC</w:t>
      </w:r>
      <w:r w:rsidR="000F6D4E" w:rsidRPr="00ED365A">
        <w:t xml:space="preserve">. Available at: </w:t>
      </w:r>
      <w:hyperlink r:id="rId20" w:tgtFrame="_new" w:history="1">
        <w:r w:rsidR="000F6D4E" w:rsidRPr="00ED365A">
          <w:rPr>
            <w:rStyle w:val="Hyperlink"/>
            <w:rFonts w:eastAsiaTheme="majorEastAsia"/>
            <w:color w:val="auto"/>
          </w:rPr>
          <w:t>https://www.ukessays.com</w:t>
        </w:r>
      </w:hyperlink>
      <w:r w:rsidR="000F6D4E" w:rsidRPr="00ED365A">
        <w:t xml:space="preserve"> (Accessed: 11 December 2025).</w:t>
      </w:r>
    </w:p>
    <w:p w14:paraId="276C3793" w14:textId="77777777" w:rsidR="000F6D4E" w:rsidRPr="00ED365A" w:rsidRDefault="000F6D4E" w:rsidP="00ED365A">
      <w:pPr>
        <w:pStyle w:val="NormalWeb"/>
        <w:spacing w:line="360" w:lineRule="auto"/>
        <w:ind w:left="360"/>
        <w:jc w:val="both"/>
        <w:rPr>
          <w:sz w:val="20"/>
          <w:szCs w:val="20"/>
        </w:rPr>
      </w:pPr>
      <w:r w:rsidRPr="00ED365A">
        <w:t>Wikipedia (</w:t>
      </w:r>
      <w:proofErr w:type="gramStart"/>
      <w:r w:rsidRPr="00ED365A">
        <w:t>2025) ‘</w:t>
      </w:r>
      <w:proofErr w:type="gramEnd"/>
      <w:r w:rsidRPr="00ED365A">
        <w:t xml:space="preserve">Tesco’. Available at: </w:t>
      </w:r>
      <w:hyperlink r:id="rId21" w:tgtFrame="_new" w:history="1">
        <w:r w:rsidRPr="00ED365A">
          <w:rPr>
            <w:rStyle w:val="Hyperlink"/>
            <w:rFonts w:eastAsiaTheme="majorEastAsia"/>
            <w:color w:val="auto"/>
          </w:rPr>
          <w:t>https://en.wikipedia.org/wiki/Tesco</w:t>
        </w:r>
      </w:hyperlink>
      <w:r w:rsidRPr="00ED365A">
        <w:t xml:space="preserve"> (Accessed: 11 December 2025).</w:t>
      </w:r>
    </w:p>
    <w:p w14:paraId="7D9CC263" w14:textId="77777777" w:rsidR="000F6D4E" w:rsidRPr="00ED365A" w:rsidRDefault="000F6D4E" w:rsidP="00ED365A">
      <w:pPr>
        <w:spacing w:line="360" w:lineRule="auto"/>
        <w:jc w:val="both"/>
        <w:rPr>
          <w:rFonts w:ascii="Times New Roman" w:hAnsi="Times New Roman" w:cs="Times New Roman"/>
          <w:b/>
          <w:sz w:val="20"/>
          <w:szCs w:val="20"/>
        </w:rPr>
      </w:pPr>
    </w:p>
    <w:sectPr w:rsidR="000F6D4E" w:rsidRPr="00ED365A" w:rsidSect="007365E6">
      <w:headerReference w:type="first" r:id="rId22"/>
      <w:pgSz w:w="11907" w:h="16839" w:code="9"/>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F9F8B6" w14:textId="77777777" w:rsidR="00DA1AD5" w:rsidRDefault="00DA1AD5" w:rsidP="008C3411">
      <w:pPr>
        <w:spacing w:after="0" w:line="240" w:lineRule="auto"/>
      </w:pPr>
      <w:r>
        <w:separator/>
      </w:r>
    </w:p>
  </w:endnote>
  <w:endnote w:type="continuationSeparator" w:id="0">
    <w:p w14:paraId="5E947777" w14:textId="77777777" w:rsidR="00DA1AD5" w:rsidRDefault="00DA1AD5" w:rsidP="008C3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4E94E" w14:textId="77777777" w:rsidR="00DA1AD5" w:rsidRDefault="00DA1AD5" w:rsidP="008C3411">
      <w:pPr>
        <w:spacing w:after="0" w:line="240" w:lineRule="auto"/>
      </w:pPr>
      <w:r>
        <w:separator/>
      </w:r>
    </w:p>
  </w:footnote>
  <w:footnote w:type="continuationSeparator" w:id="0">
    <w:p w14:paraId="287E7028" w14:textId="77777777" w:rsidR="00DA1AD5" w:rsidRDefault="00DA1AD5" w:rsidP="008C34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B8032F" w14:textId="74B895C2" w:rsidR="008C3411" w:rsidRDefault="008C3411">
    <w:pPr>
      <w:pStyle w:val="Header"/>
    </w:pPr>
    <w:r>
      <w:rPr>
        <w:noProof/>
        <w:sz w:val="24"/>
        <w:szCs w:val="24"/>
      </w:rPr>
      <w:drawing>
        <wp:inline distT="0" distB="0" distL="0" distR="0" wp14:anchorId="51A1AD7A" wp14:editId="4F045834">
          <wp:extent cx="2619375" cy="1028700"/>
          <wp:effectExtent l="0" t="0" r="9525" b="0"/>
          <wp:docPr id="2" name="Picture 2" descr="C:\Users\HP\AppData\Local\Microsoft\Windows\INetCache\Content.Word\Screenshot_13-12-2025_121845_.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HP\AppData\Local\Microsoft\Windows\INetCache\Content.Word\Screenshot_13-12-2025_121845_.jpe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619375" cy="10287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EA2FD2"/>
    <w:multiLevelType w:val="hybridMultilevel"/>
    <w:tmpl w:val="0298B9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DB21784"/>
    <w:multiLevelType w:val="multilevel"/>
    <w:tmpl w:val="4236719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BB1EDB"/>
    <w:multiLevelType w:val="hybridMultilevel"/>
    <w:tmpl w:val="00482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974497C"/>
    <w:multiLevelType w:val="multilevel"/>
    <w:tmpl w:val="D9CAC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F23A7E"/>
    <w:multiLevelType w:val="multilevel"/>
    <w:tmpl w:val="D9CAC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681195">
    <w:abstractNumId w:val="1"/>
  </w:num>
  <w:num w:numId="2" w16cid:durableId="397947754">
    <w:abstractNumId w:val="2"/>
  </w:num>
  <w:num w:numId="3" w16cid:durableId="52169487">
    <w:abstractNumId w:val="3"/>
  </w:num>
  <w:num w:numId="4" w16cid:durableId="1063141502">
    <w:abstractNumId w:val="4"/>
  </w:num>
  <w:num w:numId="5" w16cid:durableId="866136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A087C"/>
    <w:rsid w:val="000F6D4E"/>
    <w:rsid w:val="00130128"/>
    <w:rsid w:val="004A11C4"/>
    <w:rsid w:val="004F75AA"/>
    <w:rsid w:val="00595711"/>
    <w:rsid w:val="00711ECB"/>
    <w:rsid w:val="00726A92"/>
    <w:rsid w:val="007365E6"/>
    <w:rsid w:val="007A087C"/>
    <w:rsid w:val="0087267A"/>
    <w:rsid w:val="008C3411"/>
    <w:rsid w:val="009C52EE"/>
    <w:rsid w:val="00AB0C61"/>
    <w:rsid w:val="00AE5722"/>
    <w:rsid w:val="00C8602A"/>
    <w:rsid w:val="00D8084D"/>
    <w:rsid w:val="00DA1AD5"/>
    <w:rsid w:val="00ED054A"/>
    <w:rsid w:val="00ED365A"/>
    <w:rsid w:val="00FB086B"/>
    <w:rsid w:val="00FE4A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8FC72E"/>
  <w15:docId w15:val="{3DA47123-BE00-4375-BBA6-64735D53E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D365A"/>
    <w:pPr>
      <w:spacing w:before="100" w:beforeAutospacing="1" w:after="100" w:afterAutospacing="1" w:line="240" w:lineRule="auto"/>
      <w:outlineLvl w:val="0"/>
    </w:pPr>
    <w:rPr>
      <w:rFonts w:ascii="Times New Roman" w:eastAsia="Times New Roman" w:hAnsi="Times New Roman" w:cs="Times New Roman"/>
      <w:b/>
      <w:bCs/>
      <w:kern w:val="36"/>
      <w:sz w:val="24"/>
      <w:szCs w:val="48"/>
    </w:rPr>
  </w:style>
  <w:style w:type="paragraph" w:styleId="Heading2">
    <w:name w:val="heading 2"/>
    <w:basedOn w:val="Normal"/>
    <w:next w:val="Normal"/>
    <w:link w:val="Heading2Char"/>
    <w:uiPriority w:val="9"/>
    <w:semiHidden/>
    <w:unhideWhenUsed/>
    <w:qFormat/>
    <w:rsid w:val="007A08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F6D4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F6D4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65A"/>
    <w:rPr>
      <w:rFonts w:ascii="Times New Roman" w:eastAsia="Times New Roman" w:hAnsi="Times New Roman" w:cs="Times New Roman"/>
      <w:b/>
      <w:bCs/>
      <w:kern w:val="36"/>
      <w:sz w:val="24"/>
      <w:szCs w:val="48"/>
    </w:rPr>
  </w:style>
  <w:style w:type="character" w:styleId="Strong">
    <w:name w:val="Strong"/>
    <w:basedOn w:val="DefaultParagraphFont"/>
    <w:uiPriority w:val="22"/>
    <w:qFormat/>
    <w:rsid w:val="007A087C"/>
    <w:rPr>
      <w:b/>
      <w:bCs/>
    </w:rPr>
  </w:style>
  <w:style w:type="paragraph" w:styleId="NormalWeb">
    <w:name w:val="Normal (Web)"/>
    <w:basedOn w:val="Normal"/>
    <w:uiPriority w:val="99"/>
    <w:unhideWhenUsed/>
    <w:rsid w:val="007A087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7A087C"/>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7A087C"/>
    <w:rPr>
      <w:i/>
      <w:iCs/>
    </w:rPr>
  </w:style>
  <w:style w:type="character" w:customStyle="1" w:styleId="Heading3Char">
    <w:name w:val="Heading 3 Char"/>
    <w:basedOn w:val="DefaultParagraphFont"/>
    <w:link w:val="Heading3"/>
    <w:uiPriority w:val="9"/>
    <w:semiHidden/>
    <w:rsid w:val="000F6D4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0F6D4E"/>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0F6D4E"/>
    <w:rPr>
      <w:color w:val="0000FF"/>
      <w:u w:val="single"/>
    </w:rPr>
  </w:style>
  <w:style w:type="table" w:styleId="TableGrid">
    <w:name w:val="Table Grid"/>
    <w:basedOn w:val="TableNormal"/>
    <w:uiPriority w:val="59"/>
    <w:rsid w:val="000F6D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C34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3411"/>
  </w:style>
  <w:style w:type="paragraph" w:styleId="Footer">
    <w:name w:val="footer"/>
    <w:basedOn w:val="Normal"/>
    <w:link w:val="FooterChar"/>
    <w:uiPriority w:val="99"/>
    <w:unhideWhenUsed/>
    <w:rsid w:val="008C34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3411"/>
  </w:style>
  <w:style w:type="paragraph" w:styleId="BalloonText">
    <w:name w:val="Balloon Text"/>
    <w:basedOn w:val="Normal"/>
    <w:link w:val="BalloonTextChar"/>
    <w:uiPriority w:val="99"/>
    <w:semiHidden/>
    <w:unhideWhenUsed/>
    <w:rsid w:val="008C34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3411"/>
    <w:rPr>
      <w:rFonts w:ascii="Tahoma" w:hAnsi="Tahoma" w:cs="Tahoma"/>
      <w:sz w:val="16"/>
      <w:szCs w:val="16"/>
    </w:rPr>
  </w:style>
  <w:style w:type="table" w:styleId="MediumGrid1">
    <w:name w:val="Medium Grid 1"/>
    <w:basedOn w:val="TableNormal"/>
    <w:uiPriority w:val="67"/>
    <w:rsid w:val="008C3411"/>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paragraph" w:styleId="ListParagraph">
    <w:name w:val="List Paragraph"/>
    <w:basedOn w:val="Normal"/>
    <w:uiPriority w:val="34"/>
    <w:qFormat/>
    <w:rsid w:val="00ED365A"/>
    <w:pPr>
      <w:ind w:left="720"/>
      <w:contextualSpacing/>
    </w:pPr>
  </w:style>
  <w:style w:type="paragraph" w:styleId="TOCHeading">
    <w:name w:val="TOC Heading"/>
    <w:basedOn w:val="Heading1"/>
    <w:next w:val="Normal"/>
    <w:uiPriority w:val="39"/>
    <w:semiHidden/>
    <w:unhideWhenUsed/>
    <w:qFormat/>
    <w:rsid w:val="00C8602A"/>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C8602A"/>
    <w:pPr>
      <w:spacing w:after="100"/>
    </w:pPr>
  </w:style>
  <w:style w:type="paragraph" w:styleId="TOC2">
    <w:name w:val="toc 2"/>
    <w:basedOn w:val="Normal"/>
    <w:next w:val="Normal"/>
    <w:autoRedefine/>
    <w:uiPriority w:val="39"/>
    <w:unhideWhenUsed/>
    <w:rsid w:val="00C8602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9695">
      <w:bodyDiv w:val="1"/>
      <w:marLeft w:val="0"/>
      <w:marRight w:val="0"/>
      <w:marTop w:val="0"/>
      <w:marBottom w:val="0"/>
      <w:divBdr>
        <w:top w:val="none" w:sz="0" w:space="0" w:color="auto"/>
        <w:left w:val="none" w:sz="0" w:space="0" w:color="auto"/>
        <w:bottom w:val="none" w:sz="0" w:space="0" w:color="auto"/>
        <w:right w:val="none" w:sz="0" w:space="0" w:color="auto"/>
      </w:divBdr>
    </w:div>
    <w:div w:id="78716775">
      <w:bodyDiv w:val="1"/>
      <w:marLeft w:val="0"/>
      <w:marRight w:val="0"/>
      <w:marTop w:val="0"/>
      <w:marBottom w:val="0"/>
      <w:divBdr>
        <w:top w:val="none" w:sz="0" w:space="0" w:color="auto"/>
        <w:left w:val="none" w:sz="0" w:space="0" w:color="auto"/>
        <w:bottom w:val="none" w:sz="0" w:space="0" w:color="auto"/>
        <w:right w:val="none" w:sz="0" w:space="0" w:color="auto"/>
      </w:divBdr>
      <w:divsChild>
        <w:div w:id="762843668">
          <w:marLeft w:val="0"/>
          <w:marRight w:val="0"/>
          <w:marTop w:val="0"/>
          <w:marBottom w:val="0"/>
          <w:divBdr>
            <w:top w:val="none" w:sz="0" w:space="0" w:color="auto"/>
            <w:left w:val="none" w:sz="0" w:space="0" w:color="auto"/>
            <w:bottom w:val="none" w:sz="0" w:space="0" w:color="auto"/>
            <w:right w:val="none" w:sz="0" w:space="0" w:color="auto"/>
          </w:divBdr>
          <w:divsChild>
            <w:div w:id="1360937046">
              <w:marLeft w:val="0"/>
              <w:marRight w:val="0"/>
              <w:marTop w:val="0"/>
              <w:marBottom w:val="0"/>
              <w:divBdr>
                <w:top w:val="none" w:sz="0" w:space="0" w:color="auto"/>
                <w:left w:val="none" w:sz="0" w:space="0" w:color="auto"/>
                <w:bottom w:val="none" w:sz="0" w:space="0" w:color="auto"/>
                <w:right w:val="none" w:sz="0" w:space="0" w:color="auto"/>
              </w:divBdr>
              <w:divsChild>
                <w:div w:id="1774203983">
                  <w:marLeft w:val="0"/>
                  <w:marRight w:val="0"/>
                  <w:marTop w:val="0"/>
                  <w:marBottom w:val="0"/>
                  <w:divBdr>
                    <w:top w:val="none" w:sz="0" w:space="0" w:color="auto"/>
                    <w:left w:val="none" w:sz="0" w:space="0" w:color="auto"/>
                    <w:bottom w:val="none" w:sz="0" w:space="0" w:color="auto"/>
                    <w:right w:val="none" w:sz="0" w:space="0" w:color="auto"/>
                  </w:divBdr>
                  <w:divsChild>
                    <w:div w:id="990524426">
                      <w:marLeft w:val="0"/>
                      <w:marRight w:val="0"/>
                      <w:marTop w:val="0"/>
                      <w:marBottom w:val="0"/>
                      <w:divBdr>
                        <w:top w:val="none" w:sz="0" w:space="0" w:color="auto"/>
                        <w:left w:val="none" w:sz="0" w:space="0" w:color="auto"/>
                        <w:bottom w:val="none" w:sz="0" w:space="0" w:color="auto"/>
                        <w:right w:val="none" w:sz="0" w:space="0" w:color="auto"/>
                      </w:divBdr>
                      <w:divsChild>
                        <w:div w:id="66271024">
                          <w:marLeft w:val="0"/>
                          <w:marRight w:val="0"/>
                          <w:marTop w:val="0"/>
                          <w:marBottom w:val="0"/>
                          <w:divBdr>
                            <w:top w:val="none" w:sz="0" w:space="0" w:color="auto"/>
                            <w:left w:val="none" w:sz="0" w:space="0" w:color="auto"/>
                            <w:bottom w:val="none" w:sz="0" w:space="0" w:color="auto"/>
                            <w:right w:val="none" w:sz="0" w:space="0" w:color="auto"/>
                          </w:divBdr>
                          <w:divsChild>
                            <w:div w:id="132212380">
                              <w:marLeft w:val="0"/>
                              <w:marRight w:val="0"/>
                              <w:marTop w:val="0"/>
                              <w:marBottom w:val="0"/>
                              <w:divBdr>
                                <w:top w:val="none" w:sz="0" w:space="0" w:color="auto"/>
                                <w:left w:val="none" w:sz="0" w:space="0" w:color="auto"/>
                                <w:bottom w:val="none" w:sz="0" w:space="0" w:color="auto"/>
                                <w:right w:val="none" w:sz="0" w:space="0" w:color="auto"/>
                              </w:divBdr>
                              <w:divsChild>
                                <w:div w:id="207716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214559">
      <w:bodyDiv w:val="1"/>
      <w:marLeft w:val="0"/>
      <w:marRight w:val="0"/>
      <w:marTop w:val="0"/>
      <w:marBottom w:val="0"/>
      <w:divBdr>
        <w:top w:val="none" w:sz="0" w:space="0" w:color="auto"/>
        <w:left w:val="none" w:sz="0" w:space="0" w:color="auto"/>
        <w:bottom w:val="none" w:sz="0" w:space="0" w:color="auto"/>
        <w:right w:val="none" w:sz="0" w:space="0" w:color="auto"/>
      </w:divBdr>
    </w:div>
    <w:div w:id="533155576">
      <w:bodyDiv w:val="1"/>
      <w:marLeft w:val="0"/>
      <w:marRight w:val="0"/>
      <w:marTop w:val="0"/>
      <w:marBottom w:val="0"/>
      <w:divBdr>
        <w:top w:val="none" w:sz="0" w:space="0" w:color="auto"/>
        <w:left w:val="none" w:sz="0" w:space="0" w:color="auto"/>
        <w:bottom w:val="none" w:sz="0" w:space="0" w:color="auto"/>
        <w:right w:val="none" w:sz="0" w:space="0" w:color="auto"/>
      </w:divBdr>
      <w:divsChild>
        <w:div w:id="2106489135">
          <w:marLeft w:val="0"/>
          <w:marRight w:val="0"/>
          <w:marTop w:val="0"/>
          <w:marBottom w:val="0"/>
          <w:divBdr>
            <w:top w:val="none" w:sz="0" w:space="0" w:color="auto"/>
            <w:left w:val="none" w:sz="0" w:space="0" w:color="auto"/>
            <w:bottom w:val="none" w:sz="0" w:space="0" w:color="auto"/>
            <w:right w:val="none" w:sz="0" w:space="0" w:color="auto"/>
          </w:divBdr>
          <w:divsChild>
            <w:div w:id="736053246">
              <w:marLeft w:val="0"/>
              <w:marRight w:val="0"/>
              <w:marTop w:val="0"/>
              <w:marBottom w:val="0"/>
              <w:divBdr>
                <w:top w:val="none" w:sz="0" w:space="0" w:color="auto"/>
                <w:left w:val="none" w:sz="0" w:space="0" w:color="auto"/>
                <w:bottom w:val="none" w:sz="0" w:space="0" w:color="auto"/>
                <w:right w:val="none" w:sz="0" w:space="0" w:color="auto"/>
              </w:divBdr>
              <w:divsChild>
                <w:div w:id="1051465270">
                  <w:marLeft w:val="0"/>
                  <w:marRight w:val="0"/>
                  <w:marTop w:val="0"/>
                  <w:marBottom w:val="0"/>
                  <w:divBdr>
                    <w:top w:val="none" w:sz="0" w:space="0" w:color="auto"/>
                    <w:left w:val="none" w:sz="0" w:space="0" w:color="auto"/>
                    <w:bottom w:val="none" w:sz="0" w:space="0" w:color="auto"/>
                    <w:right w:val="none" w:sz="0" w:space="0" w:color="auto"/>
                  </w:divBdr>
                  <w:divsChild>
                    <w:div w:id="2106420884">
                      <w:marLeft w:val="0"/>
                      <w:marRight w:val="0"/>
                      <w:marTop w:val="0"/>
                      <w:marBottom w:val="0"/>
                      <w:divBdr>
                        <w:top w:val="none" w:sz="0" w:space="0" w:color="auto"/>
                        <w:left w:val="none" w:sz="0" w:space="0" w:color="auto"/>
                        <w:bottom w:val="none" w:sz="0" w:space="0" w:color="auto"/>
                        <w:right w:val="none" w:sz="0" w:space="0" w:color="auto"/>
                      </w:divBdr>
                      <w:divsChild>
                        <w:div w:id="1975059543">
                          <w:marLeft w:val="0"/>
                          <w:marRight w:val="0"/>
                          <w:marTop w:val="0"/>
                          <w:marBottom w:val="0"/>
                          <w:divBdr>
                            <w:top w:val="none" w:sz="0" w:space="0" w:color="auto"/>
                            <w:left w:val="none" w:sz="0" w:space="0" w:color="auto"/>
                            <w:bottom w:val="none" w:sz="0" w:space="0" w:color="auto"/>
                            <w:right w:val="none" w:sz="0" w:space="0" w:color="auto"/>
                          </w:divBdr>
                          <w:divsChild>
                            <w:div w:id="995184332">
                              <w:marLeft w:val="0"/>
                              <w:marRight w:val="0"/>
                              <w:marTop w:val="0"/>
                              <w:marBottom w:val="0"/>
                              <w:divBdr>
                                <w:top w:val="none" w:sz="0" w:space="0" w:color="auto"/>
                                <w:left w:val="none" w:sz="0" w:space="0" w:color="auto"/>
                                <w:bottom w:val="none" w:sz="0" w:space="0" w:color="auto"/>
                                <w:right w:val="none" w:sz="0" w:space="0" w:color="auto"/>
                              </w:divBdr>
                              <w:divsChild>
                                <w:div w:id="135557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1907920">
      <w:bodyDiv w:val="1"/>
      <w:marLeft w:val="0"/>
      <w:marRight w:val="0"/>
      <w:marTop w:val="0"/>
      <w:marBottom w:val="0"/>
      <w:divBdr>
        <w:top w:val="none" w:sz="0" w:space="0" w:color="auto"/>
        <w:left w:val="none" w:sz="0" w:space="0" w:color="auto"/>
        <w:bottom w:val="none" w:sz="0" w:space="0" w:color="auto"/>
        <w:right w:val="none" w:sz="0" w:space="0" w:color="auto"/>
      </w:divBdr>
    </w:div>
    <w:div w:id="662902558">
      <w:bodyDiv w:val="1"/>
      <w:marLeft w:val="0"/>
      <w:marRight w:val="0"/>
      <w:marTop w:val="0"/>
      <w:marBottom w:val="0"/>
      <w:divBdr>
        <w:top w:val="none" w:sz="0" w:space="0" w:color="auto"/>
        <w:left w:val="none" w:sz="0" w:space="0" w:color="auto"/>
        <w:bottom w:val="none" w:sz="0" w:space="0" w:color="auto"/>
        <w:right w:val="none" w:sz="0" w:space="0" w:color="auto"/>
      </w:divBdr>
    </w:div>
    <w:div w:id="724835747">
      <w:bodyDiv w:val="1"/>
      <w:marLeft w:val="0"/>
      <w:marRight w:val="0"/>
      <w:marTop w:val="0"/>
      <w:marBottom w:val="0"/>
      <w:divBdr>
        <w:top w:val="none" w:sz="0" w:space="0" w:color="auto"/>
        <w:left w:val="none" w:sz="0" w:space="0" w:color="auto"/>
        <w:bottom w:val="none" w:sz="0" w:space="0" w:color="auto"/>
        <w:right w:val="none" w:sz="0" w:space="0" w:color="auto"/>
      </w:divBdr>
    </w:div>
    <w:div w:id="741370583">
      <w:bodyDiv w:val="1"/>
      <w:marLeft w:val="0"/>
      <w:marRight w:val="0"/>
      <w:marTop w:val="0"/>
      <w:marBottom w:val="0"/>
      <w:divBdr>
        <w:top w:val="none" w:sz="0" w:space="0" w:color="auto"/>
        <w:left w:val="none" w:sz="0" w:space="0" w:color="auto"/>
        <w:bottom w:val="none" w:sz="0" w:space="0" w:color="auto"/>
        <w:right w:val="none" w:sz="0" w:space="0" w:color="auto"/>
      </w:divBdr>
      <w:divsChild>
        <w:div w:id="560209750">
          <w:marLeft w:val="0"/>
          <w:marRight w:val="0"/>
          <w:marTop w:val="0"/>
          <w:marBottom w:val="0"/>
          <w:divBdr>
            <w:top w:val="none" w:sz="0" w:space="0" w:color="auto"/>
            <w:left w:val="none" w:sz="0" w:space="0" w:color="auto"/>
            <w:bottom w:val="none" w:sz="0" w:space="0" w:color="auto"/>
            <w:right w:val="none" w:sz="0" w:space="0" w:color="auto"/>
          </w:divBdr>
          <w:divsChild>
            <w:div w:id="141027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06918">
      <w:bodyDiv w:val="1"/>
      <w:marLeft w:val="0"/>
      <w:marRight w:val="0"/>
      <w:marTop w:val="0"/>
      <w:marBottom w:val="0"/>
      <w:divBdr>
        <w:top w:val="none" w:sz="0" w:space="0" w:color="auto"/>
        <w:left w:val="none" w:sz="0" w:space="0" w:color="auto"/>
        <w:bottom w:val="none" w:sz="0" w:space="0" w:color="auto"/>
        <w:right w:val="none" w:sz="0" w:space="0" w:color="auto"/>
      </w:divBdr>
      <w:divsChild>
        <w:div w:id="525598784">
          <w:marLeft w:val="0"/>
          <w:marRight w:val="0"/>
          <w:marTop w:val="0"/>
          <w:marBottom w:val="0"/>
          <w:divBdr>
            <w:top w:val="none" w:sz="0" w:space="0" w:color="auto"/>
            <w:left w:val="none" w:sz="0" w:space="0" w:color="auto"/>
            <w:bottom w:val="none" w:sz="0" w:space="0" w:color="auto"/>
            <w:right w:val="none" w:sz="0" w:space="0" w:color="auto"/>
          </w:divBdr>
          <w:divsChild>
            <w:div w:id="1120221329">
              <w:marLeft w:val="0"/>
              <w:marRight w:val="0"/>
              <w:marTop w:val="0"/>
              <w:marBottom w:val="0"/>
              <w:divBdr>
                <w:top w:val="none" w:sz="0" w:space="0" w:color="auto"/>
                <w:left w:val="none" w:sz="0" w:space="0" w:color="auto"/>
                <w:bottom w:val="none" w:sz="0" w:space="0" w:color="auto"/>
                <w:right w:val="none" w:sz="0" w:space="0" w:color="auto"/>
              </w:divBdr>
              <w:divsChild>
                <w:div w:id="906066330">
                  <w:marLeft w:val="0"/>
                  <w:marRight w:val="0"/>
                  <w:marTop w:val="0"/>
                  <w:marBottom w:val="0"/>
                  <w:divBdr>
                    <w:top w:val="none" w:sz="0" w:space="0" w:color="auto"/>
                    <w:left w:val="none" w:sz="0" w:space="0" w:color="auto"/>
                    <w:bottom w:val="none" w:sz="0" w:space="0" w:color="auto"/>
                    <w:right w:val="none" w:sz="0" w:space="0" w:color="auto"/>
                  </w:divBdr>
                  <w:divsChild>
                    <w:div w:id="1939409805">
                      <w:marLeft w:val="0"/>
                      <w:marRight w:val="0"/>
                      <w:marTop w:val="0"/>
                      <w:marBottom w:val="0"/>
                      <w:divBdr>
                        <w:top w:val="none" w:sz="0" w:space="0" w:color="auto"/>
                        <w:left w:val="none" w:sz="0" w:space="0" w:color="auto"/>
                        <w:bottom w:val="none" w:sz="0" w:space="0" w:color="auto"/>
                        <w:right w:val="none" w:sz="0" w:space="0" w:color="auto"/>
                      </w:divBdr>
                      <w:divsChild>
                        <w:div w:id="933365747">
                          <w:marLeft w:val="0"/>
                          <w:marRight w:val="0"/>
                          <w:marTop w:val="0"/>
                          <w:marBottom w:val="0"/>
                          <w:divBdr>
                            <w:top w:val="none" w:sz="0" w:space="0" w:color="auto"/>
                            <w:left w:val="none" w:sz="0" w:space="0" w:color="auto"/>
                            <w:bottom w:val="none" w:sz="0" w:space="0" w:color="auto"/>
                            <w:right w:val="none" w:sz="0" w:space="0" w:color="auto"/>
                          </w:divBdr>
                          <w:divsChild>
                            <w:div w:id="1953784513">
                              <w:marLeft w:val="0"/>
                              <w:marRight w:val="0"/>
                              <w:marTop w:val="0"/>
                              <w:marBottom w:val="0"/>
                              <w:divBdr>
                                <w:top w:val="none" w:sz="0" w:space="0" w:color="auto"/>
                                <w:left w:val="none" w:sz="0" w:space="0" w:color="auto"/>
                                <w:bottom w:val="none" w:sz="0" w:space="0" w:color="auto"/>
                                <w:right w:val="none" w:sz="0" w:space="0" w:color="auto"/>
                              </w:divBdr>
                              <w:divsChild>
                                <w:div w:id="211675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8714228">
      <w:bodyDiv w:val="1"/>
      <w:marLeft w:val="0"/>
      <w:marRight w:val="0"/>
      <w:marTop w:val="0"/>
      <w:marBottom w:val="0"/>
      <w:divBdr>
        <w:top w:val="none" w:sz="0" w:space="0" w:color="auto"/>
        <w:left w:val="none" w:sz="0" w:space="0" w:color="auto"/>
        <w:bottom w:val="none" w:sz="0" w:space="0" w:color="auto"/>
        <w:right w:val="none" w:sz="0" w:space="0" w:color="auto"/>
      </w:divBdr>
    </w:div>
    <w:div w:id="910696868">
      <w:bodyDiv w:val="1"/>
      <w:marLeft w:val="0"/>
      <w:marRight w:val="0"/>
      <w:marTop w:val="0"/>
      <w:marBottom w:val="0"/>
      <w:divBdr>
        <w:top w:val="none" w:sz="0" w:space="0" w:color="auto"/>
        <w:left w:val="none" w:sz="0" w:space="0" w:color="auto"/>
        <w:bottom w:val="none" w:sz="0" w:space="0" w:color="auto"/>
        <w:right w:val="none" w:sz="0" w:space="0" w:color="auto"/>
      </w:divBdr>
      <w:divsChild>
        <w:div w:id="1205169651">
          <w:marLeft w:val="0"/>
          <w:marRight w:val="0"/>
          <w:marTop w:val="0"/>
          <w:marBottom w:val="0"/>
          <w:divBdr>
            <w:top w:val="none" w:sz="0" w:space="0" w:color="auto"/>
            <w:left w:val="none" w:sz="0" w:space="0" w:color="auto"/>
            <w:bottom w:val="none" w:sz="0" w:space="0" w:color="auto"/>
            <w:right w:val="none" w:sz="0" w:space="0" w:color="auto"/>
          </w:divBdr>
          <w:divsChild>
            <w:div w:id="967128063">
              <w:marLeft w:val="0"/>
              <w:marRight w:val="0"/>
              <w:marTop w:val="0"/>
              <w:marBottom w:val="0"/>
              <w:divBdr>
                <w:top w:val="none" w:sz="0" w:space="0" w:color="auto"/>
                <w:left w:val="none" w:sz="0" w:space="0" w:color="auto"/>
                <w:bottom w:val="none" w:sz="0" w:space="0" w:color="auto"/>
                <w:right w:val="none" w:sz="0" w:space="0" w:color="auto"/>
              </w:divBdr>
              <w:divsChild>
                <w:div w:id="1868787274">
                  <w:marLeft w:val="0"/>
                  <w:marRight w:val="0"/>
                  <w:marTop w:val="0"/>
                  <w:marBottom w:val="0"/>
                  <w:divBdr>
                    <w:top w:val="none" w:sz="0" w:space="0" w:color="auto"/>
                    <w:left w:val="none" w:sz="0" w:space="0" w:color="auto"/>
                    <w:bottom w:val="none" w:sz="0" w:space="0" w:color="auto"/>
                    <w:right w:val="none" w:sz="0" w:space="0" w:color="auto"/>
                  </w:divBdr>
                  <w:divsChild>
                    <w:div w:id="1123620211">
                      <w:marLeft w:val="0"/>
                      <w:marRight w:val="0"/>
                      <w:marTop w:val="0"/>
                      <w:marBottom w:val="0"/>
                      <w:divBdr>
                        <w:top w:val="none" w:sz="0" w:space="0" w:color="auto"/>
                        <w:left w:val="none" w:sz="0" w:space="0" w:color="auto"/>
                        <w:bottom w:val="none" w:sz="0" w:space="0" w:color="auto"/>
                        <w:right w:val="none" w:sz="0" w:space="0" w:color="auto"/>
                      </w:divBdr>
                      <w:divsChild>
                        <w:div w:id="1026833521">
                          <w:marLeft w:val="0"/>
                          <w:marRight w:val="0"/>
                          <w:marTop w:val="0"/>
                          <w:marBottom w:val="0"/>
                          <w:divBdr>
                            <w:top w:val="none" w:sz="0" w:space="0" w:color="auto"/>
                            <w:left w:val="none" w:sz="0" w:space="0" w:color="auto"/>
                            <w:bottom w:val="none" w:sz="0" w:space="0" w:color="auto"/>
                            <w:right w:val="none" w:sz="0" w:space="0" w:color="auto"/>
                          </w:divBdr>
                          <w:divsChild>
                            <w:div w:id="1724907748">
                              <w:marLeft w:val="0"/>
                              <w:marRight w:val="0"/>
                              <w:marTop w:val="0"/>
                              <w:marBottom w:val="0"/>
                              <w:divBdr>
                                <w:top w:val="none" w:sz="0" w:space="0" w:color="auto"/>
                                <w:left w:val="none" w:sz="0" w:space="0" w:color="auto"/>
                                <w:bottom w:val="none" w:sz="0" w:space="0" w:color="auto"/>
                                <w:right w:val="none" w:sz="0" w:space="0" w:color="auto"/>
                              </w:divBdr>
                              <w:divsChild>
                                <w:div w:id="1729299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3775603">
      <w:bodyDiv w:val="1"/>
      <w:marLeft w:val="0"/>
      <w:marRight w:val="0"/>
      <w:marTop w:val="0"/>
      <w:marBottom w:val="0"/>
      <w:divBdr>
        <w:top w:val="none" w:sz="0" w:space="0" w:color="auto"/>
        <w:left w:val="none" w:sz="0" w:space="0" w:color="auto"/>
        <w:bottom w:val="none" w:sz="0" w:space="0" w:color="auto"/>
        <w:right w:val="none" w:sz="0" w:space="0" w:color="auto"/>
      </w:divBdr>
    </w:div>
    <w:div w:id="1058360625">
      <w:bodyDiv w:val="1"/>
      <w:marLeft w:val="0"/>
      <w:marRight w:val="0"/>
      <w:marTop w:val="0"/>
      <w:marBottom w:val="0"/>
      <w:divBdr>
        <w:top w:val="none" w:sz="0" w:space="0" w:color="auto"/>
        <w:left w:val="none" w:sz="0" w:space="0" w:color="auto"/>
        <w:bottom w:val="none" w:sz="0" w:space="0" w:color="auto"/>
        <w:right w:val="none" w:sz="0" w:space="0" w:color="auto"/>
      </w:divBdr>
      <w:divsChild>
        <w:div w:id="542447949">
          <w:marLeft w:val="0"/>
          <w:marRight w:val="0"/>
          <w:marTop w:val="0"/>
          <w:marBottom w:val="0"/>
          <w:divBdr>
            <w:top w:val="none" w:sz="0" w:space="0" w:color="auto"/>
            <w:left w:val="none" w:sz="0" w:space="0" w:color="auto"/>
            <w:bottom w:val="none" w:sz="0" w:space="0" w:color="auto"/>
            <w:right w:val="none" w:sz="0" w:space="0" w:color="auto"/>
          </w:divBdr>
          <w:divsChild>
            <w:div w:id="2103456252">
              <w:marLeft w:val="0"/>
              <w:marRight w:val="0"/>
              <w:marTop w:val="0"/>
              <w:marBottom w:val="0"/>
              <w:divBdr>
                <w:top w:val="none" w:sz="0" w:space="0" w:color="auto"/>
                <w:left w:val="none" w:sz="0" w:space="0" w:color="auto"/>
                <w:bottom w:val="none" w:sz="0" w:space="0" w:color="auto"/>
                <w:right w:val="none" w:sz="0" w:space="0" w:color="auto"/>
              </w:divBdr>
              <w:divsChild>
                <w:div w:id="1687973839">
                  <w:marLeft w:val="0"/>
                  <w:marRight w:val="0"/>
                  <w:marTop w:val="0"/>
                  <w:marBottom w:val="0"/>
                  <w:divBdr>
                    <w:top w:val="none" w:sz="0" w:space="0" w:color="auto"/>
                    <w:left w:val="none" w:sz="0" w:space="0" w:color="auto"/>
                    <w:bottom w:val="none" w:sz="0" w:space="0" w:color="auto"/>
                    <w:right w:val="none" w:sz="0" w:space="0" w:color="auto"/>
                  </w:divBdr>
                  <w:divsChild>
                    <w:div w:id="1955017467">
                      <w:marLeft w:val="0"/>
                      <w:marRight w:val="0"/>
                      <w:marTop w:val="0"/>
                      <w:marBottom w:val="0"/>
                      <w:divBdr>
                        <w:top w:val="none" w:sz="0" w:space="0" w:color="auto"/>
                        <w:left w:val="none" w:sz="0" w:space="0" w:color="auto"/>
                        <w:bottom w:val="none" w:sz="0" w:space="0" w:color="auto"/>
                        <w:right w:val="none" w:sz="0" w:space="0" w:color="auto"/>
                      </w:divBdr>
                      <w:divsChild>
                        <w:div w:id="550728071">
                          <w:marLeft w:val="0"/>
                          <w:marRight w:val="0"/>
                          <w:marTop w:val="0"/>
                          <w:marBottom w:val="0"/>
                          <w:divBdr>
                            <w:top w:val="none" w:sz="0" w:space="0" w:color="auto"/>
                            <w:left w:val="none" w:sz="0" w:space="0" w:color="auto"/>
                            <w:bottom w:val="none" w:sz="0" w:space="0" w:color="auto"/>
                            <w:right w:val="none" w:sz="0" w:space="0" w:color="auto"/>
                          </w:divBdr>
                          <w:divsChild>
                            <w:div w:id="550338523">
                              <w:marLeft w:val="0"/>
                              <w:marRight w:val="0"/>
                              <w:marTop w:val="0"/>
                              <w:marBottom w:val="0"/>
                              <w:divBdr>
                                <w:top w:val="none" w:sz="0" w:space="0" w:color="auto"/>
                                <w:left w:val="none" w:sz="0" w:space="0" w:color="auto"/>
                                <w:bottom w:val="none" w:sz="0" w:space="0" w:color="auto"/>
                                <w:right w:val="none" w:sz="0" w:space="0" w:color="auto"/>
                              </w:divBdr>
                              <w:divsChild>
                                <w:div w:id="67904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9086736">
      <w:bodyDiv w:val="1"/>
      <w:marLeft w:val="0"/>
      <w:marRight w:val="0"/>
      <w:marTop w:val="0"/>
      <w:marBottom w:val="0"/>
      <w:divBdr>
        <w:top w:val="none" w:sz="0" w:space="0" w:color="auto"/>
        <w:left w:val="none" w:sz="0" w:space="0" w:color="auto"/>
        <w:bottom w:val="none" w:sz="0" w:space="0" w:color="auto"/>
        <w:right w:val="none" w:sz="0" w:space="0" w:color="auto"/>
      </w:divBdr>
    </w:div>
    <w:div w:id="1126967170">
      <w:bodyDiv w:val="1"/>
      <w:marLeft w:val="0"/>
      <w:marRight w:val="0"/>
      <w:marTop w:val="0"/>
      <w:marBottom w:val="0"/>
      <w:divBdr>
        <w:top w:val="none" w:sz="0" w:space="0" w:color="auto"/>
        <w:left w:val="none" w:sz="0" w:space="0" w:color="auto"/>
        <w:bottom w:val="none" w:sz="0" w:space="0" w:color="auto"/>
        <w:right w:val="none" w:sz="0" w:space="0" w:color="auto"/>
      </w:divBdr>
      <w:divsChild>
        <w:div w:id="1089081156">
          <w:marLeft w:val="0"/>
          <w:marRight w:val="0"/>
          <w:marTop w:val="0"/>
          <w:marBottom w:val="0"/>
          <w:divBdr>
            <w:top w:val="none" w:sz="0" w:space="0" w:color="auto"/>
            <w:left w:val="none" w:sz="0" w:space="0" w:color="auto"/>
            <w:bottom w:val="none" w:sz="0" w:space="0" w:color="auto"/>
            <w:right w:val="none" w:sz="0" w:space="0" w:color="auto"/>
          </w:divBdr>
          <w:divsChild>
            <w:div w:id="817501687">
              <w:marLeft w:val="0"/>
              <w:marRight w:val="0"/>
              <w:marTop w:val="0"/>
              <w:marBottom w:val="0"/>
              <w:divBdr>
                <w:top w:val="none" w:sz="0" w:space="0" w:color="auto"/>
                <w:left w:val="none" w:sz="0" w:space="0" w:color="auto"/>
                <w:bottom w:val="none" w:sz="0" w:space="0" w:color="auto"/>
                <w:right w:val="none" w:sz="0" w:space="0" w:color="auto"/>
              </w:divBdr>
              <w:divsChild>
                <w:div w:id="1849716555">
                  <w:marLeft w:val="0"/>
                  <w:marRight w:val="0"/>
                  <w:marTop w:val="0"/>
                  <w:marBottom w:val="0"/>
                  <w:divBdr>
                    <w:top w:val="none" w:sz="0" w:space="0" w:color="auto"/>
                    <w:left w:val="none" w:sz="0" w:space="0" w:color="auto"/>
                    <w:bottom w:val="none" w:sz="0" w:space="0" w:color="auto"/>
                    <w:right w:val="none" w:sz="0" w:space="0" w:color="auto"/>
                  </w:divBdr>
                  <w:divsChild>
                    <w:div w:id="1212772222">
                      <w:marLeft w:val="0"/>
                      <w:marRight w:val="0"/>
                      <w:marTop w:val="0"/>
                      <w:marBottom w:val="0"/>
                      <w:divBdr>
                        <w:top w:val="none" w:sz="0" w:space="0" w:color="auto"/>
                        <w:left w:val="none" w:sz="0" w:space="0" w:color="auto"/>
                        <w:bottom w:val="none" w:sz="0" w:space="0" w:color="auto"/>
                        <w:right w:val="none" w:sz="0" w:space="0" w:color="auto"/>
                      </w:divBdr>
                      <w:divsChild>
                        <w:div w:id="1675299078">
                          <w:marLeft w:val="0"/>
                          <w:marRight w:val="0"/>
                          <w:marTop w:val="0"/>
                          <w:marBottom w:val="0"/>
                          <w:divBdr>
                            <w:top w:val="none" w:sz="0" w:space="0" w:color="auto"/>
                            <w:left w:val="none" w:sz="0" w:space="0" w:color="auto"/>
                            <w:bottom w:val="none" w:sz="0" w:space="0" w:color="auto"/>
                            <w:right w:val="none" w:sz="0" w:space="0" w:color="auto"/>
                          </w:divBdr>
                          <w:divsChild>
                            <w:div w:id="2033262393">
                              <w:marLeft w:val="0"/>
                              <w:marRight w:val="0"/>
                              <w:marTop w:val="0"/>
                              <w:marBottom w:val="0"/>
                              <w:divBdr>
                                <w:top w:val="none" w:sz="0" w:space="0" w:color="auto"/>
                                <w:left w:val="none" w:sz="0" w:space="0" w:color="auto"/>
                                <w:bottom w:val="none" w:sz="0" w:space="0" w:color="auto"/>
                                <w:right w:val="none" w:sz="0" w:space="0" w:color="auto"/>
                              </w:divBdr>
                              <w:divsChild>
                                <w:div w:id="191732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154449">
      <w:bodyDiv w:val="1"/>
      <w:marLeft w:val="0"/>
      <w:marRight w:val="0"/>
      <w:marTop w:val="0"/>
      <w:marBottom w:val="0"/>
      <w:divBdr>
        <w:top w:val="none" w:sz="0" w:space="0" w:color="auto"/>
        <w:left w:val="none" w:sz="0" w:space="0" w:color="auto"/>
        <w:bottom w:val="none" w:sz="0" w:space="0" w:color="auto"/>
        <w:right w:val="none" w:sz="0" w:space="0" w:color="auto"/>
      </w:divBdr>
    </w:div>
    <w:div w:id="1316303466">
      <w:bodyDiv w:val="1"/>
      <w:marLeft w:val="0"/>
      <w:marRight w:val="0"/>
      <w:marTop w:val="0"/>
      <w:marBottom w:val="0"/>
      <w:divBdr>
        <w:top w:val="none" w:sz="0" w:space="0" w:color="auto"/>
        <w:left w:val="none" w:sz="0" w:space="0" w:color="auto"/>
        <w:bottom w:val="none" w:sz="0" w:space="0" w:color="auto"/>
        <w:right w:val="none" w:sz="0" w:space="0" w:color="auto"/>
      </w:divBdr>
    </w:div>
    <w:div w:id="1316648251">
      <w:bodyDiv w:val="1"/>
      <w:marLeft w:val="0"/>
      <w:marRight w:val="0"/>
      <w:marTop w:val="0"/>
      <w:marBottom w:val="0"/>
      <w:divBdr>
        <w:top w:val="none" w:sz="0" w:space="0" w:color="auto"/>
        <w:left w:val="none" w:sz="0" w:space="0" w:color="auto"/>
        <w:bottom w:val="none" w:sz="0" w:space="0" w:color="auto"/>
        <w:right w:val="none" w:sz="0" w:space="0" w:color="auto"/>
      </w:divBdr>
    </w:div>
    <w:div w:id="1342581174">
      <w:bodyDiv w:val="1"/>
      <w:marLeft w:val="0"/>
      <w:marRight w:val="0"/>
      <w:marTop w:val="0"/>
      <w:marBottom w:val="0"/>
      <w:divBdr>
        <w:top w:val="none" w:sz="0" w:space="0" w:color="auto"/>
        <w:left w:val="none" w:sz="0" w:space="0" w:color="auto"/>
        <w:bottom w:val="none" w:sz="0" w:space="0" w:color="auto"/>
        <w:right w:val="none" w:sz="0" w:space="0" w:color="auto"/>
      </w:divBdr>
      <w:divsChild>
        <w:div w:id="14113714">
          <w:marLeft w:val="0"/>
          <w:marRight w:val="0"/>
          <w:marTop w:val="0"/>
          <w:marBottom w:val="0"/>
          <w:divBdr>
            <w:top w:val="none" w:sz="0" w:space="0" w:color="auto"/>
            <w:left w:val="none" w:sz="0" w:space="0" w:color="auto"/>
            <w:bottom w:val="none" w:sz="0" w:space="0" w:color="auto"/>
            <w:right w:val="none" w:sz="0" w:space="0" w:color="auto"/>
          </w:divBdr>
          <w:divsChild>
            <w:div w:id="226384335">
              <w:marLeft w:val="0"/>
              <w:marRight w:val="0"/>
              <w:marTop w:val="0"/>
              <w:marBottom w:val="0"/>
              <w:divBdr>
                <w:top w:val="none" w:sz="0" w:space="0" w:color="auto"/>
                <w:left w:val="none" w:sz="0" w:space="0" w:color="auto"/>
                <w:bottom w:val="none" w:sz="0" w:space="0" w:color="auto"/>
                <w:right w:val="none" w:sz="0" w:space="0" w:color="auto"/>
              </w:divBdr>
              <w:divsChild>
                <w:div w:id="1778451603">
                  <w:marLeft w:val="0"/>
                  <w:marRight w:val="0"/>
                  <w:marTop w:val="0"/>
                  <w:marBottom w:val="0"/>
                  <w:divBdr>
                    <w:top w:val="none" w:sz="0" w:space="0" w:color="auto"/>
                    <w:left w:val="none" w:sz="0" w:space="0" w:color="auto"/>
                    <w:bottom w:val="none" w:sz="0" w:space="0" w:color="auto"/>
                    <w:right w:val="none" w:sz="0" w:space="0" w:color="auto"/>
                  </w:divBdr>
                  <w:divsChild>
                    <w:div w:id="1066034136">
                      <w:marLeft w:val="0"/>
                      <w:marRight w:val="0"/>
                      <w:marTop w:val="0"/>
                      <w:marBottom w:val="0"/>
                      <w:divBdr>
                        <w:top w:val="none" w:sz="0" w:space="0" w:color="auto"/>
                        <w:left w:val="none" w:sz="0" w:space="0" w:color="auto"/>
                        <w:bottom w:val="none" w:sz="0" w:space="0" w:color="auto"/>
                        <w:right w:val="none" w:sz="0" w:space="0" w:color="auto"/>
                      </w:divBdr>
                      <w:divsChild>
                        <w:div w:id="1305426276">
                          <w:marLeft w:val="0"/>
                          <w:marRight w:val="0"/>
                          <w:marTop w:val="0"/>
                          <w:marBottom w:val="0"/>
                          <w:divBdr>
                            <w:top w:val="none" w:sz="0" w:space="0" w:color="auto"/>
                            <w:left w:val="none" w:sz="0" w:space="0" w:color="auto"/>
                            <w:bottom w:val="none" w:sz="0" w:space="0" w:color="auto"/>
                            <w:right w:val="none" w:sz="0" w:space="0" w:color="auto"/>
                          </w:divBdr>
                          <w:divsChild>
                            <w:div w:id="1783768626">
                              <w:marLeft w:val="0"/>
                              <w:marRight w:val="0"/>
                              <w:marTop w:val="0"/>
                              <w:marBottom w:val="0"/>
                              <w:divBdr>
                                <w:top w:val="none" w:sz="0" w:space="0" w:color="auto"/>
                                <w:left w:val="none" w:sz="0" w:space="0" w:color="auto"/>
                                <w:bottom w:val="none" w:sz="0" w:space="0" w:color="auto"/>
                                <w:right w:val="none" w:sz="0" w:space="0" w:color="auto"/>
                              </w:divBdr>
                              <w:divsChild>
                                <w:div w:id="3350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1092398">
      <w:bodyDiv w:val="1"/>
      <w:marLeft w:val="0"/>
      <w:marRight w:val="0"/>
      <w:marTop w:val="0"/>
      <w:marBottom w:val="0"/>
      <w:divBdr>
        <w:top w:val="none" w:sz="0" w:space="0" w:color="auto"/>
        <w:left w:val="none" w:sz="0" w:space="0" w:color="auto"/>
        <w:bottom w:val="none" w:sz="0" w:space="0" w:color="auto"/>
        <w:right w:val="none" w:sz="0" w:space="0" w:color="auto"/>
      </w:divBdr>
      <w:divsChild>
        <w:div w:id="1234388585">
          <w:marLeft w:val="0"/>
          <w:marRight w:val="0"/>
          <w:marTop w:val="0"/>
          <w:marBottom w:val="0"/>
          <w:divBdr>
            <w:top w:val="none" w:sz="0" w:space="0" w:color="auto"/>
            <w:left w:val="none" w:sz="0" w:space="0" w:color="auto"/>
            <w:bottom w:val="none" w:sz="0" w:space="0" w:color="auto"/>
            <w:right w:val="none" w:sz="0" w:space="0" w:color="auto"/>
          </w:divBdr>
          <w:divsChild>
            <w:div w:id="92285296">
              <w:marLeft w:val="0"/>
              <w:marRight w:val="0"/>
              <w:marTop w:val="0"/>
              <w:marBottom w:val="0"/>
              <w:divBdr>
                <w:top w:val="none" w:sz="0" w:space="0" w:color="auto"/>
                <w:left w:val="none" w:sz="0" w:space="0" w:color="auto"/>
                <w:bottom w:val="none" w:sz="0" w:space="0" w:color="auto"/>
                <w:right w:val="none" w:sz="0" w:space="0" w:color="auto"/>
              </w:divBdr>
              <w:divsChild>
                <w:div w:id="1189374933">
                  <w:marLeft w:val="0"/>
                  <w:marRight w:val="0"/>
                  <w:marTop w:val="0"/>
                  <w:marBottom w:val="0"/>
                  <w:divBdr>
                    <w:top w:val="none" w:sz="0" w:space="0" w:color="auto"/>
                    <w:left w:val="none" w:sz="0" w:space="0" w:color="auto"/>
                    <w:bottom w:val="none" w:sz="0" w:space="0" w:color="auto"/>
                    <w:right w:val="none" w:sz="0" w:space="0" w:color="auto"/>
                  </w:divBdr>
                  <w:divsChild>
                    <w:div w:id="1331980220">
                      <w:marLeft w:val="0"/>
                      <w:marRight w:val="0"/>
                      <w:marTop w:val="0"/>
                      <w:marBottom w:val="0"/>
                      <w:divBdr>
                        <w:top w:val="none" w:sz="0" w:space="0" w:color="auto"/>
                        <w:left w:val="none" w:sz="0" w:space="0" w:color="auto"/>
                        <w:bottom w:val="none" w:sz="0" w:space="0" w:color="auto"/>
                        <w:right w:val="none" w:sz="0" w:space="0" w:color="auto"/>
                      </w:divBdr>
                      <w:divsChild>
                        <w:div w:id="1791975102">
                          <w:marLeft w:val="0"/>
                          <w:marRight w:val="0"/>
                          <w:marTop w:val="0"/>
                          <w:marBottom w:val="0"/>
                          <w:divBdr>
                            <w:top w:val="none" w:sz="0" w:space="0" w:color="auto"/>
                            <w:left w:val="none" w:sz="0" w:space="0" w:color="auto"/>
                            <w:bottom w:val="none" w:sz="0" w:space="0" w:color="auto"/>
                            <w:right w:val="none" w:sz="0" w:space="0" w:color="auto"/>
                          </w:divBdr>
                          <w:divsChild>
                            <w:div w:id="1589578719">
                              <w:marLeft w:val="0"/>
                              <w:marRight w:val="0"/>
                              <w:marTop w:val="0"/>
                              <w:marBottom w:val="0"/>
                              <w:divBdr>
                                <w:top w:val="none" w:sz="0" w:space="0" w:color="auto"/>
                                <w:left w:val="none" w:sz="0" w:space="0" w:color="auto"/>
                                <w:bottom w:val="none" w:sz="0" w:space="0" w:color="auto"/>
                                <w:right w:val="none" w:sz="0" w:space="0" w:color="auto"/>
                              </w:divBdr>
                              <w:divsChild>
                                <w:div w:id="41027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0343014">
      <w:bodyDiv w:val="1"/>
      <w:marLeft w:val="0"/>
      <w:marRight w:val="0"/>
      <w:marTop w:val="0"/>
      <w:marBottom w:val="0"/>
      <w:divBdr>
        <w:top w:val="none" w:sz="0" w:space="0" w:color="auto"/>
        <w:left w:val="none" w:sz="0" w:space="0" w:color="auto"/>
        <w:bottom w:val="none" w:sz="0" w:space="0" w:color="auto"/>
        <w:right w:val="none" w:sz="0" w:space="0" w:color="auto"/>
      </w:divBdr>
      <w:divsChild>
        <w:div w:id="1218861421">
          <w:marLeft w:val="0"/>
          <w:marRight w:val="0"/>
          <w:marTop w:val="0"/>
          <w:marBottom w:val="0"/>
          <w:divBdr>
            <w:top w:val="none" w:sz="0" w:space="0" w:color="auto"/>
            <w:left w:val="none" w:sz="0" w:space="0" w:color="auto"/>
            <w:bottom w:val="none" w:sz="0" w:space="0" w:color="auto"/>
            <w:right w:val="none" w:sz="0" w:space="0" w:color="auto"/>
          </w:divBdr>
          <w:divsChild>
            <w:div w:id="1703550449">
              <w:marLeft w:val="0"/>
              <w:marRight w:val="0"/>
              <w:marTop w:val="0"/>
              <w:marBottom w:val="0"/>
              <w:divBdr>
                <w:top w:val="none" w:sz="0" w:space="0" w:color="auto"/>
                <w:left w:val="none" w:sz="0" w:space="0" w:color="auto"/>
                <w:bottom w:val="none" w:sz="0" w:space="0" w:color="auto"/>
                <w:right w:val="none" w:sz="0" w:space="0" w:color="auto"/>
              </w:divBdr>
              <w:divsChild>
                <w:div w:id="1299921743">
                  <w:marLeft w:val="0"/>
                  <w:marRight w:val="0"/>
                  <w:marTop w:val="0"/>
                  <w:marBottom w:val="0"/>
                  <w:divBdr>
                    <w:top w:val="none" w:sz="0" w:space="0" w:color="auto"/>
                    <w:left w:val="none" w:sz="0" w:space="0" w:color="auto"/>
                    <w:bottom w:val="none" w:sz="0" w:space="0" w:color="auto"/>
                    <w:right w:val="none" w:sz="0" w:space="0" w:color="auto"/>
                  </w:divBdr>
                  <w:divsChild>
                    <w:div w:id="1917979023">
                      <w:marLeft w:val="0"/>
                      <w:marRight w:val="0"/>
                      <w:marTop w:val="0"/>
                      <w:marBottom w:val="0"/>
                      <w:divBdr>
                        <w:top w:val="none" w:sz="0" w:space="0" w:color="auto"/>
                        <w:left w:val="none" w:sz="0" w:space="0" w:color="auto"/>
                        <w:bottom w:val="none" w:sz="0" w:space="0" w:color="auto"/>
                        <w:right w:val="none" w:sz="0" w:space="0" w:color="auto"/>
                      </w:divBdr>
                      <w:divsChild>
                        <w:div w:id="156923845">
                          <w:marLeft w:val="0"/>
                          <w:marRight w:val="0"/>
                          <w:marTop w:val="0"/>
                          <w:marBottom w:val="0"/>
                          <w:divBdr>
                            <w:top w:val="none" w:sz="0" w:space="0" w:color="auto"/>
                            <w:left w:val="none" w:sz="0" w:space="0" w:color="auto"/>
                            <w:bottom w:val="none" w:sz="0" w:space="0" w:color="auto"/>
                            <w:right w:val="none" w:sz="0" w:space="0" w:color="auto"/>
                          </w:divBdr>
                          <w:divsChild>
                            <w:div w:id="635183010">
                              <w:marLeft w:val="0"/>
                              <w:marRight w:val="0"/>
                              <w:marTop w:val="0"/>
                              <w:marBottom w:val="0"/>
                              <w:divBdr>
                                <w:top w:val="none" w:sz="0" w:space="0" w:color="auto"/>
                                <w:left w:val="none" w:sz="0" w:space="0" w:color="auto"/>
                                <w:bottom w:val="none" w:sz="0" w:space="0" w:color="auto"/>
                                <w:right w:val="none" w:sz="0" w:space="0" w:color="auto"/>
                              </w:divBdr>
                              <w:divsChild>
                                <w:div w:id="192572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8114884">
      <w:bodyDiv w:val="1"/>
      <w:marLeft w:val="0"/>
      <w:marRight w:val="0"/>
      <w:marTop w:val="0"/>
      <w:marBottom w:val="0"/>
      <w:divBdr>
        <w:top w:val="none" w:sz="0" w:space="0" w:color="auto"/>
        <w:left w:val="none" w:sz="0" w:space="0" w:color="auto"/>
        <w:bottom w:val="none" w:sz="0" w:space="0" w:color="auto"/>
        <w:right w:val="none" w:sz="0" w:space="0" w:color="auto"/>
      </w:divBdr>
    </w:div>
    <w:div w:id="1537888705">
      <w:bodyDiv w:val="1"/>
      <w:marLeft w:val="0"/>
      <w:marRight w:val="0"/>
      <w:marTop w:val="0"/>
      <w:marBottom w:val="0"/>
      <w:divBdr>
        <w:top w:val="none" w:sz="0" w:space="0" w:color="auto"/>
        <w:left w:val="none" w:sz="0" w:space="0" w:color="auto"/>
        <w:bottom w:val="none" w:sz="0" w:space="0" w:color="auto"/>
        <w:right w:val="none" w:sz="0" w:space="0" w:color="auto"/>
      </w:divBdr>
    </w:div>
    <w:div w:id="1545412997">
      <w:bodyDiv w:val="1"/>
      <w:marLeft w:val="0"/>
      <w:marRight w:val="0"/>
      <w:marTop w:val="0"/>
      <w:marBottom w:val="0"/>
      <w:divBdr>
        <w:top w:val="none" w:sz="0" w:space="0" w:color="auto"/>
        <w:left w:val="none" w:sz="0" w:space="0" w:color="auto"/>
        <w:bottom w:val="none" w:sz="0" w:space="0" w:color="auto"/>
        <w:right w:val="none" w:sz="0" w:space="0" w:color="auto"/>
      </w:divBdr>
    </w:div>
    <w:div w:id="1594513656">
      <w:bodyDiv w:val="1"/>
      <w:marLeft w:val="0"/>
      <w:marRight w:val="0"/>
      <w:marTop w:val="0"/>
      <w:marBottom w:val="0"/>
      <w:divBdr>
        <w:top w:val="none" w:sz="0" w:space="0" w:color="auto"/>
        <w:left w:val="none" w:sz="0" w:space="0" w:color="auto"/>
        <w:bottom w:val="none" w:sz="0" w:space="0" w:color="auto"/>
        <w:right w:val="none" w:sz="0" w:space="0" w:color="auto"/>
      </w:divBdr>
    </w:div>
    <w:div w:id="1603878373">
      <w:bodyDiv w:val="1"/>
      <w:marLeft w:val="0"/>
      <w:marRight w:val="0"/>
      <w:marTop w:val="0"/>
      <w:marBottom w:val="0"/>
      <w:divBdr>
        <w:top w:val="none" w:sz="0" w:space="0" w:color="auto"/>
        <w:left w:val="none" w:sz="0" w:space="0" w:color="auto"/>
        <w:bottom w:val="none" w:sz="0" w:space="0" w:color="auto"/>
        <w:right w:val="none" w:sz="0" w:space="0" w:color="auto"/>
      </w:divBdr>
    </w:div>
    <w:div w:id="1649169554">
      <w:bodyDiv w:val="1"/>
      <w:marLeft w:val="0"/>
      <w:marRight w:val="0"/>
      <w:marTop w:val="0"/>
      <w:marBottom w:val="0"/>
      <w:divBdr>
        <w:top w:val="none" w:sz="0" w:space="0" w:color="auto"/>
        <w:left w:val="none" w:sz="0" w:space="0" w:color="auto"/>
        <w:bottom w:val="none" w:sz="0" w:space="0" w:color="auto"/>
        <w:right w:val="none" w:sz="0" w:space="0" w:color="auto"/>
      </w:divBdr>
    </w:div>
    <w:div w:id="1697727574">
      <w:bodyDiv w:val="1"/>
      <w:marLeft w:val="0"/>
      <w:marRight w:val="0"/>
      <w:marTop w:val="0"/>
      <w:marBottom w:val="0"/>
      <w:divBdr>
        <w:top w:val="none" w:sz="0" w:space="0" w:color="auto"/>
        <w:left w:val="none" w:sz="0" w:space="0" w:color="auto"/>
        <w:bottom w:val="none" w:sz="0" w:space="0" w:color="auto"/>
        <w:right w:val="none" w:sz="0" w:space="0" w:color="auto"/>
      </w:divBdr>
    </w:div>
    <w:div w:id="2069376958">
      <w:bodyDiv w:val="1"/>
      <w:marLeft w:val="0"/>
      <w:marRight w:val="0"/>
      <w:marTop w:val="0"/>
      <w:marBottom w:val="0"/>
      <w:divBdr>
        <w:top w:val="none" w:sz="0" w:space="0" w:color="auto"/>
        <w:left w:val="none" w:sz="0" w:space="0" w:color="auto"/>
        <w:bottom w:val="none" w:sz="0" w:space="0" w:color="auto"/>
        <w:right w:val="none" w:sz="0" w:space="0" w:color="auto"/>
      </w:divBdr>
    </w:div>
    <w:div w:id="2073310731">
      <w:bodyDiv w:val="1"/>
      <w:marLeft w:val="0"/>
      <w:marRight w:val="0"/>
      <w:marTop w:val="0"/>
      <w:marBottom w:val="0"/>
      <w:divBdr>
        <w:top w:val="none" w:sz="0" w:space="0" w:color="auto"/>
        <w:left w:val="none" w:sz="0" w:space="0" w:color="auto"/>
        <w:bottom w:val="none" w:sz="0" w:space="0" w:color="auto"/>
        <w:right w:val="none" w:sz="0" w:space="0" w:color="auto"/>
      </w:divBdr>
    </w:div>
    <w:div w:id="2126271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92607732_The_role_of_Strategic_Human_Resource_Management_within_Tesco_plc" TargetMode="External"/><Relationship Id="rId13" Type="http://schemas.openxmlformats.org/officeDocument/2006/relationships/hyperlink" Target="https://www.ukessays.com/essays/management/human-resource-policies-and-practices-at-tescos-management-essay.php" TargetMode="External"/><Relationship Id="rId18" Type="http://schemas.openxmlformats.org/officeDocument/2006/relationships/hyperlink" Target="https://www.researchgate.net/publication/367625637_STRATEGIC_ANALYSIS_OF_TESCO_SUPERMARKET" TargetMode="External"/><Relationship Id="rId3" Type="http://schemas.openxmlformats.org/officeDocument/2006/relationships/styles" Target="styles.xml"/><Relationship Id="rId21" Type="http://schemas.openxmlformats.org/officeDocument/2006/relationships/hyperlink" Target="https://en.wikipedia.org/wiki/Tesco?utm_source=chatgpt.com" TargetMode="External"/><Relationship Id="rId7" Type="http://schemas.openxmlformats.org/officeDocument/2006/relationships/endnotes" Target="endnotes.xml"/><Relationship Id="rId12" Type="http://schemas.openxmlformats.org/officeDocument/2006/relationships/hyperlink" Target="https://www.ukessays.com/essays/business/evaluating-human-resource-planning-and-development-tesco-business-essay.php?utm_source=chatgpt.com" TargetMode="External"/><Relationship Id="rId17" Type="http://schemas.openxmlformats.org/officeDocument/2006/relationships/hyperlink" Target="https://www.cipd.org/uk/knowledge/case-studies/operating-model-tesco/?utm_source=chatgpt.com" TargetMode="External"/><Relationship Id="rId2" Type="http://schemas.openxmlformats.org/officeDocument/2006/relationships/numbering" Target="numbering.xml"/><Relationship Id="rId16" Type="http://schemas.openxmlformats.org/officeDocument/2006/relationships/hyperlink" Target="https://www.primerus.com" TargetMode="External"/><Relationship Id="rId20" Type="http://schemas.openxmlformats.org/officeDocument/2006/relationships/hyperlink" Target="https://www.ukessay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49583735_CULTURAL_DIVERSITY_AND_HUMAN_RESOURCE_MANAGEMENT_IN_MULTINATIONAL_COMPANIE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ersonneltoday.com" TargetMode="External"/><Relationship Id="rId23" Type="http://schemas.openxmlformats.org/officeDocument/2006/relationships/fontTable" Target="fontTable.xml"/><Relationship Id="rId10" Type="http://schemas.openxmlformats.org/officeDocument/2006/relationships/hyperlink" Target="https://www.researchgate.net/publication/287555635_Analyzing_and_Evaluating_Critically_Tesco's_Current_Operations_Management" TargetMode="External"/><Relationship Id="rId19" Type="http://schemas.openxmlformats.org/officeDocument/2006/relationships/hyperlink" Target="https://www.tescoplc.com/media/3zef0bvr/tesco_factsheets_colleagues.pdf" TargetMode="External"/><Relationship Id="rId4" Type="http://schemas.openxmlformats.org/officeDocument/2006/relationships/settings" Target="settings.xml"/><Relationship Id="rId9" Type="http://schemas.openxmlformats.org/officeDocument/2006/relationships/hyperlink" Target="https://www.researchgate.net/publication/366666990_SWOT_analysis_as_HR_development_and_performance_assessment_PT_Santosa_Kurnia_Jaya" TargetMode="External"/><Relationship Id="rId14" Type="http://schemas.openxmlformats.org/officeDocument/2006/relationships/hyperlink" Target="https://www.researchgate.net/publication/257542278_The_Impact_of_Human_Resource_Management_on_Environmental_Performance_An_Employee-Level_Study"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9E3CF1-8869-4B61-8ADC-6EDB77049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3600</Words>
  <Characters>20526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22-NTU-CS-1205</cp:lastModifiedBy>
  <cp:revision>3</cp:revision>
  <dcterms:created xsi:type="dcterms:W3CDTF">2025-12-13T07:59:00Z</dcterms:created>
  <dcterms:modified xsi:type="dcterms:W3CDTF">2025-12-13T09:41:00Z</dcterms:modified>
</cp:coreProperties>
</file>