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80600" w14:textId="1967A504" w:rsidR="009C74F9" w:rsidRDefault="001166EB" w:rsidP="00F31733">
      <w:pPr>
        <w:spacing w:line="480" w:lineRule="auto"/>
        <w:jc w:val="center"/>
        <w:rPr>
          <w:b/>
        </w:rPr>
      </w:pPr>
      <w:r>
        <w:rPr>
          <w:b/>
        </w:rPr>
        <w:t>Commentary</w:t>
      </w:r>
      <w:r w:rsidR="00BA11A5">
        <w:rPr>
          <w:b/>
        </w:rPr>
        <w:t xml:space="preserve"> </w:t>
      </w:r>
      <w:r>
        <w:rPr>
          <w:b/>
        </w:rPr>
        <w:t xml:space="preserve">on The </w:t>
      </w:r>
      <w:r w:rsidR="00F31733" w:rsidRPr="001166EB">
        <w:rPr>
          <w:b/>
          <w:i/>
        </w:rPr>
        <w:t xml:space="preserve">Chronicon </w:t>
      </w:r>
      <w:proofErr w:type="spellStart"/>
      <w:r w:rsidR="00F31733" w:rsidRPr="001166EB">
        <w:rPr>
          <w:b/>
          <w:i/>
        </w:rPr>
        <w:t>Anglicanum</w:t>
      </w:r>
      <w:proofErr w:type="spellEnd"/>
      <w:r>
        <w:rPr>
          <w:b/>
        </w:rPr>
        <w:t xml:space="preserve"> </w:t>
      </w:r>
    </w:p>
    <w:p w14:paraId="70057B13" w14:textId="6A1D7291" w:rsidR="00495964" w:rsidRDefault="00F31733" w:rsidP="00495964">
      <w:pPr>
        <w:spacing w:line="480" w:lineRule="auto"/>
        <w:jc w:val="both"/>
      </w:pPr>
      <w:r>
        <w:t xml:space="preserve">The </w:t>
      </w:r>
      <w:r w:rsidRPr="0022337E">
        <w:rPr>
          <w:i/>
        </w:rPr>
        <w:t xml:space="preserve">Chronicon </w:t>
      </w:r>
      <w:proofErr w:type="spellStart"/>
      <w:r w:rsidRPr="0022337E">
        <w:rPr>
          <w:i/>
        </w:rPr>
        <w:t>Anglicanum</w:t>
      </w:r>
      <w:proofErr w:type="spellEnd"/>
      <w:r>
        <w:t xml:space="preserve"> </w:t>
      </w:r>
      <w:r w:rsidR="00D665A3">
        <w:t>is</w:t>
      </w:r>
      <w:r>
        <w:t xml:space="preserve"> a </w:t>
      </w:r>
      <w:r w:rsidR="00E774F0">
        <w:t>chronic</w:t>
      </w:r>
      <w:r w:rsidR="001A4AE1">
        <w:t xml:space="preserve">le </w:t>
      </w:r>
      <w:r>
        <w:t>written partly by Lord Ralph of Coggeshall</w:t>
      </w:r>
      <w:r w:rsidR="00C8161A">
        <w:t xml:space="preserve">, </w:t>
      </w:r>
      <w:r w:rsidR="00150EB5">
        <w:t>the sixth abbot of Coggeshall</w:t>
      </w:r>
      <w:r w:rsidR="008303C0">
        <w:t xml:space="preserve"> in</w:t>
      </w:r>
      <w:r w:rsidR="007E36CA">
        <w:t xml:space="preserve"> Essex</w:t>
      </w:r>
      <w:r w:rsidR="008303C0">
        <w:t>,</w:t>
      </w:r>
      <w:r w:rsidR="00103296">
        <w:t xml:space="preserve"> within the Cistercian</w:t>
      </w:r>
      <w:r w:rsidR="00CF4713">
        <w:t xml:space="preserve"> order</w:t>
      </w:r>
      <w:r>
        <w:t>.</w:t>
      </w:r>
      <w:r>
        <w:rPr>
          <w:rStyle w:val="FootnoteReference"/>
        </w:rPr>
        <w:footnoteReference w:id="1"/>
      </w:r>
      <w:r w:rsidR="003243B3">
        <w:t xml:space="preserve"> Ralph’s work on the </w:t>
      </w:r>
      <w:r w:rsidR="00886DF1">
        <w:t>chronicle after 1207 w</w:t>
      </w:r>
      <w:r w:rsidR="00E03B6D">
        <w:t xml:space="preserve">as not written </w:t>
      </w:r>
      <w:r w:rsidR="00421614">
        <w:t>until around 1221</w:t>
      </w:r>
      <w:r w:rsidR="00695F50">
        <w:t>.</w:t>
      </w:r>
      <w:r w:rsidR="00F73277">
        <w:rPr>
          <w:rStyle w:val="FootnoteReference"/>
        </w:rPr>
        <w:footnoteReference w:id="2"/>
      </w:r>
      <w:r w:rsidR="00E30DED">
        <w:t xml:space="preserve"> </w:t>
      </w:r>
      <w:r w:rsidR="00695F50">
        <w:t>T</w:t>
      </w:r>
      <w:r w:rsidR="003243B3">
        <w:t xml:space="preserve">oday the </w:t>
      </w:r>
      <w:r w:rsidR="00E27240">
        <w:t xml:space="preserve">manuscript </w:t>
      </w:r>
      <w:r w:rsidR="003243B3">
        <w:t xml:space="preserve">is located in the British </w:t>
      </w:r>
      <w:r w:rsidR="00687A6E">
        <w:t>L</w:t>
      </w:r>
      <w:r w:rsidR="003243B3">
        <w:t xml:space="preserve">ibrary </w:t>
      </w:r>
      <w:r w:rsidR="00687A6E">
        <w:t xml:space="preserve">in </w:t>
      </w:r>
      <w:r w:rsidR="003243B3">
        <w:t>London.</w:t>
      </w:r>
      <w:r w:rsidR="003243B3">
        <w:rPr>
          <w:rStyle w:val="FootnoteReference"/>
        </w:rPr>
        <w:footnoteReference w:id="3"/>
      </w:r>
      <w:r w:rsidR="003243B3">
        <w:t xml:space="preserve"> Ralph’s main contribution to the </w:t>
      </w:r>
      <w:r w:rsidR="00501C6F">
        <w:t>c</w:t>
      </w:r>
      <w:r w:rsidR="003243B3">
        <w:t xml:space="preserve">hronicle </w:t>
      </w:r>
      <w:r w:rsidR="00902E44">
        <w:t>are</w:t>
      </w:r>
      <w:r w:rsidR="003243B3">
        <w:t xml:space="preserve"> events based around the Norman conquest and also the beginning of Henry III’s reign.</w:t>
      </w:r>
      <w:r w:rsidR="00EB1885">
        <w:rPr>
          <w:rStyle w:val="FootnoteReference"/>
        </w:rPr>
        <w:footnoteReference w:id="4"/>
      </w:r>
      <w:r w:rsidR="00EE6B90">
        <w:t xml:space="preserve"> </w:t>
      </w:r>
      <w:r w:rsidR="00D421CB">
        <w:t xml:space="preserve">This extract covers the years </w:t>
      </w:r>
      <w:r w:rsidR="00440356">
        <w:t>1207 to 1212</w:t>
      </w:r>
      <w:r w:rsidR="005D0907">
        <w:t>.</w:t>
      </w:r>
      <w:r w:rsidR="000B75AD">
        <w:t xml:space="preserve"> </w:t>
      </w:r>
      <w:r w:rsidR="00902E44">
        <w:t xml:space="preserve">The </w:t>
      </w:r>
      <w:r w:rsidR="004E3E2F">
        <w:t xml:space="preserve">manuscript of the </w:t>
      </w:r>
      <w:r w:rsidR="004E3E2F" w:rsidRPr="00501C6F">
        <w:rPr>
          <w:i/>
        </w:rPr>
        <w:t xml:space="preserve">Chronicon </w:t>
      </w:r>
      <w:proofErr w:type="spellStart"/>
      <w:r w:rsidR="004E3E2F" w:rsidRPr="00501C6F">
        <w:rPr>
          <w:i/>
        </w:rPr>
        <w:t>Anglicanum</w:t>
      </w:r>
      <w:proofErr w:type="spellEnd"/>
      <w:r w:rsidR="004E3E2F">
        <w:t xml:space="preserve"> </w:t>
      </w:r>
      <w:r w:rsidR="00AD3679">
        <w:t>is written on parchment, measures 210 x 155mm, and is o</w:t>
      </w:r>
      <w:r w:rsidR="00795E3C">
        <w:t>ri</w:t>
      </w:r>
      <w:r w:rsidR="00AD3679">
        <w:t>ginal</w:t>
      </w:r>
      <w:r w:rsidR="005A3505">
        <w:t>ly</w:t>
      </w:r>
      <w:r w:rsidR="00AD3679">
        <w:t xml:space="preserve"> written in gothic</w:t>
      </w:r>
      <w:r w:rsidR="00795E3C">
        <w:t xml:space="preserve"> and gothic cursive script.</w:t>
      </w:r>
      <w:r w:rsidR="00795E3C">
        <w:rPr>
          <w:rStyle w:val="FootnoteReference"/>
        </w:rPr>
        <w:footnoteReference w:id="5"/>
      </w:r>
    </w:p>
    <w:p w14:paraId="307E450D" w14:textId="57B4E8B1" w:rsidR="00A93F97" w:rsidRDefault="00344940" w:rsidP="00495964">
      <w:pPr>
        <w:spacing w:line="480" w:lineRule="auto"/>
        <w:ind w:firstLine="720"/>
        <w:jc w:val="both"/>
      </w:pPr>
      <w:r>
        <w:t>A ch</w:t>
      </w:r>
      <w:r w:rsidR="00B7156E">
        <w:t xml:space="preserve">ronicle </w:t>
      </w:r>
      <w:r w:rsidR="000E59AC">
        <w:t xml:space="preserve">presents </w:t>
      </w:r>
      <w:r w:rsidR="00F249DA">
        <w:t>significant events</w:t>
      </w:r>
      <w:r w:rsidR="00F62D91">
        <w:t xml:space="preserve"> in chronological order by year</w:t>
      </w:r>
      <w:r w:rsidR="00091624">
        <w:t>,</w:t>
      </w:r>
      <w:r w:rsidR="000E55DA">
        <w:t xml:space="preserve"> </w:t>
      </w:r>
      <w:r w:rsidR="009A766E">
        <w:t>s</w:t>
      </w:r>
      <w:r w:rsidR="000E55DA">
        <w:t xml:space="preserve">imilar to an </w:t>
      </w:r>
      <w:proofErr w:type="spellStart"/>
      <w:r w:rsidR="00C8021B">
        <w:t>annal</w:t>
      </w:r>
      <w:proofErr w:type="spellEnd"/>
      <w:r w:rsidR="00C8021B">
        <w:t xml:space="preserve"> but with more</w:t>
      </w:r>
      <w:r w:rsidR="00C6028D">
        <w:t xml:space="preserve"> narrative</w:t>
      </w:r>
      <w:r w:rsidR="00C8021B">
        <w:t xml:space="preserve"> detail and description with</w:t>
      </w:r>
      <w:r w:rsidR="00626ECB">
        <w:t>in each</w:t>
      </w:r>
      <w:r w:rsidR="00C8021B">
        <w:t xml:space="preserve"> entry</w:t>
      </w:r>
      <w:r w:rsidR="00967017">
        <w:t>.</w:t>
      </w:r>
      <w:r w:rsidR="00967017">
        <w:rPr>
          <w:rStyle w:val="FootnoteReference"/>
        </w:rPr>
        <w:footnoteReference w:id="6"/>
      </w:r>
      <w:r w:rsidR="00C8021B">
        <w:t xml:space="preserve"> </w:t>
      </w:r>
      <w:r w:rsidR="00561B67">
        <w:t xml:space="preserve">Medieval chroniclers </w:t>
      </w:r>
      <w:r w:rsidR="00C279CC">
        <w:t>typically attempted to record the events of the times they lived truthfully.</w:t>
      </w:r>
      <w:r w:rsidR="00C279CC">
        <w:rPr>
          <w:rStyle w:val="FootnoteReference"/>
        </w:rPr>
        <w:footnoteReference w:id="7"/>
      </w:r>
      <w:r w:rsidR="001C1FF0">
        <w:t xml:space="preserve"> This aspect can be seen in the very first sentence of the extract </w:t>
      </w:r>
      <w:r w:rsidR="00EB7174">
        <w:t xml:space="preserve">where the author explains he </w:t>
      </w:r>
      <w:r w:rsidR="00EE5750">
        <w:t>‘</w:t>
      </w:r>
      <w:r w:rsidR="00EB7174">
        <w:t>took pains to write down faithfully</w:t>
      </w:r>
      <w:r w:rsidR="00E84EE9">
        <w:t xml:space="preserve"> certain visions</w:t>
      </w:r>
      <w:r w:rsidR="000629BB">
        <w:t xml:space="preserve"> </w:t>
      </w:r>
      <w:r w:rsidR="00327A9C">
        <w:t>which he had heard from venerable men</w:t>
      </w:r>
      <w:r w:rsidR="000629BB">
        <w:t>, to the great edification of many people’</w:t>
      </w:r>
      <w:r w:rsidR="00E84EE9">
        <w:t>.</w:t>
      </w:r>
      <w:r w:rsidR="00E84EE9">
        <w:rPr>
          <w:rStyle w:val="FootnoteReference"/>
        </w:rPr>
        <w:footnoteReference w:id="8"/>
      </w:r>
      <w:r w:rsidR="0082394E">
        <w:t xml:space="preserve"> Chroni</w:t>
      </w:r>
      <w:r w:rsidR="002507E1">
        <w:t xml:space="preserve">cles were often written by monks </w:t>
      </w:r>
      <w:r w:rsidR="00263DB3">
        <w:t>and kept by abbeys and monasteries</w:t>
      </w:r>
      <w:r w:rsidR="008F6A06">
        <w:t>,</w:t>
      </w:r>
      <w:r w:rsidR="00263DB3">
        <w:t xml:space="preserve"> as</w:t>
      </w:r>
      <w:r w:rsidR="000629BB">
        <w:t xml:space="preserve"> is</w:t>
      </w:r>
      <w:r w:rsidR="00263DB3">
        <w:t xml:space="preserve"> the case </w:t>
      </w:r>
      <w:r w:rsidR="000629BB">
        <w:t>with</w:t>
      </w:r>
      <w:r w:rsidR="00263DB3">
        <w:t xml:space="preserve"> this chronicle.</w:t>
      </w:r>
      <w:r w:rsidR="00263DB3">
        <w:rPr>
          <w:rStyle w:val="FootnoteReference"/>
        </w:rPr>
        <w:footnoteReference w:id="9"/>
      </w:r>
      <w:r w:rsidR="00B83DCA">
        <w:t xml:space="preserve"> </w:t>
      </w:r>
      <w:r w:rsidR="00D763F0">
        <w:t>The scholar</w:t>
      </w:r>
      <w:r w:rsidR="00FF59E5">
        <w:t>,</w:t>
      </w:r>
      <w:r w:rsidR="00D763F0">
        <w:t xml:space="preserve"> Given-Wilson</w:t>
      </w:r>
      <w:r w:rsidR="00FF59E5">
        <w:t>,</w:t>
      </w:r>
      <w:r w:rsidR="00D763F0">
        <w:t xml:space="preserve"> </w:t>
      </w:r>
      <w:r w:rsidR="00C26884">
        <w:t>asserts that medieval chronicles were believed to have</w:t>
      </w:r>
      <w:r w:rsidR="00BE10D9">
        <w:t xml:space="preserve"> an</w:t>
      </w:r>
      <w:r w:rsidR="00C26884">
        <w:t xml:space="preserve"> </w:t>
      </w:r>
      <w:r w:rsidR="00866882">
        <w:t>educational purpose as well as the purpose</w:t>
      </w:r>
      <w:r w:rsidR="009D0A2B">
        <w:t xml:space="preserve"> of</w:t>
      </w:r>
      <w:r w:rsidR="00866882">
        <w:t xml:space="preserve"> accurately recording event</w:t>
      </w:r>
      <w:r w:rsidR="00BE10D9">
        <w:t>s.</w:t>
      </w:r>
      <w:r w:rsidR="00BE10D9">
        <w:rPr>
          <w:rStyle w:val="FootnoteReference"/>
        </w:rPr>
        <w:footnoteReference w:id="10"/>
      </w:r>
      <w:r w:rsidR="00F21B70">
        <w:t xml:space="preserve"> This is </w:t>
      </w:r>
      <w:r w:rsidR="00FF59E5">
        <w:t xml:space="preserve">clearly seen here where </w:t>
      </w:r>
      <w:r w:rsidR="00970166">
        <w:t>R</w:t>
      </w:r>
      <w:r w:rsidR="00FF59E5">
        <w:t xml:space="preserve">alph </w:t>
      </w:r>
      <w:r w:rsidR="00C9045C">
        <w:lastRenderedPageBreak/>
        <w:t>states this as his purpose.</w:t>
      </w:r>
      <w:r w:rsidR="00E463B2">
        <w:t xml:space="preserve"> </w:t>
      </w:r>
      <w:r w:rsidR="007407C1">
        <w:t xml:space="preserve">It is not exactly clear </w:t>
      </w:r>
      <w:r w:rsidR="000768C1">
        <w:t>what</w:t>
      </w:r>
      <w:r w:rsidR="007407C1">
        <w:t xml:space="preserve"> </w:t>
      </w:r>
      <w:r w:rsidR="000768C1">
        <w:t>lesson Ralph is trying to convey</w:t>
      </w:r>
      <w:r w:rsidR="00E772A8">
        <w:t xml:space="preserve"> in his chronicle </w:t>
      </w:r>
      <w:r w:rsidR="00026097">
        <w:t>however</w:t>
      </w:r>
      <w:r w:rsidR="00E772A8">
        <w:t xml:space="preserve"> later passages</w:t>
      </w:r>
      <w:r w:rsidR="002C6CA1">
        <w:t>, such as</w:t>
      </w:r>
      <w:r w:rsidR="00C46EDB">
        <w:t xml:space="preserve"> </w:t>
      </w:r>
      <w:r w:rsidR="00941AD0">
        <w:t>those</w:t>
      </w:r>
      <w:r w:rsidR="00C46EDB">
        <w:t xml:space="preserve"> in 1209 and 1210 relating to strange weather </w:t>
      </w:r>
      <w:r w:rsidR="00941AD0">
        <w:t>phenomena,</w:t>
      </w:r>
      <w:r w:rsidR="00026097">
        <w:t xml:space="preserve"> maybe </w:t>
      </w:r>
      <w:r w:rsidR="006D60C7">
        <w:t>seen as Ralph attempting to guide his readers in the interpretation of strange events</w:t>
      </w:r>
      <w:r w:rsidR="002C6CA1">
        <w:t>.</w:t>
      </w:r>
      <w:r w:rsidR="00BD562D">
        <w:tab/>
      </w:r>
    </w:p>
    <w:p w14:paraId="1E3B94FF" w14:textId="299487D5" w:rsidR="00A52392" w:rsidRDefault="005D0A6C" w:rsidP="00C977E9">
      <w:pPr>
        <w:spacing w:line="480" w:lineRule="auto"/>
        <w:ind w:firstLine="720"/>
        <w:jc w:val="both"/>
      </w:pPr>
      <w:r>
        <w:t>It is evident that Ralph had an interest in religious matters and in the relationship between King John and the church.</w:t>
      </w:r>
      <w:r w:rsidR="005850B0">
        <w:t xml:space="preserve"> </w:t>
      </w:r>
      <w:r w:rsidR="00BD562D">
        <w:t xml:space="preserve">In </w:t>
      </w:r>
      <w:r w:rsidR="00AE1D89">
        <w:t xml:space="preserve">1207 Ralph writes that Master Stephen Langton </w:t>
      </w:r>
      <w:r w:rsidR="00D156B3">
        <w:t xml:space="preserve">became archbishop of Canterbury </w:t>
      </w:r>
      <w:r w:rsidR="00B44279">
        <w:t>on Pope Innocent’s order</w:t>
      </w:r>
      <w:r w:rsidR="00CE1B51">
        <w:t>,</w:t>
      </w:r>
      <w:r w:rsidR="003426D8">
        <w:t xml:space="preserve"> and as a result </w:t>
      </w:r>
      <w:r w:rsidR="00D87B33">
        <w:t xml:space="preserve">Ralph states that King John </w:t>
      </w:r>
      <w:r w:rsidR="00C54852">
        <w:t xml:space="preserve">had all the possessions of the Canterbury church </w:t>
      </w:r>
      <w:r w:rsidR="00697355">
        <w:t>confiscated.</w:t>
      </w:r>
      <w:r w:rsidR="00697355">
        <w:rPr>
          <w:rStyle w:val="FootnoteReference"/>
        </w:rPr>
        <w:footnoteReference w:id="11"/>
      </w:r>
      <w:r w:rsidR="00697355">
        <w:t xml:space="preserve"> </w:t>
      </w:r>
      <w:r w:rsidR="00F357AD">
        <w:t xml:space="preserve">This shows us that </w:t>
      </w:r>
      <w:r w:rsidR="00444C7D">
        <w:t xml:space="preserve">there had been </w:t>
      </w:r>
      <w:r w:rsidR="00C03FEA">
        <w:t xml:space="preserve">a </w:t>
      </w:r>
      <w:r w:rsidR="00B74A65">
        <w:t>hostile relationship</w:t>
      </w:r>
      <w:r w:rsidR="0049787D">
        <w:t xml:space="preserve"> between King John and Pope Innocent</w:t>
      </w:r>
      <w:r w:rsidR="006D6E91">
        <w:t>.</w:t>
      </w:r>
      <w:r w:rsidR="006D6E91">
        <w:rPr>
          <w:rStyle w:val="FootnoteReference"/>
        </w:rPr>
        <w:footnoteReference w:id="12"/>
      </w:r>
      <w:r w:rsidR="00B74A65">
        <w:t xml:space="preserve"> </w:t>
      </w:r>
      <w:r w:rsidR="003A04F6">
        <w:t xml:space="preserve">Professor Cheney </w:t>
      </w:r>
      <w:r w:rsidR="00C25FF9">
        <w:t xml:space="preserve">states that King John </w:t>
      </w:r>
      <w:r w:rsidR="000C3696">
        <w:t xml:space="preserve">took the Pope’s interdict </w:t>
      </w:r>
      <w:r w:rsidR="001750BE">
        <w:t xml:space="preserve">as an act of war which </w:t>
      </w:r>
      <w:r w:rsidR="0035664E">
        <w:t>con</w:t>
      </w:r>
      <w:r w:rsidR="00377D45">
        <w:t>tinued for five years.</w:t>
      </w:r>
      <w:r w:rsidR="00377D45">
        <w:rPr>
          <w:rStyle w:val="FootnoteReference"/>
        </w:rPr>
        <w:footnoteReference w:id="13"/>
      </w:r>
      <w:r w:rsidR="00BC3CEC">
        <w:t xml:space="preserve"> </w:t>
      </w:r>
      <w:r w:rsidR="00F72AAC">
        <w:t>With the interdict in place</w:t>
      </w:r>
      <w:r w:rsidR="00C90571">
        <w:t>,</w:t>
      </w:r>
      <w:r w:rsidR="00F0305F">
        <w:t xml:space="preserve"> this would </w:t>
      </w:r>
      <w:r w:rsidR="00C90571">
        <w:t>have</w:t>
      </w:r>
      <w:r w:rsidR="00F0305F">
        <w:t xml:space="preserve"> clear</w:t>
      </w:r>
      <w:r w:rsidR="003D581C">
        <w:t>ly</w:t>
      </w:r>
      <w:r w:rsidR="00F0305F">
        <w:t xml:space="preserve"> been a major issue</w:t>
      </w:r>
      <w:r w:rsidR="00D53A3C">
        <w:t>,</w:t>
      </w:r>
      <w:r w:rsidR="00F0305F">
        <w:t xml:space="preserve"> </w:t>
      </w:r>
      <w:r w:rsidR="00297074">
        <w:t xml:space="preserve">as </w:t>
      </w:r>
      <w:r w:rsidR="004E32A4">
        <w:t xml:space="preserve">Cheney writes of a ‘double wound’ </w:t>
      </w:r>
      <w:r w:rsidR="00307A6C">
        <w:t>wh</w:t>
      </w:r>
      <w:r w:rsidR="00D53A3C">
        <w:t>ich</w:t>
      </w:r>
      <w:r w:rsidR="00307A6C">
        <w:t xml:space="preserve"> included </w:t>
      </w:r>
      <w:r w:rsidR="00DE459C">
        <w:t>‘the withdrawal of divine service and the plundering of the cl</w:t>
      </w:r>
      <w:r w:rsidR="00A43BD3">
        <w:t>ergy’s possessions</w:t>
      </w:r>
      <w:r w:rsidR="00470E0C">
        <w:t>’</w:t>
      </w:r>
      <w:r w:rsidR="00A43BD3">
        <w:t>.</w:t>
      </w:r>
      <w:r w:rsidR="00A43BD3">
        <w:rPr>
          <w:rStyle w:val="FootnoteReference"/>
        </w:rPr>
        <w:footnoteReference w:id="14"/>
      </w:r>
      <w:r w:rsidR="000227B6">
        <w:t xml:space="preserve"> </w:t>
      </w:r>
      <w:r w:rsidR="00DF6390">
        <w:t xml:space="preserve">Ralph’s chronicle </w:t>
      </w:r>
      <w:r w:rsidR="00DF187F">
        <w:t xml:space="preserve">appears to be </w:t>
      </w:r>
      <w:r w:rsidR="007C3CC3">
        <w:t>treading carefully</w:t>
      </w:r>
      <w:r w:rsidR="00D019C2">
        <w:t xml:space="preserve"> in potenti</w:t>
      </w:r>
      <w:r w:rsidR="005E68AA">
        <w:t>al</w:t>
      </w:r>
      <w:r w:rsidR="000F1215">
        <w:t>ly dangerous territory</w:t>
      </w:r>
      <w:r w:rsidR="007C3CC3">
        <w:t xml:space="preserve"> whilst attempting to document the events of the time</w:t>
      </w:r>
      <w:r w:rsidR="005E68AA">
        <w:t xml:space="preserve">. Ralph is </w:t>
      </w:r>
      <w:r w:rsidR="007C4594">
        <w:t xml:space="preserve">a </w:t>
      </w:r>
      <w:r w:rsidR="005E68AA">
        <w:t>member of the Cistercian order</w:t>
      </w:r>
      <w:r w:rsidR="000B264F">
        <w:t xml:space="preserve"> </w:t>
      </w:r>
      <w:r w:rsidR="006C1C9D">
        <w:t xml:space="preserve">owing </w:t>
      </w:r>
      <w:r w:rsidR="000B264F">
        <w:t>loyalty to the Pope</w:t>
      </w:r>
      <w:r w:rsidR="007C4594">
        <w:t>,</w:t>
      </w:r>
      <w:r w:rsidR="000B264F">
        <w:t xml:space="preserve"> whilst at the same tim</w:t>
      </w:r>
      <w:r w:rsidR="00227A31">
        <w:t>e</w:t>
      </w:r>
      <w:r w:rsidR="000B264F">
        <w:t xml:space="preserve"> </w:t>
      </w:r>
      <w:r w:rsidR="007E6406">
        <w:t xml:space="preserve">based in England </w:t>
      </w:r>
      <w:r w:rsidR="008303C0">
        <w:t>under the rule of the King.</w:t>
      </w:r>
      <w:r w:rsidR="00D71BAA">
        <w:t xml:space="preserve"> The friction between the King and Pope would undoubtedly have </w:t>
      </w:r>
      <w:r w:rsidR="00DE35E9">
        <w:t>implications for religious orders with</w:t>
      </w:r>
      <w:r w:rsidR="00E77711">
        <w:t xml:space="preserve">in </w:t>
      </w:r>
      <w:r w:rsidR="00DE35E9">
        <w:t>England.</w:t>
      </w:r>
    </w:p>
    <w:p w14:paraId="4BA81181" w14:textId="00D7F198" w:rsidR="00F564D3" w:rsidRDefault="00F564D3" w:rsidP="00C977E9">
      <w:pPr>
        <w:spacing w:line="480" w:lineRule="auto"/>
        <w:ind w:firstLine="720"/>
        <w:jc w:val="both"/>
      </w:pPr>
      <w:r>
        <w:t>Ralph’s entry in 1209 shows King John’s ability to punish anybody who defies him, even religious men who were acting on the Pope’s orders. The Annals of Dunstable Priory, another contemporary account of the year 1209, also records King John’s orders to destroy land and property.</w:t>
      </w:r>
      <w:r>
        <w:rPr>
          <w:rStyle w:val="FootnoteReference"/>
        </w:rPr>
        <w:footnoteReference w:id="15"/>
      </w:r>
      <w:r>
        <w:t xml:space="preserve"> The magnitude of King John’s actions </w:t>
      </w:r>
      <w:proofErr w:type="gramStart"/>
      <w:r>
        <w:t>are</w:t>
      </w:r>
      <w:proofErr w:type="gramEnd"/>
      <w:r>
        <w:t xml:space="preserve"> reinforced by being included </w:t>
      </w:r>
      <w:r>
        <w:lastRenderedPageBreak/>
        <w:t xml:space="preserve">in both documents. King John’s orders could have </w:t>
      </w:r>
      <w:proofErr w:type="gramStart"/>
      <w:r>
        <w:t>been seen as</w:t>
      </w:r>
      <w:proofErr w:type="gramEnd"/>
      <w:r>
        <w:t xml:space="preserve"> a warning to other religious houses of his capabilities.</w:t>
      </w:r>
    </w:p>
    <w:p w14:paraId="5D796C31" w14:textId="31C184B3" w:rsidR="00896CCF" w:rsidRDefault="00896CCF" w:rsidP="00896CCF">
      <w:pPr>
        <w:spacing w:line="480" w:lineRule="auto"/>
        <w:ind w:firstLine="720"/>
        <w:jc w:val="both"/>
      </w:pPr>
      <w:r>
        <w:t>Ralph’s interest in King John’s relationship with the church can be seen again in 1210. King John placed a heavy tax on the religious houses, however, he parti</w:t>
      </w:r>
      <w:r w:rsidR="00C54C25">
        <w:t xml:space="preserve">cularly </w:t>
      </w:r>
      <w:r>
        <w:t xml:space="preserve">targeted the Cistercians and did not allow them to attend the annual chapter of </w:t>
      </w:r>
      <w:proofErr w:type="spellStart"/>
      <w:r>
        <w:t>Citeaux</w:t>
      </w:r>
      <w:proofErr w:type="spellEnd"/>
      <w:r>
        <w:t>.</w:t>
      </w:r>
      <w:r>
        <w:rPr>
          <w:rStyle w:val="FootnoteReference"/>
        </w:rPr>
        <w:footnoteReference w:id="16"/>
      </w:r>
      <w:r>
        <w:t xml:space="preserve"> It has been suggested that the Cistercians ‘never recovered from this financial crisis’.</w:t>
      </w:r>
      <w:r>
        <w:rPr>
          <w:rStyle w:val="FootnoteReference"/>
        </w:rPr>
        <w:footnoteReference w:id="17"/>
      </w:r>
    </w:p>
    <w:p w14:paraId="13BD09F6" w14:textId="410F83EC" w:rsidR="003317C5" w:rsidRDefault="005406CC" w:rsidP="00896CCF">
      <w:pPr>
        <w:spacing w:line="480" w:lineRule="auto"/>
        <w:ind w:firstLine="720"/>
        <w:jc w:val="both"/>
      </w:pPr>
      <w:r>
        <w:t xml:space="preserve">Within Ralph’s writing, it was also evident </w:t>
      </w:r>
      <w:r w:rsidR="00B55222">
        <w:t>that he display</w:t>
      </w:r>
      <w:r w:rsidR="00CA4D9A">
        <w:t>ed</w:t>
      </w:r>
      <w:r w:rsidR="00B55222">
        <w:t xml:space="preserve"> an interest in the weather and its relationship </w:t>
      </w:r>
      <w:r w:rsidR="0094605A">
        <w:t>with</w:t>
      </w:r>
      <w:r w:rsidR="00B55222">
        <w:t xml:space="preserve"> earthly events, </w:t>
      </w:r>
      <w:r w:rsidR="000E4772">
        <w:t xml:space="preserve">which is </w:t>
      </w:r>
      <w:r w:rsidR="00DC08B7">
        <w:t xml:space="preserve">a </w:t>
      </w:r>
      <w:r w:rsidR="00B4566E">
        <w:t xml:space="preserve">common tradition in biblical </w:t>
      </w:r>
      <w:r w:rsidR="007B70A9">
        <w:t>writings</w:t>
      </w:r>
      <w:r w:rsidR="00CB171F">
        <w:t>.</w:t>
      </w:r>
      <w:r w:rsidR="00CB171F">
        <w:rPr>
          <w:rStyle w:val="FootnoteReference"/>
        </w:rPr>
        <w:footnoteReference w:id="18"/>
      </w:r>
      <w:r w:rsidR="0024352B">
        <w:t xml:space="preserve"> In 1209</w:t>
      </w:r>
      <w:r w:rsidR="005B0448">
        <w:t>,</w:t>
      </w:r>
      <w:r w:rsidR="0024352B">
        <w:t xml:space="preserve"> </w:t>
      </w:r>
      <w:r w:rsidR="00D72528">
        <w:t xml:space="preserve">Ralph describes the weather as an </w:t>
      </w:r>
      <w:r w:rsidR="00090B52">
        <w:t>‘extraordinary battle of the clouds with the sun’</w:t>
      </w:r>
      <w:r w:rsidR="00140FFC">
        <w:t xml:space="preserve">, </w:t>
      </w:r>
      <w:r w:rsidR="000E7783">
        <w:t xml:space="preserve">which </w:t>
      </w:r>
      <w:r w:rsidR="003A1F11">
        <w:t>was believed to</w:t>
      </w:r>
      <w:r w:rsidR="00DE51B4">
        <w:t xml:space="preserve"> </w:t>
      </w:r>
      <w:r w:rsidR="000E7783">
        <w:t>symbolize</w:t>
      </w:r>
      <w:r w:rsidR="00276083">
        <w:t xml:space="preserve"> a warning </w:t>
      </w:r>
      <w:r w:rsidR="005873AE">
        <w:t>for</w:t>
      </w:r>
      <w:r w:rsidR="003502AB">
        <w:t xml:space="preserve"> a</w:t>
      </w:r>
      <w:r w:rsidR="005873AE">
        <w:t xml:space="preserve"> negative event occurring</w:t>
      </w:r>
      <w:r w:rsidR="00FA6A68">
        <w:t>,</w:t>
      </w:r>
      <w:r w:rsidR="005B1C59">
        <w:t xml:space="preserve"> the juxtaposition</w:t>
      </w:r>
      <w:r w:rsidR="00C10DEF">
        <w:t xml:space="preserve"> </w:t>
      </w:r>
      <w:r w:rsidR="005B1C59">
        <w:t>i</w:t>
      </w:r>
      <w:r w:rsidR="005A1280">
        <w:t>n the next line of the chronicle</w:t>
      </w:r>
      <w:r w:rsidR="00B20B23">
        <w:t xml:space="preserve"> </w:t>
      </w:r>
      <w:r w:rsidR="005A1280">
        <w:t xml:space="preserve">tells us that King John </w:t>
      </w:r>
      <w:r w:rsidR="00805D86">
        <w:t>had the</w:t>
      </w:r>
      <w:r w:rsidR="006C087A">
        <w:t xml:space="preserve"> bishops</w:t>
      </w:r>
      <w:r w:rsidR="00805D86">
        <w:t xml:space="preserve"> property </w:t>
      </w:r>
      <w:r w:rsidR="00FC0EE4">
        <w:t>and land destroyed</w:t>
      </w:r>
      <w:r w:rsidR="008D2EDE">
        <w:t>.</w:t>
      </w:r>
      <w:r w:rsidR="007929DD">
        <w:rPr>
          <w:rStyle w:val="FootnoteReference"/>
        </w:rPr>
        <w:footnoteReference w:id="19"/>
      </w:r>
      <w:r w:rsidR="00AD10F5">
        <w:t xml:space="preserve"> </w:t>
      </w:r>
      <w:r w:rsidR="00182791">
        <w:t>Ralph’s interest surrounding the supernatural is highlighted again in 1210, where he writes about the sun’s battle with the clouds.</w:t>
      </w:r>
      <w:r w:rsidR="00182791">
        <w:rPr>
          <w:rStyle w:val="FootnoteReference"/>
        </w:rPr>
        <w:footnoteReference w:id="20"/>
      </w:r>
      <w:r w:rsidR="00182791">
        <w:t xml:space="preserve"> As previously mentioned, this could be linked to an ominous event occurring. Ralph’s next entry in 1210 would seem to reinforce his beliefs, as he states that William de </w:t>
      </w:r>
      <w:proofErr w:type="spellStart"/>
      <w:r w:rsidR="00182791">
        <w:t>Braose’s</w:t>
      </w:r>
      <w:proofErr w:type="spellEnd"/>
      <w:r w:rsidR="00182791">
        <w:t xml:space="preserve"> family were killed.</w:t>
      </w:r>
      <w:r w:rsidR="00182791">
        <w:rPr>
          <w:rStyle w:val="FootnoteReference"/>
        </w:rPr>
        <w:footnoteReference w:id="21"/>
      </w:r>
      <w:r w:rsidR="00D71328">
        <w:t xml:space="preserve"> </w:t>
      </w:r>
    </w:p>
    <w:p w14:paraId="716D92AD" w14:textId="77777777" w:rsidR="0026571B" w:rsidRDefault="00F12514" w:rsidP="0026571B">
      <w:pPr>
        <w:spacing w:line="480" w:lineRule="auto"/>
        <w:ind w:firstLine="720"/>
        <w:jc w:val="both"/>
      </w:pPr>
      <w:r>
        <w:t xml:space="preserve">In </w:t>
      </w:r>
      <w:r w:rsidR="007F0EB9">
        <w:t>1209</w:t>
      </w:r>
      <w:r w:rsidR="001B29B6">
        <w:t>,</w:t>
      </w:r>
      <w:r>
        <w:t xml:space="preserve"> Pope Innocent elected Otto </w:t>
      </w:r>
      <w:r w:rsidR="00FF2C3C">
        <w:t>IV</w:t>
      </w:r>
      <w:r w:rsidR="00963352">
        <w:t xml:space="preserve"> Holy Roman Emperor</w:t>
      </w:r>
      <w:r w:rsidR="001B29B6">
        <w:t>,</w:t>
      </w:r>
      <w:r w:rsidR="00824E7A">
        <w:t xml:space="preserve"> with James Bryce stating that </w:t>
      </w:r>
      <w:r w:rsidR="00920480">
        <w:t>‘The pope moved heaven and earth on behalf of Otto’</w:t>
      </w:r>
      <w:r w:rsidR="00182931">
        <w:t>.</w:t>
      </w:r>
      <w:r w:rsidR="00182931">
        <w:rPr>
          <w:rStyle w:val="FootnoteReference"/>
        </w:rPr>
        <w:footnoteReference w:id="22"/>
      </w:r>
      <w:r w:rsidR="00B843A2">
        <w:t xml:space="preserve"> </w:t>
      </w:r>
      <w:r w:rsidR="000B5893">
        <w:t xml:space="preserve">Although Otto was not the favourite to </w:t>
      </w:r>
      <w:r w:rsidR="00D95532">
        <w:t>take the crown</w:t>
      </w:r>
      <w:r w:rsidR="00EA6DD8">
        <w:t>,</w:t>
      </w:r>
      <w:r w:rsidR="00D95532">
        <w:t xml:space="preserve"> </w:t>
      </w:r>
      <w:r w:rsidR="009339DC">
        <w:t xml:space="preserve">Pope Innocent favoured </w:t>
      </w:r>
      <w:r w:rsidR="002C09BA">
        <w:t xml:space="preserve">him </w:t>
      </w:r>
      <w:r w:rsidR="001E4A2B">
        <w:t>over F</w:t>
      </w:r>
      <w:r w:rsidR="00045950">
        <w:t>r</w:t>
      </w:r>
      <w:r w:rsidR="001E4A2B">
        <w:t xml:space="preserve">ederick </w:t>
      </w:r>
      <w:r w:rsidR="00045950">
        <w:t>II and Philip of Swab</w:t>
      </w:r>
      <w:r w:rsidR="00337995">
        <w:t>ia because he was a Guelf.</w:t>
      </w:r>
      <w:r w:rsidR="00337995">
        <w:rPr>
          <w:rStyle w:val="FootnoteReference"/>
        </w:rPr>
        <w:footnoteReference w:id="23"/>
      </w:r>
      <w:r w:rsidR="00524EB0">
        <w:t xml:space="preserve"> </w:t>
      </w:r>
      <w:bookmarkStart w:id="11" w:name="_Hlk526535577"/>
      <w:r w:rsidR="00333B5A">
        <w:t xml:space="preserve">In 1211, </w:t>
      </w:r>
      <w:r w:rsidR="00524EB0">
        <w:t xml:space="preserve">Ralph writes that Emperor Otto and </w:t>
      </w:r>
      <w:r w:rsidR="00524EB0">
        <w:lastRenderedPageBreak/>
        <w:t>King John were excommunicated but does not mention Emperor Otto’s successor, Frederick II of Sicily</w:t>
      </w:r>
      <w:bookmarkEnd w:id="11"/>
      <w:r w:rsidR="00333B5A">
        <w:t>, again highlighting his religious interests.</w:t>
      </w:r>
      <w:r w:rsidR="00524EB0">
        <w:rPr>
          <w:rStyle w:val="FootnoteReference"/>
        </w:rPr>
        <w:footnoteReference w:id="24"/>
      </w:r>
    </w:p>
    <w:p w14:paraId="3FFF2979" w14:textId="3AEB8BA6" w:rsidR="005B0685" w:rsidRDefault="0026571B" w:rsidP="00A31AF1">
      <w:pPr>
        <w:spacing w:line="480" w:lineRule="auto"/>
        <w:ind w:firstLine="720"/>
        <w:jc w:val="both"/>
      </w:pPr>
      <w:r>
        <w:tab/>
        <w:t xml:space="preserve">It was clear that Ralph’s interested were heavily </w:t>
      </w:r>
      <w:r w:rsidR="00A31AF1">
        <w:t xml:space="preserve">swayed by religious affairs and King John’s actions towards the </w:t>
      </w:r>
      <w:bookmarkStart w:id="12" w:name="_GoBack"/>
      <w:bookmarkEnd w:id="12"/>
      <w:r w:rsidR="00A31AF1">
        <w:t xml:space="preserve">church. However, Ralph’s entries </w:t>
      </w:r>
      <w:r w:rsidR="008A08AD">
        <w:t xml:space="preserve">may not have been entirely truthful as he was mindful of his potential audience and did not want to offend either the Pope or King John. </w:t>
      </w:r>
      <w:r w:rsidR="005B0685">
        <w:br w:type="page"/>
      </w:r>
    </w:p>
    <w:p w14:paraId="6234A6F8" w14:textId="3F8A8D31" w:rsidR="00263D42" w:rsidRDefault="005B0685" w:rsidP="00DC11C4">
      <w:pPr>
        <w:spacing w:line="480" w:lineRule="auto"/>
        <w:rPr>
          <w:b/>
        </w:rPr>
      </w:pPr>
      <w:r>
        <w:rPr>
          <w:b/>
        </w:rPr>
        <w:lastRenderedPageBreak/>
        <w:t>Bibliography</w:t>
      </w:r>
    </w:p>
    <w:p w14:paraId="415765EB" w14:textId="572AB46B" w:rsidR="00DC11C4" w:rsidRDefault="001A5725" w:rsidP="00DC11C4">
      <w:pPr>
        <w:spacing w:line="480" w:lineRule="auto"/>
        <w:rPr>
          <w:b/>
        </w:rPr>
      </w:pPr>
      <w:r>
        <w:rPr>
          <w:b/>
        </w:rPr>
        <w:t>Manuscript Sources</w:t>
      </w:r>
    </w:p>
    <w:p w14:paraId="1C584584" w14:textId="1CCDCE6D" w:rsidR="00572C94" w:rsidRPr="000F7147" w:rsidRDefault="000F7147" w:rsidP="00DC11C4">
      <w:pPr>
        <w:spacing w:line="480" w:lineRule="auto"/>
      </w:pPr>
      <w:r>
        <w:t xml:space="preserve">British Library, </w:t>
      </w:r>
      <w:r w:rsidR="004454A1" w:rsidRPr="004454A1">
        <w:t>Cotton MS Vespasian D X</w:t>
      </w:r>
      <w:r w:rsidR="00CC6879">
        <w:t xml:space="preserve"> MS.</w:t>
      </w:r>
    </w:p>
    <w:p w14:paraId="2EE61808" w14:textId="21DF1F2D" w:rsidR="005B0685" w:rsidRDefault="005B0685" w:rsidP="00DC11C4">
      <w:pPr>
        <w:spacing w:line="480" w:lineRule="auto"/>
        <w:rPr>
          <w:b/>
        </w:rPr>
      </w:pPr>
      <w:r>
        <w:rPr>
          <w:b/>
        </w:rPr>
        <w:t xml:space="preserve">Primary Sources </w:t>
      </w:r>
    </w:p>
    <w:p w14:paraId="07BBD6EB" w14:textId="0AB6DB4C" w:rsidR="00D349C0" w:rsidRDefault="00D349C0" w:rsidP="00DC11C4">
      <w:pPr>
        <w:spacing w:line="480" w:lineRule="auto"/>
        <w:rPr>
          <w:b/>
        </w:rPr>
      </w:pPr>
      <w:r>
        <w:t xml:space="preserve">British Library, The British Library, 2003, </w:t>
      </w:r>
      <w:hyperlink r:id="rId7" w:history="1">
        <w:r w:rsidRPr="00F864DA">
          <w:rPr>
            <w:rStyle w:val="Hyperlink"/>
          </w:rPr>
          <w:t>http://searcharchives.bl.uk/primo_library/libweb/action/dlDisplay.do?vid=IAMS_VU2&amp;docId=IAMS040-001103320&amp;fn=permalink</w:t>
        </w:r>
      </w:hyperlink>
      <w:r>
        <w:t xml:space="preserve"> [Accessed on October 1</w:t>
      </w:r>
      <w:r w:rsidRPr="00BC087A">
        <w:rPr>
          <w:vertAlign w:val="superscript"/>
        </w:rPr>
        <w:t>st</w:t>
      </w:r>
      <w:r>
        <w:t xml:space="preserve"> 2018].</w:t>
      </w:r>
    </w:p>
    <w:p w14:paraId="675B13E1" w14:textId="4B93B6C5" w:rsidR="00D349C0" w:rsidRPr="00434B3D" w:rsidRDefault="00091E7D" w:rsidP="00091E7D">
      <w:pPr>
        <w:pStyle w:val="FootnoteText"/>
      </w:pPr>
      <w:r>
        <w:t>Ralph of Coggeshall</w:t>
      </w:r>
      <w:r w:rsidR="00D23581">
        <w:t>.</w:t>
      </w:r>
      <w:r>
        <w:t xml:space="preserve"> ‘Preface’ in </w:t>
      </w:r>
      <w:r>
        <w:rPr>
          <w:i/>
        </w:rPr>
        <w:t xml:space="preserve">Chronicon </w:t>
      </w:r>
      <w:proofErr w:type="spellStart"/>
      <w:r>
        <w:rPr>
          <w:i/>
        </w:rPr>
        <w:t>Anglicanum</w:t>
      </w:r>
      <w:proofErr w:type="spellEnd"/>
      <w:r>
        <w:rPr>
          <w:i/>
        </w:rPr>
        <w:t xml:space="preserve">, </w:t>
      </w:r>
      <w:r w:rsidRPr="00810C61">
        <w:t>ed. By</w:t>
      </w:r>
      <w:r>
        <w:t xml:space="preserve"> </w:t>
      </w:r>
      <w:proofErr w:type="spellStart"/>
      <w:proofErr w:type="gramStart"/>
      <w:r>
        <w:t>J.Stevenson</w:t>
      </w:r>
      <w:proofErr w:type="spellEnd"/>
      <w:proofErr w:type="gramEnd"/>
      <w:r>
        <w:t xml:space="preserve"> (Cambridge: Cambridge University Press, 2012) Preface.</w:t>
      </w:r>
    </w:p>
    <w:p w14:paraId="52AF0868" w14:textId="698FACC0" w:rsidR="005B0685" w:rsidRPr="00D91E40" w:rsidRDefault="00B17A4B" w:rsidP="006E33DD">
      <w:pPr>
        <w:spacing w:line="480" w:lineRule="auto"/>
      </w:pPr>
      <w:r>
        <w:rPr>
          <w:b/>
        </w:rPr>
        <w:br/>
      </w:r>
      <w:r w:rsidR="00DE1154">
        <w:t xml:space="preserve">The Annals of Dunstable Priory, Trans. </w:t>
      </w:r>
      <w:proofErr w:type="spellStart"/>
      <w:proofErr w:type="gramStart"/>
      <w:r w:rsidR="00DE1154">
        <w:t>D.Preet</w:t>
      </w:r>
      <w:proofErr w:type="spellEnd"/>
      <w:proofErr w:type="gramEnd"/>
      <w:r w:rsidR="00DE1154">
        <w:t>, ed. Intro. H, Webster (Woodbridge: Boydell&amp;Brewer,2018).</w:t>
      </w:r>
    </w:p>
    <w:p w14:paraId="1B1B62A0" w14:textId="4BA0434F" w:rsidR="00462700" w:rsidRDefault="005B0685" w:rsidP="00DC11C4">
      <w:pPr>
        <w:spacing w:line="480" w:lineRule="auto"/>
        <w:rPr>
          <w:b/>
        </w:rPr>
      </w:pPr>
      <w:r>
        <w:rPr>
          <w:b/>
        </w:rPr>
        <w:t>Secondary Sources</w:t>
      </w:r>
      <w:r w:rsidR="00462700">
        <w:rPr>
          <w:b/>
        </w:rPr>
        <w:t xml:space="preserve"> </w:t>
      </w:r>
    </w:p>
    <w:p w14:paraId="6186754C" w14:textId="41A50969" w:rsidR="00123ED6" w:rsidRPr="008B1775" w:rsidRDefault="00123ED6" w:rsidP="00123ED6">
      <w:pPr>
        <w:spacing w:line="480" w:lineRule="auto"/>
      </w:pPr>
      <w:r>
        <w:t>Bryce,</w:t>
      </w:r>
      <w:r w:rsidR="0021351A">
        <w:t xml:space="preserve"> J</w:t>
      </w:r>
      <w:r w:rsidR="005A05B9">
        <w:t>.</w:t>
      </w:r>
      <w:r>
        <w:t xml:space="preserve"> ‘</w:t>
      </w:r>
      <w:r>
        <w:rPr>
          <w:i/>
        </w:rPr>
        <w:t xml:space="preserve">The Holy Roman Empire’ </w:t>
      </w:r>
      <w:r>
        <w:t>(</w:t>
      </w:r>
      <w:proofErr w:type="spellStart"/>
      <w:r>
        <w:t>Jazzybee</w:t>
      </w:r>
      <w:proofErr w:type="spellEnd"/>
      <w:r>
        <w:t xml:space="preserve"> Verlag: </w:t>
      </w:r>
      <w:r w:rsidRPr="00771F8B">
        <w:t>Macmillan</w:t>
      </w:r>
      <w:r>
        <w:t xml:space="preserve">, 1918) p. </w:t>
      </w:r>
      <w:r w:rsidRPr="00771F8B">
        <w:t>129</w:t>
      </w:r>
    </w:p>
    <w:p w14:paraId="41B94409" w14:textId="7366E64B" w:rsidR="00462700" w:rsidRDefault="00462700" w:rsidP="003E772C">
      <w:pPr>
        <w:spacing w:line="480" w:lineRule="auto"/>
      </w:pPr>
      <w:r>
        <w:t>Carpenter,</w:t>
      </w:r>
      <w:r w:rsidR="008B1775">
        <w:t xml:space="preserve"> D. A</w:t>
      </w:r>
      <w:r>
        <w:t xml:space="preserve"> </w:t>
      </w:r>
      <w:r w:rsidRPr="004A795D">
        <w:t>‘Years of Richard and the First Years of John’</w:t>
      </w:r>
      <w:r>
        <w:t xml:space="preserve">, </w:t>
      </w:r>
      <w:r w:rsidRPr="004906A1">
        <w:rPr>
          <w:i/>
        </w:rPr>
        <w:t>Abbot Ralph of Coggeshall's Account of the Last Years of King Richard and the First Years of King John</w:t>
      </w:r>
      <w:r>
        <w:t>, JSTOR. Vol. 113, No. 454 (1998), 1210-1220 (p. 1210).</w:t>
      </w:r>
    </w:p>
    <w:p w14:paraId="0E0DED0B" w14:textId="77777777" w:rsidR="008B1775" w:rsidRPr="00ED7DD3" w:rsidRDefault="008B1775" w:rsidP="008B1775">
      <w:pPr>
        <w:pStyle w:val="FootnoteText"/>
      </w:pPr>
      <w:r>
        <w:t>Cheney, C. R. ‘</w:t>
      </w:r>
      <w:r w:rsidRPr="00AC4DCC">
        <w:t>King John and the Papal Interdict</w:t>
      </w:r>
      <w:r>
        <w:t xml:space="preserve">’, </w:t>
      </w:r>
      <w:r>
        <w:rPr>
          <w:i/>
        </w:rPr>
        <w:t xml:space="preserve">John Rylands Library, </w:t>
      </w:r>
      <w:r>
        <w:t>Vol.31, 2, (1948), 295-310 (pp. 296-303).</w:t>
      </w:r>
    </w:p>
    <w:p w14:paraId="49FB6889" w14:textId="77777777" w:rsidR="008B1775" w:rsidRDefault="008B1775" w:rsidP="003E772C">
      <w:pPr>
        <w:spacing w:line="480" w:lineRule="auto"/>
      </w:pPr>
    </w:p>
    <w:p w14:paraId="75FEC01F" w14:textId="29957F00" w:rsidR="004302BF" w:rsidRDefault="004302BF" w:rsidP="003E772C">
      <w:pPr>
        <w:spacing w:line="480" w:lineRule="auto"/>
      </w:pPr>
      <w:r>
        <w:t>Davis,</w:t>
      </w:r>
      <w:r w:rsidR="008B1775">
        <w:t xml:space="preserve"> R. H. C.</w:t>
      </w:r>
      <w:r>
        <w:t xml:space="preserve"> </w:t>
      </w:r>
      <w:r>
        <w:rPr>
          <w:i/>
        </w:rPr>
        <w:t xml:space="preserve">A History of Medieval Europe </w:t>
      </w:r>
      <w:r>
        <w:t xml:space="preserve">(London: </w:t>
      </w:r>
      <w:proofErr w:type="spellStart"/>
      <w:r>
        <w:t>Butler&amp;Tanner</w:t>
      </w:r>
      <w:proofErr w:type="spellEnd"/>
      <w:r>
        <w:t>, 1970) p 309.</w:t>
      </w:r>
    </w:p>
    <w:p w14:paraId="6FA92EC2" w14:textId="546183C5" w:rsidR="00123ED6" w:rsidRDefault="00123ED6" w:rsidP="003E772C">
      <w:pPr>
        <w:spacing w:line="480" w:lineRule="auto"/>
      </w:pPr>
      <w:r>
        <w:t>Given-Wilson,</w:t>
      </w:r>
      <w:r w:rsidR="00964C64">
        <w:t xml:space="preserve"> C.</w:t>
      </w:r>
      <w:r>
        <w:t xml:space="preserve"> </w:t>
      </w:r>
      <w:r>
        <w:rPr>
          <w:i/>
        </w:rPr>
        <w:t xml:space="preserve">Chronicles: The Writing of History in Medieval England </w:t>
      </w:r>
      <w:r>
        <w:t>(A&amp;C Black, 2004) Chapter. 1, p. 1.</w:t>
      </w:r>
    </w:p>
    <w:p w14:paraId="0C1175ED" w14:textId="53C5A1D2" w:rsidR="00BC5FE9" w:rsidRDefault="00BC5FE9" w:rsidP="003E772C">
      <w:pPr>
        <w:spacing w:line="480" w:lineRule="auto"/>
      </w:pPr>
      <w:r>
        <w:t>Madden,</w:t>
      </w:r>
      <w:r w:rsidR="00964C64">
        <w:t xml:space="preserve"> J.</w:t>
      </w:r>
      <w:r>
        <w:t xml:space="preserve"> ‘The Catholic Historical Review’ </w:t>
      </w:r>
      <w:r w:rsidRPr="0006182D">
        <w:t>Business Monks, Banker Monks, Bankrupt Monks: The English Cistercians in the Thirteenth Century</w:t>
      </w:r>
      <w:r>
        <w:t>, Vol. 49(3) (1963), 351-360 (p. 351).</w:t>
      </w:r>
    </w:p>
    <w:p w14:paraId="20E9ACF1" w14:textId="7824155C" w:rsidR="00BC5FE9" w:rsidRDefault="00BC5FE9" w:rsidP="003E772C">
      <w:pPr>
        <w:spacing w:line="480" w:lineRule="auto"/>
      </w:pPr>
      <w:r>
        <w:lastRenderedPageBreak/>
        <w:t>Penn</w:t>
      </w:r>
      <w:r w:rsidR="00D60BAE">
        <w:t>, I.</w:t>
      </w:r>
      <w:r w:rsidRPr="00661BB9">
        <w:t xml:space="preserve"> </w:t>
      </w:r>
      <w:r w:rsidRPr="00661BB9">
        <w:rPr>
          <w:i/>
        </w:rPr>
        <w:t>Dogma Evolution &amp; Papal Fallacies</w:t>
      </w:r>
      <w:r>
        <w:rPr>
          <w:i/>
        </w:rPr>
        <w:t>,</w:t>
      </w:r>
      <w:r>
        <w:t xml:space="preserve"> (Milton </w:t>
      </w:r>
      <w:proofErr w:type="spellStart"/>
      <w:proofErr w:type="gramStart"/>
      <w:r>
        <w:t>Keynes:AuthorHouse</w:t>
      </w:r>
      <w:proofErr w:type="spellEnd"/>
      <w:proofErr w:type="gramEnd"/>
      <w:r>
        <w:t>, 2007), P. 129.</w:t>
      </w:r>
    </w:p>
    <w:p w14:paraId="71BA4484" w14:textId="3DF7E900" w:rsidR="00BC5FE9" w:rsidRDefault="00BC5FE9" w:rsidP="003E772C">
      <w:pPr>
        <w:spacing w:line="480" w:lineRule="auto"/>
      </w:pPr>
      <w:r>
        <w:t>Staunton,</w:t>
      </w:r>
      <w:r w:rsidR="00D60BAE">
        <w:t xml:space="preserve"> M.</w:t>
      </w:r>
      <w:r>
        <w:t xml:space="preserve"> </w:t>
      </w:r>
      <w:r>
        <w:rPr>
          <w:i/>
        </w:rPr>
        <w:t xml:space="preserve">The Historians of Angevin England </w:t>
      </w:r>
      <w:r>
        <w:t>(Oxford: Oxford University Press, 2017)</w:t>
      </w:r>
      <w:r w:rsidRPr="00A15CFB">
        <w:t xml:space="preserve"> p</w:t>
      </w:r>
      <w:r>
        <w:t xml:space="preserve">. </w:t>
      </w:r>
      <w:r w:rsidRPr="00A15CFB">
        <w:t>125</w:t>
      </w:r>
      <w:r>
        <w:t>.</w:t>
      </w:r>
    </w:p>
    <w:p w14:paraId="0A04686A" w14:textId="449F2F10" w:rsidR="00BC5FE9" w:rsidRPr="00462700" w:rsidRDefault="00BC5FE9" w:rsidP="003E772C">
      <w:pPr>
        <w:spacing w:line="480" w:lineRule="auto"/>
        <w:rPr>
          <w:b/>
        </w:rPr>
      </w:pPr>
      <w:r>
        <w:t>White,</w:t>
      </w:r>
      <w:r w:rsidR="00D60BAE">
        <w:t xml:space="preserve"> H.</w:t>
      </w:r>
      <w:r>
        <w:t xml:space="preserve"> </w:t>
      </w:r>
      <w:r w:rsidRPr="004906A1">
        <w:t>‘Critical Inquiry’</w:t>
      </w:r>
      <w:r>
        <w:t xml:space="preserve">, </w:t>
      </w:r>
      <w:r w:rsidRPr="004906A1">
        <w:rPr>
          <w:i/>
        </w:rPr>
        <w:t>The Value of Narrativity in the Representation of Reality</w:t>
      </w:r>
      <w:r>
        <w:t>, JSTOR. Vol. 7 No. 1 (1980), 5-17 (p. 17).</w:t>
      </w:r>
    </w:p>
    <w:p w14:paraId="38D6597A" w14:textId="77777777" w:rsidR="005F1184" w:rsidRPr="00F31733" w:rsidRDefault="005F1184" w:rsidP="00160AED">
      <w:pPr>
        <w:spacing w:line="480" w:lineRule="auto"/>
        <w:jc w:val="both"/>
      </w:pPr>
    </w:p>
    <w:sectPr w:rsidR="005F1184" w:rsidRPr="00F3173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25613" w14:textId="77777777" w:rsidR="007843A6" w:rsidRDefault="007843A6" w:rsidP="00F31733">
      <w:pPr>
        <w:spacing w:after="0" w:line="240" w:lineRule="auto"/>
      </w:pPr>
      <w:r>
        <w:separator/>
      </w:r>
    </w:p>
  </w:endnote>
  <w:endnote w:type="continuationSeparator" w:id="0">
    <w:p w14:paraId="5F93B179" w14:textId="77777777" w:rsidR="007843A6" w:rsidRDefault="007843A6" w:rsidP="00F3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582881"/>
      <w:docPartObj>
        <w:docPartGallery w:val="Page Numbers (Bottom of Page)"/>
        <w:docPartUnique/>
      </w:docPartObj>
    </w:sdtPr>
    <w:sdtEndPr>
      <w:rPr>
        <w:noProof/>
      </w:rPr>
    </w:sdtEndPr>
    <w:sdtContent>
      <w:p w14:paraId="192F0583" w14:textId="7AB4A416" w:rsidR="00ED779D" w:rsidRDefault="00ED77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D46B19" w14:textId="77777777" w:rsidR="00ED779D" w:rsidRDefault="00ED7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AC170" w14:textId="77777777" w:rsidR="007843A6" w:rsidRDefault="007843A6" w:rsidP="00F31733">
      <w:pPr>
        <w:spacing w:after="0" w:line="240" w:lineRule="auto"/>
      </w:pPr>
      <w:r>
        <w:separator/>
      </w:r>
    </w:p>
  </w:footnote>
  <w:footnote w:type="continuationSeparator" w:id="0">
    <w:p w14:paraId="5623FAC9" w14:textId="77777777" w:rsidR="007843A6" w:rsidRDefault="007843A6" w:rsidP="00F31733">
      <w:pPr>
        <w:spacing w:after="0" w:line="240" w:lineRule="auto"/>
      </w:pPr>
      <w:r>
        <w:continuationSeparator/>
      </w:r>
    </w:p>
  </w:footnote>
  <w:footnote w:id="1">
    <w:p w14:paraId="287DBAA3" w14:textId="05EA163E" w:rsidR="00F31733" w:rsidRDefault="00F31733">
      <w:pPr>
        <w:pStyle w:val="FootnoteText"/>
      </w:pPr>
      <w:r>
        <w:rPr>
          <w:rStyle w:val="FootnoteReference"/>
        </w:rPr>
        <w:footnoteRef/>
      </w:r>
      <w:r>
        <w:t xml:space="preserve"> </w:t>
      </w:r>
      <w:bookmarkStart w:id="0" w:name="_Hlk526526583"/>
      <w:r w:rsidR="00D31259">
        <w:t>D.A</w:t>
      </w:r>
      <w:r w:rsidR="003E2E86">
        <w:t xml:space="preserve"> Carpenter</w:t>
      </w:r>
      <w:r w:rsidR="00F6010A">
        <w:t>,</w:t>
      </w:r>
      <w:r w:rsidR="0005636A">
        <w:t xml:space="preserve"> </w:t>
      </w:r>
      <w:r w:rsidR="0005636A" w:rsidRPr="004A795D">
        <w:t>‘</w:t>
      </w:r>
      <w:r w:rsidR="00AF5978" w:rsidRPr="004A795D">
        <w:t>Years of Richard and the First Years of John’</w:t>
      </w:r>
      <w:r w:rsidR="00B22497">
        <w:t xml:space="preserve">, </w:t>
      </w:r>
      <w:r w:rsidR="00B22497" w:rsidRPr="004906A1">
        <w:rPr>
          <w:i/>
        </w:rPr>
        <w:t>Abbot Ralph of Coggeshall's Account of the Last Years of King Richard and the First Years of King John</w:t>
      </w:r>
      <w:r w:rsidR="00B22497">
        <w:t>,</w:t>
      </w:r>
      <w:r w:rsidR="00290719">
        <w:t xml:space="preserve"> </w:t>
      </w:r>
      <w:r w:rsidR="00A072A6">
        <w:t xml:space="preserve">JSTOR. </w:t>
      </w:r>
      <w:r w:rsidR="00290719">
        <w:t>Vol</w:t>
      </w:r>
      <w:r w:rsidR="006F2CDB">
        <w:t>. 113</w:t>
      </w:r>
      <w:r w:rsidR="00F60670">
        <w:t xml:space="preserve">, </w:t>
      </w:r>
      <w:r w:rsidR="00D86705">
        <w:t>No.</w:t>
      </w:r>
      <w:r w:rsidR="00922501">
        <w:t xml:space="preserve"> </w:t>
      </w:r>
      <w:r w:rsidR="00F90A25">
        <w:t>454</w:t>
      </w:r>
      <w:r w:rsidR="00A930C1">
        <w:t xml:space="preserve"> (1998), 121</w:t>
      </w:r>
      <w:r w:rsidR="00FB65D6">
        <w:t>0</w:t>
      </w:r>
      <w:r w:rsidR="00A930C1">
        <w:t>-</w:t>
      </w:r>
      <w:r w:rsidR="00935E35">
        <w:t>1220 (p.</w:t>
      </w:r>
      <w:r w:rsidR="00922501">
        <w:t xml:space="preserve"> </w:t>
      </w:r>
      <w:r w:rsidR="00935E35">
        <w:t>121</w:t>
      </w:r>
      <w:r w:rsidR="00FB65D6">
        <w:t>0</w:t>
      </w:r>
      <w:r w:rsidR="00935E35">
        <w:t>)</w:t>
      </w:r>
      <w:r w:rsidR="00CF3602">
        <w:t>.</w:t>
      </w:r>
      <w:bookmarkEnd w:id="0"/>
    </w:p>
  </w:footnote>
  <w:footnote w:id="2">
    <w:p w14:paraId="705A6EB0" w14:textId="605F480D" w:rsidR="00F73277" w:rsidRDefault="00F73277">
      <w:pPr>
        <w:pStyle w:val="FootnoteText"/>
      </w:pPr>
      <w:r>
        <w:rPr>
          <w:rStyle w:val="FootnoteReference"/>
        </w:rPr>
        <w:footnoteRef/>
      </w:r>
      <w:r>
        <w:t xml:space="preserve"> </w:t>
      </w:r>
      <w:r w:rsidR="00B0080D">
        <w:t>Ibid.</w:t>
      </w:r>
    </w:p>
  </w:footnote>
  <w:footnote w:id="3">
    <w:p w14:paraId="340E1707" w14:textId="367FE47A" w:rsidR="003243B3" w:rsidRDefault="003243B3">
      <w:pPr>
        <w:pStyle w:val="FootnoteText"/>
      </w:pPr>
      <w:r>
        <w:rPr>
          <w:rStyle w:val="FootnoteReference"/>
        </w:rPr>
        <w:footnoteRef/>
      </w:r>
      <w:r>
        <w:t xml:space="preserve"> </w:t>
      </w:r>
      <w:bookmarkStart w:id="1" w:name="_Hlk526530863"/>
      <w:r w:rsidR="00E5158C">
        <w:t>British Library</w:t>
      </w:r>
      <w:r w:rsidR="00135F5D">
        <w:t>,</w:t>
      </w:r>
      <w:r w:rsidR="00EA7EE2">
        <w:t xml:space="preserve"> </w:t>
      </w:r>
      <w:r w:rsidR="00456B93">
        <w:t>The British Library,</w:t>
      </w:r>
      <w:r w:rsidR="00942F7C">
        <w:t xml:space="preserve"> 2003, </w:t>
      </w:r>
      <w:hyperlink r:id="rId1" w:history="1">
        <w:r w:rsidR="001A70F1" w:rsidRPr="00F864DA">
          <w:rPr>
            <w:rStyle w:val="Hyperlink"/>
          </w:rPr>
          <w:t>http://searcharchives.bl.uk/primo_library/libweb/action/dlDisplay.do?vid=IAMS_VU2&amp;docId=IAMS040-001103320&amp;fn=permalink</w:t>
        </w:r>
      </w:hyperlink>
      <w:r w:rsidR="00BC087A">
        <w:t xml:space="preserve"> [Accessed on October 1</w:t>
      </w:r>
      <w:r w:rsidR="00BC087A" w:rsidRPr="00BC087A">
        <w:rPr>
          <w:vertAlign w:val="superscript"/>
        </w:rPr>
        <w:t>st</w:t>
      </w:r>
      <w:r w:rsidR="00BC087A">
        <w:t xml:space="preserve"> 2018</w:t>
      </w:r>
      <w:r w:rsidR="009614AA">
        <w:t>].</w:t>
      </w:r>
      <w:bookmarkEnd w:id="1"/>
    </w:p>
  </w:footnote>
  <w:footnote w:id="4">
    <w:p w14:paraId="53C63051" w14:textId="49033EC8" w:rsidR="00EB1885" w:rsidRPr="00434B3D" w:rsidRDefault="00EB1885">
      <w:pPr>
        <w:pStyle w:val="FootnoteText"/>
      </w:pPr>
      <w:r>
        <w:rPr>
          <w:rStyle w:val="FootnoteReference"/>
        </w:rPr>
        <w:footnoteRef/>
      </w:r>
      <w:r>
        <w:t xml:space="preserve"> </w:t>
      </w:r>
      <w:bookmarkStart w:id="2" w:name="_Hlk526529858"/>
      <w:r w:rsidR="00911C5B">
        <w:t>R</w:t>
      </w:r>
      <w:r w:rsidR="00D3179B">
        <w:t xml:space="preserve">alph of Coggeshall, </w:t>
      </w:r>
      <w:r w:rsidR="00FC4C63">
        <w:t>‘</w:t>
      </w:r>
      <w:r w:rsidR="00335B10">
        <w:t>Preface</w:t>
      </w:r>
      <w:r w:rsidR="00FC4C63">
        <w:t xml:space="preserve">’ in </w:t>
      </w:r>
      <w:r w:rsidR="00434B3D">
        <w:rPr>
          <w:i/>
        </w:rPr>
        <w:t xml:space="preserve">Chronicon </w:t>
      </w:r>
      <w:proofErr w:type="spellStart"/>
      <w:r w:rsidR="00434B3D">
        <w:rPr>
          <w:i/>
        </w:rPr>
        <w:t>Anglicanum</w:t>
      </w:r>
      <w:proofErr w:type="spellEnd"/>
      <w:r w:rsidR="00FC4C63">
        <w:rPr>
          <w:i/>
        </w:rPr>
        <w:t xml:space="preserve">, </w:t>
      </w:r>
      <w:r w:rsidR="00FC4C63" w:rsidRPr="00810C61">
        <w:t>ed. By</w:t>
      </w:r>
      <w:r w:rsidR="00810C61">
        <w:t xml:space="preserve"> </w:t>
      </w:r>
      <w:proofErr w:type="spellStart"/>
      <w:proofErr w:type="gramStart"/>
      <w:r w:rsidR="00810C61">
        <w:t>J.</w:t>
      </w:r>
      <w:r w:rsidR="00624F2E">
        <w:t>Steve</w:t>
      </w:r>
      <w:r w:rsidR="00C73C9C">
        <w:t>n</w:t>
      </w:r>
      <w:r w:rsidR="00624F2E">
        <w:t>so</w:t>
      </w:r>
      <w:r w:rsidR="00C73C9C">
        <w:t>n</w:t>
      </w:r>
      <w:proofErr w:type="spellEnd"/>
      <w:proofErr w:type="gramEnd"/>
      <w:r w:rsidR="00C73C9C">
        <w:t xml:space="preserve"> (Cambridge:</w:t>
      </w:r>
      <w:r w:rsidR="00F77859">
        <w:t xml:space="preserve"> Cambridge University Press, 2012)</w:t>
      </w:r>
      <w:r w:rsidR="00C07331">
        <w:t xml:space="preserve"> Preface.</w:t>
      </w:r>
    </w:p>
    <w:bookmarkEnd w:id="2"/>
  </w:footnote>
  <w:footnote w:id="5">
    <w:p w14:paraId="782F45BF" w14:textId="0FFC6E42" w:rsidR="00795E3C" w:rsidRDefault="00795E3C">
      <w:pPr>
        <w:pStyle w:val="FootnoteText"/>
      </w:pPr>
      <w:r>
        <w:rPr>
          <w:rStyle w:val="FootnoteReference"/>
        </w:rPr>
        <w:footnoteRef/>
      </w:r>
      <w:r>
        <w:t xml:space="preserve"> </w:t>
      </w:r>
      <w:r w:rsidR="0076592B">
        <w:t>The British Library, 2003</w:t>
      </w:r>
      <w:r w:rsidR="002F78DA">
        <w:t>.</w:t>
      </w:r>
    </w:p>
  </w:footnote>
  <w:footnote w:id="6">
    <w:p w14:paraId="54747C74" w14:textId="536C43A8" w:rsidR="00967017" w:rsidRPr="00B02975" w:rsidRDefault="00967017">
      <w:pPr>
        <w:pStyle w:val="FootnoteText"/>
      </w:pPr>
      <w:r>
        <w:rPr>
          <w:rStyle w:val="FootnoteReference"/>
        </w:rPr>
        <w:footnoteRef/>
      </w:r>
      <w:r>
        <w:t xml:space="preserve"> </w:t>
      </w:r>
      <w:bookmarkStart w:id="3" w:name="_Hlk526526773"/>
      <w:r w:rsidR="004B20C0">
        <w:t xml:space="preserve">H. White, </w:t>
      </w:r>
      <w:r w:rsidR="00011ADF" w:rsidRPr="004906A1">
        <w:t>‘</w:t>
      </w:r>
      <w:r w:rsidR="00263413" w:rsidRPr="004906A1">
        <w:t xml:space="preserve">Critical </w:t>
      </w:r>
      <w:r w:rsidR="00B02975" w:rsidRPr="004906A1">
        <w:t>Inquiry’</w:t>
      </w:r>
      <w:r w:rsidR="00B02975">
        <w:t xml:space="preserve">, </w:t>
      </w:r>
      <w:r w:rsidR="003A20D0" w:rsidRPr="004906A1">
        <w:rPr>
          <w:i/>
        </w:rPr>
        <w:t>The Value of Narrativity in the Representation of Reality</w:t>
      </w:r>
      <w:r w:rsidR="00E02D6E">
        <w:t>, JSTOR. Vol</w:t>
      </w:r>
      <w:r w:rsidR="00C8710E">
        <w:t>.</w:t>
      </w:r>
      <w:r w:rsidR="00922501">
        <w:t xml:space="preserve"> </w:t>
      </w:r>
      <w:r w:rsidR="00C8710E">
        <w:t>7 No.</w:t>
      </w:r>
      <w:r w:rsidR="00922501">
        <w:t xml:space="preserve"> </w:t>
      </w:r>
      <w:r w:rsidR="00C8710E">
        <w:t xml:space="preserve">1 </w:t>
      </w:r>
      <w:r w:rsidR="00710D85">
        <w:t>(1980)</w:t>
      </w:r>
      <w:r w:rsidR="0030488A">
        <w:t>, 5-17 (p.</w:t>
      </w:r>
      <w:r w:rsidR="00922501">
        <w:t xml:space="preserve"> </w:t>
      </w:r>
      <w:r w:rsidR="0030488A">
        <w:t>17).</w:t>
      </w:r>
      <w:bookmarkEnd w:id="3"/>
    </w:p>
  </w:footnote>
  <w:footnote w:id="7">
    <w:p w14:paraId="09927E68" w14:textId="29FB41C6" w:rsidR="00C279CC" w:rsidRDefault="00C279CC">
      <w:pPr>
        <w:pStyle w:val="FootnoteText"/>
      </w:pPr>
      <w:r>
        <w:rPr>
          <w:rStyle w:val="FootnoteReference"/>
        </w:rPr>
        <w:footnoteRef/>
      </w:r>
      <w:r>
        <w:t xml:space="preserve"> </w:t>
      </w:r>
      <w:bookmarkStart w:id="4" w:name="_Hlk526526718"/>
      <w:proofErr w:type="spellStart"/>
      <w:r>
        <w:t>C</w:t>
      </w:r>
      <w:r w:rsidR="00AB668C">
        <w:t>.G</w:t>
      </w:r>
      <w:r>
        <w:t>iven</w:t>
      </w:r>
      <w:proofErr w:type="spellEnd"/>
      <w:r w:rsidR="00AB668C">
        <w:t>-</w:t>
      </w:r>
      <w:r w:rsidR="001C1FF0">
        <w:t>Wilson</w:t>
      </w:r>
      <w:r w:rsidR="001B518D">
        <w:t xml:space="preserve">, </w:t>
      </w:r>
      <w:r w:rsidR="001B518D">
        <w:rPr>
          <w:i/>
        </w:rPr>
        <w:t>Chronicles: The Writing of History in Medieval Englan</w:t>
      </w:r>
      <w:r w:rsidR="00904A0A">
        <w:rPr>
          <w:i/>
        </w:rPr>
        <w:t>d</w:t>
      </w:r>
      <w:r w:rsidR="001650C1">
        <w:rPr>
          <w:i/>
        </w:rPr>
        <w:t xml:space="preserve"> </w:t>
      </w:r>
      <w:r w:rsidR="001650C1">
        <w:t>(A&amp;C Black, 2004)</w:t>
      </w:r>
      <w:r w:rsidR="001C1FF0">
        <w:t xml:space="preserve"> </w:t>
      </w:r>
      <w:r w:rsidR="007A7175">
        <w:t>C</w:t>
      </w:r>
      <w:r w:rsidR="001C1FF0">
        <w:t>hap</w:t>
      </w:r>
      <w:r w:rsidR="007A7175">
        <w:t>ter</w:t>
      </w:r>
      <w:r w:rsidR="00D070BC">
        <w:t>.</w:t>
      </w:r>
      <w:r w:rsidR="001C1FF0">
        <w:t xml:space="preserve"> 1</w:t>
      </w:r>
      <w:r w:rsidR="007A7175">
        <w:t>,</w:t>
      </w:r>
      <w:r w:rsidR="001C1FF0">
        <w:t xml:space="preserve"> p</w:t>
      </w:r>
      <w:r w:rsidR="00D070BC">
        <w:t xml:space="preserve">. </w:t>
      </w:r>
      <w:r w:rsidR="001C1FF0">
        <w:t>1</w:t>
      </w:r>
      <w:r w:rsidR="007A7175">
        <w:t>.</w:t>
      </w:r>
      <w:bookmarkEnd w:id="4"/>
    </w:p>
  </w:footnote>
  <w:footnote w:id="8">
    <w:p w14:paraId="45240EEB" w14:textId="185C0E45" w:rsidR="00E84EE9" w:rsidRDefault="00E84EE9">
      <w:pPr>
        <w:pStyle w:val="FootnoteText"/>
      </w:pPr>
      <w:r>
        <w:rPr>
          <w:rStyle w:val="FootnoteReference"/>
        </w:rPr>
        <w:footnoteRef/>
      </w:r>
      <w:r>
        <w:t xml:space="preserve"> </w:t>
      </w:r>
      <w:bookmarkStart w:id="5" w:name="_Hlk526187454"/>
      <w:r w:rsidR="00CD4178">
        <w:t>Chronicon Ang online version</w:t>
      </w:r>
      <w:bookmarkEnd w:id="5"/>
      <w:r w:rsidR="00CD4178">
        <w:tab/>
      </w:r>
    </w:p>
  </w:footnote>
  <w:footnote w:id="9">
    <w:p w14:paraId="7B26F1C1" w14:textId="21325DB6" w:rsidR="00263DB3" w:rsidRDefault="00263DB3">
      <w:pPr>
        <w:pStyle w:val="FootnoteText"/>
      </w:pPr>
      <w:r>
        <w:rPr>
          <w:rStyle w:val="FootnoteReference"/>
        </w:rPr>
        <w:footnoteRef/>
      </w:r>
      <w:r>
        <w:t xml:space="preserve"> </w:t>
      </w:r>
      <w:r w:rsidR="0034007A">
        <w:t>Given-Wilson, Medieval England,</w:t>
      </w:r>
      <w:r w:rsidR="00472081">
        <w:t xml:space="preserve"> p. 16</w:t>
      </w:r>
      <w:r w:rsidR="006E36A9">
        <w:t>.</w:t>
      </w:r>
      <w:r w:rsidR="0034007A">
        <w:t xml:space="preserve"> </w:t>
      </w:r>
    </w:p>
  </w:footnote>
  <w:footnote w:id="10">
    <w:p w14:paraId="02DF0864" w14:textId="04A2B08B" w:rsidR="00BE10D9" w:rsidRDefault="00BE10D9">
      <w:pPr>
        <w:pStyle w:val="FootnoteText"/>
      </w:pPr>
      <w:r>
        <w:rPr>
          <w:rStyle w:val="FootnoteReference"/>
        </w:rPr>
        <w:footnoteRef/>
      </w:r>
      <w:r w:rsidR="00472081">
        <w:t xml:space="preserve"> Ibid</w:t>
      </w:r>
      <w:r w:rsidR="001C3E9B">
        <w:t>, p</w:t>
      </w:r>
      <w:r w:rsidR="00D070BC">
        <w:t xml:space="preserve">. </w:t>
      </w:r>
      <w:r w:rsidR="001C3E9B">
        <w:t>2</w:t>
      </w:r>
      <w:r w:rsidR="00D070BC">
        <w:t>.</w:t>
      </w:r>
      <w:r w:rsidR="00D17209">
        <w:t xml:space="preserve"> </w:t>
      </w:r>
    </w:p>
  </w:footnote>
  <w:footnote w:id="11">
    <w:p w14:paraId="6C28EC7E" w14:textId="4161C97E" w:rsidR="00697355" w:rsidRDefault="00697355">
      <w:pPr>
        <w:pStyle w:val="FootnoteText"/>
      </w:pPr>
      <w:r>
        <w:rPr>
          <w:rStyle w:val="FootnoteReference"/>
        </w:rPr>
        <w:footnoteRef/>
      </w:r>
      <w:r>
        <w:t xml:space="preserve"> </w:t>
      </w:r>
      <w:bookmarkStart w:id="6" w:name="_Hlk526237184"/>
      <w:bookmarkStart w:id="7" w:name="_Hlk526532770"/>
      <w:r w:rsidR="0089690D">
        <w:t>Ralph,</w:t>
      </w:r>
      <w:bookmarkEnd w:id="6"/>
      <w:r w:rsidR="0089690D">
        <w:t xml:space="preserve"> </w:t>
      </w:r>
      <w:r w:rsidR="0089690D" w:rsidRPr="00897A8B">
        <w:t xml:space="preserve">Chronicon </w:t>
      </w:r>
      <w:proofErr w:type="spellStart"/>
      <w:r w:rsidR="0089690D" w:rsidRPr="00897A8B">
        <w:t>Anglicanu</w:t>
      </w:r>
      <w:r w:rsidR="0089690D">
        <w:t>m</w:t>
      </w:r>
      <w:proofErr w:type="spellEnd"/>
      <w:r w:rsidR="0089690D">
        <w:t>, 2012.</w:t>
      </w:r>
      <w:bookmarkEnd w:id="7"/>
    </w:p>
  </w:footnote>
  <w:footnote w:id="12">
    <w:p w14:paraId="5995C45F" w14:textId="18D91FF4" w:rsidR="006D6E91" w:rsidRDefault="006D6E91">
      <w:pPr>
        <w:pStyle w:val="FootnoteText"/>
      </w:pPr>
      <w:r>
        <w:rPr>
          <w:rStyle w:val="FootnoteReference"/>
        </w:rPr>
        <w:footnoteRef/>
      </w:r>
      <w:r>
        <w:t xml:space="preserve"> </w:t>
      </w:r>
      <w:bookmarkStart w:id="8" w:name="_Hlk526527345"/>
      <w:r w:rsidR="00883E5A">
        <w:t xml:space="preserve">R. H. C. </w:t>
      </w:r>
      <w:r w:rsidR="008A4B27">
        <w:t>Davis</w:t>
      </w:r>
      <w:r w:rsidR="00764DA4">
        <w:t xml:space="preserve">, </w:t>
      </w:r>
      <w:r w:rsidR="00764DA4">
        <w:rPr>
          <w:i/>
        </w:rPr>
        <w:t xml:space="preserve">A History of Medieval </w:t>
      </w:r>
      <w:r w:rsidR="00FF680B">
        <w:rPr>
          <w:i/>
        </w:rPr>
        <w:t xml:space="preserve">Europe </w:t>
      </w:r>
      <w:r w:rsidR="00FF680B">
        <w:t>(</w:t>
      </w:r>
      <w:r w:rsidR="00A2799D">
        <w:t xml:space="preserve">London: </w:t>
      </w:r>
      <w:proofErr w:type="spellStart"/>
      <w:r w:rsidR="00A2799D">
        <w:t>Butl</w:t>
      </w:r>
      <w:r w:rsidR="003F3413">
        <w:t>er&amp;Tanner</w:t>
      </w:r>
      <w:proofErr w:type="spellEnd"/>
      <w:r w:rsidR="003F3413">
        <w:t>, 1970)</w:t>
      </w:r>
      <w:r w:rsidR="00451649">
        <w:t xml:space="preserve"> </w:t>
      </w:r>
      <w:r w:rsidR="008A4B27">
        <w:t>p</w:t>
      </w:r>
      <w:r w:rsidR="003A0E8B">
        <w:t>.</w:t>
      </w:r>
      <w:r w:rsidR="00451649">
        <w:t xml:space="preserve"> </w:t>
      </w:r>
      <w:r w:rsidR="008A4B27">
        <w:t>309</w:t>
      </w:r>
      <w:r w:rsidR="00451649">
        <w:t>.</w:t>
      </w:r>
      <w:bookmarkEnd w:id="8"/>
      <w:r w:rsidR="008A4B27">
        <w:t xml:space="preserve"> </w:t>
      </w:r>
    </w:p>
  </w:footnote>
  <w:footnote w:id="13">
    <w:p w14:paraId="75FD29C1" w14:textId="73CB2CAB" w:rsidR="00377D45" w:rsidRPr="00ED7DD3" w:rsidRDefault="00377D45">
      <w:pPr>
        <w:pStyle w:val="FootnoteText"/>
      </w:pPr>
      <w:r>
        <w:rPr>
          <w:rStyle w:val="FootnoteReference"/>
        </w:rPr>
        <w:footnoteRef/>
      </w:r>
      <w:r>
        <w:t xml:space="preserve"> </w:t>
      </w:r>
      <w:r w:rsidR="0009459B">
        <w:t xml:space="preserve">C. R. Cheney, </w:t>
      </w:r>
      <w:r w:rsidR="00AC4DCC">
        <w:t>‘</w:t>
      </w:r>
      <w:r w:rsidR="00AC4DCC" w:rsidRPr="00AC4DCC">
        <w:t>King John and the Papal Interdict</w:t>
      </w:r>
      <w:r w:rsidR="00AC4DCC">
        <w:t>’</w:t>
      </w:r>
      <w:r w:rsidR="00325098">
        <w:t xml:space="preserve">, </w:t>
      </w:r>
      <w:r w:rsidR="00ED7DD3">
        <w:rPr>
          <w:i/>
        </w:rPr>
        <w:t xml:space="preserve">John Rylands Library, </w:t>
      </w:r>
      <w:r w:rsidR="00ED7DD3">
        <w:t>Vol.</w:t>
      </w:r>
      <w:r w:rsidR="00F4755D">
        <w:t xml:space="preserve">31, 2, </w:t>
      </w:r>
      <w:r w:rsidR="0055254E">
        <w:t>(1948)</w:t>
      </w:r>
      <w:r w:rsidR="00407035">
        <w:t>,</w:t>
      </w:r>
      <w:r w:rsidR="0055254E">
        <w:t xml:space="preserve"> 295-310</w:t>
      </w:r>
      <w:r w:rsidR="00407035">
        <w:t xml:space="preserve"> (</w:t>
      </w:r>
      <w:r w:rsidR="006417DF">
        <w:t>p</w:t>
      </w:r>
      <w:r w:rsidR="00407035">
        <w:t xml:space="preserve">p. </w:t>
      </w:r>
      <w:r w:rsidR="006417DF">
        <w:t>296-303)</w:t>
      </w:r>
      <w:r w:rsidR="00353809">
        <w:t>.</w:t>
      </w:r>
    </w:p>
  </w:footnote>
  <w:footnote w:id="14">
    <w:p w14:paraId="75ED64E3" w14:textId="2441DE78" w:rsidR="00A43BD3" w:rsidRDefault="00A43BD3">
      <w:pPr>
        <w:pStyle w:val="FootnoteText"/>
      </w:pPr>
      <w:r>
        <w:rPr>
          <w:rStyle w:val="FootnoteReference"/>
        </w:rPr>
        <w:footnoteRef/>
      </w:r>
      <w:r>
        <w:t xml:space="preserve"> Ibid</w:t>
      </w:r>
      <w:r w:rsidR="006417DF">
        <w:t>.</w:t>
      </w:r>
      <w:r>
        <w:t xml:space="preserve"> </w:t>
      </w:r>
      <w:r w:rsidR="006417DF">
        <w:t>p.</w:t>
      </w:r>
      <w:r>
        <w:t>297</w:t>
      </w:r>
      <w:r w:rsidR="006E36A9">
        <w:t>.</w:t>
      </w:r>
    </w:p>
  </w:footnote>
  <w:footnote w:id="15">
    <w:p w14:paraId="693162E9" w14:textId="77777777" w:rsidR="00F564D3" w:rsidRDefault="00F564D3" w:rsidP="00F564D3">
      <w:pPr>
        <w:pStyle w:val="FootnoteText"/>
      </w:pPr>
      <w:r>
        <w:rPr>
          <w:rStyle w:val="FootnoteReference"/>
        </w:rPr>
        <w:footnoteRef/>
      </w:r>
      <w:r>
        <w:t xml:space="preserve"> The Annals of Dunstable Priory, Trans. </w:t>
      </w:r>
      <w:proofErr w:type="spellStart"/>
      <w:proofErr w:type="gramStart"/>
      <w:r>
        <w:t>D.Preet</w:t>
      </w:r>
      <w:proofErr w:type="spellEnd"/>
      <w:proofErr w:type="gramEnd"/>
      <w:r>
        <w:t>, ed. Intro. H, Webster (Woodbridge: Boydell&amp;Brewer,2018).</w:t>
      </w:r>
    </w:p>
  </w:footnote>
  <w:footnote w:id="16">
    <w:p w14:paraId="0DA96EFA" w14:textId="77777777" w:rsidR="00896CCF" w:rsidRDefault="00896CCF" w:rsidP="00896CCF">
      <w:pPr>
        <w:pStyle w:val="FootnoteText"/>
      </w:pPr>
      <w:r>
        <w:rPr>
          <w:rStyle w:val="FootnoteReference"/>
        </w:rPr>
        <w:footnoteRef/>
      </w:r>
      <w:r>
        <w:t xml:space="preserve"> Ralph, </w:t>
      </w:r>
      <w:r w:rsidRPr="00897A8B">
        <w:t xml:space="preserve">Chronicon </w:t>
      </w:r>
      <w:proofErr w:type="spellStart"/>
      <w:r w:rsidRPr="00897A8B">
        <w:t>Anglicanu</w:t>
      </w:r>
      <w:r>
        <w:t>m</w:t>
      </w:r>
      <w:proofErr w:type="spellEnd"/>
      <w:r>
        <w:t>, 2012.</w:t>
      </w:r>
    </w:p>
  </w:footnote>
  <w:footnote w:id="17">
    <w:p w14:paraId="38132E4F" w14:textId="77777777" w:rsidR="00896CCF" w:rsidRDefault="00896CCF" w:rsidP="00896CCF">
      <w:pPr>
        <w:pStyle w:val="FootnoteText"/>
      </w:pPr>
      <w:r>
        <w:rPr>
          <w:rStyle w:val="FootnoteReference"/>
        </w:rPr>
        <w:footnoteRef/>
      </w:r>
      <w:r>
        <w:t xml:space="preserve"> J. Madden, ‘The Catholic Historical Review’ </w:t>
      </w:r>
      <w:r w:rsidRPr="0006182D">
        <w:t>Business Monks, Banker Monks, Bankrupt Monks: The English Cistercians in the Thirteenth Century</w:t>
      </w:r>
      <w:r>
        <w:t>, Vol. 49(3) (1963), 351-360 (p. 351).</w:t>
      </w:r>
    </w:p>
  </w:footnote>
  <w:footnote w:id="18">
    <w:p w14:paraId="5F62256D" w14:textId="30A81B32" w:rsidR="00CB171F" w:rsidRDefault="00CB171F">
      <w:pPr>
        <w:pStyle w:val="FootnoteText"/>
      </w:pPr>
      <w:r>
        <w:rPr>
          <w:rStyle w:val="FootnoteReference"/>
        </w:rPr>
        <w:footnoteRef/>
      </w:r>
      <w:r w:rsidR="00CE505C">
        <w:t xml:space="preserve"> </w:t>
      </w:r>
      <w:bookmarkStart w:id="9" w:name="_Hlk526526860"/>
      <w:r w:rsidR="00CE505C">
        <w:t>M. Staunton,</w:t>
      </w:r>
      <w:r w:rsidR="004A05B5">
        <w:t xml:space="preserve"> </w:t>
      </w:r>
      <w:r w:rsidR="004A05B5">
        <w:rPr>
          <w:i/>
        </w:rPr>
        <w:t>The Historians of Angevin England</w:t>
      </w:r>
      <w:r w:rsidR="00E0756F">
        <w:rPr>
          <w:i/>
        </w:rPr>
        <w:t xml:space="preserve"> </w:t>
      </w:r>
      <w:r w:rsidR="00E0756F">
        <w:t>(Oxford: Oxford University Press</w:t>
      </w:r>
      <w:r w:rsidR="003F597C">
        <w:t>, 2017)</w:t>
      </w:r>
      <w:r w:rsidR="00A15CFB" w:rsidRPr="00A15CFB">
        <w:t xml:space="preserve"> p</w:t>
      </w:r>
      <w:r w:rsidR="00550C1C">
        <w:t xml:space="preserve">. </w:t>
      </w:r>
      <w:r w:rsidR="00A15CFB" w:rsidRPr="00A15CFB">
        <w:t>125</w:t>
      </w:r>
      <w:r w:rsidR="00550C1C">
        <w:t>.</w:t>
      </w:r>
      <w:bookmarkEnd w:id="9"/>
    </w:p>
  </w:footnote>
  <w:footnote w:id="19">
    <w:p w14:paraId="4234D714" w14:textId="2B01E4E6" w:rsidR="007929DD" w:rsidRDefault="007929DD">
      <w:pPr>
        <w:pStyle w:val="FootnoteText"/>
      </w:pPr>
      <w:r>
        <w:rPr>
          <w:rStyle w:val="FootnoteReference"/>
        </w:rPr>
        <w:footnoteRef/>
      </w:r>
      <w:r>
        <w:t xml:space="preserve"> </w:t>
      </w:r>
      <w:r w:rsidR="000B2011">
        <w:t xml:space="preserve">Ralph, </w:t>
      </w:r>
      <w:r w:rsidR="000B2011" w:rsidRPr="00897A8B">
        <w:t xml:space="preserve">Chronicon </w:t>
      </w:r>
      <w:proofErr w:type="spellStart"/>
      <w:r w:rsidR="000B2011" w:rsidRPr="00897A8B">
        <w:t>Anglicanu</w:t>
      </w:r>
      <w:r w:rsidR="000B2011">
        <w:t>m</w:t>
      </w:r>
      <w:proofErr w:type="spellEnd"/>
      <w:r w:rsidR="000B2011">
        <w:t>, 2012.</w:t>
      </w:r>
    </w:p>
  </w:footnote>
  <w:footnote w:id="20">
    <w:p w14:paraId="134B6CB1" w14:textId="77777777" w:rsidR="00182791" w:rsidRDefault="00182791" w:rsidP="00182791">
      <w:pPr>
        <w:pStyle w:val="FootnoteText"/>
      </w:pPr>
      <w:r>
        <w:rPr>
          <w:rStyle w:val="FootnoteReference"/>
        </w:rPr>
        <w:footnoteRef/>
      </w:r>
      <w:r>
        <w:t xml:space="preserve"> Ralph, </w:t>
      </w:r>
      <w:r w:rsidRPr="00897A8B">
        <w:t xml:space="preserve">Chronicon </w:t>
      </w:r>
      <w:proofErr w:type="spellStart"/>
      <w:r w:rsidRPr="00897A8B">
        <w:t>Anglicanu</w:t>
      </w:r>
      <w:r>
        <w:t>m</w:t>
      </w:r>
      <w:proofErr w:type="spellEnd"/>
      <w:r>
        <w:t>, 2012.</w:t>
      </w:r>
    </w:p>
  </w:footnote>
  <w:footnote w:id="21">
    <w:p w14:paraId="4F9586C9" w14:textId="77777777" w:rsidR="00182791" w:rsidRDefault="00182791" w:rsidP="00182791">
      <w:pPr>
        <w:pStyle w:val="FootnoteText"/>
      </w:pPr>
      <w:r>
        <w:rPr>
          <w:rStyle w:val="FootnoteReference"/>
        </w:rPr>
        <w:footnoteRef/>
      </w:r>
      <w:r>
        <w:t xml:space="preserve"> Ibid.</w:t>
      </w:r>
    </w:p>
  </w:footnote>
  <w:footnote w:id="22">
    <w:p w14:paraId="32B58FDA" w14:textId="0E0062C9" w:rsidR="00182931" w:rsidRPr="00771F8B" w:rsidRDefault="00182931">
      <w:pPr>
        <w:pStyle w:val="FootnoteText"/>
      </w:pPr>
      <w:r>
        <w:rPr>
          <w:rStyle w:val="FootnoteReference"/>
        </w:rPr>
        <w:footnoteRef/>
      </w:r>
      <w:r>
        <w:t xml:space="preserve"> </w:t>
      </w:r>
      <w:bookmarkStart w:id="10" w:name="_Hlk526526635"/>
      <w:r w:rsidR="008122E4">
        <w:t>J. Bryce, ‘</w:t>
      </w:r>
      <w:r w:rsidR="008122E4">
        <w:rPr>
          <w:i/>
        </w:rPr>
        <w:t>The Holy Roman Empire’</w:t>
      </w:r>
      <w:r w:rsidR="001E4AA5">
        <w:rPr>
          <w:i/>
        </w:rPr>
        <w:t xml:space="preserve"> </w:t>
      </w:r>
      <w:r w:rsidR="00771F8B">
        <w:t>(</w:t>
      </w:r>
      <w:proofErr w:type="spellStart"/>
      <w:r w:rsidR="00490C08">
        <w:t>Jazzybee</w:t>
      </w:r>
      <w:proofErr w:type="spellEnd"/>
      <w:r w:rsidR="00490C08">
        <w:t xml:space="preserve"> Verlag</w:t>
      </w:r>
      <w:r w:rsidR="00BA2B99">
        <w:t>:</w:t>
      </w:r>
      <w:r w:rsidR="00490C08">
        <w:t xml:space="preserve"> </w:t>
      </w:r>
      <w:r w:rsidR="001E4AA5" w:rsidRPr="00771F8B">
        <w:t>M</w:t>
      </w:r>
      <w:r w:rsidR="00771F8B" w:rsidRPr="00771F8B">
        <w:t>acmillan</w:t>
      </w:r>
      <w:r w:rsidR="00771F8B">
        <w:t>, 1918)</w:t>
      </w:r>
      <w:r w:rsidR="00490C08">
        <w:t xml:space="preserve"> p. </w:t>
      </w:r>
      <w:r w:rsidR="006D149D" w:rsidRPr="00771F8B">
        <w:t>129</w:t>
      </w:r>
      <w:bookmarkEnd w:id="10"/>
      <w:r w:rsidR="006E36A9">
        <w:t>.</w:t>
      </w:r>
    </w:p>
  </w:footnote>
  <w:footnote w:id="23">
    <w:p w14:paraId="24B17CF6" w14:textId="0037C7F6" w:rsidR="00337995" w:rsidRPr="00771F8B" w:rsidRDefault="00337995">
      <w:pPr>
        <w:pStyle w:val="FootnoteText"/>
      </w:pPr>
      <w:r w:rsidRPr="00771F8B">
        <w:rPr>
          <w:rStyle w:val="FootnoteReference"/>
        </w:rPr>
        <w:footnoteRef/>
      </w:r>
      <w:r w:rsidRPr="00771F8B">
        <w:t xml:space="preserve"> Davis</w:t>
      </w:r>
      <w:r w:rsidR="001552AC">
        <w:t>, Medieval Europe,</w:t>
      </w:r>
      <w:r w:rsidRPr="00771F8B">
        <w:t xml:space="preserve"> </w:t>
      </w:r>
      <w:r w:rsidR="00D841F8" w:rsidRPr="00771F8B">
        <w:t>p</w:t>
      </w:r>
      <w:r w:rsidR="001552AC">
        <w:t xml:space="preserve"> </w:t>
      </w:r>
      <w:r w:rsidR="00D841F8" w:rsidRPr="00771F8B">
        <w:t>347</w:t>
      </w:r>
      <w:r w:rsidR="001552AC">
        <w:t>.</w:t>
      </w:r>
    </w:p>
  </w:footnote>
  <w:footnote w:id="24">
    <w:p w14:paraId="7206440A" w14:textId="77777777" w:rsidR="00524EB0" w:rsidRDefault="00524EB0" w:rsidP="00524EB0">
      <w:pPr>
        <w:pStyle w:val="FootnoteText"/>
      </w:pPr>
      <w:r>
        <w:rPr>
          <w:rStyle w:val="FootnoteReference"/>
        </w:rPr>
        <w:footnoteRef/>
      </w:r>
      <w:r>
        <w:t xml:space="preserve"> </w:t>
      </w:r>
      <w:proofErr w:type="spellStart"/>
      <w:r>
        <w:t>I.Penn</w:t>
      </w:r>
      <w:proofErr w:type="spellEnd"/>
      <w:r>
        <w:t>,</w:t>
      </w:r>
      <w:r w:rsidRPr="00661BB9">
        <w:t xml:space="preserve"> </w:t>
      </w:r>
      <w:r w:rsidRPr="00661BB9">
        <w:rPr>
          <w:i/>
        </w:rPr>
        <w:t>Dogma Evolution &amp; Papal Fallacies</w:t>
      </w:r>
      <w:r>
        <w:rPr>
          <w:i/>
        </w:rPr>
        <w:t>,</w:t>
      </w:r>
      <w:r>
        <w:t xml:space="preserve"> (Milton Keynes: </w:t>
      </w:r>
      <w:proofErr w:type="spellStart"/>
      <w:r>
        <w:t>AuthorHouse</w:t>
      </w:r>
      <w:proofErr w:type="spellEnd"/>
      <w:r>
        <w:t>, 2007), p. 129.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FE9F6" w14:textId="64C89847" w:rsidR="00F31733" w:rsidRDefault="00F31733">
    <w:pPr>
      <w:pStyle w:val="Header"/>
    </w:pPr>
    <w:r>
      <w:t>Lee Perkins</w:t>
    </w:r>
    <w:r>
      <w:tab/>
      <w:t>Medieval Studies</w:t>
    </w:r>
    <w:r>
      <w:tab/>
      <w:t>1711094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733"/>
    <w:rsid w:val="00011ADF"/>
    <w:rsid w:val="000227B6"/>
    <w:rsid w:val="000234A6"/>
    <w:rsid w:val="0002361D"/>
    <w:rsid w:val="00026097"/>
    <w:rsid w:val="000333CB"/>
    <w:rsid w:val="00042D55"/>
    <w:rsid w:val="00045950"/>
    <w:rsid w:val="00045B23"/>
    <w:rsid w:val="000473CF"/>
    <w:rsid w:val="000479B4"/>
    <w:rsid w:val="0005636A"/>
    <w:rsid w:val="0006182D"/>
    <w:rsid w:val="000629BB"/>
    <w:rsid w:val="00062A4F"/>
    <w:rsid w:val="000765ED"/>
    <w:rsid w:val="000768C1"/>
    <w:rsid w:val="00086C0E"/>
    <w:rsid w:val="00090B52"/>
    <w:rsid w:val="00091624"/>
    <w:rsid w:val="00091BBD"/>
    <w:rsid w:val="00091E7D"/>
    <w:rsid w:val="0009459B"/>
    <w:rsid w:val="000A05BB"/>
    <w:rsid w:val="000A6DF2"/>
    <w:rsid w:val="000B2011"/>
    <w:rsid w:val="000B264F"/>
    <w:rsid w:val="000B4DC6"/>
    <w:rsid w:val="000B5893"/>
    <w:rsid w:val="000B75AD"/>
    <w:rsid w:val="000C2ED9"/>
    <w:rsid w:val="000C3696"/>
    <w:rsid w:val="000D4740"/>
    <w:rsid w:val="000D6477"/>
    <w:rsid w:val="000E283F"/>
    <w:rsid w:val="000E4772"/>
    <w:rsid w:val="000E55DA"/>
    <w:rsid w:val="000E59AC"/>
    <w:rsid w:val="000E7783"/>
    <w:rsid w:val="000F1215"/>
    <w:rsid w:val="000F4E7E"/>
    <w:rsid w:val="000F57AF"/>
    <w:rsid w:val="000F6849"/>
    <w:rsid w:val="000F6BE1"/>
    <w:rsid w:val="000F7147"/>
    <w:rsid w:val="00103296"/>
    <w:rsid w:val="00103B1A"/>
    <w:rsid w:val="00105AC4"/>
    <w:rsid w:val="00111E7D"/>
    <w:rsid w:val="001166EB"/>
    <w:rsid w:val="00123ED6"/>
    <w:rsid w:val="0013555F"/>
    <w:rsid w:val="00135F5D"/>
    <w:rsid w:val="00140FFC"/>
    <w:rsid w:val="00150A21"/>
    <w:rsid w:val="00150EB5"/>
    <w:rsid w:val="00151920"/>
    <w:rsid w:val="00153B80"/>
    <w:rsid w:val="001552AC"/>
    <w:rsid w:val="0015601D"/>
    <w:rsid w:val="00160AED"/>
    <w:rsid w:val="00161C46"/>
    <w:rsid w:val="001628FF"/>
    <w:rsid w:val="001650C1"/>
    <w:rsid w:val="001750BE"/>
    <w:rsid w:val="00180AC5"/>
    <w:rsid w:val="00182791"/>
    <w:rsid w:val="00182931"/>
    <w:rsid w:val="001A4AE1"/>
    <w:rsid w:val="001A5725"/>
    <w:rsid w:val="001A70F1"/>
    <w:rsid w:val="001B29B6"/>
    <w:rsid w:val="001B518D"/>
    <w:rsid w:val="001B7D2B"/>
    <w:rsid w:val="001C085A"/>
    <w:rsid w:val="001C1FF0"/>
    <w:rsid w:val="001C3E9B"/>
    <w:rsid w:val="001D2B5C"/>
    <w:rsid w:val="001E2CB4"/>
    <w:rsid w:val="001E4A2B"/>
    <w:rsid w:val="001E4AA5"/>
    <w:rsid w:val="001E60B1"/>
    <w:rsid w:val="001F27BD"/>
    <w:rsid w:val="001F7F45"/>
    <w:rsid w:val="00212FE2"/>
    <w:rsid w:val="0021351A"/>
    <w:rsid w:val="0022337E"/>
    <w:rsid w:val="00226C22"/>
    <w:rsid w:val="00227A31"/>
    <w:rsid w:val="00234496"/>
    <w:rsid w:val="0024352B"/>
    <w:rsid w:val="00247029"/>
    <w:rsid w:val="002507E1"/>
    <w:rsid w:val="00252333"/>
    <w:rsid w:val="00263413"/>
    <w:rsid w:val="00263D42"/>
    <w:rsid w:val="00263DB3"/>
    <w:rsid w:val="0026571B"/>
    <w:rsid w:val="00271B45"/>
    <w:rsid w:val="00276083"/>
    <w:rsid w:val="00287FDB"/>
    <w:rsid w:val="00290146"/>
    <w:rsid w:val="00290719"/>
    <w:rsid w:val="0029416C"/>
    <w:rsid w:val="00297074"/>
    <w:rsid w:val="00297943"/>
    <w:rsid w:val="002A635F"/>
    <w:rsid w:val="002A7ABE"/>
    <w:rsid w:val="002B7ACB"/>
    <w:rsid w:val="002C09BA"/>
    <w:rsid w:val="002C6CA1"/>
    <w:rsid w:val="002D68DF"/>
    <w:rsid w:val="002E2F53"/>
    <w:rsid w:val="002F78DA"/>
    <w:rsid w:val="0030488A"/>
    <w:rsid w:val="00305204"/>
    <w:rsid w:val="00307A6C"/>
    <w:rsid w:val="003121F1"/>
    <w:rsid w:val="00313930"/>
    <w:rsid w:val="003243B3"/>
    <w:rsid w:val="00325098"/>
    <w:rsid w:val="003253EE"/>
    <w:rsid w:val="00327A9C"/>
    <w:rsid w:val="00331063"/>
    <w:rsid w:val="003317C5"/>
    <w:rsid w:val="00333B5A"/>
    <w:rsid w:val="00335B10"/>
    <w:rsid w:val="00337995"/>
    <w:rsid w:val="0034007A"/>
    <w:rsid w:val="003426D8"/>
    <w:rsid w:val="00344940"/>
    <w:rsid w:val="003502AB"/>
    <w:rsid w:val="00353809"/>
    <w:rsid w:val="0035664E"/>
    <w:rsid w:val="00361581"/>
    <w:rsid w:val="00377D45"/>
    <w:rsid w:val="003825C5"/>
    <w:rsid w:val="00396463"/>
    <w:rsid w:val="003A04F6"/>
    <w:rsid w:val="003A0E8B"/>
    <w:rsid w:val="003A1E74"/>
    <w:rsid w:val="003A1F11"/>
    <w:rsid w:val="003A20D0"/>
    <w:rsid w:val="003A4A49"/>
    <w:rsid w:val="003B26ED"/>
    <w:rsid w:val="003B4D4E"/>
    <w:rsid w:val="003B53BD"/>
    <w:rsid w:val="003C69E6"/>
    <w:rsid w:val="003D0EF3"/>
    <w:rsid w:val="003D581C"/>
    <w:rsid w:val="003E2E86"/>
    <w:rsid w:val="003E4E62"/>
    <w:rsid w:val="003E772C"/>
    <w:rsid w:val="003F3413"/>
    <w:rsid w:val="003F597C"/>
    <w:rsid w:val="003F6C48"/>
    <w:rsid w:val="00404C97"/>
    <w:rsid w:val="004069F8"/>
    <w:rsid w:val="00407035"/>
    <w:rsid w:val="004137C8"/>
    <w:rsid w:val="00417399"/>
    <w:rsid w:val="00421614"/>
    <w:rsid w:val="00422F7D"/>
    <w:rsid w:val="004231CD"/>
    <w:rsid w:val="00423585"/>
    <w:rsid w:val="004252ED"/>
    <w:rsid w:val="00426320"/>
    <w:rsid w:val="004302BF"/>
    <w:rsid w:val="00434B3D"/>
    <w:rsid w:val="00440356"/>
    <w:rsid w:val="00444C7D"/>
    <w:rsid w:val="004454A1"/>
    <w:rsid w:val="004501AB"/>
    <w:rsid w:val="00451649"/>
    <w:rsid w:val="004545D2"/>
    <w:rsid w:val="00456827"/>
    <w:rsid w:val="00456B93"/>
    <w:rsid w:val="00462700"/>
    <w:rsid w:val="00463B3B"/>
    <w:rsid w:val="004677ED"/>
    <w:rsid w:val="00470E0C"/>
    <w:rsid w:val="00472081"/>
    <w:rsid w:val="00475E8B"/>
    <w:rsid w:val="004870FA"/>
    <w:rsid w:val="004906A1"/>
    <w:rsid w:val="00490C08"/>
    <w:rsid w:val="00495964"/>
    <w:rsid w:val="0049787D"/>
    <w:rsid w:val="004979D7"/>
    <w:rsid w:val="004A05B5"/>
    <w:rsid w:val="004A17BB"/>
    <w:rsid w:val="004A191E"/>
    <w:rsid w:val="004A26A0"/>
    <w:rsid w:val="004A2A45"/>
    <w:rsid w:val="004A5781"/>
    <w:rsid w:val="004A795D"/>
    <w:rsid w:val="004B1FF2"/>
    <w:rsid w:val="004B20C0"/>
    <w:rsid w:val="004B63C3"/>
    <w:rsid w:val="004D6E1B"/>
    <w:rsid w:val="004E32A4"/>
    <w:rsid w:val="004E3E2F"/>
    <w:rsid w:val="004E41C1"/>
    <w:rsid w:val="004F4F72"/>
    <w:rsid w:val="004F66C0"/>
    <w:rsid w:val="004F72C0"/>
    <w:rsid w:val="00501C6F"/>
    <w:rsid w:val="00504767"/>
    <w:rsid w:val="005150D1"/>
    <w:rsid w:val="00524EB0"/>
    <w:rsid w:val="005406CC"/>
    <w:rsid w:val="00543DDE"/>
    <w:rsid w:val="00550C1C"/>
    <w:rsid w:val="0055254E"/>
    <w:rsid w:val="005531D9"/>
    <w:rsid w:val="00555AD6"/>
    <w:rsid w:val="005612C1"/>
    <w:rsid w:val="005613BD"/>
    <w:rsid w:val="00561B67"/>
    <w:rsid w:val="00561CA6"/>
    <w:rsid w:val="00572C94"/>
    <w:rsid w:val="0057780E"/>
    <w:rsid w:val="005850B0"/>
    <w:rsid w:val="005871AB"/>
    <w:rsid w:val="005873AE"/>
    <w:rsid w:val="005877BB"/>
    <w:rsid w:val="00592B18"/>
    <w:rsid w:val="005936A9"/>
    <w:rsid w:val="005A05B9"/>
    <w:rsid w:val="005A1280"/>
    <w:rsid w:val="005A3505"/>
    <w:rsid w:val="005A46B1"/>
    <w:rsid w:val="005B0448"/>
    <w:rsid w:val="005B0685"/>
    <w:rsid w:val="005B1C59"/>
    <w:rsid w:val="005B3419"/>
    <w:rsid w:val="005B7316"/>
    <w:rsid w:val="005D0907"/>
    <w:rsid w:val="005D0A6C"/>
    <w:rsid w:val="005E3BD5"/>
    <w:rsid w:val="005E425B"/>
    <w:rsid w:val="005E4929"/>
    <w:rsid w:val="005E68AA"/>
    <w:rsid w:val="005F1184"/>
    <w:rsid w:val="005F65B9"/>
    <w:rsid w:val="00601240"/>
    <w:rsid w:val="00621269"/>
    <w:rsid w:val="00624F2E"/>
    <w:rsid w:val="00625D9E"/>
    <w:rsid w:val="00626ECB"/>
    <w:rsid w:val="00633910"/>
    <w:rsid w:val="00636E3B"/>
    <w:rsid w:val="006417DF"/>
    <w:rsid w:val="006459E0"/>
    <w:rsid w:val="00661BB9"/>
    <w:rsid w:val="00685BA6"/>
    <w:rsid w:val="00687A6E"/>
    <w:rsid w:val="00690B33"/>
    <w:rsid w:val="00695F50"/>
    <w:rsid w:val="00697355"/>
    <w:rsid w:val="006A3805"/>
    <w:rsid w:val="006C0721"/>
    <w:rsid w:val="006C087A"/>
    <w:rsid w:val="006C1C9D"/>
    <w:rsid w:val="006C69EC"/>
    <w:rsid w:val="006D149D"/>
    <w:rsid w:val="006D279C"/>
    <w:rsid w:val="006D48DE"/>
    <w:rsid w:val="006D52DA"/>
    <w:rsid w:val="006D60C7"/>
    <w:rsid w:val="006D6E91"/>
    <w:rsid w:val="006E1DCA"/>
    <w:rsid w:val="006E33DD"/>
    <w:rsid w:val="006E36A9"/>
    <w:rsid w:val="006F2CDB"/>
    <w:rsid w:val="007060A3"/>
    <w:rsid w:val="00710D85"/>
    <w:rsid w:val="007115C2"/>
    <w:rsid w:val="0071346C"/>
    <w:rsid w:val="00715B63"/>
    <w:rsid w:val="00721D7C"/>
    <w:rsid w:val="00734BE6"/>
    <w:rsid w:val="007407C1"/>
    <w:rsid w:val="007421EA"/>
    <w:rsid w:val="00744938"/>
    <w:rsid w:val="00746FE5"/>
    <w:rsid w:val="00764DA4"/>
    <w:rsid w:val="0076592B"/>
    <w:rsid w:val="00767187"/>
    <w:rsid w:val="00771F8B"/>
    <w:rsid w:val="00772879"/>
    <w:rsid w:val="00782340"/>
    <w:rsid w:val="0078409E"/>
    <w:rsid w:val="007843A6"/>
    <w:rsid w:val="00785146"/>
    <w:rsid w:val="00792856"/>
    <w:rsid w:val="007929DD"/>
    <w:rsid w:val="00795E3C"/>
    <w:rsid w:val="007A45A1"/>
    <w:rsid w:val="007A7175"/>
    <w:rsid w:val="007B230A"/>
    <w:rsid w:val="007B2F87"/>
    <w:rsid w:val="007B70A9"/>
    <w:rsid w:val="007C3CC3"/>
    <w:rsid w:val="007C4594"/>
    <w:rsid w:val="007D05DE"/>
    <w:rsid w:val="007E36CA"/>
    <w:rsid w:val="007E6406"/>
    <w:rsid w:val="007E6A93"/>
    <w:rsid w:val="007E7244"/>
    <w:rsid w:val="007F0EB9"/>
    <w:rsid w:val="007F6BDF"/>
    <w:rsid w:val="00805D86"/>
    <w:rsid w:val="008078C1"/>
    <w:rsid w:val="00810C61"/>
    <w:rsid w:val="008122E4"/>
    <w:rsid w:val="0082394E"/>
    <w:rsid w:val="00824E7A"/>
    <w:rsid w:val="008303C0"/>
    <w:rsid w:val="00830738"/>
    <w:rsid w:val="00833C53"/>
    <w:rsid w:val="0085131D"/>
    <w:rsid w:val="00861A50"/>
    <w:rsid w:val="00864EBE"/>
    <w:rsid w:val="00866882"/>
    <w:rsid w:val="0088320E"/>
    <w:rsid w:val="00883E5A"/>
    <w:rsid w:val="00886DF1"/>
    <w:rsid w:val="00890844"/>
    <w:rsid w:val="00893612"/>
    <w:rsid w:val="0089690D"/>
    <w:rsid w:val="00896CCF"/>
    <w:rsid w:val="00897A8B"/>
    <w:rsid w:val="008A08AD"/>
    <w:rsid w:val="008A381C"/>
    <w:rsid w:val="008A3C9E"/>
    <w:rsid w:val="008A4B27"/>
    <w:rsid w:val="008A53FF"/>
    <w:rsid w:val="008A6675"/>
    <w:rsid w:val="008B1775"/>
    <w:rsid w:val="008B69DD"/>
    <w:rsid w:val="008C241C"/>
    <w:rsid w:val="008C3EE9"/>
    <w:rsid w:val="008D1F9A"/>
    <w:rsid w:val="008D2EDE"/>
    <w:rsid w:val="008E56A3"/>
    <w:rsid w:val="008F6A06"/>
    <w:rsid w:val="008F6B12"/>
    <w:rsid w:val="00902E44"/>
    <w:rsid w:val="009032F3"/>
    <w:rsid w:val="00904A0A"/>
    <w:rsid w:val="00911C5B"/>
    <w:rsid w:val="00914D79"/>
    <w:rsid w:val="009169E0"/>
    <w:rsid w:val="00920480"/>
    <w:rsid w:val="00920701"/>
    <w:rsid w:val="00922501"/>
    <w:rsid w:val="00930665"/>
    <w:rsid w:val="009339DC"/>
    <w:rsid w:val="00935E35"/>
    <w:rsid w:val="00941AD0"/>
    <w:rsid w:val="00942F7C"/>
    <w:rsid w:val="0094605A"/>
    <w:rsid w:val="00952A0B"/>
    <w:rsid w:val="00953E7D"/>
    <w:rsid w:val="009614AA"/>
    <w:rsid w:val="009631F1"/>
    <w:rsid w:val="00963352"/>
    <w:rsid w:val="00964C64"/>
    <w:rsid w:val="00967017"/>
    <w:rsid w:val="00970166"/>
    <w:rsid w:val="00980643"/>
    <w:rsid w:val="009846E4"/>
    <w:rsid w:val="009A545A"/>
    <w:rsid w:val="009A766E"/>
    <w:rsid w:val="009B5D3A"/>
    <w:rsid w:val="009C53FA"/>
    <w:rsid w:val="009C74F9"/>
    <w:rsid w:val="009D0A2B"/>
    <w:rsid w:val="009D1375"/>
    <w:rsid w:val="009D4EF3"/>
    <w:rsid w:val="009E1070"/>
    <w:rsid w:val="009E2AAB"/>
    <w:rsid w:val="009E2E8C"/>
    <w:rsid w:val="009E5793"/>
    <w:rsid w:val="00A072A6"/>
    <w:rsid w:val="00A1145D"/>
    <w:rsid w:val="00A15CFB"/>
    <w:rsid w:val="00A22C60"/>
    <w:rsid w:val="00A2799D"/>
    <w:rsid w:val="00A31AF1"/>
    <w:rsid w:val="00A32E3D"/>
    <w:rsid w:val="00A43BD3"/>
    <w:rsid w:val="00A45BAE"/>
    <w:rsid w:val="00A47662"/>
    <w:rsid w:val="00A52392"/>
    <w:rsid w:val="00A5265A"/>
    <w:rsid w:val="00A529AD"/>
    <w:rsid w:val="00A533D9"/>
    <w:rsid w:val="00A53768"/>
    <w:rsid w:val="00A6302B"/>
    <w:rsid w:val="00A651A9"/>
    <w:rsid w:val="00A7285C"/>
    <w:rsid w:val="00A80667"/>
    <w:rsid w:val="00A82A49"/>
    <w:rsid w:val="00A852D6"/>
    <w:rsid w:val="00A930C1"/>
    <w:rsid w:val="00A93F97"/>
    <w:rsid w:val="00A96534"/>
    <w:rsid w:val="00AA0D13"/>
    <w:rsid w:val="00AA5F0A"/>
    <w:rsid w:val="00AB1AE6"/>
    <w:rsid w:val="00AB5AA6"/>
    <w:rsid w:val="00AB5C5A"/>
    <w:rsid w:val="00AB668C"/>
    <w:rsid w:val="00AB7B83"/>
    <w:rsid w:val="00AC4DCC"/>
    <w:rsid w:val="00AD10F5"/>
    <w:rsid w:val="00AD3679"/>
    <w:rsid w:val="00AE1D89"/>
    <w:rsid w:val="00AF5978"/>
    <w:rsid w:val="00AF67A6"/>
    <w:rsid w:val="00B0080D"/>
    <w:rsid w:val="00B02975"/>
    <w:rsid w:val="00B0324B"/>
    <w:rsid w:val="00B07AB0"/>
    <w:rsid w:val="00B17A4B"/>
    <w:rsid w:val="00B20B23"/>
    <w:rsid w:val="00B21862"/>
    <w:rsid w:val="00B22497"/>
    <w:rsid w:val="00B34000"/>
    <w:rsid w:val="00B3793A"/>
    <w:rsid w:val="00B44279"/>
    <w:rsid w:val="00B4566E"/>
    <w:rsid w:val="00B51A62"/>
    <w:rsid w:val="00B54782"/>
    <w:rsid w:val="00B55222"/>
    <w:rsid w:val="00B64942"/>
    <w:rsid w:val="00B7156E"/>
    <w:rsid w:val="00B73DD6"/>
    <w:rsid w:val="00B74A65"/>
    <w:rsid w:val="00B74EFB"/>
    <w:rsid w:val="00B83DCA"/>
    <w:rsid w:val="00B843A2"/>
    <w:rsid w:val="00B91167"/>
    <w:rsid w:val="00B92DD6"/>
    <w:rsid w:val="00BA11A5"/>
    <w:rsid w:val="00BA2B99"/>
    <w:rsid w:val="00BA7977"/>
    <w:rsid w:val="00BC087A"/>
    <w:rsid w:val="00BC3CEC"/>
    <w:rsid w:val="00BC5FE9"/>
    <w:rsid w:val="00BD39A1"/>
    <w:rsid w:val="00BD562D"/>
    <w:rsid w:val="00BE10D9"/>
    <w:rsid w:val="00BE621F"/>
    <w:rsid w:val="00BE6346"/>
    <w:rsid w:val="00BE7990"/>
    <w:rsid w:val="00BE7B24"/>
    <w:rsid w:val="00BF0B7D"/>
    <w:rsid w:val="00C0337E"/>
    <w:rsid w:val="00C03FEA"/>
    <w:rsid w:val="00C07331"/>
    <w:rsid w:val="00C10DEF"/>
    <w:rsid w:val="00C12877"/>
    <w:rsid w:val="00C14620"/>
    <w:rsid w:val="00C21A1B"/>
    <w:rsid w:val="00C25FF9"/>
    <w:rsid w:val="00C26884"/>
    <w:rsid w:val="00C279CC"/>
    <w:rsid w:val="00C32800"/>
    <w:rsid w:val="00C40D3F"/>
    <w:rsid w:val="00C4146C"/>
    <w:rsid w:val="00C46EDB"/>
    <w:rsid w:val="00C5452E"/>
    <w:rsid w:val="00C54852"/>
    <w:rsid w:val="00C54C25"/>
    <w:rsid w:val="00C5789E"/>
    <w:rsid w:val="00C6028D"/>
    <w:rsid w:val="00C646D3"/>
    <w:rsid w:val="00C650FE"/>
    <w:rsid w:val="00C73C9C"/>
    <w:rsid w:val="00C74624"/>
    <w:rsid w:val="00C8021B"/>
    <w:rsid w:val="00C8161A"/>
    <w:rsid w:val="00C8710E"/>
    <w:rsid w:val="00C9045C"/>
    <w:rsid w:val="00C90571"/>
    <w:rsid w:val="00C96953"/>
    <w:rsid w:val="00C977E9"/>
    <w:rsid w:val="00CA4D9A"/>
    <w:rsid w:val="00CB171F"/>
    <w:rsid w:val="00CB1D38"/>
    <w:rsid w:val="00CB3716"/>
    <w:rsid w:val="00CB5CDD"/>
    <w:rsid w:val="00CC1546"/>
    <w:rsid w:val="00CC29C0"/>
    <w:rsid w:val="00CC4B7A"/>
    <w:rsid w:val="00CC6879"/>
    <w:rsid w:val="00CD2229"/>
    <w:rsid w:val="00CD335A"/>
    <w:rsid w:val="00CD4178"/>
    <w:rsid w:val="00CE06E5"/>
    <w:rsid w:val="00CE0FA8"/>
    <w:rsid w:val="00CE1B51"/>
    <w:rsid w:val="00CE505C"/>
    <w:rsid w:val="00CF3602"/>
    <w:rsid w:val="00CF4713"/>
    <w:rsid w:val="00D019C2"/>
    <w:rsid w:val="00D070BC"/>
    <w:rsid w:val="00D07C9F"/>
    <w:rsid w:val="00D156B3"/>
    <w:rsid w:val="00D17209"/>
    <w:rsid w:val="00D23581"/>
    <w:rsid w:val="00D26658"/>
    <w:rsid w:val="00D31259"/>
    <w:rsid w:val="00D3179B"/>
    <w:rsid w:val="00D3485A"/>
    <w:rsid w:val="00D349C0"/>
    <w:rsid w:val="00D36E0F"/>
    <w:rsid w:val="00D421CB"/>
    <w:rsid w:val="00D43BA3"/>
    <w:rsid w:val="00D44E13"/>
    <w:rsid w:val="00D53A3C"/>
    <w:rsid w:val="00D60BAE"/>
    <w:rsid w:val="00D665A3"/>
    <w:rsid w:val="00D665B8"/>
    <w:rsid w:val="00D71328"/>
    <w:rsid w:val="00D71BAA"/>
    <w:rsid w:val="00D72528"/>
    <w:rsid w:val="00D7538D"/>
    <w:rsid w:val="00D763F0"/>
    <w:rsid w:val="00D841F8"/>
    <w:rsid w:val="00D86705"/>
    <w:rsid w:val="00D869F0"/>
    <w:rsid w:val="00D87B33"/>
    <w:rsid w:val="00D91CFD"/>
    <w:rsid w:val="00D91E40"/>
    <w:rsid w:val="00D92C1B"/>
    <w:rsid w:val="00D93095"/>
    <w:rsid w:val="00D95532"/>
    <w:rsid w:val="00DA6C38"/>
    <w:rsid w:val="00DA72B2"/>
    <w:rsid w:val="00DC08B7"/>
    <w:rsid w:val="00DC11C4"/>
    <w:rsid w:val="00DC227D"/>
    <w:rsid w:val="00DC3EEE"/>
    <w:rsid w:val="00DD729B"/>
    <w:rsid w:val="00DE1154"/>
    <w:rsid w:val="00DE35E9"/>
    <w:rsid w:val="00DE4152"/>
    <w:rsid w:val="00DE459C"/>
    <w:rsid w:val="00DE51B4"/>
    <w:rsid w:val="00DF187F"/>
    <w:rsid w:val="00DF6390"/>
    <w:rsid w:val="00DF653D"/>
    <w:rsid w:val="00E013EF"/>
    <w:rsid w:val="00E02D6E"/>
    <w:rsid w:val="00E03B6D"/>
    <w:rsid w:val="00E0443C"/>
    <w:rsid w:val="00E0756F"/>
    <w:rsid w:val="00E13CEF"/>
    <w:rsid w:val="00E26AED"/>
    <w:rsid w:val="00E27240"/>
    <w:rsid w:val="00E30176"/>
    <w:rsid w:val="00E30DED"/>
    <w:rsid w:val="00E32272"/>
    <w:rsid w:val="00E36570"/>
    <w:rsid w:val="00E463B2"/>
    <w:rsid w:val="00E5158C"/>
    <w:rsid w:val="00E772A8"/>
    <w:rsid w:val="00E774F0"/>
    <w:rsid w:val="00E77711"/>
    <w:rsid w:val="00E84EE9"/>
    <w:rsid w:val="00E9504D"/>
    <w:rsid w:val="00E974EB"/>
    <w:rsid w:val="00EA51EA"/>
    <w:rsid w:val="00EA6DD8"/>
    <w:rsid w:val="00EA7D72"/>
    <w:rsid w:val="00EA7EE2"/>
    <w:rsid w:val="00EB1885"/>
    <w:rsid w:val="00EB57BB"/>
    <w:rsid w:val="00EB7174"/>
    <w:rsid w:val="00ED15CA"/>
    <w:rsid w:val="00ED3F90"/>
    <w:rsid w:val="00ED779D"/>
    <w:rsid w:val="00ED7DD3"/>
    <w:rsid w:val="00EE051A"/>
    <w:rsid w:val="00EE1EF5"/>
    <w:rsid w:val="00EE36B5"/>
    <w:rsid w:val="00EE5750"/>
    <w:rsid w:val="00EE6B90"/>
    <w:rsid w:val="00EF0400"/>
    <w:rsid w:val="00EF3DCE"/>
    <w:rsid w:val="00F011AB"/>
    <w:rsid w:val="00F0305F"/>
    <w:rsid w:val="00F06F08"/>
    <w:rsid w:val="00F12514"/>
    <w:rsid w:val="00F12AD2"/>
    <w:rsid w:val="00F13228"/>
    <w:rsid w:val="00F21B70"/>
    <w:rsid w:val="00F223CE"/>
    <w:rsid w:val="00F233A9"/>
    <w:rsid w:val="00F249DA"/>
    <w:rsid w:val="00F25AB8"/>
    <w:rsid w:val="00F311B8"/>
    <w:rsid w:val="00F31733"/>
    <w:rsid w:val="00F3387F"/>
    <w:rsid w:val="00F349BB"/>
    <w:rsid w:val="00F357AD"/>
    <w:rsid w:val="00F35EF1"/>
    <w:rsid w:val="00F361B5"/>
    <w:rsid w:val="00F4455E"/>
    <w:rsid w:val="00F47326"/>
    <w:rsid w:val="00F4755D"/>
    <w:rsid w:val="00F50EEF"/>
    <w:rsid w:val="00F5324A"/>
    <w:rsid w:val="00F564D3"/>
    <w:rsid w:val="00F6010A"/>
    <w:rsid w:val="00F60670"/>
    <w:rsid w:val="00F62D91"/>
    <w:rsid w:val="00F66EAB"/>
    <w:rsid w:val="00F709DB"/>
    <w:rsid w:val="00F72AAC"/>
    <w:rsid w:val="00F73277"/>
    <w:rsid w:val="00F76374"/>
    <w:rsid w:val="00F77859"/>
    <w:rsid w:val="00F85ACA"/>
    <w:rsid w:val="00F8790C"/>
    <w:rsid w:val="00F90A25"/>
    <w:rsid w:val="00F96CC4"/>
    <w:rsid w:val="00FA296F"/>
    <w:rsid w:val="00FA63D8"/>
    <w:rsid w:val="00FA6A68"/>
    <w:rsid w:val="00FB15DC"/>
    <w:rsid w:val="00FB65D6"/>
    <w:rsid w:val="00FC0EE4"/>
    <w:rsid w:val="00FC4C63"/>
    <w:rsid w:val="00FC5165"/>
    <w:rsid w:val="00FC7810"/>
    <w:rsid w:val="00FD0DE6"/>
    <w:rsid w:val="00FD1DDB"/>
    <w:rsid w:val="00FE4D18"/>
    <w:rsid w:val="00FF2C3C"/>
    <w:rsid w:val="00FF59E5"/>
    <w:rsid w:val="00FF6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DFD80"/>
  <w15:chartTrackingRefBased/>
  <w15:docId w15:val="{BFAB9F9D-F367-4B9D-A1EA-7C10502D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pacing w:val="20"/>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733"/>
  </w:style>
  <w:style w:type="paragraph" w:styleId="Footer">
    <w:name w:val="footer"/>
    <w:basedOn w:val="Normal"/>
    <w:link w:val="FooterChar"/>
    <w:uiPriority w:val="99"/>
    <w:unhideWhenUsed/>
    <w:rsid w:val="00F3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733"/>
  </w:style>
  <w:style w:type="paragraph" w:styleId="FootnoteText">
    <w:name w:val="footnote text"/>
    <w:basedOn w:val="Normal"/>
    <w:link w:val="FootnoteTextChar"/>
    <w:uiPriority w:val="99"/>
    <w:semiHidden/>
    <w:unhideWhenUsed/>
    <w:rsid w:val="00F31733"/>
    <w:pPr>
      <w:spacing w:after="0" w:line="240" w:lineRule="auto"/>
    </w:pPr>
  </w:style>
  <w:style w:type="character" w:customStyle="1" w:styleId="FootnoteTextChar">
    <w:name w:val="Footnote Text Char"/>
    <w:basedOn w:val="DefaultParagraphFont"/>
    <w:link w:val="FootnoteText"/>
    <w:uiPriority w:val="99"/>
    <w:semiHidden/>
    <w:rsid w:val="00F31733"/>
  </w:style>
  <w:style w:type="character" w:styleId="FootnoteReference">
    <w:name w:val="footnote reference"/>
    <w:basedOn w:val="DefaultParagraphFont"/>
    <w:uiPriority w:val="99"/>
    <w:semiHidden/>
    <w:unhideWhenUsed/>
    <w:rsid w:val="00F31733"/>
    <w:rPr>
      <w:vertAlign w:val="superscript"/>
    </w:rPr>
  </w:style>
  <w:style w:type="character" w:styleId="Hyperlink">
    <w:name w:val="Hyperlink"/>
    <w:basedOn w:val="DefaultParagraphFont"/>
    <w:uiPriority w:val="99"/>
    <w:unhideWhenUsed/>
    <w:rsid w:val="006D149D"/>
    <w:rPr>
      <w:color w:val="0563C1" w:themeColor="hyperlink"/>
      <w:u w:val="single"/>
    </w:rPr>
  </w:style>
  <w:style w:type="character" w:styleId="UnresolvedMention">
    <w:name w:val="Unresolved Mention"/>
    <w:basedOn w:val="DefaultParagraphFont"/>
    <w:uiPriority w:val="99"/>
    <w:semiHidden/>
    <w:unhideWhenUsed/>
    <w:rsid w:val="006D149D"/>
    <w:rPr>
      <w:color w:val="605E5C"/>
      <w:shd w:val="clear" w:color="auto" w:fill="E1DFDD"/>
    </w:rPr>
  </w:style>
  <w:style w:type="character" w:styleId="FollowedHyperlink">
    <w:name w:val="FollowedHyperlink"/>
    <w:basedOn w:val="DefaultParagraphFont"/>
    <w:uiPriority w:val="99"/>
    <w:semiHidden/>
    <w:unhideWhenUsed/>
    <w:rsid w:val="00423585"/>
    <w:rPr>
      <w:color w:val="954F72" w:themeColor="followedHyperlink"/>
      <w:u w:val="single"/>
    </w:rPr>
  </w:style>
  <w:style w:type="paragraph" w:styleId="BalloonText">
    <w:name w:val="Balloon Text"/>
    <w:basedOn w:val="Normal"/>
    <w:link w:val="BalloonTextChar"/>
    <w:uiPriority w:val="99"/>
    <w:semiHidden/>
    <w:unhideWhenUsed/>
    <w:rsid w:val="00DC3E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E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archarchives.bl.uk/primo_library/libweb/action/dlDisplay.do?vid=IAMS_VU2&amp;docId=IAMS040-001103320&amp;fn=permali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archarchives.bl.uk/primo_library/libweb/action/dlDisplay.do?vid=IAMS_VU2&amp;docId=IAMS040-001103320&amp;fn=perma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26A92-0443-4869-9BA3-0EF8F791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6</Pages>
  <Words>1055</Words>
  <Characters>6015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perkins</dc:creator>
  <cp:keywords/>
  <dc:description/>
  <cp:lastModifiedBy>lee perkins</cp:lastModifiedBy>
  <cp:revision>202</cp:revision>
  <cp:lastPrinted>2018-10-05T20:05:00Z</cp:lastPrinted>
  <dcterms:created xsi:type="dcterms:W3CDTF">2018-10-04T21:54:00Z</dcterms:created>
  <dcterms:modified xsi:type="dcterms:W3CDTF">2018-10-05T21:05:00Z</dcterms:modified>
</cp:coreProperties>
</file>