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67D5611C" w:rsidR="002E1336" w:rsidRPr="00CD33A8" w:rsidRDefault="00074402" w:rsidP="00CD33A8">
      <w:pPr>
        <w:spacing w:line="360" w:lineRule="auto"/>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12B5D140" w:rsidRPr="11849383">
        <w:rPr>
          <w:rFonts w:asciiTheme="minorBidi" w:hAnsiTheme="minorBidi"/>
          <w:sz w:val="22"/>
        </w:rPr>
        <w:t xml:space="preserve"> </w:t>
      </w:r>
      <w:r w:rsidR="597CE4E6" w:rsidRPr="11849383">
        <w:rPr>
          <w:rFonts w:asciiTheme="minorBidi" w:hAnsiTheme="minorBidi"/>
          <w:sz w:val="22"/>
        </w:rPr>
        <w:t xml:space="preserve"> </w:t>
      </w:r>
      <w:r w:rsidR="3E58335B" w:rsidRPr="11849383">
        <w:rPr>
          <w:rFonts w:asciiTheme="minorBidi" w:hAnsiTheme="minorBidi"/>
          <w:sz w:val="22"/>
        </w:rPr>
        <w:t xml:space="preserve"> </w:t>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740407" w:rsidRDefault="00074402" w:rsidP="00CD33A8">
      <w:pPr>
        <w:tabs>
          <w:tab w:val="left" w:pos="6540"/>
        </w:tabs>
        <w:spacing w:line="360" w:lineRule="auto"/>
        <w:rPr>
          <w:rFonts w:asciiTheme="minorBidi" w:hAnsiTheme="minorBidi"/>
          <w:sz w:val="22"/>
        </w:rPr>
      </w:pPr>
    </w:p>
    <w:p w14:paraId="413DE31E" w14:textId="479E1013" w:rsidR="007255A5" w:rsidRPr="00740407" w:rsidRDefault="00CD33A8" w:rsidP="4B712E67">
      <w:pPr>
        <w:tabs>
          <w:tab w:val="left" w:pos="6540"/>
        </w:tabs>
        <w:spacing w:line="360" w:lineRule="auto"/>
        <w:rPr>
          <w:rFonts w:ascii="Arial" w:hAnsi="Arial" w:cs="Arial"/>
          <w:sz w:val="28"/>
          <w:szCs w:val="28"/>
          <w:lang w:val="nl-NL"/>
        </w:rPr>
      </w:pPr>
      <w:r w:rsidRPr="4B712E67">
        <w:rPr>
          <w:rFonts w:ascii="Arial" w:hAnsi="Arial" w:cs="Arial"/>
          <w:b/>
          <w:bCs/>
          <w:sz w:val="28"/>
          <w:szCs w:val="28"/>
          <w:lang w:val="nl-NL"/>
        </w:rPr>
        <w:t>Module name</w:t>
      </w:r>
      <w:r w:rsidRPr="4B712E67">
        <w:rPr>
          <w:rFonts w:ascii="Arial" w:hAnsi="Arial" w:cs="Arial"/>
          <w:sz w:val="28"/>
          <w:szCs w:val="28"/>
          <w:lang w:val="nl-NL"/>
        </w:rPr>
        <w:t xml:space="preserve">: </w:t>
      </w:r>
      <w:r w:rsidR="007255A5" w:rsidRPr="4B712E67">
        <w:rPr>
          <w:rFonts w:ascii="Arial" w:hAnsi="Arial" w:cs="Arial"/>
          <w:sz w:val="28"/>
          <w:szCs w:val="28"/>
          <w:lang w:val="nl-NL"/>
        </w:rPr>
        <w:t>Introduction to Health and Social Care</w:t>
      </w:r>
    </w:p>
    <w:p w14:paraId="537571AF" w14:textId="2E11A558" w:rsidR="00CD33A8" w:rsidRPr="00740407" w:rsidRDefault="00CD33A8" w:rsidP="4B712E67">
      <w:pPr>
        <w:tabs>
          <w:tab w:val="left" w:pos="6540"/>
        </w:tabs>
        <w:spacing w:line="360" w:lineRule="auto"/>
        <w:rPr>
          <w:rFonts w:ascii="Arial" w:hAnsi="Arial" w:cs="Arial"/>
          <w:sz w:val="28"/>
          <w:szCs w:val="28"/>
        </w:rPr>
      </w:pPr>
      <w:r w:rsidRPr="4B712E67">
        <w:rPr>
          <w:rFonts w:ascii="Arial" w:hAnsi="Arial" w:cs="Arial"/>
          <w:b/>
          <w:bCs/>
          <w:sz w:val="28"/>
          <w:szCs w:val="28"/>
        </w:rPr>
        <w:t xml:space="preserve">Module </w:t>
      </w:r>
      <w:proofErr w:type="gramStart"/>
      <w:r w:rsidRPr="4B712E67">
        <w:rPr>
          <w:rFonts w:ascii="Arial" w:hAnsi="Arial" w:cs="Arial"/>
          <w:b/>
          <w:bCs/>
          <w:sz w:val="28"/>
          <w:szCs w:val="28"/>
        </w:rPr>
        <w:t>code</w:t>
      </w:r>
      <w:r w:rsidRPr="4B712E67">
        <w:rPr>
          <w:rFonts w:ascii="Arial" w:hAnsi="Arial" w:cs="Arial"/>
          <w:sz w:val="28"/>
          <w:szCs w:val="28"/>
        </w:rPr>
        <w:t>:</w:t>
      </w:r>
      <w:r w:rsidR="007255A5" w:rsidRPr="4B712E67">
        <w:rPr>
          <w:rFonts w:ascii="Arial" w:hAnsi="Arial" w:cs="Arial"/>
          <w:sz w:val="28"/>
          <w:szCs w:val="28"/>
        </w:rPr>
        <w:t>LGHS</w:t>
      </w:r>
      <w:proofErr w:type="gramEnd"/>
      <w:r w:rsidR="007255A5" w:rsidRPr="4B712E67">
        <w:rPr>
          <w:rFonts w:ascii="Arial" w:hAnsi="Arial" w:cs="Arial"/>
          <w:sz w:val="28"/>
          <w:szCs w:val="28"/>
        </w:rPr>
        <w:t>4003</w:t>
      </w:r>
    </w:p>
    <w:p w14:paraId="2A82B9E1" w14:textId="77777777" w:rsidR="00942DC3" w:rsidRDefault="00942DC3" w:rsidP="4B712E67">
      <w:pPr>
        <w:tabs>
          <w:tab w:val="left" w:pos="6540"/>
        </w:tabs>
        <w:spacing w:line="360" w:lineRule="auto"/>
        <w:rPr>
          <w:rFonts w:ascii="Arial" w:hAnsi="Arial" w:cs="Arial"/>
          <w:b/>
          <w:bCs/>
          <w:sz w:val="28"/>
          <w:szCs w:val="28"/>
          <w:lang w:val="nl-NL"/>
        </w:rPr>
      </w:pPr>
    </w:p>
    <w:p w14:paraId="0A48766D" w14:textId="7CDFA325" w:rsidR="00074402" w:rsidRPr="00740407" w:rsidRDefault="00074402" w:rsidP="4B712E67">
      <w:pPr>
        <w:tabs>
          <w:tab w:val="left" w:pos="6540"/>
        </w:tabs>
        <w:spacing w:line="360" w:lineRule="auto"/>
        <w:rPr>
          <w:rFonts w:ascii="Arial" w:hAnsi="Arial" w:cs="Arial"/>
          <w:sz w:val="28"/>
          <w:szCs w:val="28"/>
          <w:lang w:val="nl-NL"/>
        </w:rPr>
      </w:pPr>
      <w:r w:rsidRPr="4B712E67">
        <w:rPr>
          <w:rFonts w:ascii="Arial" w:hAnsi="Arial" w:cs="Arial"/>
          <w:b/>
          <w:bCs/>
          <w:sz w:val="28"/>
          <w:szCs w:val="28"/>
          <w:lang w:val="nl-NL"/>
        </w:rPr>
        <w:t>Student name</w:t>
      </w:r>
      <w:r w:rsidRPr="4B712E67">
        <w:rPr>
          <w:rFonts w:ascii="Arial" w:hAnsi="Arial" w:cs="Arial"/>
          <w:sz w:val="28"/>
          <w:szCs w:val="28"/>
          <w:lang w:val="nl-NL"/>
        </w:rPr>
        <w:t>:</w:t>
      </w:r>
      <w:r w:rsidR="007255A5" w:rsidRPr="4B712E67">
        <w:rPr>
          <w:rFonts w:ascii="Arial" w:hAnsi="Arial" w:cs="Arial"/>
          <w:sz w:val="28"/>
          <w:szCs w:val="28"/>
          <w:lang w:val="nl-NL"/>
        </w:rPr>
        <w:t>Inna Valier</w:t>
      </w:r>
    </w:p>
    <w:p w14:paraId="39AA4413" w14:textId="576EBF66" w:rsidR="00074402" w:rsidRPr="00740407" w:rsidRDefault="00074402" w:rsidP="4B712E67">
      <w:pPr>
        <w:tabs>
          <w:tab w:val="left" w:pos="6540"/>
        </w:tabs>
        <w:spacing w:line="360" w:lineRule="auto"/>
        <w:rPr>
          <w:rFonts w:ascii="Arial" w:hAnsi="Arial" w:cs="Arial"/>
          <w:sz w:val="28"/>
          <w:szCs w:val="28"/>
          <w:lang w:val="nl-NL"/>
        </w:rPr>
      </w:pPr>
      <w:r w:rsidRPr="4B712E67">
        <w:rPr>
          <w:rFonts w:ascii="Arial" w:hAnsi="Arial" w:cs="Arial"/>
          <w:b/>
          <w:bCs/>
          <w:sz w:val="28"/>
          <w:szCs w:val="28"/>
          <w:lang w:val="nl-NL"/>
        </w:rPr>
        <w:t>Student ID</w:t>
      </w:r>
      <w:r w:rsidRPr="4B712E67">
        <w:rPr>
          <w:rFonts w:ascii="Arial" w:hAnsi="Arial" w:cs="Arial"/>
          <w:sz w:val="28"/>
          <w:szCs w:val="28"/>
          <w:lang w:val="nl-NL"/>
        </w:rPr>
        <w:t>:</w:t>
      </w:r>
      <w:r w:rsidR="007255A5" w:rsidRPr="4B712E67">
        <w:rPr>
          <w:rFonts w:ascii="Arial" w:hAnsi="Arial" w:cs="Arial"/>
          <w:sz w:val="28"/>
          <w:szCs w:val="28"/>
          <w:lang w:val="nl-NL"/>
        </w:rPr>
        <w:t>2517108</w:t>
      </w:r>
    </w:p>
    <w:p w14:paraId="64EFA1AA" w14:textId="77777777" w:rsidR="006228C0" w:rsidRDefault="006228C0" w:rsidP="4B712E67">
      <w:pPr>
        <w:tabs>
          <w:tab w:val="left" w:pos="6540"/>
        </w:tabs>
        <w:spacing w:line="360" w:lineRule="auto"/>
        <w:rPr>
          <w:rFonts w:ascii="Arial" w:hAnsi="Arial" w:cs="Arial"/>
          <w:b/>
          <w:bCs/>
          <w:sz w:val="28"/>
          <w:szCs w:val="28"/>
        </w:rPr>
      </w:pPr>
    </w:p>
    <w:p w14:paraId="1A0B2D2B" w14:textId="06FAF758" w:rsidR="00074402" w:rsidRPr="00740407" w:rsidRDefault="008E3943" w:rsidP="4B712E67">
      <w:pPr>
        <w:tabs>
          <w:tab w:val="left" w:pos="6540"/>
        </w:tabs>
        <w:spacing w:line="360" w:lineRule="auto"/>
        <w:rPr>
          <w:rFonts w:ascii="Arial" w:hAnsi="Arial" w:cs="Arial"/>
          <w:sz w:val="28"/>
          <w:szCs w:val="28"/>
        </w:rPr>
      </w:pPr>
      <w:r w:rsidRPr="4B712E67">
        <w:rPr>
          <w:rFonts w:ascii="Arial" w:hAnsi="Arial" w:cs="Arial"/>
          <w:b/>
          <w:bCs/>
          <w:sz w:val="28"/>
          <w:szCs w:val="28"/>
        </w:rPr>
        <w:t>Lecturer’s name</w:t>
      </w:r>
      <w:r w:rsidR="00074402" w:rsidRPr="4B712E67">
        <w:rPr>
          <w:rFonts w:ascii="Arial" w:hAnsi="Arial" w:cs="Arial"/>
          <w:sz w:val="28"/>
          <w:szCs w:val="28"/>
        </w:rPr>
        <w:t>:</w:t>
      </w:r>
      <w:r w:rsidR="00FA01E5" w:rsidRPr="4B712E67">
        <w:rPr>
          <w:rFonts w:ascii="Arial" w:hAnsi="Arial" w:cs="Arial"/>
          <w:sz w:val="28"/>
          <w:szCs w:val="28"/>
        </w:rPr>
        <w:t xml:space="preserve">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4B712E67">
      <w:pPr>
        <w:spacing w:line="360" w:lineRule="auto"/>
        <w:rPr>
          <w:rFonts w:ascii="Arial" w:eastAsia="Arial" w:hAnsi="Arial" w:cs="Arial"/>
          <w:sz w:val="22"/>
        </w:rPr>
      </w:pPr>
      <w:r w:rsidRPr="4B712E67">
        <w:rPr>
          <w:rFonts w:ascii="Arial" w:eastAsia="Arial" w:hAnsi="Arial" w:cs="Arial"/>
          <w:b/>
          <w:bCs/>
          <w:sz w:val="22"/>
        </w:rPr>
        <w:lastRenderedPageBreak/>
        <w:t>Table of contents</w:t>
      </w:r>
    </w:p>
    <w:p w14:paraId="2A105FD4" w14:textId="4822A139" w:rsidR="00F40B85" w:rsidRPr="00740407" w:rsidRDefault="00F40B85" w:rsidP="4B712E67">
      <w:pPr>
        <w:spacing w:line="360" w:lineRule="auto"/>
        <w:rPr>
          <w:rFonts w:ascii="Arial" w:eastAsia="Arial" w:hAnsi="Arial" w:cs="Arial"/>
          <w:sz w:val="22"/>
        </w:rPr>
      </w:pPr>
      <w:r w:rsidRPr="4B712E67">
        <w:rPr>
          <w:rFonts w:ascii="Arial" w:eastAsia="Arial" w:hAnsi="Arial" w:cs="Arial"/>
          <w:sz w:val="22"/>
        </w:rPr>
        <w:t xml:space="preserve">1. Introduction ................................................................................................... </w:t>
      </w:r>
      <w:r w:rsidR="00740407" w:rsidRPr="4B712E67">
        <w:rPr>
          <w:rFonts w:ascii="Arial" w:eastAsia="Arial" w:hAnsi="Arial" w:cs="Arial"/>
          <w:sz w:val="22"/>
        </w:rPr>
        <w:t>3</w:t>
      </w:r>
    </w:p>
    <w:p w14:paraId="1622C350" w14:textId="37BBE5E1" w:rsidR="00F40B85" w:rsidRPr="00740407" w:rsidRDefault="00F40B85" w:rsidP="4B712E67">
      <w:pPr>
        <w:spacing w:line="360" w:lineRule="auto"/>
        <w:rPr>
          <w:rFonts w:ascii="Arial" w:eastAsia="Arial" w:hAnsi="Arial" w:cs="Arial"/>
          <w:sz w:val="22"/>
        </w:rPr>
      </w:pPr>
      <w:r w:rsidRPr="4B712E67">
        <w:rPr>
          <w:rFonts w:ascii="Arial" w:eastAsia="Arial" w:hAnsi="Arial" w:cs="Arial"/>
          <w:sz w:val="22"/>
        </w:rPr>
        <w:t xml:space="preserve">2. Importance of Effective Communication ..................................................... </w:t>
      </w:r>
      <w:r w:rsidR="00740407" w:rsidRPr="4B712E67">
        <w:rPr>
          <w:rFonts w:ascii="Arial" w:eastAsia="Arial" w:hAnsi="Arial" w:cs="Arial"/>
          <w:sz w:val="22"/>
        </w:rPr>
        <w:t>3</w:t>
      </w:r>
      <w:r w:rsidR="00716FB4" w:rsidRPr="4B712E67">
        <w:rPr>
          <w:rFonts w:ascii="Arial" w:eastAsia="Arial" w:hAnsi="Arial" w:cs="Arial"/>
          <w:sz w:val="22"/>
        </w:rPr>
        <w:t>,4</w:t>
      </w:r>
    </w:p>
    <w:p w14:paraId="0A051023" w14:textId="3D463F87" w:rsidR="00F40B85" w:rsidRPr="00740407" w:rsidRDefault="00F40B85" w:rsidP="4B712E67">
      <w:pPr>
        <w:spacing w:line="360" w:lineRule="auto"/>
        <w:rPr>
          <w:rFonts w:ascii="Arial" w:eastAsia="Arial" w:hAnsi="Arial" w:cs="Arial"/>
          <w:sz w:val="22"/>
        </w:rPr>
      </w:pPr>
      <w:r w:rsidRPr="4B712E67">
        <w:rPr>
          <w:rFonts w:ascii="Arial" w:eastAsia="Arial" w:hAnsi="Arial" w:cs="Arial"/>
          <w:sz w:val="22"/>
        </w:rPr>
        <w:t>3. Importance of Good Administrative Skills .................................................. 4</w:t>
      </w:r>
      <w:r w:rsidR="00475078" w:rsidRPr="4B712E67">
        <w:rPr>
          <w:rFonts w:ascii="Arial" w:eastAsia="Arial" w:hAnsi="Arial" w:cs="Arial"/>
          <w:sz w:val="22"/>
        </w:rPr>
        <w:t>,5</w:t>
      </w:r>
    </w:p>
    <w:p w14:paraId="56FDCAD5" w14:textId="4F95428F" w:rsidR="00F40B85" w:rsidRPr="00740407" w:rsidRDefault="00F40B85" w:rsidP="4B712E67">
      <w:pPr>
        <w:spacing w:line="360" w:lineRule="auto"/>
        <w:rPr>
          <w:rFonts w:ascii="Arial" w:eastAsia="Arial" w:hAnsi="Arial" w:cs="Arial"/>
          <w:sz w:val="22"/>
        </w:rPr>
      </w:pPr>
      <w:r w:rsidRPr="4B712E67">
        <w:rPr>
          <w:rFonts w:ascii="Arial" w:eastAsia="Arial" w:hAnsi="Arial" w:cs="Arial"/>
          <w:sz w:val="22"/>
        </w:rPr>
        <w:t xml:space="preserve">4. Importance of Working Collaboratively ...................................................... </w:t>
      </w:r>
      <w:r w:rsidR="00740407" w:rsidRPr="4B712E67">
        <w:rPr>
          <w:rFonts w:ascii="Arial" w:eastAsia="Arial" w:hAnsi="Arial" w:cs="Arial"/>
          <w:sz w:val="22"/>
        </w:rPr>
        <w:t>5</w:t>
      </w:r>
      <w:r w:rsidR="00F46889" w:rsidRPr="4B712E67">
        <w:rPr>
          <w:rFonts w:ascii="Arial" w:eastAsia="Arial" w:hAnsi="Arial" w:cs="Arial"/>
          <w:sz w:val="22"/>
        </w:rPr>
        <w:t>,6</w:t>
      </w:r>
    </w:p>
    <w:p w14:paraId="615B3767" w14:textId="541C9D0F" w:rsidR="00F40B85" w:rsidRPr="00740407" w:rsidRDefault="00F40B85" w:rsidP="4B712E67">
      <w:pPr>
        <w:spacing w:line="360" w:lineRule="auto"/>
        <w:rPr>
          <w:rFonts w:ascii="Arial" w:eastAsia="Arial" w:hAnsi="Arial" w:cs="Arial"/>
          <w:sz w:val="22"/>
        </w:rPr>
      </w:pPr>
      <w:r w:rsidRPr="4B712E67">
        <w:rPr>
          <w:rFonts w:ascii="Arial" w:eastAsia="Arial" w:hAnsi="Arial" w:cs="Arial"/>
          <w:sz w:val="22"/>
        </w:rPr>
        <w:t xml:space="preserve">5. Conclusion ...................................................................................................... </w:t>
      </w:r>
      <w:r w:rsidR="00740407" w:rsidRPr="4B712E67">
        <w:rPr>
          <w:rFonts w:ascii="Arial" w:eastAsia="Arial" w:hAnsi="Arial" w:cs="Arial"/>
          <w:sz w:val="22"/>
        </w:rPr>
        <w:t>6</w:t>
      </w:r>
    </w:p>
    <w:p w14:paraId="13E00080" w14:textId="1CD7C927" w:rsidR="00B87E75" w:rsidRPr="00740407" w:rsidRDefault="00F40B85" w:rsidP="4B712E67">
      <w:pPr>
        <w:spacing w:line="360" w:lineRule="auto"/>
        <w:rPr>
          <w:rFonts w:ascii="Arial" w:eastAsia="Arial" w:hAnsi="Arial" w:cs="Arial"/>
          <w:sz w:val="22"/>
        </w:rPr>
      </w:pPr>
      <w:r w:rsidRPr="4B712E67">
        <w:rPr>
          <w:rFonts w:ascii="Arial" w:eastAsia="Arial" w:hAnsi="Arial" w:cs="Arial"/>
          <w:sz w:val="22"/>
        </w:rPr>
        <w:t xml:space="preserve">6. References ..................................................................................................... </w:t>
      </w:r>
      <w:r w:rsidR="00740407" w:rsidRPr="4B712E67">
        <w:rPr>
          <w:rFonts w:ascii="Arial" w:eastAsia="Arial" w:hAnsi="Arial" w:cs="Arial"/>
          <w:sz w:val="22"/>
        </w:rPr>
        <w:t>7</w:t>
      </w:r>
    </w:p>
    <w:p w14:paraId="2E79F7ED" w14:textId="182913C0" w:rsidR="00B87E75" w:rsidRPr="00740407" w:rsidRDefault="00B87E75" w:rsidP="00CD33A8">
      <w:pPr>
        <w:spacing w:line="360" w:lineRule="auto"/>
        <w:rPr>
          <w:rFonts w:asciiTheme="minorBidi" w:hAnsiTheme="minorBidi"/>
          <w:sz w:val="22"/>
        </w:rPr>
      </w:pPr>
    </w:p>
    <w:p w14:paraId="21470BC7" w14:textId="15766250" w:rsidR="0026393A" w:rsidRDefault="0026393A" w:rsidP="4B712E67">
      <w:pPr>
        <w:spacing w:line="360" w:lineRule="auto"/>
        <w:rPr>
          <w:rFonts w:asciiTheme="minorBidi" w:hAnsiTheme="minorBidi"/>
          <w:sz w:val="22"/>
        </w:rPr>
      </w:pPr>
    </w:p>
    <w:p w14:paraId="65725A66" w14:textId="70AC57AF" w:rsidR="0026393A" w:rsidRDefault="0026393A" w:rsidP="4B712E67">
      <w:pPr>
        <w:pStyle w:val="Heading1"/>
      </w:pPr>
    </w:p>
    <w:p w14:paraId="2BFB49B8" w14:textId="25A60678" w:rsidR="0026393A" w:rsidRDefault="0026393A" w:rsidP="4B712E67">
      <w:pPr>
        <w:pStyle w:val="Heading1"/>
      </w:pPr>
    </w:p>
    <w:p w14:paraId="12E4A2EE" w14:textId="6D82666F" w:rsidR="0026393A" w:rsidRDefault="0026393A" w:rsidP="4B712E67">
      <w:pPr>
        <w:pStyle w:val="Heading1"/>
      </w:pPr>
    </w:p>
    <w:p w14:paraId="2F22D07A" w14:textId="1A080639" w:rsidR="0026393A" w:rsidRDefault="0026393A" w:rsidP="4B712E67">
      <w:pPr>
        <w:pStyle w:val="Heading1"/>
      </w:pPr>
    </w:p>
    <w:p w14:paraId="1658296F" w14:textId="175AF47F" w:rsidR="0026393A" w:rsidRDefault="0026393A" w:rsidP="4B712E67">
      <w:pPr>
        <w:pStyle w:val="Heading1"/>
      </w:pPr>
    </w:p>
    <w:p w14:paraId="39F1E0A9" w14:textId="2C8468CA" w:rsidR="0026393A" w:rsidRDefault="0026393A" w:rsidP="4B712E67">
      <w:pPr>
        <w:pStyle w:val="Heading1"/>
      </w:pPr>
    </w:p>
    <w:p w14:paraId="28764683" w14:textId="19C55FC6" w:rsidR="0026393A" w:rsidRDefault="0026393A" w:rsidP="4B712E67">
      <w:pPr>
        <w:pStyle w:val="Heading1"/>
      </w:pPr>
    </w:p>
    <w:p w14:paraId="48D705F5" w14:textId="0128D4E9" w:rsidR="0026393A" w:rsidRDefault="0026393A" w:rsidP="4B712E67">
      <w:pPr>
        <w:pStyle w:val="Heading1"/>
      </w:pPr>
    </w:p>
    <w:p w14:paraId="20F06074" w14:textId="15562CFB" w:rsidR="0026393A" w:rsidRDefault="0026393A" w:rsidP="4B712E67">
      <w:pPr>
        <w:pStyle w:val="Heading1"/>
      </w:pPr>
    </w:p>
    <w:p w14:paraId="4728F008" w14:textId="7B03A08C" w:rsidR="0026393A" w:rsidRDefault="0026393A" w:rsidP="4B712E67">
      <w:pPr>
        <w:pStyle w:val="Heading1"/>
      </w:pPr>
    </w:p>
    <w:p w14:paraId="7281FA1B" w14:textId="027B6F49" w:rsidR="0026393A" w:rsidRDefault="0026393A" w:rsidP="4B712E67">
      <w:pPr>
        <w:pStyle w:val="Heading1"/>
      </w:pPr>
    </w:p>
    <w:p w14:paraId="436A4F72" w14:textId="2EBBA4D9" w:rsidR="0026393A" w:rsidRDefault="0026393A" w:rsidP="4B712E67"/>
    <w:p w14:paraId="14BF3272" w14:textId="7DAD0CE9" w:rsidR="0026393A" w:rsidRDefault="00B87E75" w:rsidP="4B712E67">
      <w:pPr>
        <w:rPr>
          <w:rFonts w:ascii="Arial" w:eastAsia="Arial" w:hAnsi="Arial" w:cs="Arial"/>
          <w:sz w:val="22"/>
        </w:rPr>
      </w:pPr>
      <w:r w:rsidRPr="4B712E67">
        <w:rPr>
          <w:rFonts w:ascii="Arial" w:eastAsia="Arial" w:hAnsi="Arial" w:cs="Arial"/>
          <w:b/>
          <w:bCs/>
          <w:sz w:val="22"/>
        </w:rPr>
        <w:lastRenderedPageBreak/>
        <w:t>Introduction</w:t>
      </w:r>
    </w:p>
    <w:p w14:paraId="7168AE12" w14:textId="77777777" w:rsidR="00740407" w:rsidRPr="00740407" w:rsidRDefault="00740407" w:rsidP="4B712E67"/>
    <w:p w14:paraId="68C53673" w14:textId="31667F6A" w:rsidR="008E3943" w:rsidRPr="00740407" w:rsidRDefault="007255A5" w:rsidP="4B712E67">
      <w:pPr>
        <w:tabs>
          <w:tab w:val="left" w:pos="6540"/>
        </w:tabs>
        <w:spacing w:line="360" w:lineRule="auto"/>
        <w:rPr>
          <w:rFonts w:ascii="Arial" w:eastAsia="Arial" w:hAnsi="Arial" w:cs="Arial"/>
          <w:sz w:val="22"/>
        </w:rPr>
      </w:pPr>
      <w:proofErr w:type="gramStart"/>
      <w:r w:rsidRPr="11849383">
        <w:rPr>
          <w:rFonts w:ascii="Arial" w:eastAsia="Arial" w:hAnsi="Arial" w:cs="Arial"/>
          <w:sz w:val="22"/>
        </w:rPr>
        <w:t xml:space="preserve">This </w:t>
      </w:r>
      <w:r w:rsidR="44B025B5" w:rsidRPr="11849383">
        <w:rPr>
          <w:rFonts w:ascii="Arial" w:eastAsia="Arial" w:hAnsi="Arial" w:cs="Arial"/>
          <w:sz w:val="22"/>
        </w:rPr>
        <w:t xml:space="preserve"> clinical</w:t>
      </w:r>
      <w:proofErr w:type="gramEnd"/>
      <w:r w:rsidR="44B025B5" w:rsidRPr="11849383">
        <w:rPr>
          <w:rFonts w:ascii="Arial" w:eastAsia="Arial" w:hAnsi="Arial" w:cs="Arial"/>
          <w:sz w:val="22"/>
        </w:rPr>
        <w:t xml:space="preserve"> </w:t>
      </w:r>
      <w:r w:rsidR="1601108D" w:rsidRPr="11849383">
        <w:rPr>
          <w:rFonts w:ascii="Arial" w:eastAsia="Arial" w:hAnsi="Arial" w:cs="Arial"/>
          <w:sz w:val="22"/>
        </w:rPr>
        <w:t xml:space="preserve"> </w:t>
      </w:r>
      <w:r w:rsidRPr="11849383">
        <w:rPr>
          <w:rFonts w:ascii="Arial" w:eastAsia="Arial" w:hAnsi="Arial" w:cs="Arial"/>
          <w:sz w:val="22"/>
        </w:rPr>
        <w:t>report provides a critical analysis of the health and social care provision for Mr</w:t>
      </w:r>
      <w:r w:rsidR="00801C18" w:rsidRPr="11849383">
        <w:rPr>
          <w:rFonts w:ascii="Arial" w:eastAsia="Arial" w:hAnsi="Arial" w:cs="Arial"/>
          <w:sz w:val="22"/>
        </w:rPr>
        <w:t>.</w:t>
      </w:r>
      <w:r w:rsidRPr="11849383">
        <w:rPr>
          <w:rFonts w:ascii="Arial" w:eastAsia="Arial" w:hAnsi="Arial" w:cs="Arial"/>
          <w:sz w:val="22"/>
        </w:rPr>
        <w:t xml:space="preserve"> Ahmed, a 68-year-old individual recovering from a stroke. Following his discharge, Mr</w:t>
      </w:r>
      <w:r w:rsidR="00801C18" w:rsidRPr="11849383">
        <w:rPr>
          <w:rFonts w:ascii="Arial" w:eastAsia="Arial" w:hAnsi="Arial" w:cs="Arial"/>
          <w:sz w:val="22"/>
        </w:rPr>
        <w:t>.</w:t>
      </w:r>
      <w:r w:rsidRPr="11849383">
        <w:rPr>
          <w:rFonts w:ascii="Arial" w:eastAsia="Arial" w:hAnsi="Arial" w:cs="Arial"/>
          <w:sz w:val="22"/>
        </w:rPr>
        <w:t xml:space="preserve"> Ahmed requires a multidisciplinary approach to manage his complex needs, including hemiparesis, communication difficulties, and medication management. This assignment will examine the significance of effective communication within the framework of the Equality Act 2010, utilizing a specific communication model to address Mr Ahmed’s linguistic and cultural requirements. Furthermore, it will evaluate the necessity of professional administrative skills and robust record-keeping in alignment with the Data Protection Act 2018, specifically investigating the recent clinical incident involving missed medication. Finally, the report will discuss the importance of integrated, multi-agency collaboration between professionals, such as the GP and district nurse, to ensure a holistic and safe care environment. By synthesising legislative requirements with professional practice, this report aims to identify strategies for enhancing the quality of care provided to service users within the English healthcare system.</w:t>
      </w:r>
    </w:p>
    <w:p w14:paraId="52010A5E" w14:textId="77777777" w:rsidR="0026393A" w:rsidRPr="00740407" w:rsidRDefault="0026393A" w:rsidP="11849383">
      <w:pPr>
        <w:tabs>
          <w:tab w:val="left" w:pos="6540"/>
        </w:tabs>
        <w:spacing w:line="360" w:lineRule="auto"/>
        <w:rPr>
          <w:rFonts w:ascii="Arial" w:eastAsia="Arial" w:hAnsi="Arial" w:cs="Arial"/>
          <w:b/>
          <w:bCs/>
          <w:sz w:val="22"/>
        </w:rPr>
      </w:pPr>
    </w:p>
    <w:p w14:paraId="70808D3D" w14:textId="75C8CBC2" w:rsidR="007255A5" w:rsidRDefault="0026393A" w:rsidP="4B712E67">
      <w:pPr>
        <w:rPr>
          <w:rFonts w:ascii="Arial" w:eastAsia="Arial" w:hAnsi="Arial" w:cs="Arial"/>
          <w:b/>
          <w:bCs/>
          <w:sz w:val="22"/>
        </w:rPr>
      </w:pPr>
      <w:r w:rsidRPr="11849383">
        <w:rPr>
          <w:rFonts w:ascii="Arial" w:eastAsia="Arial" w:hAnsi="Arial" w:cs="Arial"/>
          <w:b/>
          <w:bCs/>
          <w:sz w:val="22"/>
        </w:rPr>
        <w:t xml:space="preserve"> </w:t>
      </w:r>
      <w:r w:rsidR="008E3943" w:rsidRPr="11849383">
        <w:rPr>
          <w:rFonts w:ascii="Arial" w:eastAsia="Arial" w:hAnsi="Arial" w:cs="Arial"/>
          <w:b/>
          <w:bCs/>
          <w:sz w:val="22"/>
        </w:rPr>
        <w:t>Importance of</w:t>
      </w:r>
      <w:r w:rsidR="1779BDE3" w:rsidRPr="11849383">
        <w:rPr>
          <w:rFonts w:ascii="Arial" w:eastAsia="Arial" w:hAnsi="Arial" w:cs="Arial"/>
          <w:b/>
          <w:bCs/>
          <w:sz w:val="22"/>
        </w:rPr>
        <w:t xml:space="preserve">  </w:t>
      </w:r>
      <w:r w:rsidR="008E3943" w:rsidRPr="11849383">
        <w:rPr>
          <w:rFonts w:ascii="Arial" w:eastAsia="Arial" w:hAnsi="Arial" w:cs="Arial"/>
          <w:b/>
          <w:bCs/>
          <w:sz w:val="22"/>
        </w:rPr>
        <w:t xml:space="preserve"> effective communication</w:t>
      </w:r>
    </w:p>
    <w:p w14:paraId="20E0296D" w14:textId="77777777" w:rsidR="00740407" w:rsidRPr="00740407" w:rsidRDefault="00740407" w:rsidP="4B712E67"/>
    <w:p w14:paraId="0EB760BD" w14:textId="5819E786" w:rsidR="007255A5" w:rsidRPr="00740407" w:rsidRDefault="007255A5" w:rsidP="4B712E67">
      <w:pPr>
        <w:tabs>
          <w:tab w:val="left" w:pos="6540"/>
        </w:tabs>
        <w:spacing w:line="360" w:lineRule="auto"/>
        <w:rPr>
          <w:rFonts w:ascii="Arial" w:eastAsia="Arial" w:hAnsi="Arial" w:cs="Arial"/>
          <w:sz w:val="22"/>
        </w:rPr>
      </w:pPr>
      <w:r w:rsidRPr="11849383">
        <w:rPr>
          <w:rFonts w:ascii="Arial" w:eastAsia="Arial" w:hAnsi="Arial" w:cs="Arial"/>
          <w:sz w:val="22"/>
        </w:rPr>
        <w:t>In the context of health and social care, effective communication transcends the mere exchange of information; it is a fundamental vehicle for person-centred care and clinical safety. For Mr</w:t>
      </w:r>
      <w:r w:rsidR="00801C18" w:rsidRPr="11849383">
        <w:rPr>
          <w:rFonts w:ascii="Arial" w:eastAsia="Arial" w:hAnsi="Arial" w:cs="Arial"/>
          <w:sz w:val="22"/>
        </w:rPr>
        <w:t>.</w:t>
      </w:r>
      <w:r w:rsidR="006228C0" w:rsidRPr="11849383">
        <w:rPr>
          <w:rFonts w:ascii="Arial" w:eastAsia="Arial" w:hAnsi="Arial" w:cs="Arial"/>
          <w:sz w:val="22"/>
        </w:rPr>
        <w:t xml:space="preserve"> </w:t>
      </w:r>
      <w:r w:rsidRPr="11849383">
        <w:rPr>
          <w:rFonts w:ascii="Arial" w:eastAsia="Arial" w:hAnsi="Arial" w:cs="Arial"/>
          <w:sz w:val="22"/>
        </w:rPr>
        <w:t>Ahmed, who presents with linguistic barriers and post-stroke neurological deficits, communication is a highly complex process. The Equality Act 2010 serves as the primary legislative framework governing this interaction in England, mandating that service providers make "reasonable adjustments" to ensure that individuals with protected characteristics, such as ethnicity and disability, are not disadvantaged. In this case, the reliance on Mr</w:t>
      </w:r>
      <w:r w:rsidR="00801C18" w:rsidRPr="11849383">
        <w:rPr>
          <w:rFonts w:ascii="Arial" w:eastAsia="Arial" w:hAnsi="Arial" w:cs="Arial"/>
          <w:sz w:val="22"/>
        </w:rPr>
        <w:t>.</w:t>
      </w:r>
      <w:r w:rsidRPr="11849383">
        <w:rPr>
          <w:rFonts w:ascii="Arial" w:eastAsia="Arial" w:hAnsi="Arial" w:cs="Arial"/>
          <w:sz w:val="22"/>
        </w:rPr>
        <w:t xml:space="preserve"> Ahmed’s wife for translation, while culturally supportive, may inadvertently compromise his autonomy. Professional practice requires the integration of formal interpretation services to uphold the principles of the Act, ensuring that Mr Ahmed is an active participant in his own care trajectory rather than a passive recipient of filtered information.</w:t>
      </w:r>
    </w:p>
    <w:p w14:paraId="2C06E4A4" w14:textId="7E46A149" w:rsidR="007255A5" w:rsidRPr="00740407" w:rsidRDefault="007255A5" w:rsidP="4B712E67">
      <w:pPr>
        <w:tabs>
          <w:tab w:val="left" w:pos="6540"/>
        </w:tabs>
        <w:spacing w:line="360" w:lineRule="auto"/>
        <w:rPr>
          <w:rFonts w:ascii="Arial" w:eastAsia="Arial" w:hAnsi="Arial" w:cs="Arial"/>
          <w:sz w:val="22"/>
        </w:rPr>
      </w:pPr>
      <w:r w:rsidRPr="11849383">
        <w:rPr>
          <w:rFonts w:ascii="Arial" w:eastAsia="Arial" w:hAnsi="Arial" w:cs="Arial"/>
          <w:sz w:val="22"/>
        </w:rPr>
        <w:t>To analyse the intricacies of this interaction, Argyle’s Communication Cycle (1972) provides a robust theoretical lens. This model posits that communication is a six-stage recursive process involving the conceptualisation of an idea, its encoding, transmission, decoding, and the subsequent feedback loop. For Mr</w:t>
      </w:r>
      <w:r w:rsidR="00801C18" w:rsidRPr="11849383">
        <w:rPr>
          <w:rFonts w:ascii="Arial" w:eastAsia="Arial" w:hAnsi="Arial" w:cs="Arial"/>
          <w:sz w:val="22"/>
        </w:rPr>
        <w:t>.</w:t>
      </w:r>
      <w:r w:rsidRPr="11849383">
        <w:rPr>
          <w:rFonts w:ascii="Arial" w:eastAsia="Arial" w:hAnsi="Arial" w:cs="Arial"/>
          <w:sz w:val="22"/>
        </w:rPr>
        <w:t xml:space="preserve"> Ahmed, the "encoding" stage is significantly hindered </w:t>
      </w:r>
      <w:r w:rsidRPr="11849383">
        <w:rPr>
          <w:rFonts w:ascii="Arial" w:eastAsia="Arial" w:hAnsi="Arial" w:cs="Arial"/>
          <w:sz w:val="22"/>
        </w:rPr>
        <w:lastRenderedPageBreak/>
        <w:t>by his stroke-related communication impairment, while the "decoding" stage is obstructed by the linguistic mismatch between his native Bengali and the English-speaking care team. If the care assistant fails to observe Mr. Ahmed's non-verbal cues—such as facial expressions or body language—during the transmission of information, the cycle remains incomplete, leading to "communication breakdown." Such failures often result in psychological distress for the service user and a tangible decline in the quality of clinical outcomes.</w:t>
      </w:r>
    </w:p>
    <w:p w14:paraId="0537CEF5" w14:textId="011A5D99" w:rsidR="003E4ECF" w:rsidRPr="00740407" w:rsidRDefault="007255A5" w:rsidP="4B712E67">
      <w:pPr>
        <w:tabs>
          <w:tab w:val="left" w:pos="6540"/>
        </w:tabs>
        <w:spacing w:line="360" w:lineRule="auto"/>
        <w:rPr>
          <w:rFonts w:ascii="Arial" w:eastAsia="Arial" w:hAnsi="Arial" w:cs="Arial"/>
          <w:sz w:val="22"/>
        </w:rPr>
      </w:pPr>
      <w:r w:rsidRPr="11849383">
        <w:rPr>
          <w:rFonts w:ascii="Arial" w:eastAsia="Arial" w:hAnsi="Arial" w:cs="Arial"/>
          <w:sz w:val="22"/>
        </w:rPr>
        <w:t xml:space="preserve">The practical application of Argyle’s model in Mr. Ahmed’s care reveals significant gaps in non-verbal communication and active listening. In professional healthcare settings, it is estimated that over 70% of communication is non-verbal; for a patient with post-stroke aphasia, this percentage is even higher. If the care team relies solely on verbal instructions, they are failing to adhere to the Equality Act 2010's requirement for meaningful access to services. Furthermore, the "noise" in the communication cycle must be mitigated </w:t>
      </w:r>
      <w:proofErr w:type="gramStart"/>
      <w:r w:rsidRPr="11849383">
        <w:rPr>
          <w:rFonts w:ascii="Arial" w:eastAsia="Arial" w:hAnsi="Arial" w:cs="Arial"/>
          <w:sz w:val="22"/>
        </w:rPr>
        <w:t>through the use of</w:t>
      </w:r>
      <w:proofErr w:type="gramEnd"/>
      <w:r w:rsidRPr="11849383">
        <w:rPr>
          <w:rFonts w:ascii="Arial" w:eastAsia="Arial" w:hAnsi="Arial" w:cs="Arial"/>
          <w:sz w:val="22"/>
        </w:rPr>
        <w:t xml:space="preserve"> Total Communication strategies. This includes the use of visual aids, gestures, and simplified Bengali-translated documents, rather than relying on the family as informal interpreters. As noted by the Care Quality Commission (CQC, 2024), using family members for translation can lead to a conflict of interest and may prevent the patient from disclosing sensitive symptoms or concerns, thereby compromising the "safety" and "responsiveness" of the care provided. By prioritizing inclusive communication, professionals ensure that Mr Ahmed’s dignity and legal rights are preserved throughout his rehabilitation journey.</w:t>
      </w:r>
    </w:p>
    <w:p w14:paraId="5E60C501" w14:textId="227DD510" w:rsidR="4B712E67" w:rsidRDefault="4B712E67" w:rsidP="11849383">
      <w:pPr>
        <w:tabs>
          <w:tab w:val="left" w:pos="6540"/>
        </w:tabs>
        <w:spacing w:line="360" w:lineRule="auto"/>
        <w:rPr>
          <w:rFonts w:ascii="Arial" w:eastAsia="Arial" w:hAnsi="Arial" w:cs="Arial"/>
          <w:sz w:val="22"/>
        </w:rPr>
      </w:pPr>
    </w:p>
    <w:p w14:paraId="7AFE1D2A" w14:textId="70E39F5A" w:rsidR="4B712E67" w:rsidRDefault="4B712E67" w:rsidP="4B712E67">
      <w:pPr>
        <w:tabs>
          <w:tab w:val="left" w:pos="6540"/>
        </w:tabs>
        <w:spacing w:line="360" w:lineRule="auto"/>
      </w:pPr>
    </w:p>
    <w:p w14:paraId="60B2CDC3" w14:textId="62422A85" w:rsidR="00B87E75" w:rsidRDefault="008E3943" w:rsidP="4B712E67">
      <w:pPr>
        <w:tabs>
          <w:tab w:val="left" w:pos="6540"/>
        </w:tabs>
        <w:spacing w:line="360" w:lineRule="auto"/>
        <w:rPr>
          <w:rFonts w:ascii="Arial" w:eastAsia="Arial" w:hAnsi="Arial" w:cs="Arial"/>
          <w:b/>
          <w:bCs/>
          <w:sz w:val="22"/>
        </w:rPr>
      </w:pPr>
      <w:r w:rsidRPr="11849383">
        <w:rPr>
          <w:rFonts w:ascii="Arial" w:eastAsia="Arial" w:hAnsi="Arial" w:cs="Arial"/>
          <w:b/>
          <w:bCs/>
          <w:sz w:val="22"/>
        </w:rPr>
        <w:t xml:space="preserve"> Importance of </w:t>
      </w:r>
      <w:r w:rsidR="08140CE6" w:rsidRPr="11849383">
        <w:rPr>
          <w:rFonts w:ascii="Arial" w:eastAsia="Arial" w:hAnsi="Arial" w:cs="Arial"/>
          <w:b/>
          <w:bCs/>
          <w:sz w:val="22"/>
        </w:rPr>
        <w:t>G</w:t>
      </w:r>
      <w:r w:rsidRPr="11849383">
        <w:rPr>
          <w:rFonts w:ascii="Arial" w:eastAsia="Arial" w:hAnsi="Arial" w:cs="Arial"/>
          <w:b/>
          <w:bCs/>
          <w:sz w:val="22"/>
        </w:rPr>
        <w:t xml:space="preserve">ood </w:t>
      </w:r>
      <w:r w:rsidR="607FF52B" w:rsidRPr="11849383">
        <w:rPr>
          <w:rFonts w:ascii="Arial" w:eastAsia="Arial" w:hAnsi="Arial" w:cs="Arial"/>
          <w:b/>
          <w:bCs/>
          <w:sz w:val="22"/>
        </w:rPr>
        <w:t>A</w:t>
      </w:r>
      <w:r w:rsidRPr="11849383">
        <w:rPr>
          <w:rFonts w:ascii="Arial" w:eastAsia="Arial" w:hAnsi="Arial" w:cs="Arial"/>
          <w:b/>
          <w:bCs/>
          <w:sz w:val="22"/>
        </w:rPr>
        <w:t xml:space="preserve">dministrative </w:t>
      </w:r>
      <w:r w:rsidR="1E4746FC" w:rsidRPr="11849383">
        <w:rPr>
          <w:rFonts w:ascii="Arial" w:eastAsia="Arial" w:hAnsi="Arial" w:cs="Arial"/>
          <w:b/>
          <w:bCs/>
          <w:sz w:val="22"/>
        </w:rPr>
        <w:t>S</w:t>
      </w:r>
      <w:r w:rsidRPr="11849383">
        <w:rPr>
          <w:rFonts w:ascii="Arial" w:eastAsia="Arial" w:hAnsi="Arial" w:cs="Arial"/>
          <w:b/>
          <w:bCs/>
          <w:sz w:val="22"/>
        </w:rPr>
        <w:t xml:space="preserve">kills </w:t>
      </w:r>
    </w:p>
    <w:p w14:paraId="2259B6AA" w14:textId="77777777" w:rsidR="00740407" w:rsidRPr="00740407" w:rsidRDefault="00740407" w:rsidP="4B712E67"/>
    <w:p w14:paraId="26987464" w14:textId="6C24D791" w:rsidR="007255A5" w:rsidRPr="00740407" w:rsidRDefault="40BAEE97" w:rsidP="4B712E67">
      <w:pPr>
        <w:tabs>
          <w:tab w:val="left" w:pos="6540"/>
        </w:tabs>
        <w:spacing w:line="360" w:lineRule="auto"/>
        <w:rPr>
          <w:rFonts w:ascii="Arial" w:eastAsia="Arial" w:hAnsi="Arial" w:cs="Arial"/>
          <w:sz w:val="22"/>
        </w:rPr>
      </w:pPr>
      <w:r w:rsidRPr="11849383">
        <w:rPr>
          <w:rFonts w:ascii="Arial" w:eastAsia="Arial" w:hAnsi="Arial" w:cs="Arial"/>
          <w:sz w:val="22"/>
        </w:rPr>
        <w:t>Within the regulatory landscape of England, the management and processing of sensitive clinical data are rigorously dictated by the statutory requirements of the Data Protection Act 2018.</w:t>
      </w:r>
      <w:r w:rsidR="274C92FC" w:rsidRPr="11849383">
        <w:rPr>
          <w:rFonts w:ascii="Arial" w:eastAsia="Arial" w:hAnsi="Arial" w:cs="Arial"/>
          <w:sz w:val="22"/>
        </w:rPr>
        <w:t xml:space="preserve"> </w:t>
      </w:r>
      <w:r w:rsidR="2F564558" w:rsidRPr="11849383">
        <w:rPr>
          <w:rFonts w:ascii="Arial" w:eastAsia="Arial" w:hAnsi="Arial" w:cs="Arial"/>
          <w:sz w:val="22"/>
        </w:rPr>
        <w:t xml:space="preserve"> </w:t>
      </w:r>
      <w:r w:rsidR="007255A5" w:rsidRPr="11849383">
        <w:rPr>
          <w:rFonts w:ascii="Arial" w:eastAsia="Arial" w:hAnsi="Arial" w:cs="Arial"/>
          <w:sz w:val="22"/>
        </w:rPr>
        <w:t>The maintenance of accurate and timely clinical records is not merely a bureaucratic</w:t>
      </w:r>
      <w:r w:rsidR="53989CA4" w:rsidRPr="11849383">
        <w:rPr>
          <w:rFonts w:ascii="Arial" w:eastAsia="Arial" w:hAnsi="Arial" w:cs="Arial"/>
          <w:sz w:val="22"/>
        </w:rPr>
        <w:t xml:space="preserve"> requirement; it is a critical safeguard for optimizing patient outcomes and upholding the highest standards of clinical safety. Consequently, any lapses in maintaining precise records can precipitate diagnostic inaccuracies and compromised treatment plans, presenting a direct risk to service user well-being.</w:t>
      </w:r>
      <w:r w:rsidR="007255A5" w:rsidRPr="11849383">
        <w:rPr>
          <w:rFonts w:ascii="Arial" w:eastAsia="Arial" w:hAnsi="Arial" w:cs="Arial"/>
          <w:sz w:val="22"/>
        </w:rPr>
        <w:t xml:space="preserve"> requirement but a fundamental pillar of patient safety and professional accountability.</w:t>
      </w:r>
      <w:r w:rsidR="58F0E5F2" w:rsidRPr="11849383">
        <w:rPr>
          <w:rFonts w:ascii="Arial" w:eastAsia="Arial" w:hAnsi="Arial" w:cs="Arial"/>
          <w:sz w:val="22"/>
        </w:rPr>
        <w:t xml:space="preserve"> Regarding the clinical incident involving Mr Ahmed, the failure to administer his prescribed medication serves as a stark illustration of suboptimal administrative oversight. This lapse underscores that rigorous documentation is not merely a formality but a vital safeguard for ensuring patient safety and high-quality care delivery.</w:t>
      </w:r>
      <w:r w:rsidR="007255A5" w:rsidRPr="11849383">
        <w:rPr>
          <w:rFonts w:ascii="Arial" w:eastAsia="Arial" w:hAnsi="Arial" w:cs="Arial"/>
          <w:sz w:val="22"/>
        </w:rPr>
        <w:t xml:space="preserve">  </w:t>
      </w:r>
      <w:r w:rsidR="007255A5" w:rsidRPr="11849383">
        <w:rPr>
          <w:rFonts w:ascii="Arial" w:eastAsia="Arial" w:hAnsi="Arial" w:cs="Arial"/>
          <w:sz w:val="22"/>
        </w:rPr>
        <w:lastRenderedPageBreak/>
        <w:t>According to the National Institute for Health and Care Excellence (NICE, 2023)</w:t>
      </w:r>
      <w:r w:rsidR="0066661C" w:rsidRPr="11849383">
        <w:rPr>
          <w:rFonts w:ascii="Arial" w:eastAsia="Arial" w:hAnsi="Arial" w:cs="Arial"/>
          <w:sz w:val="22"/>
        </w:rPr>
        <w:t xml:space="preserve"> the maintenance of precise clinical records is fundamental to ensuring the continuity of care and effectively mitigating risks associated with medication </w:t>
      </w:r>
      <w:proofErr w:type="gramStart"/>
      <w:r w:rsidR="0066661C" w:rsidRPr="11849383">
        <w:rPr>
          <w:rFonts w:ascii="Arial" w:eastAsia="Arial" w:hAnsi="Arial" w:cs="Arial"/>
          <w:sz w:val="22"/>
        </w:rPr>
        <w:t>management</w:t>
      </w:r>
      <w:r w:rsidR="007255A5" w:rsidRPr="11849383">
        <w:rPr>
          <w:rFonts w:ascii="Arial" w:eastAsia="Arial" w:hAnsi="Arial" w:cs="Arial"/>
          <w:sz w:val="22"/>
        </w:rPr>
        <w:t>,  the</w:t>
      </w:r>
      <w:proofErr w:type="gramEnd"/>
      <w:r w:rsidR="007255A5" w:rsidRPr="11849383">
        <w:rPr>
          <w:rFonts w:ascii="Arial" w:eastAsia="Arial" w:hAnsi="Arial" w:cs="Arial"/>
          <w:sz w:val="22"/>
        </w:rPr>
        <w:t xml:space="preserve"> risks associated with polypharmacy in post-stroke recovery." Had the medication administration record (MAR) chart been strictly updated and reviewed by the care team, the oversight regarding his prescription would have been identified before a clinical risk emerged. Professionalism in administration ensures that every intervention is traceable, providing a safety net for both the staff and the service user.</w:t>
      </w:r>
    </w:p>
    <w:p w14:paraId="41B5D5E7" w14:textId="7DDC5026" w:rsidR="007255A5" w:rsidRPr="00740407" w:rsidRDefault="007255A5" w:rsidP="4B712E67">
      <w:pPr>
        <w:tabs>
          <w:tab w:val="left" w:pos="6540"/>
        </w:tabs>
        <w:spacing w:line="360" w:lineRule="auto"/>
        <w:rPr>
          <w:rFonts w:ascii="Arial" w:eastAsia="Arial" w:hAnsi="Arial" w:cs="Arial"/>
          <w:sz w:val="22"/>
        </w:rPr>
      </w:pPr>
      <w:r w:rsidRPr="11849383">
        <w:rPr>
          <w:rFonts w:ascii="Arial" w:eastAsia="Arial" w:hAnsi="Arial" w:cs="Arial"/>
          <w:sz w:val="22"/>
        </w:rPr>
        <w:t>, which incorporates the provisions of the General Data Protection Regulation (GDPR). This legislation mandates that personal data concerning health must be processed securely and kept accurate and up to date. Professional administrative skills require that any incident, such as the missed medication, is documented through a formal incident report (such as a Datix entry) to facilitate a root-cause analysis. Failure to adhere to these standards constitutes a breach of the Care Quality Commission (CQC, 2024) fundamental standards, specifically regarding the "safe management of medicines." Proper documentation serves as a legal safeguard, ensuring that care providers can demonstrate compliance with statutory obligations during regulatory inspections.</w:t>
      </w:r>
    </w:p>
    <w:p w14:paraId="4FC14C6B" w14:textId="2E99AD9E" w:rsidR="00B87E75" w:rsidRPr="00740407" w:rsidRDefault="007255A5" w:rsidP="4B712E67">
      <w:pPr>
        <w:tabs>
          <w:tab w:val="left" w:pos="6540"/>
        </w:tabs>
        <w:spacing w:line="360" w:lineRule="auto"/>
        <w:rPr>
          <w:rFonts w:ascii="Arial" w:eastAsia="Arial" w:hAnsi="Arial" w:cs="Arial"/>
          <w:sz w:val="22"/>
        </w:rPr>
      </w:pPr>
      <w:r w:rsidRPr="11849383">
        <w:rPr>
          <w:rFonts w:ascii="Arial" w:eastAsia="Arial" w:hAnsi="Arial" w:cs="Arial"/>
          <w:sz w:val="22"/>
        </w:rPr>
        <w:t>Beyond basic compliance, the clinical incident involving Mr. Ahmed’s medication serves as a primary case study in the failure of administrative accountability. The professional duty of candour requires that all such errors are managed with absolute transparency. For a service user recovering from a stroke, consistent medication is vital to prevent secondary complications or a recurrent cerebrovascular event. The failure to maintain a contemporaneous MAR chart indicates a systemic breakdown in the care facility’s administrative protocols. To rectify this, the implementation of Electronic Health Records (EHR) should be considered, as digital systems provide automated alerts and time-stamped entries that significantly reduce the margin for human error. According to NHS England (2024), the transition to digital record-keeping is a key component of the 'Long Term Plan' to enhance patient safety and ensure that critical health data is accessible to all members of the multidisciplinary team in real-time. Therefore, improving administrative proficiency is central to preventing future clinical errors and ensuring that Mr Ahmed receives a consistent and legally compliant level of support within the community.</w:t>
      </w:r>
    </w:p>
    <w:p w14:paraId="68FFD705" w14:textId="77777777" w:rsidR="008E3943" w:rsidRPr="00740407" w:rsidRDefault="008E3943" w:rsidP="4B712E67">
      <w:pPr>
        <w:tabs>
          <w:tab w:val="left" w:pos="6540"/>
        </w:tabs>
        <w:spacing w:line="360" w:lineRule="auto"/>
        <w:rPr>
          <w:rFonts w:ascii="Arial" w:eastAsia="Arial" w:hAnsi="Arial" w:cs="Arial"/>
          <w:sz w:val="22"/>
        </w:rPr>
      </w:pPr>
    </w:p>
    <w:p w14:paraId="2B008FF6" w14:textId="77777777" w:rsidR="008E3943" w:rsidRPr="00740407" w:rsidRDefault="008E3943" w:rsidP="4B712E67">
      <w:pPr>
        <w:tabs>
          <w:tab w:val="left" w:pos="6540"/>
        </w:tabs>
        <w:spacing w:line="360" w:lineRule="auto"/>
        <w:rPr>
          <w:rFonts w:ascii="Arial" w:eastAsia="Arial" w:hAnsi="Arial" w:cs="Arial"/>
          <w:sz w:val="22"/>
        </w:rPr>
      </w:pPr>
    </w:p>
    <w:p w14:paraId="581C99BF" w14:textId="6636BD49" w:rsidR="00B87E75" w:rsidRDefault="00B87E75" w:rsidP="4B712E67">
      <w:pPr>
        <w:spacing w:line="360" w:lineRule="auto"/>
        <w:rPr>
          <w:rFonts w:ascii="Arial" w:eastAsia="Arial" w:hAnsi="Arial" w:cs="Arial"/>
          <w:b/>
          <w:bCs/>
          <w:sz w:val="22"/>
        </w:rPr>
      </w:pPr>
      <w:r w:rsidRPr="11849383">
        <w:rPr>
          <w:rFonts w:ascii="Arial" w:eastAsia="Arial" w:hAnsi="Arial" w:cs="Arial"/>
          <w:b/>
          <w:bCs/>
          <w:sz w:val="22"/>
        </w:rPr>
        <w:t xml:space="preserve"> </w:t>
      </w:r>
      <w:r w:rsidR="008E3943" w:rsidRPr="11849383">
        <w:rPr>
          <w:rFonts w:ascii="Arial" w:eastAsia="Arial" w:hAnsi="Arial" w:cs="Arial"/>
          <w:b/>
          <w:bCs/>
          <w:sz w:val="22"/>
        </w:rPr>
        <w:t>Importance of working collaboratively</w:t>
      </w:r>
    </w:p>
    <w:p w14:paraId="39AEB812" w14:textId="704C8C34" w:rsidR="00740407" w:rsidRPr="00740407" w:rsidRDefault="0F9B5F11" w:rsidP="11849383">
      <w:pPr>
        <w:spacing w:line="360" w:lineRule="auto"/>
        <w:rPr>
          <w:rFonts w:ascii="Arial" w:eastAsia="Arial" w:hAnsi="Arial" w:cs="Arial"/>
          <w:sz w:val="22"/>
        </w:rPr>
      </w:pPr>
      <w:r w:rsidRPr="11849383">
        <w:rPr>
          <w:rFonts w:ascii="Arial" w:eastAsia="Arial" w:hAnsi="Arial" w:cs="Arial"/>
          <w:sz w:val="22"/>
        </w:rPr>
        <w:lastRenderedPageBreak/>
        <w:t>The successful rehabilitation of Mr. Ahmed depends heavily on how efficiently health and social care experts coordinate their efforts. To meet the multifaceted requirements of individuals recovering from a stroke, a Multi-Disciplinary Team (MDT) approach is indispensable. In this case, the synergy between the GP, the district nurse, and the speech and language therapist (SLT) is paramount. Effective collaboration ensures that Mr Ahmed’s physical rehabilitation, communication therapy, and clinical monitoring are not conducted in isolation but are part of a cohesive care plan. According to the Social Care Institute for Excellence (SCIE, 2023), adopting a unified strategy diminishes the dangers of disjointed support, guaranteeing a more secure and fluid transition for the individual within the healthcare system.</w:t>
      </w:r>
    </w:p>
    <w:p w14:paraId="66513F9A" w14:textId="7D4833C7" w:rsidR="00740407" w:rsidRPr="00740407" w:rsidRDefault="0F9B5F11" w:rsidP="4B712E67">
      <w:pPr>
        <w:spacing w:line="360" w:lineRule="auto"/>
        <w:rPr>
          <w:rFonts w:ascii="Arial" w:eastAsia="Arial" w:hAnsi="Arial" w:cs="Arial"/>
          <w:sz w:val="22"/>
        </w:rPr>
      </w:pPr>
      <w:r w:rsidRPr="11849383">
        <w:rPr>
          <w:rFonts w:ascii="Arial" w:eastAsia="Arial" w:hAnsi="Arial" w:cs="Arial"/>
          <w:sz w:val="22"/>
        </w:rPr>
        <w:t>Nevertheless, inter-agency cooperation is frequently obstructed by systemic hurdles, particularly isolated communication channels. The clinical dangers of poor oversight are clearly shown by the error in Mr. Ahmed’s medication. To fix this, the team should use tools like the SBAR framework (Situation, Background, Assessment, Recommendation) technique. Moreover, the Care Act 2014 establishes a statutory framework that obliges healthcare organizations and local councils to work together, ensuring the patient's welfare remains the primary focus (Department of Health and Social Care, 2024). This collaborative approach must also extend to Mr. Ahmed’s family, with particular emphasis on integrating his wife into the decision-making process. By prioritizing this "partnership-based" method, the multi-agency team can provide Mr. Ahmed with more agency, resulting in a comprehensive care plan that is perfectly aligned with his unique path to recovery.</w:t>
      </w:r>
    </w:p>
    <w:p w14:paraId="682D1769" w14:textId="7CB02D41" w:rsidR="003E4ECF" w:rsidRPr="00740407" w:rsidRDefault="003E4ECF" w:rsidP="4B712E67">
      <w:pPr>
        <w:tabs>
          <w:tab w:val="left" w:pos="6540"/>
        </w:tabs>
        <w:spacing w:line="360" w:lineRule="auto"/>
        <w:rPr>
          <w:rFonts w:ascii="Arial" w:eastAsia="Arial" w:hAnsi="Arial" w:cs="Arial"/>
          <w:sz w:val="22"/>
        </w:rPr>
      </w:pPr>
    </w:p>
    <w:p w14:paraId="15C25996" w14:textId="77777777" w:rsidR="008E3943" w:rsidRPr="00740407" w:rsidRDefault="008E3943" w:rsidP="4B712E67">
      <w:pPr>
        <w:tabs>
          <w:tab w:val="left" w:pos="6540"/>
        </w:tabs>
        <w:spacing w:line="360" w:lineRule="auto"/>
        <w:rPr>
          <w:rFonts w:ascii="Arial" w:eastAsia="Arial" w:hAnsi="Arial" w:cs="Arial"/>
          <w:sz w:val="22"/>
        </w:rPr>
      </w:pPr>
    </w:p>
    <w:p w14:paraId="16FAF0EA" w14:textId="0A2DC48E" w:rsidR="00B87E75" w:rsidRPr="00740407" w:rsidRDefault="00B87E75" w:rsidP="11849383">
      <w:pPr>
        <w:tabs>
          <w:tab w:val="left" w:pos="6540"/>
        </w:tabs>
        <w:spacing w:line="360" w:lineRule="auto"/>
        <w:rPr>
          <w:rFonts w:ascii="Arial" w:eastAsia="Arial" w:hAnsi="Arial" w:cs="Arial"/>
          <w:sz w:val="22"/>
        </w:rPr>
      </w:pPr>
      <w:r w:rsidRPr="11849383">
        <w:rPr>
          <w:rFonts w:ascii="Arial" w:eastAsia="Arial" w:hAnsi="Arial" w:cs="Arial"/>
          <w:b/>
          <w:bCs/>
          <w:sz w:val="22"/>
        </w:rPr>
        <w:t>Conclusion</w:t>
      </w:r>
      <w:r w:rsidR="00CD33A8" w:rsidRPr="11849383">
        <w:rPr>
          <w:rFonts w:ascii="Arial" w:eastAsia="Arial" w:hAnsi="Arial" w:cs="Arial"/>
          <w:b/>
          <w:bCs/>
          <w:sz w:val="22"/>
        </w:rPr>
        <w:t xml:space="preserve"> </w:t>
      </w:r>
    </w:p>
    <w:p w14:paraId="3FCD6B7F" w14:textId="4CA3061E" w:rsidR="00740407" w:rsidRDefault="60BFFB04" w:rsidP="11849383">
      <w:pPr>
        <w:tabs>
          <w:tab w:val="left" w:pos="6540"/>
        </w:tabs>
        <w:spacing w:line="360" w:lineRule="auto"/>
        <w:rPr>
          <w:rFonts w:ascii="Arial" w:eastAsia="Arial" w:hAnsi="Arial" w:cs="Arial"/>
          <w:sz w:val="22"/>
        </w:rPr>
      </w:pPr>
      <w:r w:rsidRPr="11849383">
        <w:rPr>
          <w:rFonts w:ascii="Arial" w:eastAsia="Arial" w:hAnsi="Arial" w:cs="Arial"/>
          <w:sz w:val="22"/>
        </w:rPr>
        <w:t xml:space="preserve">In summary, the successful rehabilitation and support of Mr. Ahmed rely on a highly integrated approach between health and social care sectors. This case underscores the necessity of moving beyond professional boundaries to establish a unified care strategy that prioritizes the patient’s well-being. By utilizing structured communication tools like SBAR and adhering to the legislative mandates of the Care Act 2014, practitioners can mitigate clinical risks and prevent the fragmentation of services. Furthermore, shifting toward a "partnership approach" that actively involves the family ensures that care is not only clinically sound but also holistic and </w:t>
      </w:r>
      <w:proofErr w:type="gramStart"/>
      <w:r w:rsidRPr="11849383">
        <w:rPr>
          <w:rFonts w:ascii="Arial" w:eastAsia="Arial" w:hAnsi="Arial" w:cs="Arial"/>
          <w:sz w:val="22"/>
        </w:rPr>
        <w:t>person-centered</w:t>
      </w:r>
      <w:proofErr w:type="gramEnd"/>
      <w:r w:rsidRPr="11849383">
        <w:rPr>
          <w:rFonts w:ascii="Arial" w:eastAsia="Arial" w:hAnsi="Arial" w:cs="Arial"/>
          <w:sz w:val="22"/>
        </w:rPr>
        <w:t>. Ultimately, fostering such collaboration is essential to empowering Mr. Ahmed and facilitating a safe, effective, and sustainable recovery trajectory.</w:t>
      </w:r>
    </w:p>
    <w:p w14:paraId="737097A4" w14:textId="41F27141" w:rsidR="11849383" w:rsidRDefault="11849383" w:rsidP="11849383">
      <w:pPr>
        <w:spacing w:line="360" w:lineRule="auto"/>
        <w:rPr>
          <w:rFonts w:ascii="Arial" w:eastAsia="Arial" w:hAnsi="Arial" w:cs="Arial"/>
          <w:b/>
          <w:bCs/>
          <w:sz w:val="22"/>
        </w:rPr>
      </w:pPr>
    </w:p>
    <w:p w14:paraId="33F8F0BD" w14:textId="09ACA89E" w:rsidR="00B87E75" w:rsidRDefault="00B87E75" w:rsidP="4B712E67">
      <w:pPr>
        <w:spacing w:line="360" w:lineRule="auto"/>
        <w:rPr>
          <w:rFonts w:ascii="Arial" w:eastAsia="Arial" w:hAnsi="Arial" w:cs="Arial"/>
          <w:b/>
          <w:bCs/>
          <w:sz w:val="22"/>
        </w:rPr>
      </w:pPr>
      <w:r w:rsidRPr="11849383">
        <w:rPr>
          <w:rFonts w:ascii="Arial" w:eastAsia="Arial" w:hAnsi="Arial" w:cs="Arial"/>
          <w:b/>
          <w:bCs/>
          <w:sz w:val="22"/>
        </w:rPr>
        <w:lastRenderedPageBreak/>
        <w:t>References</w:t>
      </w:r>
    </w:p>
    <w:p w14:paraId="59B10798" w14:textId="77777777" w:rsidR="00740407" w:rsidRPr="00740407" w:rsidRDefault="00740407" w:rsidP="4B712E67">
      <w:pPr>
        <w:spacing w:line="360" w:lineRule="auto"/>
        <w:rPr>
          <w:rFonts w:ascii="Arial" w:eastAsia="Arial" w:hAnsi="Arial" w:cs="Arial"/>
          <w:sz w:val="22"/>
        </w:rPr>
      </w:pPr>
    </w:p>
    <w:p w14:paraId="6CF06F93" w14:textId="44EF4BCB" w:rsidR="001D7C03" w:rsidRPr="00740407" w:rsidRDefault="3915E12A" w:rsidP="11849383">
      <w:pPr>
        <w:tabs>
          <w:tab w:val="left" w:pos="6540"/>
        </w:tabs>
        <w:spacing w:line="360" w:lineRule="auto"/>
        <w:rPr>
          <w:rFonts w:ascii="Arial" w:eastAsia="Arial" w:hAnsi="Arial" w:cs="Arial"/>
          <w:sz w:val="22"/>
        </w:rPr>
      </w:pPr>
      <w:r w:rsidRPr="11849383">
        <w:rPr>
          <w:rFonts w:ascii="Arial" w:eastAsia="Arial" w:hAnsi="Arial" w:cs="Arial"/>
          <w:sz w:val="22"/>
        </w:rPr>
        <w:t>Argyle, M. (1972) The Psychology of Interpersonal Behaviour. 2nd edn. Harmondsworth: Penguin.</w:t>
      </w:r>
    </w:p>
    <w:p w14:paraId="1FE415D0" w14:textId="127576A8" w:rsidR="001D7C03" w:rsidRPr="00740407" w:rsidRDefault="3915E12A" w:rsidP="11849383">
      <w:pPr>
        <w:tabs>
          <w:tab w:val="left" w:pos="6540"/>
        </w:tabs>
        <w:spacing w:line="360" w:lineRule="auto"/>
        <w:rPr>
          <w:rFonts w:ascii="Arial" w:eastAsia="Arial" w:hAnsi="Arial" w:cs="Arial"/>
          <w:sz w:val="22"/>
        </w:rPr>
      </w:pPr>
      <w:r w:rsidRPr="11849383">
        <w:rPr>
          <w:rFonts w:ascii="Arial" w:eastAsia="Arial" w:hAnsi="Arial" w:cs="Arial"/>
          <w:sz w:val="22"/>
        </w:rPr>
        <w:t xml:space="preserve">Care Quality Commission (CQC) (2024) The fundamental standards. Available at: </w:t>
      </w:r>
      <w:hyperlink r:id="rId12">
        <w:r w:rsidRPr="11849383">
          <w:rPr>
            <w:rFonts w:ascii="Arial" w:eastAsia="Arial" w:hAnsi="Arial" w:cs="Arial"/>
            <w:sz w:val="22"/>
          </w:rPr>
          <w:t>https://www.cqc.org.uk/guidance-providers/regulations-enforcement/regulations-service-providers-and-managers-relevant</w:t>
        </w:r>
      </w:hyperlink>
      <w:r w:rsidRPr="11849383">
        <w:rPr>
          <w:rFonts w:ascii="Arial" w:eastAsia="Arial" w:hAnsi="Arial" w:cs="Arial"/>
          <w:sz w:val="22"/>
        </w:rPr>
        <w:t xml:space="preserve"> (Accessed: 7 April 2026).</w:t>
      </w:r>
    </w:p>
    <w:p w14:paraId="35DF7191" w14:textId="1B2B6FC4" w:rsidR="001D7C03" w:rsidRPr="00740407" w:rsidRDefault="3915E12A" w:rsidP="11849383">
      <w:pPr>
        <w:tabs>
          <w:tab w:val="left" w:pos="6540"/>
        </w:tabs>
        <w:spacing w:line="360" w:lineRule="auto"/>
        <w:rPr>
          <w:rFonts w:ascii="Arial" w:eastAsia="Arial" w:hAnsi="Arial" w:cs="Arial"/>
          <w:sz w:val="22"/>
        </w:rPr>
      </w:pPr>
      <w:r w:rsidRPr="11849383">
        <w:rPr>
          <w:rFonts w:ascii="Arial" w:eastAsia="Arial" w:hAnsi="Arial" w:cs="Arial"/>
          <w:sz w:val="22"/>
        </w:rPr>
        <w:t xml:space="preserve">Data Protection Act 2018, c. 12. Available at: </w:t>
      </w:r>
      <w:hyperlink r:id="rId13">
        <w:r w:rsidRPr="11849383">
          <w:rPr>
            <w:rFonts w:ascii="Arial" w:eastAsia="Arial" w:hAnsi="Arial" w:cs="Arial"/>
            <w:sz w:val="22"/>
          </w:rPr>
          <w:t>https://www.legislation.gov.uk/ukpga/2018/12/contents</w:t>
        </w:r>
      </w:hyperlink>
      <w:r w:rsidRPr="11849383">
        <w:rPr>
          <w:rFonts w:ascii="Arial" w:eastAsia="Arial" w:hAnsi="Arial" w:cs="Arial"/>
          <w:sz w:val="22"/>
        </w:rPr>
        <w:t xml:space="preserve"> (Accessed: 7 April 2026).</w:t>
      </w:r>
    </w:p>
    <w:p w14:paraId="0D33BDB2" w14:textId="1C270F62" w:rsidR="001D7C03" w:rsidRPr="00740407" w:rsidRDefault="3915E12A" w:rsidP="11849383">
      <w:pPr>
        <w:tabs>
          <w:tab w:val="left" w:pos="6540"/>
        </w:tabs>
        <w:spacing w:line="360" w:lineRule="auto"/>
        <w:rPr>
          <w:rFonts w:ascii="Arial" w:eastAsia="Arial" w:hAnsi="Arial" w:cs="Arial"/>
          <w:sz w:val="22"/>
        </w:rPr>
      </w:pPr>
      <w:r w:rsidRPr="11849383">
        <w:rPr>
          <w:rFonts w:ascii="Arial" w:eastAsia="Arial" w:hAnsi="Arial" w:cs="Arial"/>
          <w:sz w:val="22"/>
        </w:rPr>
        <w:t xml:space="preserve">Department of Health and Social Care (DHSC) (2024) Integration and innovation: working together to improve health and social care for all. Available at: </w:t>
      </w:r>
      <w:hyperlink r:id="rId14">
        <w:r w:rsidRPr="11849383">
          <w:rPr>
            <w:rFonts w:ascii="Arial" w:eastAsia="Arial" w:hAnsi="Arial" w:cs="Arial"/>
            <w:sz w:val="22"/>
          </w:rPr>
          <w:t>https://www.gov.uk/government/publications/health-and-social-care-white-paper</w:t>
        </w:r>
      </w:hyperlink>
      <w:r w:rsidRPr="11849383">
        <w:rPr>
          <w:rFonts w:ascii="Arial" w:eastAsia="Arial" w:hAnsi="Arial" w:cs="Arial"/>
          <w:sz w:val="22"/>
        </w:rPr>
        <w:t xml:space="preserve"> (Accessed: 7 April 2026).</w:t>
      </w:r>
    </w:p>
    <w:p w14:paraId="268647BC" w14:textId="11AB87F7" w:rsidR="001D7C03" w:rsidRPr="00740407" w:rsidRDefault="3915E12A" w:rsidP="11849383">
      <w:pPr>
        <w:tabs>
          <w:tab w:val="left" w:pos="6540"/>
        </w:tabs>
        <w:spacing w:line="360" w:lineRule="auto"/>
        <w:rPr>
          <w:rFonts w:ascii="Arial" w:eastAsia="Arial" w:hAnsi="Arial" w:cs="Arial"/>
          <w:sz w:val="22"/>
        </w:rPr>
      </w:pPr>
      <w:r w:rsidRPr="11849383">
        <w:rPr>
          <w:rFonts w:ascii="Arial" w:eastAsia="Arial" w:hAnsi="Arial" w:cs="Arial"/>
          <w:sz w:val="22"/>
        </w:rPr>
        <w:t xml:space="preserve">Equality Act 2010, c. 15. Available at: </w:t>
      </w:r>
      <w:hyperlink r:id="rId15">
        <w:r w:rsidRPr="11849383">
          <w:rPr>
            <w:rFonts w:ascii="Arial" w:eastAsia="Arial" w:hAnsi="Arial" w:cs="Arial"/>
            <w:sz w:val="22"/>
          </w:rPr>
          <w:t>https://www.legislation.gov.uk/ukpga/2010/15/contents</w:t>
        </w:r>
      </w:hyperlink>
      <w:r w:rsidRPr="11849383">
        <w:rPr>
          <w:rFonts w:ascii="Arial" w:eastAsia="Arial" w:hAnsi="Arial" w:cs="Arial"/>
          <w:sz w:val="22"/>
        </w:rPr>
        <w:t xml:space="preserve"> (Accessed: 7 April 2026).</w:t>
      </w:r>
    </w:p>
    <w:p w14:paraId="49D838AF" w14:textId="37E198F3" w:rsidR="001D7C03" w:rsidRPr="00740407" w:rsidRDefault="3915E12A" w:rsidP="11849383">
      <w:pPr>
        <w:tabs>
          <w:tab w:val="left" w:pos="6540"/>
        </w:tabs>
        <w:spacing w:line="360" w:lineRule="auto"/>
        <w:rPr>
          <w:rFonts w:ascii="Arial" w:eastAsia="Arial" w:hAnsi="Arial" w:cs="Arial"/>
          <w:sz w:val="22"/>
        </w:rPr>
      </w:pPr>
      <w:r w:rsidRPr="11849383">
        <w:rPr>
          <w:rFonts w:ascii="Arial" w:eastAsia="Arial" w:hAnsi="Arial" w:cs="Arial"/>
          <w:sz w:val="22"/>
        </w:rPr>
        <w:t xml:space="preserve">National Institute for Health and Care Excellence (NICE) (2023) Stroke rehabilitation in adults. Clinical guideline [NG236]. Available at: </w:t>
      </w:r>
      <w:hyperlink r:id="rId16">
        <w:r w:rsidRPr="11849383">
          <w:rPr>
            <w:rFonts w:ascii="Arial" w:eastAsia="Arial" w:hAnsi="Arial" w:cs="Arial"/>
            <w:sz w:val="22"/>
          </w:rPr>
          <w:t>https://www.nice.org.uk/guidance/ng236</w:t>
        </w:r>
      </w:hyperlink>
      <w:r w:rsidRPr="11849383">
        <w:rPr>
          <w:rFonts w:ascii="Arial" w:eastAsia="Arial" w:hAnsi="Arial" w:cs="Arial"/>
          <w:sz w:val="22"/>
        </w:rPr>
        <w:t xml:space="preserve"> (Accessed: 7 April 2026).</w:t>
      </w:r>
    </w:p>
    <w:p w14:paraId="67191963" w14:textId="4005BBDA" w:rsidR="001D7C03" w:rsidRPr="00740407" w:rsidRDefault="3915E12A" w:rsidP="11849383">
      <w:pPr>
        <w:tabs>
          <w:tab w:val="left" w:pos="6540"/>
        </w:tabs>
        <w:spacing w:line="360" w:lineRule="auto"/>
        <w:rPr>
          <w:rFonts w:ascii="Arial" w:eastAsia="Arial" w:hAnsi="Arial" w:cs="Arial"/>
          <w:sz w:val="22"/>
        </w:rPr>
      </w:pPr>
      <w:r w:rsidRPr="11849383">
        <w:rPr>
          <w:rFonts w:ascii="Arial" w:eastAsia="Arial" w:hAnsi="Arial" w:cs="Arial"/>
          <w:sz w:val="22"/>
        </w:rPr>
        <w:t xml:space="preserve">NHS England (2024) The NHS Long Term Plan. Available at: </w:t>
      </w:r>
      <w:hyperlink r:id="rId17">
        <w:r w:rsidRPr="11849383">
          <w:rPr>
            <w:rFonts w:ascii="Arial" w:eastAsia="Arial" w:hAnsi="Arial" w:cs="Arial"/>
            <w:sz w:val="22"/>
          </w:rPr>
          <w:t>https://www.longtermplan.nhs.uk/publication/nhs-long-term-plan/</w:t>
        </w:r>
      </w:hyperlink>
      <w:r w:rsidRPr="11849383">
        <w:rPr>
          <w:rFonts w:ascii="Arial" w:eastAsia="Arial" w:hAnsi="Arial" w:cs="Arial"/>
          <w:sz w:val="22"/>
        </w:rPr>
        <w:t xml:space="preserve"> (Accessed: 7 April 2026).</w:t>
      </w:r>
    </w:p>
    <w:p w14:paraId="1425F4AC" w14:textId="16D2876E" w:rsidR="001D7C03" w:rsidRPr="00740407" w:rsidRDefault="3915E12A" w:rsidP="4B712E67">
      <w:pPr>
        <w:tabs>
          <w:tab w:val="left" w:pos="6540"/>
        </w:tabs>
        <w:spacing w:line="360" w:lineRule="auto"/>
      </w:pPr>
      <w:r w:rsidRPr="11849383">
        <w:rPr>
          <w:rFonts w:ascii="Arial" w:eastAsia="Arial" w:hAnsi="Arial" w:cs="Arial"/>
          <w:sz w:val="22"/>
        </w:rPr>
        <w:t>Social Care Institute for Excellence (SCIE) (2023) Integrated care: What is it and why does it matter? Available at: https://www.scie.org.uk/integrated-care/introduction (Accessed: 7 April 2026).</w:t>
      </w:r>
    </w:p>
    <w:sectPr w:rsidR="001D7C03" w:rsidRPr="00740407" w:rsidSect="00E620E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D33D3" w14:textId="77777777" w:rsidR="00D9550E" w:rsidRDefault="00D9550E" w:rsidP="003E4ECF">
      <w:pPr>
        <w:spacing w:after="0" w:line="240" w:lineRule="auto"/>
      </w:pPr>
      <w:r>
        <w:separator/>
      </w:r>
    </w:p>
  </w:endnote>
  <w:endnote w:type="continuationSeparator" w:id="0">
    <w:p w14:paraId="644078B3" w14:textId="77777777" w:rsidR="00D9550E" w:rsidRDefault="00D9550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19DF9" w14:textId="77777777" w:rsidR="00D9550E" w:rsidRDefault="00D9550E" w:rsidP="003E4ECF">
      <w:pPr>
        <w:spacing w:after="0" w:line="240" w:lineRule="auto"/>
      </w:pPr>
      <w:r>
        <w:separator/>
      </w:r>
    </w:p>
  </w:footnote>
  <w:footnote w:type="continuationSeparator" w:id="0">
    <w:p w14:paraId="28A4ABAC" w14:textId="77777777" w:rsidR="00D9550E" w:rsidRDefault="00D9550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8432B"/>
    <w:multiLevelType w:val="hybridMultilevel"/>
    <w:tmpl w:val="FD207D36"/>
    <w:lvl w:ilvl="0" w:tplc="AE54418C">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3456E6"/>
    <w:multiLevelType w:val="hybridMultilevel"/>
    <w:tmpl w:val="2F6A607E"/>
    <w:lvl w:ilvl="0" w:tplc="CF4E809A">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7922659">
    <w:abstractNumId w:val="0"/>
  </w:num>
  <w:num w:numId="2" w16cid:durableId="704792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393A"/>
    <w:rsid w:val="00273EDD"/>
    <w:rsid w:val="002C3965"/>
    <w:rsid w:val="002E1336"/>
    <w:rsid w:val="00321C4C"/>
    <w:rsid w:val="00371849"/>
    <w:rsid w:val="00392BBC"/>
    <w:rsid w:val="003E4ECF"/>
    <w:rsid w:val="00475078"/>
    <w:rsid w:val="004A736E"/>
    <w:rsid w:val="005A39DD"/>
    <w:rsid w:val="006228C0"/>
    <w:rsid w:val="0066661C"/>
    <w:rsid w:val="006925AA"/>
    <w:rsid w:val="0069407B"/>
    <w:rsid w:val="00716FB4"/>
    <w:rsid w:val="00725177"/>
    <w:rsid w:val="007255A5"/>
    <w:rsid w:val="00740407"/>
    <w:rsid w:val="00792223"/>
    <w:rsid w:val="007A1B8D"/>
    <w:rsid w:val="00801C18"/>
    <w:rsid w:val="00814A9E"/>
    <w:rsid w:val="008E3943"/>
    <w:rsid w:val="0090040D"/>
    <w:rsid w:val="00942DC3"/>
    <w:rsid w:val="009D052C"/>
    <w:rsid w:val="009D1D1E"/>
    <w:rsid w:val="00A035FD"/>
    <w:rsid w:val="00A50474"/>
    <w:rsid w:val="00AD23A0"/>
    <w:rsid w:val="00B31826"/>
    <w:rsid w:val="00B87E75"/>
    <w:rsid w:val="00CB6FD7"/>
    <w:rsid w:val="00CD0002"/>
    <w:rsid w:val="00CD33A8"/>
    <w:rsid w:val="00D27B40"/>
    <w:rsid w:val="00D9550E"/>
    <w:rsid w:val="00DD3BB0"/>
    <w:rsid w:val="00E569FD"/>
    <w:rsid w:val="00E620E7"/>
    <w:rsid w:val="00F40B85"/>
    <w:rsid w:val="00F46889"/>
    <w:rsid w:val="00F65787"/>
    <w:rsid w:val="00F66E1B"/>
    <w:rsid w:val="00FA01E5"/>
    <w:rsid w:val="08140CE6"/>
    <w:rsid w:val="0A2E2FED"/>
    <w:rsid w:val="0C6802A8"/>
    <w:rsid w:val="0F9B5F11"/>
    <w:rsid w:val="11849383"/>
    <w:rsid w:val="12B5D140"/>
    <w:rsid w:val="13E8C46D"/>
    <w:rsid w:val="1601108D"/>
    <w:rsid w:val="168FB126"/>
    <w:rsid w:val="1747BC49"/>
    <w:rsid w:val="17722E06"/>
    <w:rsid w:val="1779BDE3"/>
    <w:rsid w:val="18DD443D"/>
    <w:rsid w:val="190B8B9B"/>
    <w:rsid w:val="1E4746FC"/>
    <w:rsid w:val="21B82F56"/>
    <w:rsid w:val="22757DAC"/>
    <w:rsid w:val="22ED0A19"/>
    <w:rsid w:val="26C95085"/>
    <w:rsid w:val="274C92FC"/>
    <w:rsid w:val="2B722C04"/>
    <w:rsid w:val="2CBB7ED9"/>
    <w:rsid w:val="2E833131"/>
    <w:rsid w:val="2F564558"/>
    <w:rsid w:val="342FECE4"/>
    <w:rsid w:val="390CE913"/>
    <w:rsid w:val="3915E12A"/>
    <w:rsid w:val="3A044613"/>
    <w:rsid w:val="3C33DF13"/>
    <w:rsid w:val="3E58335B"/>
    <w:rsid w:val="40BAEE97"/>
    <w:rsid w:val="436BF3C9"/>
    <w:rsid w:val="44B025B5"/>
    <w:rsid w:val="48B788C6"/>
    <w:rsid w:val="4B3AB062"/>
    <w:rsid w:val="4B712E67"/>
    <w:rsid w:val="4BE7379B"/>
    <w:rsid w:val="4C41AB0B"/>
    <w:rsid w:val="4D9F2AF6"/>
    <w:rsid w:val="4DB2F5B9"/>
    <w:rsid w:val="51DBDB7F"/>
    <w:rsid w:val="53989CA4"/>
    <w:rsid w:val="53E4BCDC"/>
    <w:rsid w:val="550B6A79"/>
    <w:rsid w:val="58F0E5F2"/>
    <w:rsid w:val="597CE4E6"/>
    <w:rsid w:val="5C09EE78"/>
    <w:rsid w:val="5CFDF871"/>
    <w:rsid w:val="607FF52B"/>
    <w:rsid w:val="60BFFB04"/>
    <w:rsid w:val="62246F17"/>
    <w:rsid w:val="64B4C1C6"/>
    <w:rsid w:val="65982E72"/>
    <w:rsid w:val="68A03DDA"/>
    <w:rsid w:val="69973264"/>
    <w:rsid w:val="6AB1375D"/>
    <w:rsid w:val="6B25AE0E"/>
    <w:rsid w:val="6C7B968C"/>
    <w:rsid w:val="6F3CBC75"/>
    <w:rsid w:val="70A5819F"/>
    <w:rsid w:val="714E31BF"/>
    <w:rsid w:val="7532C5BF"/>
    <w:rsid w:val="77CFF4EE"/>
    <w:rsid w:val="78BE83A7"/>
    <w:rsid w:val="7A6752B8"/>
    <w:rsid w:val="7CF9F61E"/>
    <w:rsid w:val="7D897173"/>
    <w:rsid w:val="7E758511"/>
    <w:rsid w:val="7F68CF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40407"/>
    <w:pPr>
      <w:keepNext/>
      <w:keepLines/>
      <w:spacing w:before="240" w:after="0" w:line="360" w:lineRule="auto"/>
      <w:outlineLvl w:val="0"/>
    </w:pPr>
    <w:rPr>
      <w:rFonts w:ascii="Arial" w:eastAsiaTheme="majorEastAsia" w:hAnsi="Aria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407"/>
    <w:rPr>
      <w:rFonts w:ascii="Arial" w:eastAsiaTheme="majorEastAsia" w:hAnsi="Aria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8/12/content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qc.org.uk/guidance-providers/regulations-enforcement/regulations-service-providers-and-managers-relevant" TargetMode="External"/><Relationship Id="rId17" Type="http://schemas.openxmlformats.org/officeDocument/2006/relationships/hyperlink" Target="https://www.longtermplan.nhs.uk/publication/nhs-long-term-plan/" TargetMode="External"/><Relationship Id="rId2" Type="http://schemas.openxmlformats.org/officeDocument/2006/relationships/customXml" Target="../customXml/item2.xml"/><Relationship Id="rId16" Type="http://schemas.openxmlformats.org/officeDocument/2006/relationships/hyperlink" Target="https://www.nice.org.uk/guidance/ng23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legislation.gov.uk/ukpga/2010/15/content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health-and-social-care-white-pa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6" ma:contentTypeDescription="Create a new document." ma:contentTypeScope="" ma:versionID="d4a27c7a8ac3563aea3d1da780ab42e6">
  <xsd:schema xmlns:xsd="http://www.w3.org/2001/XMLSchema" xmlns:xs="http://www.w3.org/2001/XMLSchema" xmlns:p="http://schemas.microsoft.com/office/2006/metadata/properties" xmlns:ns3="716bca3a-9bc9-4129-a185-7ea87f9d73cc" targetNamespace="http://schemas.microsoft.com/office/2006/metadata/properties" ma:root="true" ma:fieldsID="cb8800a81cdb839dcc0d5ff7a6974eb8"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BillingMetadata"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BillingMetadata" ma:index="12" nillable="true" ma:displayName="MediaServiceBillingMetadata" ma:hidden="true" ma:internalName="MediaServiceBillingMetadata" ma:readOnly="true">
      <xsd:simpleType>
        <xsd:restriction base="dms:Note"/>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534470-A7E4-4BBF-BEAD-41902E3156DD}">
  <ds:schemaRefs>
    <ds:schemaRef ds:uri="http://schemas.microsoft.com/office/2006/metadata/properties"/>
    <ds:schemaRef ds:uri="http://schemas.microsoft.com/office/infopath/2007/PartnerControls"/>
    <ds:schemaRef ds:uri="716bca3a-9bc9-4129-a185-7ea87f9d73cc"/>
  </ds:schemaRefs>
</ds:datastoreItem>
</file>

<file path=customXml/itemProps2.xml><?xml version="1.0" encoding="utf-8"?>
<ds:datastoreItem xmlns:ds="http://schemas.openxmlformats.org/officeDocument/2006/customXml" ds:itemID="{91B16133-A566-4151-9760-7E2E7F39EE20}">
  <ds:schemaRefs>
    <ds:schemaRef ds:uri="http://schemas.microsoft.com/sharepoint/v3/contenttype/forms"/>
  </ds:schemaRefs>
</ds:datastoreItem>
</file>

<file path=customXml/itemProps3.xml><?xml version="1.0" encoding="utf-8"?>
<ds:datastoreItem xmlns:ds="http://schemas.openxmlformats.org/officeDocument/2006/customXml" ds:itemID="{BA7FC62A-148A-48EB-8FAD-BAE9F76D31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2001</Words>
  <Characters>11412</Characters>
  <Application>Microsoft Office Word</Application>
  <DocSecurity>0</DocSecurity>
  <Lines>95</Lines>
  <Paragraphs>26</Paragraphs>
  <ScaleCrop>false</ScaleCrop>
  <Company/>
  <LinksUpToDate>false</LinksUpToDate>
  <CharactersWithSpaces>13387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Inna V</cp:lastModifiedBy>
  <cp:revision>2</cp:revision>
  <dcterms:created xsi:type="dcterms:W3CDTF">2026-04-18T14:13:00Z</dcterms:created>
  <dcterms:modified xsi:type="dcterms:W3CDTF">2026-04-18T14:13:00Z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