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AA96C" w14:textId="77777777" w:rsidR="00041E80" w:rsidRPr="00610930" w:rsidRDefault="00041E80" w:rsidP="00FA1B88">
      <w:pPr>
        <w:spacing w:line="360" w:lineRule="auto"/>
        <w:jc w:val="both"/>
        <w:rPr>
          <w:rFonts w:ascii="Agency FB" w:hAnsi="Agency FB" w:cs="Arial"/>
          <w:color w:val="7030A0"/>
          <w:sz w:val="24"/>
          <w:szCs w:val="24"/>
        </w:rPr>
      </w:pPr>
    </w:p>
    <w:p w14:paraId="22ECFAE3" w14:textId="5F52070E" w:rsidR="00041E80" w:rsidRPr="00610930" w:rsidRDefault="00907D9C" w:rsidP="00FA1B88">
      <w:pPr>
        <w:spacing w:line="360" w:lineRule="auto"/>
        <w:jc w:val="center"/>
        <w:rPr>
          <w:rFonts w:ascii="Agency FB" w:hAnsi="Agency FB" w:cs="Arial"/>
          <w:b/>
          <w:color w:val="7030A0"/>
          <w:sz w:val="40"/>
          <w:szCs w:val="40"/>
        </w:rPr>
      </w:pPr>
      <w:r w:rsidRPr="00610930">
        <w:rPr>
          <w:rFonts w:ascii="Agency FB" w:hAnsi="Agency FB" w:cs="Arial"/>
          <w:b/>
          <w:color w:val="7030A0"/>
          <w:sz w:val="40"/>
          <w:szCs w:val="40"/>
        </w:rPr>
        <w:t>MODULE TITLE AND CODE: BMIH 5007 – FINANCIAL MANAGEMENT FOR THE HOTEL INDUSTRY</w:t>
      </w:r>
    </w:p>
    <w:p w14:paraId="760284B7" w14:textId="77777777" w:rsidR="00D9043B" w:rsidRPr="00610930" w:rsidRDefault="00D9043B" w:rsidP="00FA1B88">
      <w:pPr>
        <w:spacing w:line="360" w:lineRule="auto"/>
        <w:jc w:val="center"/>
        <w:rPr>
          <w:rFonts w:ascii="Agency FB" w:hAnsi="Agency FB" w:cs="Arial"/>
          <w:b/>
          <w:color w:val="7030A0"/>
          <w:sz w:val="40"/>
          <w:szCs w:val="40"/>
        </w:rPr>
      </w:pPr>
    </w:p>
    <w:p w14:paraId="7671A0BB" w14:textId="77777777" w:rsidR="00D9043B" w:rsidRPr="00610930" w:rsidRDefault="00D9043B" w:rsidP="00FA1B88">
      <w:pPr>
        <w:spacing w:line="360" w:lineRule="auto"/>
        <w:jc w:val="center"/>
        <w:rPr>
          <w:rFonts w:ascii="Agency FB" w:hAnsi="Agency FB" w:cs="Arial"/>
          <w:b/>
          <w:color w:val="7030A0"/>
          <w:sz w:val="40"/>
          <w:szCs w:val="40"/>
        </w:rPr>
      </w:pPr>
    </w:p>
    <w:p w14:paraId="7F1315EA" w14:textId="23EDD663" w:rsidR="004A4A0F" w:rsidRPr="00610930" w:rsidRDefault="004A4A0F" w:rsidP="00FA1B88">
      <w:pPr>
        <w:spacing w:line="360" w:lineRule="auto"/>
        <w:jc w:val="center"/>
        <w:rPr>
          <w:rFonts w:ascii="Agency FB" w:hAnsi="Agency FB" w:cs="Arial"/>
          <w:b/>
          <w:color w:val="7030A0"/>
          <w:sz w:val="40"/>
          <w:szCs w:val="40"/>
        </w:rPr>
      </w:pPr>
    </w:p>
    <w:p w14:paraId="4C34AF64" w14:textId="1C395EAE" w:rsidR="009F061B" w:rsidRPr="00610930" w:rsidRDefault="009F061B" w:rsidP="00FA1B88">
      <w:pPr>
        <w:spacing w:line="360" w:lineRule="auto"/>
        <w:jc w:val="both"/>
        <w:rPr>
          <w:rFonts w:ascii="Agency FB" w:hAnsi="Agency FB" w:cs="Arial"/>
          <w:b/>
          <w:color w:val="7030A0"/>
          <w:sz w:val="40"/>
          <w:szCs w:val="40"/>
        </w:rPr>
      </w:pPr>
    </w:p>
    <w:p w14:paraId="20348F95" w14:textId="77777777" w:rsidR="00600C89" w:rsidRPr="00610930" w:rsidRDefault="00600C89" w:rsidP="00FA1B88">
      <w:pPr>
        <w:spacing w:line="360" w:lineRule="auto"/>
        <w:jc w:val="both"/>
        <w:rPr>
          <w:rFonts w:ascii="Agency FB" w:hAnsi="Agency FB" w:cs="Arial"/>
          <w:b/>
          <w:color w:val="7030A0"/>
          <w:sz w:val="40"/>
          <w:szCs w:val="40"/>
        </w:rPr>
      </w:pPr>
    </w:p>
    <w:p w14:paraId="52A3F97E" w14:textId="77777777" w:rsidR="00D9043B" w:rsidRPr="00610930" w:rsidRDefault="00D9043B" w:rsidP="00FA1B88">
      <w:pPr>
        <w:spacing w:line="360" w:lineRule="auto"/>
        <w:jc w:val="both"/>
        <w:rPr>
          <w:rFonts w:ascii="Agency FB" w:hAnsi="Agency FB" w:cs="Arial"/>
          <w:b/>
          <w:color w:val="7030A0"/>
          <w:sz w:val="40"/>
          <w:szCs w:val="40"/>
        </w:rPr>
      </w:pPr>
    </w:p>
    <w:p w14:paraId="64EF6C5B" w14:textId="77777777" w:rsidR="00D9043B" w:rsidRPr="00610930" w:rsidRDefault="00D9043B" w:rsidP="00FA1B88">
      <w:pPr>
        <w:spacing w:line="360" w:lineRule="auto"/>
        <w:jc w:val="both"/>
        <w:rPr>
          <w:rFonts w:ascii="Agency FB" w:hAnsi="Agency FB" w:cs="Arial"/>
          <w:b/>
          <w:color w:val="7030A0"/>
          <w:sz w:val="40"/>
          <w:szCs w:val="40"/>
        </w:rPr>
      </w:pPr>
    </w:p>
    <w:p w14:paraId="7E63225F" w14:textId="77777777" w:rsidR="00D9043B" w:rsidRPr="00610930" w:rsidRDefault="00D9043B" w:rsidP="00FA1B88">
      <w:pPr>
        <w:spacing w:line="360" w:lineRule="auto"/>
        <w:jc w:val="both"/>
        <w:rPr>
          <w:rFonts w:ascii="Agency FB" w:hAnsi="Agency FB" w:cs="Arial"/>
          <w:b/>
          <w:color w:val="7030A0"/>
          <w:sz w:val="40"/>
          <w:szCs w:val="40"/>
        </w:rPr>
      </w:pPr>
    </w:p>
    <w:p w14:paraId="47A2CAB6" w14:textId="77777777" w:rsidR="00D9043B" w:rsidRPr="00610930" w:rsidRDefault="00D9043B" w:rsidP="00FA1B88">
      <w:pPr>
        <w:spacing w:line="360" w:lineRule="auto"/>
        <w:jc w:val="both"/>
        <w:rPr>
          <w:rFonts w:ascii="Agency FB" w:hAnsi="Agency FB" w:cs="Arial"/>
          <w:b/>
          <w:color w:val="7030A0"/>
          <w:sz w:val="40"/>
          <w:szCs w:val="40"/>
        </w:rPr>
      </w:pPr>
    </w:p>
    <w:p w14:paraId="2FF1D34B" w14:textId="77777777" w:rsidR="001E28AC" w:rsidRPr="00610930" w:rsidRDefault="001E28AC" w:rsidP="001E28AC">
      <w:pPr>
        <w:spacing w:line="360" w:lineRule="auto"/>
        <w:jc w:val="both"/>
        <w:rPr>
          <w:rFonts w:ascii="Agency FB" w:hAnsi="Agency FB" w:cs="Arial"/>
          <w:b/>
          <w:color w:val="7030A0"/>
          <w:sz w:val="40"/>
          <w:szCs w:val="40"/>
        </w:rPr>
      </w:pPr>
      <w:r w:rsidRPr="00610930">
        <w:rPr>
          <w:rFonts w:ascii="Agency FB" w:hAnsi="Agency FB" w:cs="Arial"/>
          <w:b/>
          <w:color w:val="7030A0"/>
          <w:sz w:val="40"/>
          <w:szCs w:val="40"/>
        </w:rPr>
        <w:t>Student Name: Mojnu Miah</w:t>
      </w:r>
    </w:p>
    <w:p w14:paraId="12995F26" w14:textId="77777777" w:rsidR="001E28AC" w:rsidRPr="00610930" w:rsidRDefault="001E28AC" w:rsidP="001E28AC">
      <w:pPr>
        <w:spacing w:line="360" w:lineRule="auto"/>
        <w:jc w:val="both"/>
        <w:rPr>
          <w:rFonts w:ascii="Agency FB" w:hAnsi="Agency FB" w:cs="Arial"/>
          <w:b/>
          <w:color w:val="7030A0"/>
          <w:sz w:val="40"/>
          <w:szCs w:val="40"/>
        </w:rPr>
      </w:pPr>
      <w:r w:rsidRPr="00610930">
        <w:rPr>
          <w:rFonts w:ascii="Agency FB" w:hAnsi="Agency FB" w:cs="Arial"/>
          <w:b/>
          <w:color w:val="7030A0"/>
          <w:sz w:val="40"/>
          <w:szCs w:val="40"/>
        </w:rPr>
        <w:t>Student ID: 2233687</w:t>
      </w:r>
    </w:p>
    <w:p w14:paraId="18BD7246" w14:textId="08626950" w:rsidR="00D9043B" w:rsidRPr="00610930" w:rsidRDefault="00600C89" w:rsidP="00FA1B88">
      <w:pPr>
        <w:spacing w:line="360" w:lineRule="auto"/>
        <w:jc w:val="both"/>
        <w:rPr>
          <w:rFonts w:ascii="Agency FB" w:hAnsi="Agency FB" w:cs="Arial"/>
          <w:b/>
          <w:color w:val="7030A0"/>
          <w:sz w:val="40"/>
          <w:szCs w:val="40"/>
        </w:rPr>
      </w:pPr>
      <w:r w:rsidRPr="00610930">
        <w:rPr>
          <w:rFonts w:ascii="Agency FB" w:hAnsi="Agency FB" w:cs="Arial"/>
          <w:b/>
          <w:color w:val="7030A0"/>
          <w:sz w:val="40"/>
          <w:szCs w:val="40"/>
        </w:rPr>
        <w:t xml:space="preserve">Word Count: </w:t>
      </w:r>
      <w:r w:rsidR="001579AC" w:rsidRPr="00610930">
        <w:rPr>
          <w:rFonts w:ascii="Agency FB" w:hAnsi="Agency FB" w:cs="Arial"/>
          <w:b/>
          <w:color w:val="7030A0"/>
          <w:sz w:val="40"/>
          <w:szCs w:val="40"/>
        </w:rPr>
        <w:t>2</w:t>
      </w:r>
      <w:r w:rsidR="00755DAC" w:rsidRPr="00610930">
        <w:rPr>
          <w:rFonts w:ascii="Agency FB" w:hAnsi="Agency FB" w:cs="Arial"/>
          <w:b/>
          <w:color w:val="7030A0"/>
          <w:sz w:val="40"/>
          <w:szCs w:val="40"/>
        </w:rPr>
        <w:t>113</w:t>
      </w:r>
    </w:p>
    <w:sdt>
      <w:sdtPr>
        <w:rPr>
          <w:rFonts w:ascii="Arial" w:eastAsiaTheme="minorHAnsi" w:hAnsi="Arial" w:cs="Arial"/>
          <w:b w:val="0"/>
          <w:color w:val="auto"/>
          <w:sz w:val="24"/>
          <w:szCs w:val="24"/>
          <w:lang w:val="en-GB"/>
        </w:rPr>
        <w:id w:val="1443344214"/>
        <w:docPartObj>
          <w:docPartGallery w:val="Table of Contents"/>
          <w:docPartUnique/>
        </w:docPartObj>
      </w:sdtPr>
      <w:sdtEndPr>
        <w:rPr>
          <w:bCs/>
          <w:noProof/>
        </w:rPr>
      </w:sdtEndPr>
      <w:sdtContent>
        <w:p w14:paraId="6A116E6A" w14:textId="543FB4B3" w:rsidR="00D9043B" w:rsidRPr="00FA1B88" w:rsidRDefault="00D9043B" w:rsidP="00FA1B88">
          <w:pPr>
            <w:pStyle w:val="TOCHeading"/>
            <w:spacing w:line="360" w:lineRule="auto"/>
            <w:rPr>
              <w:rFonts w:ascii="Arial" w:hAnsi="Arial" w:cs="Arial"/>
              <w:sz w:val="24"/>
              <w:szCs w:val="24"/>
            </w:rPr>
          </w:pPr>
          <w:r w:rsidRPr="00FA1B88">
            <w:rPr>
              <w:rFonts w:ascii="Arial" w:hAnsi="Arial" w:cs="Arial"/>
              <w:sz w:val="24"/>
              <w:szCs w:val="24"/>
            </w:rPr>
            <w:t>Contents</w:t>
          </w:r>
        </w:p>
        <w:p w14:paraId="01613EF8" w14:textId="31C7580C" w:rsidR="006A1B40" w:rsidRPr="00FA1B88" w:rsidRDefault="00D9043B" w:rsidP="00FA1B88">
          <w:pPr>
            <w:pStyle w:val="TOC1"/>
            <w:tabs>
              <w:tab w:val="right" w:leader="dot" w:pos="9016"/>
            </w:tabs>
            <w:spacing w:line="360" w:lineRule="auto"/>
            <w:rPr>
              <w:rFonts w:ascii="Arial" w:eastAsiaTheme="minorEastAsia" w:hAnsi="Arial" w:cs="Arial"/>
              <w:noProof/>
              <w:sz w:val="24"/>
              <w:szCs w:val="24"/>
              <w:lang w:eastAsia="en-GB"/>
            </w:rPr>
          </w:pPr>
          <w:r w:rsidRPr="00FA1B88">
            <w:rPr>
              <w:rFonts w:ascii="Arial" w:hAnsi="Arial" w:cs="Arial"/>
              <w:sz w:val="24"/>
              <w:szCs w:val="24"/>
            </w:rPr>
            <w:fldChar w:fldCharType="begin"/>
          </w:r>
          <w:r w:rsidRPr="00FA1B88">
            <w:rPr>
              <w:rFonts w:ascii="Arial" w:hAnsi="Arial" w:cs="Arial"/>
              <w:sz w:val="24"/>
              <w:szCs w:val="24"/>
            </w:rPr>
            <w:instrText xml:space="preserve"> TOC \o "1-3" \h \z \u </w:instrText>
          </w:r>
          <w:r w:rsidRPr="00FA1B88">
            <w:rPr>
              <w:rFonts w:ascii="Arial" w:hAnsi="Arial" w:cs="Arial"/>
              <w:sz w:val="24"/>
              <w:szCs w:val="24"/>
            </w:rPr>
            <w:fldChar w:fldCharType="separate"/>
          </w:r>
          <w:hyperlink w:anchor="_Toc167863784" w:history="1">
            <w:r w:rsidR="006A1B40" w:rsidRPr="00FA1B88">
              <w:rPr>
                <w:rStyle w:val="Hyperlink"/>
                <w:rFonts w:ascii="Arial" w:hAnsi="Arial" w:cs="Arial"/>
                <w:noProof/>
                <w:sz w:val="24"/>
                <w:szCs w:val="24"/>
              </w:rPr>
              <w:t>Executive Summary</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_Toc167863784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3</w:t>
            </w:r>
            <w:r w:rsidR="006A1B40" w:rsidRPr="00FA1B88">
              <w:rPr>
                <w:rFonts w:ascii="Arial" w:hAnsi="Arial" w:cs="Arial"/>
                <w:noProof/>
                <w:webHidden/>
                <w:sz w:val="24"/>
                <w:szCs w:val="24"/>
              </w:rPr>
              <w:fldChar w:fldCharType="end"/>
            </w:r>
          </w:hyperlink>
        </w:p>
        <w:p w14:paraId="0AB97003" w14:textId="17C76D80" w:rsidR="006A1B40" w:rsidRPr="00FA1B88" w:rsidRDefault="006A1B4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85" w:history="1">
            <w:r w:rsidRPr="00FA1B88">
              <w:rPr>
                <w:rStyle w:val="Hyperlink"/>
                <w:rFonts w:ascii="Arial" w:hAnsi="Arial" w:cs="Arial"/>
                <w:noProof/>
                <w:sz w:val="24"/>
                <w:szCs w:val="24"/>
              </w:rPr>
              <w:t>Introduction</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_Toc167863785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4</w:t>
            </w:r>
            <w:r w:rsidRPr="00FA1B88">
              <w:rPr>
                <w:rFonts w:ascii="Arial" w:hAnsi="Arial" w:cs="Arial"/>
                <w:noProof/>
                <w:webHidden/>
                <w:sz w:val="24"/>
                <w:szCs w:val="24"/>
              </w:rPr>
              <w:fldChar w:fldCharType="end"/>
            </w:r>
          </w:hyperlink>
        </w:p>
        <w:p w14:paraId="070AD43F" w14:textId="59D9E1E9" w:rsidR="006A1B40" w:rsidRPr="00FA1B88" w:rsidRDefault="006A1B4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86" w:history="1">
            <w:r w:rsidRPr="00FA1B88">
              <w:rPr>
                <w:rStyle w:val="Hyperlink"/>
                <w:rFonts w:ascii="Arial" w:hAnsi="Arial" w:cs="Arial"/>
                <w:noProof/>
                <w:sz w:val="24"/>
                <w:szCs w:val="24"/>
              </w:rPr>
              <w:t>Evaluation of Trend and Pattern</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_Toc167863786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5</w:t>
            </w:r>
            <w:r w:rsidRPr="00FA1B88">
              <w:rPr>
                <w:rFonts w:ascii="Arial" w:hAnsi="Arial" w:cs="Arial"/>
                <w:noProof/>
                <w:webHidden/>
                <w:sz w:val="24"/>
                <w:szCs w:val="24"/>
              </w:rPr>
              <w:fldChar w:fldCharType="end"/>
            </w:r>
          </w:hyperlink>
        </w:p>
        <w:p w14:paraId="457D39DC" w14:textId="15621D89"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87" w:history="1">
            <w:r w:rsidRPr="00FA1B88">
              <w:rPr>
                <w:rStyle w:val="Hyperlink"/>
                <w:rFonts w:ascii="Arial" w:hAnsi="Arial" w:cs="Arial"/>
                <w:noProof/>
                <w:sz w:val="24"/>
                <w:szCs w:val="24"/>
              </w:rPr>
              <w:t>Revenue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_Toc167863787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5</w:t>
            </w:r>
            <w:r w:rsidRPr="00FA1B88">
              <w:rPr>
                <w:rFonts w:ascii="Arial" w:hAnsi="Arial" w:cs="Arial"/>
                <w:noProof/>
                <w:webHidden/>
                <w:sz w:val="24"/>
                <w:szCs w:val="24"/>
              </w:rPr>
              <w:fldChar w:fldCharType="end"/>
            </w:r>
          </w:hyperlink>
        </w:p>
        <w:p w14:paraId="70217B42" w14:textId="4CD944B0"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88" w:history="1">
            <w:r w:rsidRPr="00FA1B88">
              <w:rPr>
                <w:rStyle w:val="Hyperlink"/>
                <w:rFonts w:ascii="Arial" w:hAnsi="Arial" w:cs="Arial"/>
                <w:noProof/>
                <w:sz w:val="24"/>
                <w:szCs w:val="24"/>
              </w:rPr>
              <w:t>Operating Expense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_Toc167863788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6</w:t>
            </w:r>
            <w:r w:rsidRPr="00FA1B88">
              <w:rPr>
                <w:rFonts w:ascii="Arial" w:hAnsi="Arial" w:cs="Arial"/>
                <w:noProof/>
                <w:webHidden/>
                <w:sz w:val="24"/>
                <w:szCs w:val="24"/>
              </w:rPr>
              <w:fldChar w:fldCharType="end"/>
            </w:r>
          </w:hyperlink>
        </w:p>
        <w:p w14:paraId="4F827C53" w14:textId="283D4B4E"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89" w:history="1">
            <w:r w:rsidRPr="00FA1B88">
              <w:rPr>
                <w:rStyle w:val="Hyperlink"/>
                <w:rFonts w:ascii="Arial" w:hAnsi="Arial" w:cs="Arial"/>
                <w:noProof/>
                <w:sz w:val="24"/>
                <w:szCs w:val="24"/>
              </w:rPr>
              <w:t>Profitability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_Toc167863789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7</w:t>
            </w:r>
            <w:r w:rsidRPr="00FA1B88">
              <w:rPr>
                <w:rFonts w:ascii="Arial" w:hAnsi="Arial" w:cs="Arial"/>
                <w:noProof/>
                <w:webHidden/>
                <w:sz w:val="24"/>
                <w:szCs w:val="24"/>
              </w:rPr>
              <w:fldChar w:fldCharType="end"/>
            </w:r>
          </w:hyperlink>
        </w:p>
        <w:p w14:paraId="5BE864FA" w14:textId="141BE046"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0" w:history="1">
            <w:r w:rsidRPr="00FA1B88">
              <w:rPr>
                <w:rStyle w:val="Hyperlink"/>
                <w:rFonts w:ascii="Arial" w:hAnsi="Arial" w:cs="Arial"/>
                <w:noProof/>
                <w:sz w:val="24"/>
                <w:szCs w:val="24"/>
              </w:rPr>
              <w:t>Balance Sheet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_Toc167863790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8</w:t>
            </w:r>
            <w:r w:rsidRPr="00FA1B88">
              <w:rPr>
                <w:rFonts w:ascii="Arial" w:hAnsi="Arial" w:cs="Arial"/>
                <w:noProof/>
                <w:webHidden/>
                <w:sz w:val="24"/>
                <w:szCs w:val="24"/>
              </w:rPr>
              <w:fldChar w:fldCharType="end"/>
            </w:r>
          </w:hyperlink>
        </w:p>
        <w:p w14:paraId="7D76A914" w14:textId="53231911"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1" w:history="1">
            <w:r w:rsidRPr="00FA1B88">
              <w:rPr>
                <w:rStyle w:val="Hyperlink"/>
                <w:rFonts w:ascii="Arial" w:hAnsi="Arial" w:cs="Arial"/>
                <w:noProof/>
                <w:sz w:val="24"/>
                <w:szCs w:val="24"/>
              </w:rPr>
              <w:t>Current Ratio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_Toc167863791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8</w:t>
            </w:r>
            <w:r w:rsidRPr="00FA1B88">
              <w:rPr>
                <w:rFonts w:ascii="Arial" w:hAnsi="Arial" w:cs="Arial"/>
                <w:noProof/>
                <w:webHidden/>
                <w:sz w:val="24"/>
                <w:szCs w:val="24"/>
              </w:rPr>
              <w:fldChar w:fldCharType="end"/>
            </w:r>
          </w:hyperlink>
        </w:p>
        <w:p w14:paraId="4C415170" w14:textId="7373CB5E"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2" w:history="1">
            <w:r w:rsidRPr="00FA1B88">
              <w:rPr>
                <w:rStyle w:val="Hyperlink"/>
                <w:rFonts w:ascii="Arial" w:hAnsi="Arial" w:cs="Arial"/>
                <w:noProof/>
                <w:sz w:val="24"/>
                <w:szCs w:val="24"/>
              </w:rPr>
              <w:t>Debt-to-Equity Ratio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_Toc167863792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8</w:t>
            </w:r>
            <w:r w:rsidRPr="00FA1B88">
              <w:rPr>
                <w:rFonts w:ascii="Arial" w:hAnsi="Arial" w:cs="Arial"/>
                <w:noProof/>
                <w:webHidden/>
                <w:sz w:val="24"/>
                <w:szCs w:val="24"/>
              </w:rPr>
              <w:fldChar w:fldCharType="end"/>
            </w:r>
          </w:hyperlink>
        </w:p>
        <w:p w14:paraId="00DE0232" w14:textId="2509AE60" w:rsidR="006A1B40" w:rsidRPr="00FA1B88" w:rsidRDefault="006A1B4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3" w:history="1">
            <w:r w:rsidRPr="00FA1B88">
              <w:rPr>
                <w:rStyle w:val="Hyperlink"/>
                <w:rFonts w:ascii="Arial" w:hAnsi="Arial" w:cs="Arial"/>
                <w:noProof/>
                <w:sz w:val="24"/>
                <w:szCs w:val="24"/>
              </w:rPr>
              <w:t>Asset Turnover Ratio Analysis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_Toc167863793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9</w:t>
            </w:r>
            <w:r w:rsidRPr="00FA1B88">
              <w:rPr>
                <w:rFonts w:ascii="Arial" w:hAnsi="Arial" w:cs="Arial"/>
                <w:noProof/>
                <w:webHidden/>
                <w:sz w:val="24"/>
                <w:szCs w:val="24"/>
              </w:rPr>
              <w:fldChar w:fldCharType="end"/>
            </w:r>
          </w:hyperlink>
        </w:p>
        <w:p w14:paraId="6006D6BC" w14:textId="4833C322" w:rsidR="006A1B40" w:rsidRPr="00FA1B88" w:rsidRDefault="006A1B4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4" w:history="1">
            <w:r w:rsidRPr="00FA1B88">
              <w:rPr>
                <w:rStyle w:val="Hyperlink"/>
                <w:rFonts w:ascii="Arial" w:hAnsi="Arial" w:cs="Arial"/>
                <w:noProof/>
                <w:sz w:val="24"/>
                <w:szCs w:val="24"/>
              </w:rPr>
              <w:t>Key Reasons behind the Situation of the Urban Heights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_Toc167863794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9</w:t>
            </w:r>
            <w:r w:rsidRPr="00FA1B88">
              <w:rPr>
                <w:rFonts w:ascii="Arial" w:hAnsi="Arial" w:cs="Arial"/>
                <w:noProof/>
                <w:webHidden/>
                <w:sz w:val="24"/>
                <w:szCs w:val="24"/>
              </w:rPr>
              <w:fldChar w:fldCharType="end"/>
            </w:r>
          </w:hyperlink>
        </w:p>
        <w:p w14:paraId="0168C856" w14:textId="5B21360D" w:rsidR="006A1B40" w:rsidRPr="00FA1B88" w:rsidRDefault="006A1B4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5" w:history="1">
            <w:r w:rsidRPr="00FA1B88">
              <w:rPr>
                <w:rStyle w:val="Hyperlink"/>
                <w:rFonts w:ascii="Arial" w:hAnsi="Arial" w:cs="Arial"/>
                <w:noProof/>
                <w:sz w:val="24"/>
                <w:szCs w:val="24"/>
              </w:rPr>
              <w:t>Urban Heights Turnaround Plan</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_Toc167863795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10</w:t>
            </w:r>
            <w:r w:rsidRPr="00FA1B88">
              <w:rPr>
                <w:rFonts w:ascii="Arial" w:hAnsi="Arial" w:cs="Arial"/>
                <w:noProof/>
                <w:webHidden/>
                <w:sz w:val="24"/>
                <w:szCs w:val="24"/>
              </w:rPr>
              <w:fldChar w:fldCharType="end"/>
            </w:r>
          </w:hyperlink>
        </w:p>
        <w:p w14:paraId="2BDA489C" w14:textId="472954B0" w:rsidR="006A1B40" w:rsidRPr="00FA1B88" w:rsidRDefault="006A1B4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6" w:history="1">
            <w:r w:rsidRPr="00FA1B88">
              <w:rPr>
                <w:rStyle w:val="Hyperlink"/>
                <w:rFonts w:ascii="Arial" w:hAnsi="Arial" w:cs="Arial"/>
                <w:noProof/>
                <w:sz w:val="24"/>
                <w:szCs w:val="24"/>
              </w:rPr>
              <w:t>Conclusion</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_Toc167863796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12</w:t>
            </w:r>
            <w:r w:rsidRPr="00FA1B88">
              <w:rPr>
                <w:rFonts w:ascii="Arial" w:hAnsi="Arial" w:cs="Arial"/>
                <w:noProof/>
                <w:webHidden/>
                <w:sz w:val="24"/>
                <w:szCs w:val="24"/>
              </w:rPr>
              <w:fldChar w:fldCharType="end"/>
            </w:r>
          </w:hyperlink>
        </w:p>
        <w:p w14:paraId="70205971" w14:textId="07B81655" w:rsidR="006A1B40" w:rsidRPr="00FA1B88" w:rsidRDefault="006A1B4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7" w:history="1">
            <w:r w:rsidRPr="00FA1B88">
              <w:rPr>
                <w:rStyle w:val="Hyperlink"/>
                <w:rFonts w:ascii="Arial" w:hAnsi="Arial" w:cs="Arial"/>
                <w:noProof/>
                <w:sz w:val="24"/>
                <w:szCs w:val="24"/>
              </w:rPr>
              <w:t>References</w:t>
            </w:r>
            <w:r w:rsidRPr="00FA1B88">
              <w:rPr>
                <w:rFonts w:ascii="Arial" w:hAnsi="Arial" w:cs="Arial"/>
                <w:noProof/>
                <w:webHidden/>
                <w:sz w:val="24"/>
                <w:szCs w:val="24"/>
              </w:rPr>
              <w:tab/>
            </w:r>
            <w:r w:rsidRPr="00FA1B88">
              <w:rPr>
                <w:rFonts w:ascii="Arial" w:hAnsi="Arial" w:cs="Arial"/>
                <w:noProof/>
                <w:webHidden/>
                <w:sz w:val="24"/>
                <w:szCs w:val="24"/>
              </w:rPr>
              <w:fldChar w:fldCharType="begin"/>
            </w:r>
            <w:r w:rsidRPr="00FA1B88">
              <w:rPr>
                <w:rFonts w:ascii="Arial" w:hAnsi="Arial" w:cs="Arial"/>
                <w:noProof/>
                <w:webHidden/>
                <w:sz w:val="24"/>
                <w:szCs w:val="24"/>
              </w:rPr>
              <w:instrText xml:space="preserve"> PAGEREF _Toc167863797 \h </w:instrText>
            </w:r>
            <w:r w:rsidRPr="00FA1B88">
              <w:rPr>
                <w:rFonts w:ascii="Arial" w:hAnsi="Arial" w:cs="Arial"/>
                <w:noProof/>
                <w:webHidden/>
                <w:sz w:val="24"/>
                <w:szCs w:val="24"/>
              </w:rPr>
            </w:r>
            <w:r w:rsidRPr="00FA1B88">
              <w:rPr>
                <w:rFonts w:ascii="Arial" w:hAnsi="Arial" w:cs="Arial"/>
                <w:noProof/>
                <w:webHidden/>
                <w:sz w:val="24"/>
                <w:szCs w:val="24"/>
              </w:rPr>
              <w:fldChar w:fldCharType="separate"/>
            </w:r>
            <w:r w:rsidRPr="00FA1B88">
              <w:rPr>
                <w:rFonts w:ascii="Arial" w:hAnsi="Arial" w:cs="Arial"/>
                <w:noProof/>
                <w:webHidden/>
                <w:sz w:val="24"/>
                <w:szCs w:val="24"/>
              </w:rPr>
              <w:t>13</w:t>
            </w:r>
            <w:r w:rsidRPr="00FA1B88">
              <w:rPr>
                <w:rFonts w:ascii="Arial" w:hAnsi="Arial" w:cs="Arial"/>
                <w:noProof/>
                <w:webHidden/>
                <w:sz w:val="24"/>
                <w:szCs w:val="24"/>
              </w:rPr>
              <w:fldChar w:fldCharType="end"/>
            </w:r>
          </w:hyperlink>
        </w:p>
        <w:p w14:paraId="39C5C887" w14:textId="513F3857" w:rsidR="00D9043B" w:rsidRPr="00FA1B88" w:rsidRDefault="00D9043B" w:rsidP="00FA1B88">
          <w:pPr>
            <w:spacing w:line="360" w:lineRule="auto"/>
            <w:jc w:val="both"/>
            <w:rPr>
              <w:rFonts w:ascii="Arial" w:hAnsi="Arial" w:cs="Arial"/>
              <w:sz w:val="24"/>
              <w:szCs w:val="24"/>
            </w:rPr>
          </w:pPr>
          <w:r w:rsidRPr="00FA1B88">
            <w:rPr>
              <w:rFonts w:ascii="Arial" w:hAnsi="Arial" w:cs="Arial"/>
              <w:b/>
              <w:bCs/>
              <w:noProof/>
              <w:sz w:val="24"/>
              <w:szCs w:val="24"/>
            </w:rPr>
            <w:fldChar w:fldCharType="end"/>
          </w:r>
        </w:p>
      </w:sdtContent>
    </w:sdt>
    <w:p w14:paraId="3CAA1C2F" w14:textId="77777777" w:rsidR="00D9043B" w:rsidRPr="00FA1B88" w:rsidRDefault="00D9043B" w:rsidP="00FA1B88">
      <w:pPr>
        <w:spacing w:line="360" w:lineRule="auto"/>
        <w:jc w:val="both"/>
        <w:rPr>
          <w:rFonts w:ascii="Arial" w:hAnsi="Arial" w:cs="Arial"/>
          <w:sz w:val="24"/>
          <w:szCs w:val="24"/>
        </w:rPr>
      </w:pPr>
    </w:p>
    <w:p w14:paraId="797B3F67" w14:textId="77777777" w:rsidR="00DE1B80" w:rsidRPr="00FA1B88" w:rsidRDefault="00DE1B80" w:rsidP="00FA1B88">
      <w:pPr>
        <w:spacing w:line="360" w:lineRule="auto"/>
        <w:jc w:val="both"/>
        <w:rPr>
          <w:rFonts w:ascii="Arial" w:hAnsi="Arial" w:cs="Arial"/>
          <w:sz w:val="24"/>
          <w:szCs w:val="24"/>
        </w:rPr>
      </w:pPr>
    </w:p>
    <w:p w14:paraId="0A0FD3FB" w14:textId="77777777" w:rsidR="00DE1B80" w:rsidRPr="00FA1B88" w:rsidRDefault="00DE1B80" w:rsidP="00FA1B88">
      <w:pPr>
        <w:spacing w:line="360" w:lineRule="auto"/>
        <w:rPr>
          <w:rFonts w:ascii="Arial" w:hAnsi="Arial" w:cs="Arial"/>
          <w:sz w:val="24"/>
          <w:szCs w:val="24"/>
        </w:rPr>
      </w:pPr>
      <w:r w:rsidRPr="00FA1B88">
        <w:rPr>
          <w:rFonts w:ascii="Arial" w:hAnsi="Arial" w:cs="Arial"/>
          <w:sz w:val="24"/>
          <w:szCs w:val="24"/>
        </w:rPr>
        <w:br w:type="page"/>
      </w:r>
    </w:p>
    <w:p w14:paraId="11A38522" w14:textId="264A77F2" w:rsidR="007A48F3" w:rsidRDefault="00DE1B80" w:rsidP="00FA1B88">
      <w:pPr>
        <w:pStyle w:val="Heading1"/>
        <w:spacing w:line="360" w:lineRule="auto"/>
        <w:rPr>
          <w:rFonts w:ascii="Arial" w:hAnsi="Arial"/>
        </w:rPr>
      </w:pPr>
      <w:bookmarkStart w:id="0" w:name="_Toc167863784"/>
      <w:r w:rsidRPr="00FA1B88">
        <w:rPr>
          <w:rFonts w:ascii="Arial" w:hAnsi="Arial"/>
        </w:rPr>
        <w:lastRenderedPageBreak/>
        <w:t>Executive Summary</w:t>
      </w:r>
      <w:bookmarkEnd w:id="0"/>
      <w:r w:rsidRPr="00FA1B88">
        <w:rPr>
          <w:rFonts w:ascii="Arial" w:hAnsi="Arial"/>
        </w:rPr>
        <w:t xml:space="preserve"> </w:t>
      </w:r>
    </w:p>
    <w:p w14:paraId="204C4F7C" w14:textId="02B4A013" w:rsidR="00847D77" w:rsidRPr="009740AA" w:rsidRDefault="009740AA" w:rsidP="009740AA">
      <w:pPr>
        <w:spacing w:line="360" w:lineRule="auto"/>
        <w:jc w:val="both"/>
        <w:rPr>
          <w:rFonts w:ascii="Arial" w:eastAsia="Times New Roman" w:hAnsi="Arial" w:cs="Arial"/>
          <w:sz w:val="24"/>
          <w:szCs w:val="24"/>
          <w:lang w:eastAsia="en-GB"/>
        </w:rPr>
      </w:pPr>
      <w:r w:rsidRPr="009740AA">
        <w:rPr>
          <w:rFonts w:ascii="Arial" w:eastAsia="Times New Roman" w:hAnsi="Arial" w:cs="Arial"/>
          <w:sz w:val="24"/>
          <w:szCs w:val="24"/>
          <w:lang w:eastAsia="en-GB"/>
        </w:rPr>
        <w:t>Company success relies on numerous factors. Modern business schools teach and evaluate financial performance to guarantee short- and long-term profitability and revenue. Revenue and profit are the main drivers of long-term development, ensuring corporate sustainability and excellence. This case study's short and long-term projects will assure product quality, which will be crucial for comparing Urban Heights Hotel. This is important to assure revenue, profitability, and other crucial ratio analysis for the report to determine the hotel's future type. As revenue has declined in the previous two years, we will explore future investment prospects and possibilities. This research will examine how to grow a firm over time and which turnaround program will preserve Urban Heights from fast revenue drop. This comparison study will assure the quality of the job for the hotel's financial future.</w:t>
      </w:r>
    </w:p>
    <w:p w14:paraId="0BAC6B54" w14:textId="476A76A9" w:rsidR="00847D77" w:rsidRPr="00847D77" w:rsidRDefault="00847D77" w:rsidP="00847D77">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43437278" w14:textId="65081914" w:rsidR="00763FC3" w:rsidRPr="00FA1B88" w:rsidRDefault="00A371AE" w:rsidP="00FA1B88">
      <w:pPr>
        <w:pStyle w:val="Heading1"/>
        <w:spacing w:line="360" w:lineRule="auto"/>
        <w:rPr>
          <w:rFonts w:ascii="Arial" w:hAnsi="Arial"/>
        </w:rPr>
      </w:pPr>
      <w:bookmarkStart w:id="1" w:name="_Toc167863785"/>
      <w:r w:rsidRPr="00FA1B88">
        <w:rPr>
          <w:rFonts w:ascii="Arial" w:hAnsi="Arial"/>
        </w:rPr>
        <w:lastRenderedPageBreak/>
        <w:t>Introduction</w:t>
      </w:r>
      <w:bookmarkEnd w:id="1"/>
    </w:p>
    <w:p w14:paraId="6166CF1C" w14:textId="7AF6E4DA" w:rsidR="00652955" w:rsidRDefault="00652955" w:rsidP="00FA1B88">
      <w:pPr>
        <w:spacing w:line="360" w:lineRule="auto"/>
        <w:jc w:val="both"/>
        <w:rPr>
          <w:rFonts w:ascii="Arial" w:hAnsi="Arial" w:cs="Arial"/>
          <w:sz w:val="24"/>
          <w:szCs w:val="24"/>
        </w:rPr>
      </w:pPr>
      <w:r>
        <w:rPr>
          <w:rFonts w:ascii="Arial" w:hAnsi="Arial" w:cs="Arial"/>
          <w:sz w:val="24"/>
          <w:szCs w:val="24"/>
        </w:rPr>
        <w:t xml:space="preserve">The performance of a company depends on so many things. </w:t>
      </w:r>
      <w:r w:rsidR="0028030E">
        <w:rPr>
          <w:rFonts w:ascii="Arial" w:hAnsi="Arial" w:cs="Arial"/>
          <w:sz w:val="24"/>
          <w:szCs w:val="24"/>
        </w:rPr>
        <w:t xml:space="preserve">In modern business school, the financial performance </w:t>
      </w:r>
      <w:r w:rsidR="006B6D8E">
        <w:rPr>
          <w:rFonts w:ascii="Arial" w:hAnsi="Arial" w:cs="Arial"/>
          <w:sz w:val="24"/>
          <w:szCs w:val="24"/>
        </w:rPr>
        <w:t>is</w:t>
      </w:r>
      <w:r w:rsidR="0028030E">
        <w:rPr>
          <w:rFonts w:ascii="Arial" w:hAnsi="Arial" w:cs="Arial"/>
          <w:sz w:val="24"/>
          <w:szCs w:val="24"/>
        </w:rPr>
        <w:t xml:space="preserve"> learnt and checked through so many things that will ensure the profitability and revenue income not only in short term but also in long term. The revenue and profit are the primary concern of the long-term growth which will ensure any kind of business sustainability and excellence nature of that. In this case study both short and long-term project will ensure the quality of the product nature which will be key factor for making comparative analysis of Urban Heights Hotel. </w:t>
      </w:r>
      <w:r w:rsidR="00047B1B">
        <w:rPr>
          <w:rFonts w:ascii="Arial" w:hAnsi="Arial" w:cs="Arial"/>
          <w:sz w:val="24"/>
          <w:szCs w:val="24"/>
        </w:rPr>
        <w:t xml:space="preserve">This is also critical to ensure revenue, profitability and other key ratio analysis for the report which will help us to understand which kind of hotel it is going to be in future. The future investment prospect along with what options we have for the future as there is decline in revenue in last 2 years will be discussed in details. This report will deep dive into the thinking of how to make a business thrive over the long period of time as well as which turnaround policy can be used to save Urban Heights from rapid decline in revenue. This will also give comparative analysis which will ensure the quality of the work for the future prospect of the hotel in financial domain. </w:t>
      </w:r>
    </w:p>
    <w:p w14:paraId="68FD1458" w14:textId="1825D90C" w:rsidR="00C74B90" w:rsidRPr="00FA1B88" w:rsidRDefault="00C74B90" w:rsidP="00FA1B88">
      <w:pPr>
        <w:spacing w:line="360" w:lineRule="auto"/>
        <w:rPr>
          <w:rFonts w:ascii="Arial" w:hAnsi="Arial" w:cs="Arial"/>
          <w:sz w:val="24"/>
          <w:szCs w:val="24"/>
        </w:rPr>
      </w:pPr>
      <w:r w:rsidRPr="00FA1B88">
        <w:rPr>
          <w:rFonts w:ascii="Arial" w:hAnsi="Arial" w:cs="Arial"/>
          <w:sz w:val="24"/>
          <w:szCs w:val="24"/>
        </w:rPr>
        <w:br w:type="page"/>
      </w:r>
    </w:p>
    <w:p w14:paraId="1E639A23" w14:textId="77777777" w:rsidR="00DC3EB9" w:rsidRPr="00FA1B88" w:rsidRDefault="00DC3EB9" w:rsidP="00FA1B88">
      <w:pPr>
        <w:spacing w:line="360" w:lineRule="auto"/>
        <w:jc w:val="both"/>
        <w:rPr>
          <w:rFonts w:ascii="Arial" w:hAnsi="Arial" w:cs="Arial"/>
          <w:sz w:val="24"/>
          <w:szCs w:val="24"/>
        </w:rPr>
      </w:pPr>
    </w:p>
    <w:p w14:paraId="41EA8C6A" w14:textId="5FC85F87" w:rsidR="0048103D" w:rsidRPr="00FA1B88" w:rsidRDefault="00BD51F8" w:rsidP="00FA1B88">
      <w:pPr>
        <w:pStyle w:val="Heading1"/>
        <w:spacing w:line="360" w:lineRule="auto"/>
        <w:rPr>
          <w:rFonts w:ascii="Arial" w:hAnsi="Arial"/>
        </w:rPr>
      </w:pPr>
      <w:bookmarkStart w:id="2" w:name="_Toc167863786"/>
      <w:r w:rsidRPr="00FA1B88">
        <w:rPr>
          <w:rFonts w:ascii="Arial" w:hAnsi="Arial"/>
        </w:rPr>
        <w:t>Evaluation of Trend and Pattern</w:t>
      </w:r>
      <w:bookmarkEnd w:id="2"/>
      <w:r w:rsidRPr="00FA1B88">
        <w:rPr>
          <w:rFonts w:ascii="Arial" w:hAnsi="Arial"/>
        </w:rPr>
        <w:t xml:space="preserve"> </w:t>
      </w:r>
    </w:p>
    <w:p w14:paraId="2505987C" w14:textId="31025926" w:rsidR="00BD51F8" w:rsidRPr="00FA1B88" w:rsidRDefault="00BD51F8" w:rsidP="00FA1B88">
      <w:pPr>
        <w:pStyle w:val="Heading2"/>
        <w:rPr>
          <w:rFonts w:ascii="Arial" w:hAnsi="Arial" w:cs="Arial"/>
        </w:rPr>
      </w:pPr>
      <w:bookmarkStart w:id="3" w:name="_Toc167863787"/>
      <w:r w:rsidRPr="00FA1B88">
        <w:rPr>
          <w:rFonts w:ascii="Arial" w:hAnsi="Arial" w:cs="Arial"/>
        </w:rPr>
        <w:t>Revenue Analysis</w:t>
      </w:r>
      <w:bookmarkEnd w:id="3"/>
      <w:r w:rsidRPr="00FA1B88">
        <w:rPr>
          <w:rFonts w:ascii="Arial" w:hAnsi="Arial" w:cs="Arial"/>
        </w:rPr>
        <w:t xml:space="preserve"> </w:t>
      </w:r>
    </w:p>
    <w:p w14:paraId="60B5C566" w14:textId="03834BE3" w:rsidR="00176F61" w:rsidRPr="00FA1B88" w:rsidRDefault="00DB0456" w:rsidP="00FA1B88">
      <w:pPr>
        <w:spacing w:line="360" w:lineRule="auto"/>
        <w:jc w:val="both"/>
        <w:rPr>
          <w:rFonts w:ascii="Arial" w:hAnsi="Arial" w:cs="Arial"/>
          <w:sz w:val="24"/>
          <w:szCs w:val="24"/>
        </w:rPr>
      </w:pPr>
      <w:r>
        <w:rPr>
          <w:rFonts w:ascii="Arial" w:hAnsi="Arial" w:cs="Arial"/>
          <w:sz w:val="24"/>
          <w:szCs w:val="24"/>
        </w:rPr>
        <w:t xml:space="preserve">Revenue is the life force of a company. To see that we are seeing, in 2021 the revenue is 2.5 Million Euro. In 2022 this is 2.2 Million Euro. This is 300K Euro revenue loss in single year without taking inflation into adjustment. In 2023 it is seeing the value goes down to 1.8 Million Euro. This is significantly drop in the revenue. The 400K </w:t>
      </w:r>
      <w:r w:rsidR="00B437A2">
        <w:rPr>
          <w:rFonts w:ascii="Arial" w:hAnsi="Arial" w:cs="Arial"/>
          <w:sz w:val="24"/>
          <w:szCs w:val="24"/>
        </w:rPr>
        <w:t xml:space="preserve">Euro </w:t>
      </w:r>
      <w:r>
        <w:rPr>
          <w:rFonts w:ascii="Arial" w:hAnsi="Arial" w:cs="Arial"/>
          <w:sz w:val="24"/>
          <w:szCs w:val="24"/>
        </w:rPr>
        <w:t>loss is not easy to ignore</w:t>
      </w:r>
      <w:r w:rsidR="00C80E2B">
        <w:rPr>
          <w:rFonts w:ascii="Arial" w:hAnsi="Arial" w:cs="Arial"/>
          <w:sz w:val="24"/>
          <w:szCs w:val="24"/>
        </w:rPr>
        <w:t xml:space="preserve"> (</w:t>
      </w:r>
      <w:r w:rsidR="00C80E2B">
        <w:rPr>
          <w:rFonts w:ascii="Arial" w:hAnsi="Arial" w:cs="Arial"/>
          <w:color w:val="222222"/>
          <w:sz w:val="24"/>
          <w:szCs w:val="24"/>
          <w:shd w:val="clear" w:color="auto" w:fill="FFFFFF"/>
        </w:rPr>
        <w:t>Walker, 2011</w:t>
      </w:r>
      <w:r w:rsidR="00C80E2B">
        <w:rPr>
          <w:rFonts w:ascii="Arial" w:hAnsi="Arial" w:cs="Arial"/>
          <w:sz w:val="24"/>
          <w:szCs w:val="24"/>
        </w:rPr>
        <w:t>)</w:t>
      </w:r>
      <w:r>
        <w:rPr>
          <w:rFonts w:ascii="Arial" w:hAnsi="Arial" w:cs="Arial"/>
          <w:sz w:val="24"/>
          <w:szCs w:val="24"/>
        </w:rPr>
        <w:t xml:space="preserve">. This is quite high for a company like </w:t>
      </w:r>
      <w:r w:rsidR="005D7089">
        <w:rPr>
          <w:rFonts w:ascii="Arial" w:hAnsi="Arial" w:cs="Arial"/>
          <w:sz w:val="24"/>
          <w:szCs w:val="24"/>
        </w:rPr>
        <w:t>Urban Heights</w:t>
      </w:r>
      <w:r w:rsidR="00B437A2">
        <w:rPr>
          <w:rFonts w:ascii="Arial" w:hAnsi="Arial" w:cs="Arial"/>
          <w:sz w:val="24"/>
          <w:szCs w:val="24"/>
        </w:rPr>
        <w:t xml:space="preserve">. The main reason behind it is that there </w:t>
      </w:r>
      <w:r w:rsidR="007465D8">
        <w:rPr>
          <w:rFonts w:ascii="Arial" w:hAnsi="Arial" w:cs="Arial"/>
          <w:sz w:val="24"/>
          <w:szCs w:val="24"/>
        </w:rPr>
        <w:t>is economic downturn in UK. The COVID-19 effect was in full swing which creates problem for the company to run in longer period of time. The overall prospect is to know about the quality of revenue stream that is mandatory for the production of different kinds of services.</w:t>
      </w:r>
    </w:p>
    <w:tbl>
      <w:tblPr>
        <w:tblStyle w:val="GridTable4-Accent2"/>
        <w:tblW w:w="6560" w:type="dxa"/>
        <w:tblLook w:val="04A0" w:firstRow="1" w:lastRow="0" w:firstColumn="1" w:lastColumn="0" w:noHBand="0" w:noVBand="1"/>
      </w:tblPr>
      <w:tblGrid>
        <w:gridCol w:w="2380"/>
        <w:gridCol w:w="1420"/>
        <w:gridCol w:w="1420"/>
        <w:gridCol w:w="1418"/>
      </w:tblGrid>
      <w:tr w:rsidR="00176F61" w:rsidRPr="00FA1B88" w14:paraId="30A9A604" w14:textId="77777777" w:rsidTr="00C60EE0">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80" w:type="dxa"/>
            <w:noWrap/>
            <w:hideMark/>
          </w:tcPr>
          <w:p w14:paraId="1BC7D373" w14:textId="77777777" w:rsidR="00176F61" w:rsidRPr="00FA1B88" w:rsidRDefault="00176F61" w:rsidP="00FA1B88">
            <w:pPr>
              <w:spacing w:line="360" w:lineRule="auto"/>
              <w:jc w:val="center"/>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 xml:space="preserve">Year </w:t>
            </w:r>
          </w:p>
        </w:tc>
        <w:tc>
          <w:tcPr>
            <w:tcW w:w="1420" w:type="dxa"/>
            <w:noWrap/>
            <w:hideMark/>
          </w:tcPr>
          <w:p w14:paraId="5C07963E" w14:textId="77777777" w:rsidR="00176F61" w:rsidRPr="00FA1B88" w:rsidRDefault="00176F61"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2021</w:t>
            </w:r>
          </w:p>
        </w:tc>
        <w:tc>
          <w:tcPr>
            <w:tcW w:w="1420" w:type="dxa"/>
            <w:noWrap/>
            <w:hideMark/>
          </w:tcPr>
          <w:p w14:paraId="2A1BB150" w14:textId="77777777" w:rsidR="00176F61" w:rsidRPr="00FA1B88" w:rsidRDefault="00176F61"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2022</w:t>
            </w:r>
          </w:p>
        </w:tc>
        <w:tc>
          <w:tcPr>
            <w:tcW w:w="1340" w:type="dxa"/>
            <w:noWrap/>
            <w:hideMark/>
          </w:tcPr>
          <w:p w14:paraId="036E11B3" w14:textId="77777777" w:rsidR="00176F61" w:rsidRPr="00FA1B88" w:rsidRDefault="00176F61"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2023</w:t>
            </w:r>
          </w:p>
        </w:tc>
      </w:tr>
      <w:tr w:rsidR="00176F61" w:rsidRPr="00FA1B88" w14:paraId="53573E29" w14:textId="77777777" w:rsidTr="00C60E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7752C4D0" w14:textId="77777777" w:rsidR="00176F61" w:rsidRPr="00FA1B88" w:rsidRDefault="00176F61" w:rsidP="00FA1B88">
            <w:pPr>
              <w:spacing w:line="360" w:lineRule="auto"/>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Revenue </w:t>
            </w:r>
          </w:p>
        </w:tc>
        <w:tc>
          <w:tcPr>
            <w:tcW w:w="1420" w:type="dxa"/>
            <w:noWrap/>
            <w:hideMark/>
          </w:tcPr>
          <w:p w14:paraId="3D5545D7" w14:textId="77777777" w:rsidR="00176F61" w:rsidRPr="00FA1B88" w:rsidRDefault="00176F61"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£2,500,000 </w:t>
            </w:r>
          </w:p>
        </w:tc>
        <w:tc>
          <w:tcPr>
            <w:tcW w:w="1420" w:type="dxa"/>
            <w:noWrap/>
            <w:hideMark/>
          </w:tcPr>
          <w:p w14:paraId="0B6520B3" w14:textId="77777777" w:rsidR="00176F61" w:rsidRPr="00FA1B88" w:rsidRDefault="00176F61"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£2,200,000 </w:t>
            </w:r>
          </w:p>
        </w:tc>
        <w:tc>
          <w:tcPr>
            <w:tcW w:w="1340" w:type="dxa"/>
            <w:noWrap/>
            <w:hideMark/>
          </w:tcPr>
          <w:p w14:paraId="41A43377" w14:textId="77777777" w:rsidR="00176F61" w:rsidRPr="00FA1B88" w:rsidRDefault="00176F61"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£1,800,000</w:t>
            </w:r>
          </w:p>
        </w:tc>
      </w:tr>
    </w:tbl>
    <w:p w14:paraId="7E2800E5" w14:textId="77777777" w:rsidR="007465D8" w:rsidRDefault="007465D8" w:rsidP="00FA1B88">
      <w:pPr>
        <w:spacing w:line="360" w:lineRule="auto"/>
        <w:jc w:val="both"/>
        <w:rPr>
          <w:rFonts w:ascii="Arial" w:hAnsi="Arial" w:cs="Arial"/>
          <w:sz w:val="24"/>
          <w:szCs w:val="24"/>
        </w:rPr>
      </w:pPr>
    </w:p>
    <w:p w14:paraId="6E4C2732" w14:textId="017B7D2A" w:rsidR="00DC3EB9" w:rsidRPr="00FA1B88" w:rsidRDefault="007465D8" w:rsidP="00FA1B88">
      <w:pPr>
        <w:spacing w:line="360" w:lineRule="auto"/>
        <w:jc w:val="both"/>
        <w:rPr>
          <w:rFonts w:ascii="Arial" w:hAnsi="Arial" w:cs="Arial"/>
          <w:sz w:val="24"/>
          <w:szCs w:val="24"/>
        </w:rPr>
      </w:pPr>
      <w:r>
        <w:rPr>
          <w:rFonts w:ascii="Arial" w:hAnsi="Arial" w:cs="Arial"/>
          <w:sz w:val="24"/>
          <w:szCs w:val="24"/>
        </w:rPr>
        <w:t>This year if other hotels are brought into comparison, we will see the same result. However, the economic downturn is a serious issue here due to the fact that, there are multiple scenario where this will create significant problem for the longer period of time. We are also seeing that the revenue is also dropping significantly here due to not rebounding with proper technology in this period.</w:t>
      </w:r>
    </w:p>
    <w:p w14:paraId="6330426F" w14:textId="361B9AC4" w:rsidR="00DC3EB9" w:rsidRPr="00FA1B88" w:rsidRDefault="00DF0758" w:rsidP="00FA1B88">
      <w:pPr>
        <w:spacing w:line="360" w:lineRule="auto"/>
        <w:jc w:val="center"/>
        <w:rPr>
          <w:rFonts w:ascii="Arial" w:hAnsi="Arial" w:cs="Arial"/>
          <w:sz w:val="24"/>
          <w:szCs w:val="24"/>
        </w:rPr>
      </w:pPr>
      <w:r w:rsidRPr="00FA1B88">
        <w:rPr>
          <w:rFonts w:ascii="Arial" w:hAnsi="Arial" w:cs="Arial"/>
          <w:noProof/>
        </w:rPr>
        <w:drawing>
          <wp:inline distT="0" distB="0" distL="0" distR="0" wp14:anchorId="5C0D2007" wp14:editId="30A3DE8F">
            <wp:extent cx="4371975" cy="2486025"/>
            <wp:effectExtent l="0" t="0" r="0" b="0"/>
            <wp:docPr id="1" name="Chart 1">
              <a:extLst xmlns:a="http://schemas.openxmlformats.org/drawingml/2006/main">
                <a:ext uri="{FF2B5EF4-FFF2-40B4-BE49-F238E27FC236}">
                  <a16:creationId xmlns:a16="http://schemas.microsoft.com/office/drawing/2014/main" id="{AF4BBEF9-3462-46BC-973E-3870C4822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AAAC828" w14:textId="61788B33" w:rsidR="00E12859" w:rsidRPr="00FA1B88" w:rsidRDefault="00E12859" w:rsidP="00FA1B88">
      <w:pPr>
        <w:spacing w:line="360" w:lineRule="auto"/>
        <w:jc w:val="center"/>
        <w:rPr>
          <w:rFonts w:ascii="Arial" w:hAnsi="Arial" w:cs="Arial"/>
          <w:b/>
          <w:sz w:val="24"/>
          <w:szCs w:val="24"/>
        </w:rPr>
      </w:pPr>
      <w:r w:rsidRPr="00FA1B88">
        <w:rPr>
          <w:rFonts w:ascii="Arial" w:hAnsi="Arial" w:cs="Arial"/>
          <w:b/>
          <w:sz w:val="24"/>
          <w:szCs w:val="24"/>
        </w:rPr>
        <w:t>Figure 1: Revenue Analysis of Urban Heights (Source: Case Study)</w:t>
      </w:r>
    </w:p>
    <w:p w14:paraId="616872D0" w14:textId="232BC174" w:rsidR="002754E3" w:rsidRPr="00FA1B88" w:rsidRDefault="001C605D" w:rsidP="00FA1B88">
      <w:pPr>
        <w:pStyle w:val="Heading2"/>
        <w:rPr>
          <w:rFonts w:ascii="Arial" w:hAnsi="Arial" w:cs="Arial"/>
        </w:rPr>
      </w:pPr>
      <w:bookmarkStart w:id="4" w:name="_Toc167863788"/>
      <w:r w:rsidRPr="00FA1B88">
        <w:rPr>
          <w:rFonts w:ascii="Arial" w:hAnsi="Arial" w:cs="Arial"/>
        </w:rPr>
        <w:lastRenderedPageBreak/>
        <w:t>Operating Expense A</w:t>
      </w:r>
      <w:r w:rsidR="002754E3" w:rsidRPr="00FA1B88">
        <w:rPr>
          <w:rFonts w:ascii="Arial" w:hAnsi="Arial" w:cs="Arial"/>
        </w:rPr>
        <w:t>nalysis</w:t>
      </w:r>
      <w:bookmarkEnd w:id="4"/>
      <w:r w:rsidR="002754E3" w:rsidRPr="00FA1B88">
        <w:rPr>
          <w:rFonts w:ascii="Arial" w:hAnsi="Arial" w:cs="Arial"/>
        </w:rPr>
        <w:t xml:space="preserve"> </w:t>
      </w:r>
    </w:p>
    <w:p w14:paraId="316AE4A5" w14:textId="43D7F636" w:rsidR="00C905DF" w:rsidRPr="00FA1B88" w:rsidRDefault="004B314A" w:rsidP="00FA1B88">
      <w:pPr>
        <w:spacing w:line="360" w:lineRule="auto"/>
        <w:jc w:val="both"/>
        <w:rPr>
          <w:rFonts w:ascii="Arial" w:hAnsi="Arial" w:cs="Arial"/>
          <w:sz w:val="24"/>
          <w:szCs w:val="24"/>
        </w:rPr>
      </w:pPr>
      <w:r>
        <w:rPr>
          <w:rFonts w:ascii="Arial" w:hAnsi="Arial" w:cs="Arial"/>
          <w:sz w:val="24"/>
          <w:szCs w:val="24"/>
        </w:rPr>
        <w:t>Due to Supply chain disruption, the company is gaining significant cost in operating expenses</w:t>
      </w:r>
      <w:r w:rsidR="00573343">
        <w:rPr>
          <w:rFonts w:ascii="Arial" w:hAnsi="Arial" w:cs="Arial"/>
          <w:sz w:val="24"/>
          <w:szCs w:val="24"/>
        </w:rPr>
        <w:t xml:space="preserve"> (</w:t>
      </w:r>
      <w:r w:rsidR="00573343">
        <w:rPr>
          <w:rFonts w:ascii="Arial" w:hAnsi="Arial" w:cs="Arial"/>
          <w:color w:val="222222"/>
          <w:sz w:val="24"/>
          <w:szCs w:val="24"/>
          <w:shd w:val="clear" w:color="auto" w:fill="FFFFFF"/>
        </w:rPr>
        <w:t>Vogel, 2014</w:t>
      </w:r>
      <w:r w:rsidR="00573343">
        <w:rPr>
          <w:rFonts w:ascii="Arial" w:hAnsi="Arial" w:cs="Arial"/>
          <w:sz w:val="24"/>
          <w:szCs w:val="24"/>
        </w:rPr>
        <w:t>)</w:t>
      </w:r>
      <w:r>
        <w:rPr>
          <w:rFonts w:ascii="Arial" w:hAnsi="Arial" w:cs="Arial"/>
          <w:sz w:val="24"/>
          <w:szCs w:val="24"/>
        </w:rPr>
        <w:t xml:space="preserve">. The inflation was also high in this time which created problems without inefficient methods and outdated technology. The supply chain disruption in this time created havoc. The hotel needed to go for extra precaution on the basis of different kind of research and strategic problem. The below chart shows the operating expense of the company over the year. </w:t>
      </w:r>
    </w:p>
    <w:tbl>
      <w:tblPr>
        <w:tblStyle w:val="GridTable4-Accent2"/>
        <w:tblW w:w="6560" w:type="dxa"/>
        <w:tblLook w:val="04A0" w:firstRow="1" w:lastRow="0" w:firstColumn="1" w:lastColumn="0" w:noHBand="0" w:noVBand="1"/>
      </w:tblPr>
      <w:tblGrid>
        <w:gridCol w:w="2380"/>
        <w:gridCol w:w="1420"/>
        <w:gridCol w:w="1420"/>
        <w:gridCol w:w="1418"/>
      </w:tblGrid>
      <w:tr w:rsidR="00C905DF" w:rsidRPr="00FA1B88" w14:paraId="1DA9EDEC" w14:textId="77777777" w:rsidTr="00C60EE0">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80" w:type="dxa"/>
            <w:noWrap/>
            <w:hideMark/>
          </w:tcPr>
          <w:p w14:paraId="3B7FB7FC" w14:textId="77777777" w:rsidR="00C905DF" w:rsidRPr="00FA1B88" w:rsidRDefault="00C905DF" w:rsidP="00FA1B88">
            <w:pPr>
              <w:spacing w:line="360" w:lineRule="auto"/>
              <w:jc w:val="center"/>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 xml:space="preserve">Item </w:t>
            </w:r>
          </w:p>
        </w:tc>
        <w:tc>
          <w:tcPr>
            <w:tcW w:w="1420" w:type="dxa"/>
            <w:noWrap/>
            <w:hideMark/>
          </w:tcPr>
          <w:p w14:paraId="2DC2129E" w14:textId="77777777" w:rsidR="00C905DF" w:rsidRPr="00FA1B88" w:rsidRDefault="00C905DF"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2021</w:t>
            </w:r>
          </w:p>
        </w:tc>
        <w:tc>
          <w:tcPr>
            <w:tcW w:w="1420" w:type="dxa"/>
            <w:noWrap/>
            <w:hideMark/>
          </w:tcPr>
          <w:p w14:paraId="09510999" w14:textId="77777777" w:rsidR="00C905DF" w:rsidRPr="00FA1B88" w:rsidRDefault="00C905DF"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2022</w:t>
            </w:r>
          </w:p>
        </w:tc>
        <w:tc>
          <w:tcPr>
            <w:tcW w:w="1340" w:type="dxa"/>
            <w:noWrap/>
            <w:hideMark/>
          </w:tcPr>
          <w:p w14:paraId="04E9F007" w14:textId="77777777" w:rsidR="00C905DF" w:rsidRPr="00FA1B88" w:rsidRDefault="00C905DF"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2023</w:t>
            </w:r>
          </w:p>
        </w:tc>
      </w:tr>
      <w:tr w:rsidR="00C905DF" w:rsidRPr="00FA1B88" w14:paraId="1D298441" w14:textId="77777777" w:rsidTr="00C60E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1B19451D" w14:textId="77777777" w:rsidR="00C905DF" w:rsidRPr="00FA1B88" w:rsidRDefault="00C905DF" w:rsidP="00FA1B88">
            <w:pPr>
              <w:spacing w:line="360" w:lineRule="auto"/>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Operating Expenses </w:t>
            </w:r>
          </w:p>
        </w:tc>
        <w:tc>
          <w:tcPr>
            <w:tcW w:w="1420" w:type="dxa"/>
            <w:noWrap/>
            <w:hideMark/>
          </w:tcPr>
          <w:p w14:paraId="337D1CDD" w14:textId="77777777" w:rsidR="00C905DF" w:rsidRPr="00FA1B88" w:rsidRDefault="00C905DF"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£1,800,000 </w:t>
            </w:r>
          </w:p>
        </w:tc>
        <w:tc>
          <w:tcPr>
            <w:tcW w:w="1420" w:type="dxa"/>
            <w:noWrap/>
            <w:hideMark/>
          </w:tcPr>
          <w:p w14:paraId="61C90E05" w14:textId="77777777" w:rsidR="00C905DF" w:rsidRPr="00FA1B88" w:rsidRDefault="00C905DF"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£2,000,000 </w:t>
            </w:r>
          </w:p>
        </w:tc>
        <w:tc>
          <w:tcPr>
            <w:tcW w:w="1340" w:type="dxa"/>
            <w:noWrap/>
            <w:hideMark/>
          </w:tcPr>
          <w:p w14:paraId="792BB772" w14:textId="77777777" w:rsidR="00C905DF" w:rsidRPr="00FA1B88" w:rsidRDefault="00C905DF"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£2,300,000</w:t>
            </w:r>
          </w:p>
        </w:tc>
      </w:tr>
    </w:tbl>
    <w:p w14:paraId="5A77A848" w14:textId="77777777" w:rsidR="00C905DF" w:rsidRPr="00FA1B88" w:rsidRDefault="00C905DF" w:rsidP="00FA1B88">
      <w:pPr>
        <w:spacing w:line="360" w:lineRule="auto"/>
        <w:jc w:val="both"/>
        <w:rPr>
          <w:rFonts w:ascii="Arial" w:hAnsi="Arial" w:cs="Arial"/>
          <w:sz w:val="24"/>
          <w:szCs w:val="24"/>
        </w:rPr>
      </w:pPr>
    </w:p>
    <w:p w14:paraId="77F5C0C1" w14:textId="76CEFE5A" w:rsidR="002754E3" w:rsidRPr="00FA1B88" w:rsidRDefault="004B314A" w:rsidP="00FA1B88">
      <w:pPr>
        <w:spacing w:line="360" w:lineRule="auto"/>
        <w:jc w:val="both"/>
        <w:rPr>
          <w:rFonts w:ascii="Arial" w:hAnsi="Arial" w:cs="Arial"/>
          <w:sz w:val="24"/>
          <w:szCs w:val="24"/>
        </w:rPr>
      </w:pPr>
      <w:r>
        <w:rPr>
          <w:rFonts w:ascii="Arial" w:hAnsi="Arial" w:cs="Arial"/>
          <w:sz w:val="24"/>
          <w:szCs w:val="24"/>
        </w:rPr>
        <w:t xml:space="preserve">The trend is </w:t>
      </w:r>
      <w:r w:rsidR="007C3D92">
        <w:rPr>
          <w:rFonts w:ascii="Arial" w:hAnsi="Arial" w:cs="Arial"/>
          <w:sz w:val="24"/>
          <w:szCs w:val="24"/>
        </w:rPr>
        <w:t>following a</w:t>
      </w:r>
      <w:r>
        <w:rPr>
          <w:rFonts w:ascii="Arial" w:hAnsi="Arial" w:cs="Arial"/>
          <w:sz w:val="24"/>
          <w:szCs w:val="24"/>
        </w:rPr>
        <w:t xml:space="preserve"> straight line. </w:t>
      </w:r>
      <w:r w:rsidR="007C3D92">
        <w:rPr>
          <w:rFonts w:ascii="Arial" w:hAnsi="Arial" w:cs="Arial"/>
          <w:sz w:val="24"/>
          <w:szCs w:val="24"/>
        </w:rPr>
        <w:t>This also show the constant nature of increment of different kind of product price that are constantly in need of service industry</w:t>
      </w:r>
      <w:r w:rsidR="00030006">
        <w:rPr>
          <w:rFonts w:ascii="Arial" w:hAnsi="Arial" w:cs="Arial"/>
          <w:sz w:val="24"/>
          <w:szCs w:val="24"/>
        </w:rPr>
        <w:t xml:space="preserve"> (</w:t>
      </w:r>
      <w:r w:rsidR="00030006">
        <w:rPr>
          <w:rFonts w:ascii="Arial" w:hAnsi="Arial" w:cs="Arial"/>
          <w:color w:val="222222"/>
          <w:sz w:val="24"/>
          <w:szCs w:val="24"/>
          <w:shd w:val="clear" w:color="auto" w:fill="FFFFFF"/>
        </w:rPr>
        <w:t>Ruel et al, 2010</w:t>
      </w:r>
      <w:r w:rsidR="00030006">
        <w:rPr>
          <w:rFonts w:ascii="Arial" w:hAnsi="Arial" w:cs="Arial"/>
          <w:sz w:val="24"/>
          <w:szCs w:val="24"/>
        </w:rPr>
        <w:t>)</w:t>
      </w:r>
      <w:r w:rsidR="007C3D92">
        <w:rPr>
          <w:rFonts w:ascii="Arial" w:hAnsi="Arial" w:cs="Arial"/>
          <w:sz w:val="24"/>
          <w:szCs w:val="24"/>
        </w:rPr>
        <w:t>. This should be counted as the proper flow plan of the product. This is also one of the most interesting area as the operating expense can be cut with proper method such as six sigma or others. In here, lack of clarity it was almost impossible to get to the point where the operating expense can be down to the point. This is one of the few reasons why profits is lower for Urban Heights compare to the previous years in this case study.</w:t>
      </w:r>
    </w:p>
    <w:p w14:paraId="037994E9" w14:textId="10F20506" w:rsidR="002B1554" w:rsidRPr="00FA1B88" w:rsidRDefault="00244095" w:rsidP="00FA1B88">
      <w:pPr>
        <w:spacing w:line="360" w:lineRule="auto"/>
        <w:jc w:val="center"/>
        <w:rPr>
          <w:rFonts w:ascii="Arial" w:hAnsi="Arial" w:cs="Arial"/>
          <w:sz w:val="24"/>
          <w:szCs w:val="24"/>
        </w:rPr>
      </w:pPr>
      <w:r w:rsidRPr="00FA1B88">
        <w:rPr>
          <w:rFonts w:ascii="Arial" w:hAnsi="Arial" w:cs="Arial"/>
          <w:noProof/>
        </w:rPr>
        <w:drawing>
          <wp:inline distT="0" distB="0" distL="0" distR="0" wp14:anchorId="2FB76BDB" wp14:editId="2AB17EA3">
            <wp:extent cx="4572000" cy="2743200"/>
            <wp:effectExtent l="0" t="0" r="0" b="0"/>
            <wp:docPr id="5" name="Chart 5">
              <a:extLst xmlns:a="http://schemas.openxmlformats.org/drawingml/2006/main">
                <a:ext uri="{FF2B5EF4-FFF2-40B4-BE49-F238E27FC236}">
                  <a16:creationId xmlns:a16="http://schemas.microsoft.com/office/drawing/2014/main" id="{B884BF03-053E-4D4F-ADEB-EA6AD8F92F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EBF873" w14:textId="17E3402B" w:rsidR="00E12859" w:rsidRPr="00FA1B88" w:rsidRDefault="00E12859" w:rsidP="00FA1B88">
      <w:pPr>
        <w:spacing w:line="360" w:lineRule="auto"/>
        <w:jc w:val="center"/>
        <w:rPr>
          <w:rFonts w:ascii="Arial" w:hAnsi="Arial" w:cs="Arial"/>
          <w:b/>
          <w:sz w:val="24"/>
          <w:szCs w:val="24"/>
        </w:rPr>
      </w:pPr>
      <w:r w:rsidRPr="00FA1B88">
        <w:rPr>
          <w:rFonts w:ascii="Arial" w:hAnsi="Arial" w:cs="Arial"/>
          <w:b/>
          <w:sz w:val="24"/>
          <w:szCs w:val="24"/>
        </w:rPr>
        <w:t>Figure 2: Operating Expense Analysis of Urban Heights (Source: Case Study)</w:t>
      </w:r>
    </w:p>
    <w:p w14:paraId="4B0F2C1E" w14:textId="69DFEBD3" w:rsidR="0081556B" w:rsidRPr="00FA1B88" w:rsidRDefault="00EE0290" w:rsidP="00FA1B88">
      <w:pPr>
        <w:pStyle w:val="Heading2"/>
        <w:rPr>
          <w:rFonts w:ascii="Arial" w:hAnsi="Arial" w:cs="Arial"/>
        </w:rPr>
      </w:pPr>
      <w:bookmarkStart w:id="5" w:name="_Toc167863789"/>
      <w:r w:rsidRPr="00FA1B88">
        <w:rPr>
          <w:rFonts w:ascii="Arial" w:hAnsi="Arial" w:cs="Arial"/>
        </w:rPr>
        <w:lastRenderedPageBreak/>
        <w:t>Profitability Analysis</w:t>
      </w:r>
      <w:bookmarkEnd w:id="5"/>
      <w:r w:rsidRPr="00FA1B88">
        <w:rPr>
          <w:rFonts w:ascii="Arial" w:hAnsi="Arial" w:cs="Arial"/>
        </w:rPr>
        <w:t xml:space="preserve"> </w:t>
      </w:r>
    </w:p>
    <w:p w14:paraId="1DA9B3D7" w14:textId="258BFF8E" w:rsidR="002C6896" w:rsidRPr="00FA1B88" w:rsidRDefault="0057031F" w:rsidP="00FA1B88">
      <w:pPr>
        <w:spacing w:line="360" w:lineRule="auto"/>
        <w:jc w:val="both"/>
        <w:rPr>
          <w:rFonts w:ascii="Arial" w:hAnsi="Arial" w:cs="Arial"/>
          <w:sz w:val="24"/>
          <w:szCs w:val="24"/>
        </w:rPr>
      </w:pPr>
      <w:r>
        <w:rPr>
          <w:rFonts w:ascii="Arial" w:hAnsi="Arial" w:cs="Arial"/>
          <w:sz w:val="24"/>
          <w:szCs w:val="24"/>
        </w:rPr>
        <w:t>The basic principle for any kind of profit is to make sure that there are more revenues and less cost</w:t>
      </w:r>
      <w:r w:rsidR="005A64C4">
        <w:rPr>
          <w:rFonts w:ascii="Arial" w:hAnsi="Arial" w:cs="Arial"/>
          <w:sz w:val="24"/>
          <w:szCs w:val="24"/>
        </w:rPr>
        <w:t xml:space="preserve"> (</w:t>
      </w:r>
      <w:r w:rsidR="005A64C4">
        <w:rPr>
          <w:rFonts w:ascii="Arial" w:hAnsi="Arial" w:cs="Arial"/>
          <w:color w:val="222222"/>
          <w:sz w:val="24"/>
          <w:szCs w:val="24"/>
          <w:shd w:val="clear" w:color="auto" w:fill="FFFFFF"/>
        </w:rPr>
        <w:t>Roy</w:t>
      </w:r>
      <w:r w:rsidR="00432138">
        <w:rPr>
          <w:rFonts w:ascii="Arial" w:hAnsi="Arial" w:cs="Arial"/>
          <w:color w:val="222222"/>
          <w:sz w:val="24"/>
          <w:szCs w:val="24"/>
          <w:shd w:val="clear" w:color="auto" w:fill="FFFFFF"/>
        </w:rPr>
        <w:t xml:space="preserve"> </w:t>
      </w:r>
      <w:r w:rsidR="005A64C4">
        <w:rPr>
          <w:rFonts w:ascii="Arial" w:hAnsi="Arial" w:cs="Arial"/>
          <w:color w:val="222222"/>
          <w:sz w:val="24"/>
          <w:szCs w:val="24"/>
          <w:shd w:val="clear" w:color="auto" w:fill="FFFFFF"/>
        </w:rPr>
        <w:t>and Pickering, 2012.</w:t>
      </w:r>
      <w:r w:rsidR="005A64C4">
        <w:rPr>
          <w:rFonts w:ascii="Arial" w:hAnsi="Arial" w:cs="Arial"/>
          <w:sz w:val="24"/>
          <w:szCs w:val="24"/>
        </w:rPr>
        <w:t>)</w:t>
      </w:r>
      <w:r>
        <w:rPr>
          <w:rFonts w:ascii="Arial" w:hAnsi="Arial" w:cs="Arial"/>
          <w:sz w:val="24"/>
          <w:szCs w:val="24"/>
        </w:rPr>
        <w:t xml:space="preserve">. The more revenue it will earn, the more it will increase over the time. The less cost company incur the higher profit margin it will do. </w:t>
      </w:r>
      <w:r w:rsidR="001259F9">
        <w:rPr>
          <w:rFonts w:ascii="Arial" w:hAnsi="Arial" w:cs="Arial"/>
          <w:sz w:val="24"/>
          <w:szCs w:val="24"/>
        </w:rPr>
        <w:t xml:space="preserve">But for Urban Heights both are not in favour for them. As it has been shown here is that the net income for 2021 was 700,000 Euro. Where in 2022 it dropped to 200,000 Euro. In 2023 Urban Heights was in loss. And made around 500,000 Euro loss due to increment in operating expense and decline in revenue. The overall prospect of this is to look for how it happened. </w:t>
      </w:r>
    </w:p>
    <w:tbl>
      <w:tblPr>
        <w:tblStyle w:val="GridTable4-Accent2"/>
        <w:tblW w:w="6560" w:type="dxa"/>
        <w:tblLook w:val="04A0" w:firstRow="1" w:lastRow="0" w:firstColumn="1" w:lastColumn="0" w:noHBand="0" w:noVBand="1"/>
      </w:tblPr>
      <w:tblGrid>
        <w:gridCol w:w="2380"/>
        <w:gridCol w:w="1420"/>
        <w:gridCol w:w="1420"/>
        <w:gridCol w:w="1377"/>
      </w:tblGrid>
      <w:tr w:rsidR="002C6896" w:rsidRPr="00FA1B88" w14:paraId="21CC55F7" w14:textId="77777777" w:rsidTr="00C60EE0">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80" w:type="dxa"/>
            <w:noWrap/>
            <w:hideMark/>
          </w:tcPr>
          <w:p w14:paraId="518337EA" w14:textId="77777777" w:rsidR="002C6896" w:rsidRPr="00FA1B88" w:rsidRDefault="002C6896" w:rsidP="00FA1B88">
            <w:pPr>
              <w:spacing w:line="360" w:lineRule="auto"/>
              <w:jc w:val="center"/>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 xml:space="preserve">Item </w:t>
            </w:r>
          </w:p>
        </w:tc>
        <w:tc>
          <w:tcPr>
            <w:tcW w:w="1420" w:type="dxa"/>
            <w:noWrap/>
            <w:hideMark/>
          </w:tcPr>
          <w:p w14:paraId="3204F97B" w14:textId="77777777" w:rsidR="002C6896" w:rsidRPr="00FA1B88" w:rsidRDefault="002C6896"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2021</w:t>
            </w:r>
          </w:p>
        </w:tc>
        <w:tc>
          <w:tcPr>
            <w:tcW w:w="1420" w:type="dxa"/>
            <w:noWrap/>
            <w:hideMark/>
          </w:tcPr>
          <w:p w14:paraId="03E3A5A0" w14:textId="77777777" w:rsidR="002C6896" w:rsidRPr="00FA1B88" w:rsidRDefault="002C6896"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2022</w:t>
            </w:r>
          </w:p>
        </w:tc>
        <w:tc>
          <w:tcPr>
            <w:tcW w:w="1340" w:type="dxa"/>
            <w:noWrap/>
            <w:hideMark/>
          </w:tcPr>
          <w:p w14:paraId="4F55989B" w14:textId="77777777" w:rsidR="002C6896" w:rsidRPr="00FA1B88" w:rsidRDefault="002C6896"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2023</w:t>
            </w:r>
          </w:p>
        </w:tc>
      </w:tr>
      <w:tr w:rsidR="002C6896" w:rsidRPr="00FA1B88" w14:paraId="239298EE" w14:textId="77777777" w:rsidTr="00C60EE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370AAE89" w14:textId="77777777" w:rsidR="002C6896" w:rsidRPr="00FA1B88" w:rsidRDefault="002C6896" w:rsidP="00FA1B88">
            <w:pPr>
              <w:spacing w:line="360" w:lineRule="auto"/>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Net Income </w:t>
            </w:r>
          </w:p>
        </w:tc>
        <w:tc>
          <w:tcPr>
            <w:tcW w:w="1420" w:type="dxa"/>
            <w:noWrap/>
            <w:hideMark/>
          </w:tcPr>
          <w:p w14:paraId="2FD69463" w14:textId="77777777" w:rsidR="002C6896" w:rsidRPr="00FA1B88" w:rsidRDefault="002C6896"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£700,000 </w:t>
            </w:r>
          </w:p>
        </w:tc>
        <w:tc>
          <w:tcPr>
            <w:tcW w:w="1420" w:type="dxa"/>
            <w:noWrap/>
            <w:hideMark/>
          </w:tcPr>
          <w:p w14:paraId="560772E7" w14:textId="77777777" w:rsidR="002C6896" w:rsidRPr="00FA1B88" w:rsidRDefault="002C6896"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£200,000 </w:t>
            </w:r>
          </w:p>
        </w:tc>
        <w:tc>
          <w:tcPr>
            <w:tcW w:w="1340" w:type="dxa"/>
            <w:noWrap/>
            <w:hideMark/>
          </w:tcPr>
          <w:p w14:paraId="76CFF90F" w14:textId="77777777" w:rsidR="002C6896" w:rsidRPr="00FA1B88" w:rsidRDefault="002C6896"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(£500,000)</w:t>
            </w:r>
          </w:p>
        </w:tc>
      </w:tr>
    </w:tbl>
    <w:p w14:paraId="481C7462" w14:textId="77777777" w:rsidR="002C6896" w:rsidRPr="00FA1B88" w:rsidRDefault="002C6896" w:rsidP="00FA1B88">
      <w:pPr>
        <w:spacing w:line="360" w:lineRule="auto"/>
        <w:jc w:val="both"/>
        <w:rPr>
          <w:rFonts w:ascii="Arial" w:hAnsi="Arial" w:cs="Arial"/>
          <w:sz w:val="24"/>
          <w:szCs w:val="24"/>
        </w:rPr>
      </w:pPr>
    </w:p>
    <w:p w14:paraId="3F9944CD" w14:textId="2CCB2619" w:rsidR="00EE0290" w:rsidRPr="00FA1B88" w:rsidRDefault="001259F9" w:rsidP="00FA1B88">
      <w:pPr>
        <w:spacing w:line="360" w:lineRule="auto"/>
        <w:jc w:val="both"/>
        <w:rPr>
          <w:rFonts w:ascii="Arial" w:hAnsi="Arial" w:cs="Arial"/>
          <w:sz w:val="24"/>
          <w:szCs w:val="24"/>
        </w:rPr>
      </w:pPr>
      <w:r>
        <w:rPr>
          <w:rFonts w:ascii="Arial" w:hAnsi="Arial" w:cs="Arial"/>
          <w:sz w:val="24"/>
          <w:szCs w:val="24"/>
        </w:rPr>
        <w:t>The operating expense increased due to supply chain disruption which created huge price rice for the products that will be used in service industry</w:t>
      </w:r>
      <w:r w:rsidR="003964D1">
        <w:rPr>
          <w:rFonts w:ascii="Arial" w:hAnsi="Arial" w:cs="Arial"/>
          <w:sz w:val="24"/>
          <w:szCs w:val="24"/>
        </w:rPr>
        <w:t xml:space="preserve"> (</w:t>
      </w:r>
      <w:r w:rsidR="003964D1">
        <w:rPr>
          <w:rFonts w:ascii="Arial" w:hAnsi="Arial" w:cs="Arial"/>
          <w:color w:val="222222"/>
          <w:sz w:val="24"/>
          <w:szCs w:val="24"/>
          <w:shd w:val="clear" w:color="auto" w:fill="FFFFFF"/>
        </w:rPr>
        <w:t>Ng et al, 2011</w:t>
      </w:r>
      <w:r w:rsidR="003964D1">
        <w:rPr>
          <w:rFonts w:ascii="Arial" w:hAnsi="Arial" w:cs="Arial"/>
          <w:sz w:val="24"/>
          <w:szCs w:val="24"/>
        </w:rPr>
        <w:t>)</w:t>
      </w:r>
      <w:r>
        <w:rPr>
          <w:rFonts w:ascii="Arial" w:hAnsi="Arial" w:cs="Arial"/>
          <w:sz w:val="24"/>
          <w:szCs w:val="24"/>
        </w:rPr>
        <w:t xml:space="preserve">. </w:t>
      </w:r>
      <w:r w:rsidR="00386A24">
        <w:rPr>
          <w:rFonts w:ascii="Arial" w:hAnsi="Arial" w:cs="Arial"/>
          <w:sz w:val="24"/>
          <w:szCs w:val="24"/>
        </w:rPr>
        <w:t xml:space="preserve">The net income for this also decreased due to not having adequate cash flow in last 2 years. The combine impact of this created the problem of the product line which caused serious scenario for the Urban Heights. Though with proper measure it could be reduced. The proper measures will be discussed in later part. </w:t>
      </w:r>
    </w:p>
    <w:p w14:paraId="56ED22B8" w14:textId="2D1C81B1" w:rsidR="00C325A2" w:rsidRPr="00FA1B88" w:rsidRDefault="005C7A7B" w:rsidP="00FA1B88">
      <w:pPr>
        <w:spacing w:line="360" w:lineRule="auto"/>
        <w:jc w:val="center"/>
        <w:rPr>
          <w:rFonts w:ascii="Arial" w:hAnsi="Arial" w:cs="Arial"/>
          <w:sz w:val="24"/>
          <w:szCs w:val="24"/>
        </w:rPr>
      </w:pPr>
      <w:r w:rsidRPr="00FA1B88">
        <w:rPr>
          <w:rFonts w:ascii="Arial" w:hAnsi="Arial" w:cs="Arial"/>
          <w:noProof/>
        </w:rPr>
        <w:drawing>
          <wp:inline distT="0" distB="0" distL="0" distR="0" wp14:anchorId="39A81E58" wp14:editId="4A01AC44">
            <wp:extent cx="4572000" cy="2743200"/>
            <wp:effectExtent l="0" t="0" r="0" b="0"/>
            <wp:docPr id="6" name="Chart 6">
              <a:extLst xmlns:a="http://schemas.openxmlformats.org/drawingml/2006/main">
                <a:ext uri="{FF2B5EF4-FFF2-40B4-BE49-F238E27FC236}">
                  <a16:creationId xmlns:a16="http://schemas.microsoft.com/office/drawing/2014/main" id="{E2F378B0-9E76-4FF9-A225-1DE6F2A3F3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A379DA" w14:textId="05EE602E" w:rsidR="005F6D85" w:rsidRPr="00FA1B88" w:rsidRDefault="005F6D85" w:rsidP="00FA1B88">
      <w:pPr>
        <w:spacing w:line="360" w:lineRule="auto"/>
        <w:jc w:val="center"/>
        <w:rPr>
          <w:rFonts w:ascii="Arial" w:hAnsi="Arial" w:cs="Arial"/>
          <w:b/>
          <w:sz w:val="24"/>
          <w:szCs w:val="24"/>
        </w:rPr>
      </w:pPr>
      <w:r w:rsidRPr="00FA1B88">
        <w:rPr>
          <w:rFonts w:ascii="Arial" w:hAnsi="Arial" w:cs="Arial"/>
          <w:b/>
          <w:sz w:val="24"/>
          <w:szCs w:val="24"/>
        </w:rPr>
        <w:t>Figure 3: Net Income Analysis of Urban Heights (Source: Case Study)</w:t>
      </w:r>
    </w:p>
    <w:p w14:paraId="62DD03C9" w14:textId="3F92CA61" w:rsidR="00B00139" w:rsidRPr="00FA1B88" w:rsidRDefault="002D6C79" w:rsidP="00FA1B88">
      <w:pPr>
        <w:pStyle w:val="Heading2"/>
        <w:rPr>
          <w:rFonts w:ascii="Arial" w:hAnsi="Arial" w:cs="Arial"/>
        </w:rPr>
      </w:pPr>
      <w:bookmarkStart w:id="6" w:name="_Toc167863790"/>
      <w:r w:rsidRPr="00FA1B88">
        <w:rPr>
          <w:rFonts w:ascii="Arial" w:hAnsi="Arial" w:cs="Arial"/>
        </w:rPr>
        <w:lastRenderedPageBreak/>
        <w:t>Balance Sheet Analysis</w:t>
      </w:r>
      <w:bookmarkEnd w:id="6"/>
    </w:p>
    <w:tbl>
      <w:tblPr>
        <w:tblStyle w:val="GridTable4-Accent4"/>
        <w:tblW w:w="5000" w:type="pct"/>
        <w:tblLook w:val="04A0" w:firstRow="1" w:lastRow="0" w:firstColumn="1" w:lastColumn="0" w:noHBand="0" w:noVBand="1"/>
      </w:tblPr>
      <w:tblGrid>
        <w:gridCol w:w="3004"/>
        <w:gridCol w:w="2004"/>
        <w:gridCol w:w="2003"/>
        <w:gridCol w:w="2005"/>
      </w:tblGrid>
      <w:tr w:rsidR="00B34DCA" w:rsidRPr="00B34DCA" w14:paraId="4A8D438F" w14:textId="77777777" w:rsidTr="004D6A67">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7FDE4E0" w14:textId="77777777" w:rsidR="00B34DCA" w:rsidRPr="00B34DCA" w:rsidRDefault="00B34DCA" w:rsidP="00FA1B88">
            <w:pPr>
              <w:spacing w:line="360" w:lineRule="auto"/>
              <w:jc w:val="center"/>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Asset/Liability </w:t>
            </w:r>
          </w:p>
        </w:tc>
        <w:tc>
          <w:tcPr>
            <w:tcW w:w="1111" w:type="pct"/>
            <w:noWrap/>
            <w:hideMark/>
          </w:tcPr>
          <w:p w14:paraId="524229A3" w14:textId="77777777" w:rsidR="00B34DCA" w:rsidRPr="00B34DCA" w:rsidRDefault="00B34DCA"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2021</w:t>
            </w:r>
          </w:p>
        </w:tc>
        <w:tc>
          <w:tcPr>
            <w:tcW w:w="1111" w:type="pct"/>
            <w:noWrap/>
            <w:hideMark/>
          </w:tcPr>
          <w:p w14:paraId="4F442366" w14:textId="77777777" w:rsidR="00B34DCA" w:rsidRPr="00B34DCA" w:rsidRDefault="00B34DCA"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2022</w:t>
            </w:r>
          </w:p>
        </w:tc>
        <w:tc>
          <w:tcPr>
            <w:tcW w:w="1112" w:type="pct"/>
            <w:noWrap/>
            <w:hideMark/>
          </w:tcPr>
          <w:p w14:paraId="040EE5A9" w14:textId="77777777" w:rsidR="00B34DCA" w:rsidRPr="00B34DCA" w:rsidRDefault="00B34DCA"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2023</w:t>
            </w:r>
          </w:p>
        </w:tc>
      </w:tr>
      <w:tr w:rsidR="00B34DCA" w:rsidRPr="00B34DCA" w14:paraId="4E0337DC" w14:textId="77777777" w:rsidTr="004D6A6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865A383"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Cash and Equivalents </w:t>
            </w:r>
          </w:p>
        </w:tc>
        <w:tc>
          <w:tcPr>
            <w:tcW w:w="1111" w:type="pct"/>
            <w:noWrap/>
            <w:hideMark/>
          </w:tcPr>
          <w:p w14:paraId="5E3E94E8"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£300,000 </w:t>
            </w:r>
          </w:p>
        </w:tc>
        <w:tc>
          <w:tcPr>
            <w:tcW w:w="1111" w:type="pct"/>
            <w:noWrap/>
            <w:hideMark/>
          </w:tcPr>
          <w:p w14:paraId="21E36A97"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£200,000 </w:t>
            </w:r>
          </w:p>
        </w:tc>
        <w:tc>
          <w:tcPr>
            <w:tcW w:w="1112" w:type="pct"/>
            <w:noWrap/>
            <w:hideMark/>
          </w:tcPr>
          <w:p w14:paraId="2C7CE252"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£100,000</w:t>
            </w:r>
          </w:p>
        </w:tc>
      </w:tr>
      <w:tr w:rsidR="00B34DCA" w:rsidRPr="00B34DCA" w14:paraId="754CFF21" w14:textId="77777777" w:rsidTr="004D6A67">
        <w:trPr>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6C82C51E"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Accounts Receivable </w:t>
            </w:r>
          </w:p>
        </w:tc>
        <w:tc>
          <w:tcPr>
            <w:tcW w:w="1111" w:type="pct"/>
            <w:noWrap/>
            <w:hideMark/>
          </w:tcPr>
          <w:p w14:paraId="6FD0F3B3"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£150,000 </w:t>
            </w:r>
          </w:p>
        </w:tc>
        <w:tc>
          <w:tcPr>
            <w:tcW w:w="1111" w:type="pct"/>
            <w:noWrap/>
            <w:hideMark/>
          </w:tcPr>
          <w:p w14:paraId="3E221822"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£100,000 </w:t>
            </w:r>
          </w:p>
        </w:tc>
        <w:tc>
          <w:tcPr>
            <w:tcW w:w="1112" w:type="pct"/>
            <w:noWrap/>
            <w:hideMark/>
          </w:tcPr>
          <w:p w14:paraId="3D049ECD"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£80,000</w:t>
            </w:r>
          </w:p>
        </w:tc>
      </w:tr>
      <w:tr w:rsidR="00B34DCA" w:rsidRPr="00B34DCA" w14:paraId="51FEAFC1" w14:textId="77777777" w:rsidTr="004D6A6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5E47AF8"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Property and Equipment </w:t>
            </w:r>
          </w:p>
        </w:tc>
        <w:tc>
          <w:tcPr>
            <w:tcW w:w="1111" w:type="pct"/>
            <w:noWrap/>
            <w:hideMark/>
          </w:tcPr>
          <w:p w14:paraId="494E37D0"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£5,000,000 </w:t>
            </w:r>
          </w:p>
        </w:tc>
        <w:tc>
          <w:tcPr>
            <w:tcW w:w="1111" w:type="pct"/>
            <w:noWrap/>
            <w:hideMark/>
          </w:tcPr>
          <w:p w14:paraId="58BFF77C"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£4,800,000 </w:t>
            </w:r>
          </w:p>
        </w:tc>
        <w:tc>
          <w:tcPr>
            <w:tcW w:w="1112" w:type="pct"/>
            <w:noWrap/>
            <w:hideMark/>
          </w:tcPr>
          <w:p w14:paraId="5786307A"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£4,500,000</w:t>
            </w:r>
          </w:p>
        </w:tc>
      </w:tr>
      <w:tr w:rsidR="00B34DCA" w:rsidRPr="00B34DCA" w14:paraId="30069D02" w14:textId="77777777" w:rsidTr="004D6A67">
        <w:trPr>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32A96D7C"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Total Assets </w:t>
            </w:r>
          </w:p>
        </w:tc>
        <w:tc>
          <w:tcPr>
            <w:tcW w:w="1111" w:type="pct"/>
            <w:noWrap/>
            <w:hideMark/>
          </w:tcPr>
          <w:p w14:paraId="28D9F6E1"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£5,450,000 </w:t>
            </w:r>
          </w:p>
        </w:tc>
        <w:tc>
          <w:tcPr>
            <w:tcW w:w="1111" w:type="pct"/>
            <w:noWrap/>
            <w:hideMark/>
          </w:tcPr>
          <w:p w14:paraId="4CE0DE7E"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£5,100,000 </w:t>
            </w:r>
          </w:p>
        </w:tc>
        <w:tc>
          <w:tcPr>
            <w:tcW w:w="1112" w:type="pct"/>
            <w:noWrap/>
            <w:hideMark/>
          </w:tcPr>
          <w:p w14:paraId="69C46FEC"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£4,680,000</w:t>
            </w:r>
          </w:p>
        </w:tc>
      </w:tr>
      <w:tr w:rsidR="00B34DCA" w:rsidRPr="00B34DCA" w14:paraId="365C7E14" w14:textId="77777777" w:rsidTr="004D6A6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08C21B44"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Accounts Payable </w:t>
            </w:r>
          </w:p>
        </w:tc>
        <w:tc>
          <w:tcPr>
            <w:tcW w:w="1111" w:type="pct"/>
            <w:noWrap/>
            <w:hideMark/>
          </w:tcPr>
          <w:p w14:paraId="199CA266"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£250,000 </w:t>
            </w:r>
          </w:p>
        </w:tc>
        <w:tc>
          <w:tcPr>
            <w:tcW w:w="1111" w:type="pct"/>
            <w:noWrap/>
            <w:hideMark/>
          </w:tcPr>
          <w:p w14:paraId="290EDA5A"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£270,000 </w:t>
            </w:r>
          </w:p>
        </w:tc>
        <w:tc>
          <w:tcPr>
            <w:tcW w:w="1112" w:type="pct"/>
            <w:noWrap/>
            <w:hideMark/>
          </w:tcPr>
          <w:p w14:paraId="39DB8A7C"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£300,000</w:t>
            </w:r>
          </w:p>
        </w:tc>
      </w:tr>
      <w:tr w:rsidR="00B34DCA" w:rsidRPr="00B34DCA" w14:paraId="4C7B31A4" w14:textId="77777777" w:rsidTr="004D6A67">
        <w:trPr>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155DA69A"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Long-term Debt </w:t>
            </w:r>
          </w:p>
        </w:tc>
        <w:tc>
          <w:tcPr>
            <w:tcW w:w="1111" w:type="pct"/>
            <w:noWrap/>
            <w:hideMark/>
          </w:tcPr>
          <w:p w14:paraId="44CD138C"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£3,000,000 </w:t>
            </w:r>
          </w:p>
        </w:tc>
        <w:tc>
          <w:tcPr>
            <w:tcW w:w="1111" w:type="pct"/>
            <w:noWrap/>
            <w:hideMark/>
          </w:tcPr>
          <w:p w14:paraId="0A73C525"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£3,000,000 </w:t>
            </w:r>
          </w:p>
        </w:tc>
        <w:tc>
          <w:tcPr>
            <w:tcW w:w="1112" w:type="pct"/>
            <w:noWrap/>
            <w:hideMark/>
          </w:tcPr>
          <w:p w14:paraId="165EC368"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£3,000,000</w:t>
            </w:r>
          </w:p>
        </w:tc>
      </w:tr>
      <w:tr w:rsidR="00B34DCA" w:rsidRPr="00B34DCA" w14:paraId="6291EC66" w14:textId="77777777" w:rsidTr="004D6A6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D2C37A5"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Total Liabilities </w:t>
            </w:r>
          </w:p>
        </w:tc>
        <w:tc>
          <w:tcPr>
            <w:tcW w:w="1111" w:type="pct"/>
            <w:noWrap/>
            <w:hideMark/>
          </w:tcPr>
          <w:p w14:paraId="145F9155"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£3,250,000 </w:t>
            </w:r>
          </w:p>
        </w:tc>
        <w:tc>
          <w:tcPr>
            <w:tcW w:w="1111" w:type="pct"/>
            <w:noWrap/>
            <w:hideMark/>
          </w:tcPr>
          <w:p w14:paraId="31571BEF"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£3,270,000 </w:t>
            </w:r>
          </w:p>
        </w:tc>
        <w:tc>
          <w:tcPr>
            <w:tcW w:w="1112" w:type="pct"/>
            <w:noWrap/>
            <w:hideMark/>
          </w:tcPr>
          <w:p w14:paraId="75D7602F"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£3,300,000</w:t>
            </w:r>
          </w:p>
        </w:tc>
      </w:tr>
      <w:tr w:rsidR="00B34DCA" w:rsidRPr="00B34DCA" w14:paraId="03BC8413" w14:textId="77777777" w:rsidTr="004D6A67">
        <w:trPr>
          <w:trHeight w:val="300"/>
        </w:trPr>
        <w:tc>
          <w:tcPr>
            <w:cnfStyle w:val="001000000000" w:firstRow="0" w:lastRow="0" w:firstColumn="1" w:lastColumn="0" w:oddVBand="0" w:evenVBand="0" w:oddHBand="0" w:evenHBand="0" w:firstRowFirstColumn="0" w:firstRowLastColumn="0" w:lastRowFirstColumn="0" w:lastRowLastColumn="0"/>
            <w:tcW w:w="1665" w:type="pct"/>
            <w:noWrap/>
            <w:hideMark/>
          </w:tcPr>
          <w:p w14:paraId="1326F2AE"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Equity </w:t>
            </w:r>
          </w:p>
        </w:tc>
        <w:tc>
          <w:tcPr>
            <w:tcW w:w="1111" w:type="pct"/>
            <w:noWrap/>
            <w:hideMark/>
          </w:tcPr>
          <w:p w14:paraId="5838A6B8"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£2,200,000 </w:t>
            </w:r>
          </w:p>
        </w:tc>
        <w:tc>
          <w:tcPr>
            <w:tcW w:w="1111" w:type="pct"/>
            <w:noWrap/>
            <w:hideMark/>
          </w:tcPr>
          <w:p w14:paraId="1060D2D0"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£1,830,000 </w:t>
            </w:r>
          </w:p>
        </w:tc>
        <w:tc>
          <w:tcPr>
            <w:tcW w:w="1112" w:type="pct"/>
            <w:noWrap/>
            <w:hideMark/>
          </w:tcPr>
          <w:p w14:paraId="6D84339A"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£1,380,000</w:t>
            </w:r>
          </w:p>
        </w:tc>
      </w:tr>
    </w:tbl>
    <w:p w14:paraId="7D6ACAFE" w14:textId="7663587B" w:rsidR="002D6C79" w:rsidRPr="00FA1B88" w:rsidRDefault="002D6C79" w:rsidP="00FA1B88">
      <w:pPr>
        <w:spacing w:line="360" w:lineRule="auto"/>
        <w:jc w:val="both"/>
        <w:rPr>
          <w:rFonts w:ascii="Arial" w:hAnsi="Arial" w:cs="Arial"/>
          <w:sz w:val="24"/>
          <w:szCs w:val="24"/>
        </w:rPr>
      </w:pPr>
    </w:p>
    <w:p w14:paraId="008F231F" w14:textId="0A4FEF1F" w:rsidR="00D90047" w:rsidRPr="00FA1B88" w:rsidRDefault="00D90047" w:rsidP="00FA1B88">
      <w:pPr>
        <w:spacing w:line="360" w:lineRule="auto"/>
        <w:jc w:val="center"/>
        <w:rPr>
          <w:rFonts w:ascii="Arial" w:hAnsi="Arial" w:cs="Arial"/>
          <w:b/>
          <w:sz w:val="24"/>
          <w:szCs w:val="24"/>
        </w:rPr>
      </w:pPr>
      <w:r w:rsidRPr="00FA1B88">
        <w:rPr>
          <w:rFonts w:ascii="Arial" w:hAnsi="Arial" w:cs="Arial"/>
          <w:b/>
          <w:sz w:val="24"/>
          <w:szCs w:val="24"/>
        </w:rPr>
        <w:t>Figure 4: Balance Sheet Analysis of Urban Heights (Source: Case Study)</w:t>
      </w:r>
    </w:p>
    <w:p w14:paraId="6ABC480B" w14:textId="247C01C3" w:rsidR="008C3FF4" w:rsidRDefault="00AC64C5" w:rsidP="00FA1B88">
      <w:pPr>
        <w:spacing w:line="360" w:lineRule="auto"/>
        <w:jc w:val="both"/>
        <w:rPr>
          <w:rFonts w:ascii="Arial" w:hAnsi="Arial" w:cs="Arial"/>
          <w:sz w:val="24"/>
          <w:szCs w:val="24"/>
        </w:rPr>
      </w:pPr>
      <w:r>
        <w:rPr>
          <w:rFonts w:ascii="Arial" w:hAnsi="Arial" w:cs="Arial"/>
          <w:sz w:val="24"/>
          <w:szCs w:val="24"/>
        </w:rPr>
        <w:t>The balance sheet is the life force for any kind of financial analysis. This year, the we are seeing, the total asset is decreasing over the year. From the year 2021 to 2022, the total assets drop to 350K Euro</w:t>
      </w:r>
      <w:r w:rsidR="0016246E">
        <w:rPr>
          <w:rFonts w:ascii="Arial" w:hAnsi="Arial" w:cs="Arial"/>
          <w:sz w:val="24"/>
          <w:szCs w:val="24"/>
        </w:rPr>
        <w:t xml:space="preserve"> (</w:t>
      </w:r>
      <w:r w:rsidR="0016246E">
        <w:rPr>
          <w:rFonts w:ascii="Arial" w:hAnsi="Arial" w:cs="Arial"/>
          <w:color w:val="222222"/>
          <w:sz w:val="24"/>
          <w:szCs w:val="24"/>
          <w:shd w:val="clear" w:color="auto" w:fill="FFFFFF"/>
        </w:rPr>
        <w:t>Nadhim et al, 2016</w:t>
      </w:r>
      <w:r w:rsidR="0016246E">
        <w:rPr>
          <w:rFonts w:ascii="Arial" w:hAnsi="Arial" w:cs="Arial"/>
          <w:sz w:val="24"/>
          <w:szCs w:val="24"/>
        </w:rPr>
        <w:t>)</w:t>
      </w:r>
      <w:r>
        <w:rPr>
          <w:rFonts w:ascii="Arial" w:hAnsi="Arial" w:cs="Arial"/>
          <w:sz w:val="24"/>
          <w:szCs w:val="24"/>
        </w:rPr>
        <w:t xml:space="preserve">. For the same reason, the total assets drop to 420K in later year in 2023, the accounts receivable was decreasing as well as the cash flow. </w:t>
      </w:r>
    </w:p>
    <w:p w14:paraId="21F99B75" w14:textId="0F6A8ADA" w:rsidR="00AC64C5" w:rsidRPr="00FA1B88" w:rsidRDefault="00AC64C5" w:rsidP="00FA1B88">
      <w:pPr>
        <w:spacing w:line="360" w:lineRule="auto"/>
        <w:jc w:val="both"/>
        <w:rPr>
          <w:rFonts w:ascii="Arial" w:hAnsi="Arial" w:cs="Arial"/>
          <w:sz w:val="24"/>
          <w:szCs w:val="24"/>
        </w:rPr>
      </w:pPr>
      <w:r>
        <w:rPr>
          <w:rFonts w:ascii="Arial" w:hAnsi="Arial" w:cs="Arial"/>
          <w:sz w:val="24"/>
          <w:szCs w:val="24"/>
        </w:rPr>
        <w:t>The accounts payable was slowly increasing. The total liabilities were increasing, but with industry average compare to the total liabilities that will be impacting the equity. The total liability was increasing with the total equity decreasing was creating havoc in overall business situation</w:t>
      </w:r>
      <w:r w:rsidR="00B630B9">
        <w:rPr>
          <w:rFonts w:ascii="Arial" w:hAnsi="Arial" w:cs="Arial"/>
          <w:sz w:val="24"/>
          <w:szCs w:val="24"/>
        </w:rPr>
        <w:t xml:space="preserve"> (</w:t>
      </w:r>
      <w:r w:rsidR="00B630B9">
        <w:rPr>
          <w:rFonts w:ascii="Arial" w:hAnsi="Arial" w:cs="Arial"/>
          <w:color w:val="222222"/>
          <w:sz w:val="24"/>
          <w:szCs w:val="24"/>
          <w:shd w:val="clear" w:color="auto" w:fill="FFFFFF"/>
        </w:rPr>
        <w:t>Lohri et al, 2014</w:t>
      </w:r>
      <w:r w:rsidR="00B630B9">
        <w:rPr>
          <w:rFonts w:ascii="Arial" w:hAnsi="Arial" w:cs="Arial"/>
          <w:sz w:val="24"/>
          <w:szCs w:val="24"/>
        </w:rPr>
        <w:t>)</w:t>
      </w:r>
      <w:r>
        <w:rPr>
          <w:rFonts w:ascii="Arial" w:hAnsi="Arial" w:cs="Arial"/>
          <w:sz w:val="24"/>
          <w:szCs w:val="24"/>
        </w:rPr>
        <w:t>. The economic downturn can be identified as the problems that are impacting it to the max.</w:t>
      </w:r>
    </w:p>
    <w:p w14:paraId="00D47CFE" w14:textId="4F2A7072" w:rsidR="00C47EF0" w:rsidRPr="00FA1B88" w:rsidRDefault="00C47EF0" w:rsidP="00FA1B88">
      <w:pPr>
        <w:pStyle w:val="Heading2"/>
        <w:rPr>
          <w:rFonts w:ascii="Arial" w:hAnsi="Arial" w:cs="Arial"/>
        </w:rPr>
      </w:pPr>
      <w:bookmarkStart w:id="7" w:name="_Toc167863791"/>
      <w:r w:rsidRPr="00FA1B88">
        <w:rPr>
          <w:rFonts w:ascii="Arial" w:hAnsi="Arial" w:cs="Arial"/>
        </w:rPr>
        <w:t>Current Ratio Analysis</w:t>
      </w:r>
      <w:bookmarkEnd w:id="7"/>
    </w:p>
    <w:p w14:paraId="38809856" w14:textId="44D69A38" w:rsidR="00DF7417" w:rsidRDefault="00DF7417" w:rsidP="00FA1B88">
      <w:pPr>
        <w:spacing w:line="360" w:lineRule="auto"/>
        <w:jc w:val="both"/>
        <w:rPr>
          <w:rFonts w:ascii="Arial" w:hAnsi="Arial" w:cs="Arial"/>
          <w:sz w:val="24"/>
          <w:szCs w:val="24"/>
        </w:rPr>
      </w:pPr>
      <w:r>
        <w:rPr>
          <w:rFonts w:ascii="Arial" w:hAnsi="Arial" w:cs="Arial"/>
          <w:sz w:val="24"/>
          <w:szCs w:val="24"/>
        </w:rPr>
        <w:t xml:space="preserve">The current ration was also done. As in 2021, the current ratio was around 1.8 and in 2022 it was dropped to 0.93. In 2023, we have </w:t>
      </w:r>
      <w:r w:rsidR="00900C16">
        <w:rPr>
          <w:rFonts w:ascii="Arial" w:hAnsi="Arial" w:cs="Arial"/>
          <w:sz w:val="24"/>
          <w:szCs w:val="24"/>
        </w:rPr>
        <w:t>seen this kind of pattern for global phenomenon multiple times</w:t>
      </w:r>
      <w:r w:rsidR="00955F3E">
        <w:rPr>
          <w:rFonts w:ascii="Arial" w:hAnsi="Arial" w:cs="Arial"/>
          <w:sz w:val="24"/>
          <w:szCs w:val="24"/>
        </w:rPr>
        <w:t xml:space="preserve"> (</w:t>
      </w:r>
      <w:r w:rsidR="00955F3E">
        <w:rPr>
          <w:rFonts w:ascii="Arial" w:hAnsi="Arial" w:cs="Arial"/>
          <w:color w:val="222222"/>
          <w:sz w:val="24"/>
          <w:szCs w:val="24"/>
          <w:shd w:val="clear" w:color="auto" w:fill="FFFFFF"/>
        </w:rPr>
        <w:t>Iriani et al, 2023</w:t>
      </w:r>
      <w:r w:rsidR="00955F3E">
        <w:rPr>
          <w:rFonts w:ascii="Arial" w:hAnsi="Arial" w:cs="Arial"/>
          <w:sz w:val="24"/>
          <w:szCs w:val="24"/>
        </w:rPr>
        <w:t>)</w:t>
      </w:r>
      <w:r w:rsidR="00900C16">
        <w:rPr>
          <w:rFonts w:ascii="Arial" w:hAnsi="Arial" w:cs="Arial"/>
          <w:sz w:val="24"/>
          <w:szCs w:val="24"/>
        </w:rPr>
        <w:t xml:space="preserve">. This is not </w:t>
      </w:r>
      <w:r w:rsidR="00E87EC5">
        <w:rPr>
          <w:rFonts w:ascii="Arial" w:hAnsi="Arial" w:cs="Arial"/>
          <w:sz w:val="24"/>
          <w:szCs w:val="24"/>
        </w:rPr>
        <w:t>serious issue. But dropping to 0.6 in 2023 is quite problematic. The reason can be connected to poor fund management as well as long term plan for sustainability in the business.</w:t>
      </w:r>
    </w:p>
    <w:p w14:paraId="62E8587B" w14:textId="33742844" w:rsidR="00E87EC5" w:rsidRDefault="00E87EC5" w:rsidP="00FA1B88">
      <w:pPr>
        <w:spacing w:line="360" w:lineRule="auto"/>
        <w:jc w:val="both"/>
        <w:rPr>
          <w:rFonts w:ascii="Arial" w:hAnsi="Arial" w:cs="Arial"/>
          <w:sz w:val="24"/>
          <w:szCs w:val="24"/>
        </w:rPr>
      </w:pPr>
      <w:r>
        <w:rPr>
          <w:rFonts w:ascii="Arial" w:hAnsi="Arial" w:cs="Arial"/>
          <w:sz w:val="24"/>
          <w:szCs w:val="24"/>
        </w:rPr>
        <w:lastRenderedPageBreak/>
        <w:t>As financial analysis, one should know that the current ration under 1 is quite not good for the company</w:t>
      </w:r>
      <w:r w:rsidR="00DD2781">
        <w:rPr>
          <w:rFonts w:ascii="Arial" w:hAnsi="Arial" w:cs="Arial"/>
          <w:sz w:val="24"/>
          <w:szCs w:val="24"/>
        </w:rPr>
        <w:t xml:space="preserve"> (</w:t>
      </w:r>
      <w:r w:rsidR="00DD2781">
        <w:rPr>
          <w:rFonts w:ascii="Arial" w:hAnsi="Arial" w:cs="Arial"/>
          <w:color w:val="222222"/>
          <w:sz w:val="24"/>
          <w:szCs w:val="24"/>
          <w:shd w:val="clear" w:color="auto" w:fill="FFFFFF"/>
        </w:rPr>
        <w:t>Guironnet et al,</w:t>
      </w:r>
      <w:r w:rsidR="00580DEB">
        <w:rPr>
          <w:rFonts w:ascii="Arial" w:hAnsi="Arial" w:cs="Arial"/>
          <w:color w:val="222222"/>
          <w:sz w:val="24"/>
          <w:szCs w:val="24"/>
          <w:shd w:val="clear" w:color="auto" w:fill="FFFFFF"/>
        </w:rPr>
        <w:t xml:space="preserve"> </w:t>
      </w:r>
      <w:r w:rsidR="00DD2781">
        <w:rPr>
          <w:rFonts w:ascii="Arial" w:hAnsi="Arial" w:cs="Arial"/>
          <w:color w:val="222222"/>
          <w:sz w:val="24"/>
          <w:szCs w:val="24"/>
          <w:shd w:val="clear" w:color="auto" w:fill="FFFFFF"/>
        </w:rPr>
        <w:t>2016</w:t>
      </w:r>
      <w:r w:rsidR="00DD2781">
        <w:rPr>
          <w:rFonts w:ascii="Arial" w:hAnsi="Arial" w:cs="Arial"/>
          <w:sz w:val="24"/>
          <w:szCs w:val="24"/>
        </w:rPr>
        <w:t>)</w:t>
      </w:r>
      <w:r>
        <w:rPr>
          <w:rFonts w:ascii="Arial" w:hAnsi="Arial" w:cs="Arial"/>
          <w:sz w:val="24"/>
          <w:szCs w:val="24"/>
        </w:rPr>
        <w:t xml:space="preserve">. This also suggest that the overall prospect of the business should be good for sustaining a better current ratio all over the situation. </w:t>
      </w:r>
    </w:p>
    <w:p w14:paraId="5DD02231" w14:textId="2C7236D8" w:rsidR="00E87EC5" w:rsidRDefault="00E87EC5" w:rsidP="00FA1B88">
      <w:pPr>
        <w:spacing w:line="360" w:lineRule="auto"/>
        <w:jc w:val="both"/>
        <w:rPr>
          <w:rFonts w:ascii="Arial" w:hAnsi="Arial" w:cs="Arial"/>
          <w:sz w:val="24"/>
          <w:szCs w:val="24"/>
        </w:rPr>
      </w:pPr>
      <w:r>
        <w:rPr>
          <w:rFonts w:ascii="Arial" w:hAnsi="Arial" w:cs="Arial"/>
          <w:sz w:val="24"/>
          <w:szCs w:val="24"/>
        </w:rPr>
        <w:t xml:space="preserve">With this type of current ration, the short-term cash flow will be reduced. This will be tougher for the company to meet the short-term obligations. This is also problematic in future for different case scenario which will create many problems for the company is the goodwill of the company is disrupted. </w:t>
      </w:r>
    </w:p>
    <w:p w14:paraId="24B27A6C" w14:textId="77777777" w:rsidR="00661974" w:rsidRPr="00FA1B88" w:rsidRDefault="008C3FF4" w:rsidP="00FA1B88">
      <w:pPr>
        <w:pStyle w:val="Heading2"/>
        <w:rPr>
          <w:rFonts w:ascii="Arial" w:hAnsi="Arial" w:cs="Arial"/>
        </w:rPr>
      </w:pPr>
      <w:bookmarkStart w:id="8" w:name="_Toc167863792"/>
      <w:r w:rsidRPr="00FA1B88">
        <w:rPr>
          <w:rFonts w:ascii="Arial" w:hAnsi="Arial" w:cs="Arial"/>
        </w:rPr>
        <w:t>Debt-to-Equity Ratio</w:t>
      </w:r>
      <w:r w:rsidR="00661974" w:rsidRPr="00FA1B88">
        <w:rPr>
          <w:rFonts w:ascii="Arial" w:hAnsi="Arial" w:cs="Arial"/>
        </w:rPr>
        <w:t xml:space="preserve"> Analysis</w:t>
      </w:r>
      <w:bookmarkEnd w:id="8"/>
    </w:p>
    <w:p w14:paraId="4DB18844" w14:textId="33351BC2" w:rsidR="00E85B2F" w:rsidRDefault="00E85B2F" w:rsidP="00FA1B88">
      <w:pPr>
        <w:spacing w:line="360" w:lineRule="auto"/>
        <w:jc w:val="both"/>
        <w:rPr>
          <w:rFonts w:ascii="Arial" w:hAnsi="Arial" w:cs="Arial"/>
          <w:sz w:val="24"/>
          <w:szCs w:val="24"/>
        </w:rPr>
      </w:pPr>
      <w:r>
        <w:rPr>
          <w:rFonts w:ascii="Arial" w:hAnsi="Arial" w:cs="Arial"/>
          <w:sz w:val="24"/>
          <w:szCs w:val="24"/>
        </w:rPr>
        <w:t xml:space="preserve">The debt to equity ration is another one that checks the overall spectrum </w:t>
      </w:r>
      <w:r w:rsidR="00784D11">
        <w:rPr>
          <w:rFonts w:ascii="Arial" w:hAnsi="Arial" w:cs="Arial"/>
          <w:sz w:val="24"/>
          <w:szCs w:val="24"/>
        </w:rPr>
        <w:t xml:space="preserve">will be changed. The ration has debt to equity ratio in 2021 1:1.36. But, as we are looking forward we are seeing more and more debt increased. The business gradual increase will be 2.17 in debt over 2023 which was 1.64 in 2022. This shows the company is </w:t>
      </w:r>
      <w:r w:rsidR="00A326BD">
        <w:rPr>
          <w:rFonts w:ascii="Arial" w:hAnsi="Arial" w:cs="Arial"/>
          <w:sz w:val="24"/>
          <w:szCs w:val="24"/>
        </w:rPr>
        <w:t xml:space="preserve">getting more and more loan from the market. When a company does not have adequate cash flow, normally this kind of thing happens. For this reason, the debt to equity ratio increased over the time here. If it is not possible for them to repay the debt, the interest rate will crunch the future asset of the company. </w:t>
      </w:r>
    </w:p>
    <w:p w14:paraId="07001274" w14:textId="6ED9A68B" w:rsidR="008C3FF4" w:rsidRPr="00FA1B88" w:rsidRDefault="003E1EF6" w:rsidP="00FA1B88">
      <w:pPr>
        <w:pStyle w:val="Heading2"/>
        <w:rPr>
          <w:rFonts w:ascii="Arial" w:hAnsi="Arial" w:cs="Arial"/>
        </w:rPr>
      </w:pPr>
      <w:bookmarkStart w:id="9" w:name="_Toc167863793"/>
      <w:r w:rsidRPr="00FA1B88">
        <w:rPr>
          <w:rFonts w:ascii="Arial" w:hAnsi="Arial" w:cs="Arial"/>
        </w:rPr>
        <w:t>Asset Turnover Ratio Analysis</w:t>
      </w:r>
      <w:bookmarkEnd w:id="9"/>
    </w:p>
    <w:p w14:paraId="288A19B5" w14:textId="51985EB3" w:rsidR="00280637" w:rsidRDefault="00280637" w:rsidP="00FA1B88">
      <w:pPr>
        <w:spacing w:line="360" w:lineRule="auto"/>
        <w:jc w:val="both"/>
        <w:rPr>
          <w:rFonts w:ascii="Arial" w:hAnsi="Arial" w:cs="Arial"/>
          <w:sz w:val="24"/>
          <w:szCs w:val="24"/>
        </w:rPr>
      </w:pPr>
      <w:r>
        <w:rPr>
          <w:rFonts w:ascii="Arial" w:hAnsi="Arial" w:cs="Arial"/>
          <w:sz w:val="24"/>
          <w:szCs w:val="24"/>
        </w:rPr>
        <w:t xml:space="preserve">The proper examination of asset turnover in the report shows that the overall total assets dropped significantly over the years. This includes several problems such as </w:t>
      </w:r>
      <w:r w:rsidR="005C2005">
        <w:rPr>
          <w:rFonts w:ascii="Arial" w:hAnsi="Arial" w:cs="Arial"/>
          <w:sz w:val="24"/>
          <w:szCs w:val="24"/>
        </w:rPr>
        <w:t>short-term</w:t>
      </w:r>
      <w:r>
        <w:rPr>
          <w:rFonts w:ascii="Arial" w:hAnsi="Arial" w:cs="Arial"/>
          <w:sz w:val="24"/>
          <w:szCs w:val="24"/>
        </w:rPr>
        <w:t xml:space="preserve"> cash flow problem, the </w:t>
      </w:r>
      <w:r w:rsidR="00B6296A">
        <w:rPr>
          <w:rFonts w:ascii="Arial" w:hAnsi="Arial" w:cs="Arial"/>
          <w:sz w:val="24"/>
          <w:szCs w:val="24"/>
        </w:rPr>
        <w:t xml:space="preserve">financial crisis, and overall loss in profitability. This is quite a problem for the Urban Heights. But for this reason, it is essential to know the proper ways on how to do the work that will make better use of asset turnover ratio. The other ratios that are mentioned will help it to get the best use of the financial guideline over the time. </w:t>
      </w:r>
    </w:p>
    <w:p w14:paraId="66377ACE" w14:textId="03B97241" w:rsidR="00875CA8" w:rsidRPr="00FA1B88" w:rsidRDefault="00B54110" w:rsidP="00FA1B88">
      <w:pPr>
        <w:pStyle w:val="Heading1"/>
        <w:spacing w:line="360" w:lineRule="auto"/>
        <w:rPr>
          <w:rFonts w:ascii="Arial" w:hAnsi="Arial"/>
        </w:rPr>
      </w:pPr>
      <w:bookmarkStart w:id="10" w:name="_Toc167863794"/>
      <w:r>
        <w:rPr>
          <w:rFonts w:ascii="Arial" w:hAnsi="Arial"/>
        </w:rPr>
        <w:t xml:space="preserve">Comparative Analysis on </w:t>
      </w:r>
      <w:r w:rsidR="00326549" w:rsidRPr="00FA1B88">
        <w:rPr>
          <w:rFonts w:ascii="Arial" w:hAnsi="Arial"/>
        </w:rPr>
        <w:t>Key Reasons behind the Situation of the Urban Heights</w:t>
      </w:r>
      <w:bookmarkEnd w:id="10"/>
      <w:r w:rsidR="00326549" w:rsidRPr="00FA1B88">
        <w:rPr>
          <w:rFonts w:ascii="Arial" w:hAnsi="Arial"/>
        </w:rPr>
        <w:t xml:space="preserve"> </w:t>
      </w:r>
    </w:p>
    <w:p w14:paraId="3A846982" w14:textId="53D9A499" w:rsidR="009C176B" w:rsidRDefault="00AA3A2D" w:rsidP="00B54110">
      <w:pPr>
        <w:spacing w:line="360" w:lineRule="auto"/>
        <w:jc w:val="both"/>
        <w:rPr>
          <w:rFonts w:ascii="Arial" w:hAnsi="Arial" w:cs="Arial"/>
          <w:sz w:val="24"/>
          <w:szCs w:val="24"/>
        </w:rPr>
      </w:pPr>
      <w:r>
        <w:rPr>
          <w:rFonts w:ascii="Arial" w:hAnsi="Arial" w:cs="Arial"/>
          <w:sz w:val="24"/>
          <w:szCs w:val="24"/>
        </w:rPr>
        <w:t>Compared to the other hotel chain like Hotel Shangri La and others, the situation is quite worse. There are some reasons behind that</w:t>
      </w:r>
      <w:r w:rsidR="00580DEB">
        <w:rPr>
          <w:rFonts w:ascii="Arial" w:hAnsi="Arial" w:cs="Arial"/>
          <w:sz w:val="24"/>
          <w:szCs w:val="24"/>
        </w:rPr>
        <w:t xml:space="preserve"> (</w:t>
      </w:r>
      <w:r w:rsidR="00580DEB">
        <w:rPr>
          <w:rFonts w:ascii="Arial" w:hAnsi="Arial" w:cs="Arial"/>
          <w:color w:val="222222"/>
          <w:sz w:val="24"/>
          <w:szCs w:val="24"/>
          <w:shd w:val="clear" w:color="auto" w:fill="FFFFFF"/>
        </w:rPr>
        <w:t>Francis et al, 2017</w:t>
      </w:r>
      <w:r w:rsidR="00580DEB">
        <w:rPr>
          <w:rFonts w:ascii="Arial" w:hAnsi="Arial" w:cs="Arial"/>
          <w:sz w:val="24"/>
          <w:szCs w:val="24"/>
        </w:rPr>
        <w:t>)</w:t>
      </w:r>
      <w:r>
        <w:rPr>
          <w:rFonts w:ascii="Arial" w:hAnsi="Arial" w:cs="Arial"/>
          <w:sz w:val="24"/>
          <w:szCs w:val="24"/>
        </w:rPr>
        <w:t xml:space="preserve">. First of all, proper pre-caution to handle any kind of scenario is a mandatory step for any kind of business. But, Urban Heights failed to grasp that. This is quite problem. For this </w:t>
      </w:r>
      <w:r>
        <w:rPr>
          <w:rFonts w:ascii="Arial" w:hAnsi="Arial" w:cs="Arial"/>
          <w:sz w:val="24"/>
          <w:szCs w:val="24"/>
        </w:rPr>
        <w:lastRenderedPageBreak/>
        <w:t>reason, when economic downturn came they could not execute a plan that will aid them in this dire scenario. For this reason, asset to liability and other ratios went into such situation</w:t>
      </w:r>
      <w:r w:rsidR="00124A9E">
        <w:rPr>
          <w:rFonts w:ascii="Arial" w:hAnsi="Arial" w:cs="Arial"/>
          <w:sz w:val="24"/>
          <w:szCs w:val="24"/>
        </w:rPr>
        <w:t xml:space="preserve"> (</w:t>
      </w:r>
      <w:r w:rsidR="00124A9E">
        <w:rPr>
          <w:rFonts w:ascii="Arial" w:hAnsi="Arial" w:cs="Arial"/>
          <w:color w:val="222222"/>
          <w:sz w:val="24"/>
          <w:szCs w:val="24"/>
          <w:shd w:val="clear" w:color="auto" w:fill="FFFFFF"/>
        </w:rPr>
        <w:t>Fernández and Lutz, 2010</w:t>
      </w:r>
      <w:r w:rsidR="00124A9E">
        <w:rPr>
          <w:rFonts w:ascii="Arial" w:hAnsi="Arial" w:cs="Arial"/>
          <w:sz w:val="24"/>
          <w:szCs w:val="24"/>
        </w:rPr>
        <w:t>)</w:t>
      </w:r>
      <w:r>
        <w:rPr>
          <w:rFonts w:ascii="Arial" w:hAnsi="Arial" w:cs="Arial"/>
          <w:sz w:val="24"/>
          <w:szCs w:val="24"/>
        </w:rPr>
        <w:t>.</w:t>
      </w:r>
    </w:p>
    <w:p w14:paraId="47090C8B" w14:textId="23949C24" w:rsidR="00AA3A2D" w:rsidRPr="00FA1B88" w:rsidRDefault="00AA3A2D" w:rsidP="00B54110">
      <w:pPr>
        <w:spacing w:line="360" w:lineRule="auto"/>
        <w:jc w:val="both"/>
        <w:rPr>
          <w:rFonts w:ascii="Arial" w:hAnsi="Arial" w:cs="Arial"/>
          <w:sz w:val="24"/>
          <w:szCs w:val="24"/>
        </w:rPr>
      </w:pPr>
      <w:r>
        <w:rPr>
          <w:rFonts w:ascii="Arial" w:hAnsi="Arial" w:cs="Arial"/>
          <w:sz w:val="24"/>
          <w:szCs w:val="24"/>
        </w:rPr>
        <w:t>The overall prospect of business is to check how others like Hotel Marriot are doing. As they are global giant, there are several things that they can do. Firs of all they are hedging the risks all over the world business</w:t>
      </w:r>
      <w:r w:rsidR="00202AE2">
        <w:rPr>
          <w:rFonts w:ascii="Arial" w:hAnsi="Arial" w:cs="Arial"/>
          <w:sz w:val="24"/>
          <w:szCs w:val="24"/>
        </w:rPr>
        <w:t xml:space="preserve"> (</w:t>
      </w:r>
      <w:r w:rsidR="00202AE2">
        <w:rPr>
          <w:rFonts w:ascii="Arial" w:hAnsi="Arial" w:cs="Arial"/>
          <w:color w:val="222222"/>
          <w:sz w:val="24"/>
          <w:szCs w:val="24"/>
          <w:shd w:val="clear" w:color="auto" w:fill="FFFFFF"/>
        </w:rPr>
        <w:t>Waite, 2013</w:t>
      </w:r>
      <w:r w:rsidR="00202AE2">
        <w:rPr>
          <w:rFonts w:ascii="Arial" w:hAnsi="Arial" w:cs="Arial"/>
          <w:sz w:val="24"/>
          <w:szCs w:val="24"/>
        </w:rPr>
        <w:t>)</w:t>
      </w:r>
      <w:r>
        <w:rPr>
          <w:rFonts w:ascii="Arial" w:hAnsi="Arial" w:cs="Arial"/>
          <w:sz w:val="24"/>
          <w:szCs w:val="24"/>
        </w:rPr>
        <w:t xml:space="preserve">. So, when economic recession came, they handle it or tackled it with proper steps. The Urban Heights should be more agile to become </w:t>
      </w:r>
      <w:r w:rsidR="001C38A7">
        <w:rPr>
          <w:rFonts w:ascii="Arial" w:hAnsi="Arial" w:cs="Arial"/>
          <w:sz w:val="24"/>
          <w:szCs w:val="24"/>
        </w:rPr>
        <w:t xml:space="preserve">tackle such scenarios that are coming from business like </w:t>
      </w:r>
      <w:r w:rsidR="005336EB">
        <w:rPr>
          <w:rFonts w:ascii="Arial" w:hAnsi="Arial" w:cs="Arial"/>
          <w:sz w:val="24"/>
          <w:szCs w:val="24"/>
        </w:rPr>
        <w:t xml:space="preserve">other competitor. </w:t>
      </w:r>
    </w:p>
    <w:p w14:paraId="4E674CEF" w14:textId="17DAFDAA" w:rsidR="004342FD" w:rsidRPr="00FA1B88" w:rsidRDefault="00C64ED6" w:rsidP="00FA1B88">
      <w:pPr>
        <w:pStyle w:val="Heading1"/>
        <w:spacing w:line="360" w:lineRule="auto"/>
        <w:rPr>
          <w:rFonts w:ascii="Arial" w:hAnsi="Arial"/>
        </w:rPr>
      </w:pPr>
      <w:bookmarkStart w:id="11" w:name="_Toc167863795"/>
      <w:r w:rsidRPr="00FA1B88">
        <w:rPr>
          <w:rFonts w:ascii="Arial" w:hAnsi="Arial"/>
        </w:rPr>
        <w:t>Urban Heights Turnaround Plan</w:t>
      </w:r>
      <w:bookmarkEnd w:id="11"/>
      <w:r w:rsidRPr="00FA1B88">
        <w:rPr>
          <w:rFonts w:ascii="Arial" w:hAnsi="Arial"/>
        </w:rPr>
        <w:t xml:space="preserve"> </w:t>
      </w:r>
    </w:p>
    <w:p w14:paraId="530407DF" w14:textId="1B8593C5" w:rsidR="00C64ED6" w:rsidRDefault="00B5411A" w:rsidP="00AA3A2D">
      <w:pPr>
        <w:spacing w:line="360" w:lineRule="auto"/>
        <w:jc w:val="both"/>
        <w:rPr>
          <w:rFonts w:ascii="Arial" w:hAnsi="Arial" w:cs="Arial"/>
          <w:sz w:val="24"/>
          <w:szCs w:val="24"/>
        </w:rPr>
      </w:pPr>
      <w:r>
        <w:rPr>
          <w:rFonts w:ascii="Arial" w:hAnsi="Arial" w:cs="Arial"/>
          <w:sz w:val="24"/>
          <w:szCs w:val="24"/>
        </w:rPr>
        <w:t>The turnaround plan for Urban Heights can be used in multiple scenario. The first and foremost duty for the financial proposition is to make a resilient business model.</w:t>
      </w:r>
    </w:p>
    <w:p w14:paraId="3A840955" w14:textId="1CA4E78E" w:rsidR="00B5411A" w:rsidRDefault="00B5411A" w:rsidP="00B5411A">
      <w:pPr>
        <w:pStyle w:val="ListParagraph"/>
        <w:numPr>
          <w:ilvl w:val="0"/>
          <w:numId w:val="12"/>
        </w:numPr>
        <w:spacing w:line="360" w:lineRule="auto"/>
        <w:jc w:val="both"/>
        <w:rPr>
          <w:rFonts w:ascii="Arial" w:hAnsi="Arial" w:cs="Arial"/>
          <w:sz w:val="24"/>
          <w:szCs w:val="24"/>
        </w:rPr>
      </w:pPr>
      <w:r w:rsidRPr="00620BAD">
        <w:rPr>
          <w:rFonts w:ascii="Arial" w:hAnsi="Arial" w:cs="Arial"/>
          <w:b/>
          <w:sz w:val="24"/>
          <w:szCs w:val="24"/>
        </w:rPr>
        <w:t>Resilient Business Model</w:t>
      </w:r>
      <w:r>
        <w:rPr>
          <w:rFonts w:ascii="Arial" w:hAnsi="Arial" w:cs="Arial"/>
          <w:sz w:val="24"/>
          <w:szCs w:val="24"/>
        </w:rPr>
        <w:t>: With proper resilient business model it is possible to make the best use of the current resources of the business for the company in multiple ways</w:t>
      </w:r>
      <w:r w:rsidR="008E280B">
        <w:rPr>
          <w:rFonts w:ascii="Arial" w:hAnsi="Arial" w:cs="Arial"/>
          <w:sz w:val="24"/>
          <w:szCs w:val="24"/>
        </w:rPr>
        <w:t xml:space="preserve"> (</w:t>
      </w:r>
      <w:r w:rsidR="008E280B">
        <w:rPr>
          <w:rFonts w:ascii="Arial" w:hAnsi="Arial" w:cs="Arial"/>
          <w:color w:val="222222"/>
          <w:sz w:val="24"/>
          <w:szCs w:val="24"/>
          <w:shd w:val="clear" w:color="auto" w:fill="FFFFFF"/>
        </w:rPr>
        <w:t>Brueckner, 2011</w:t>
      </w:r>
      <w:r w:rsidR="008E280B">
        <w:rPr>
          <w:rFonts w:ascii="Arial" w:hAnsi="Arial" w:cs="Arial"/>
          <w:sz w:val="24"/>
          <w:szCs w:val="24"/>
        </w:rPr>
        <w:t>)</w:t>
      </w:r>
      <w:r>
        <w:rPr>
          <w:rFonts w:ascii="Arial" w:hAnsi="Arial" w:cs="Arial"/>
          <w:sz w:val="24"/>
          <w:szCs w:val="24"/>
        </w:rPr>
        <w:t>.</w:t>
      </w:r>
    </w:p>
    <w:p w14:paraId="107C77DB" w14:textId="0101EF42" w:rsidR="00B5411A" w:rsidRDefault="00B5411A" w:rsidP="00B5411A">
      <w:pPr>
        <w:pStyle w:val="ListParagraph"/>
        <w:numPr>
          <w:ilvl w:val="0"/>
          <w:numId w:val="12"/>
        </w:numPr>
        <w:spacing w:line="360" w:lineRule="auto"/>
        <w:jc w:val="both"/>
        <w:rPr>
          <w:rFonts w:ascii="Arial" w:hAnsi="Arial" w:cs="Arial"/>
          <w:sz w:val="24"/>
          <w:szCs w:val="24"/>
        </w:rPr>
      </w:pPr>
      <w:r w:rsidRPr="00620BAD">
        <w:rPr>
          <w:rFonts w:ascii="Arial" w:hAnsi="Arial" w:cs="Arial"/>
          <w:b/>
          <w:sz w:val="24"/>
          <w:szCs w:val="24"/>
        </w:rPr>
        <w:t>Better Service Delivery</w:t>
      </w:r>
      <w:r>
        <w:rPr>
          <w:rFonts w:ascii="Arial" w:hAnsi="Arial" w:cs="Arial"/>
          <w:sz w:val="24"/>
          <w:szCs w:val="24"/>
        </w:rPr>
        <w:t>: The service that is delivered can be used for better process which will ensure more revenue income.</w:t>
      </w:r>
    </w:p>
    <w:p w14:paraId="26370B63" w14:textId="457A54DA" w:rsidR="00B5411A" w:rsidRDefault="00B5411A" w:rsidP="00B5411A">
      <w:pPr>
        <w:pStyle w:val="ListParagraph"/>
        <w:numPr>
          <w:ilvl w:val="0"/>
          <w:numId w:val="12"/>
        </w:numPr>
        <w:spacing w:line="360" w:lineRule="auto"/>
        <w:jc w:val="both"/>
        <w:rPr>
          <w:rFonts w:ascii="Arial" w:hAnsi="Arial" w:cs="Arial"/>
          <w:sz w:val="24"/>
          <w:szCs w:val="24"/>
        </w:rPr>
      </w:pPr>
      <w:r w:rsidRPr="00620BAD">
        <w:rPr>
          <w:rFonts w:ascii="Arial" w:hAnsi="Arial" w:cs="Arial"/>
          <w:b/>
          <w:sz w:val="24"/>
          <w:szCs w:val="24"/>
        </w:rPr>
        <w:t>Improved Supply Chain</w:t>
      </w:r>
      <w:r>
        <w:rPr>
          <w:rFonts w:ascii="Arial" w:hAnsi="Arial" w:cs="Arial"/>
          <w:sz w:val="24"/>
          <w:szCs w:val="24"/>
        </w:rPr>
        <w:t>: The supply chain can be improved to make it better for the use of proper assets.</w:t>
      </w:r>
    </w:p>
    <w:p w14:paraId="0115FED9" w14:textId="2F8815D1" w:rsidR="00B5411A" w:rsidRPr="00B5411A" w:rsidRDefault="00B5411A" w:rsidP="00B5411A">
      <w:pPr>
        <w:pStyle w:val="ListParagraph"/>
        <w:numPr>
          <w:ilvl w:val="0"/>
          <w:numId w:val="12"/>
        </w:numPr>
        <w:spacing w:line="360" w:lineRule="auto"/>
        <w:jc w:val="both"/>
        <w:rPr>
          <w:rFonts w:ascii="Arial" w:hAnsi="Arial" w:cs="Arial"/>
          <w:sz w:val="24"/>
          <w:szCs w:val="24"/>
        </w:rPr>
      </w:pPr>
      <w:r w:rsidRPr="00620BAD">
        <w:rPr>
          <w:rFonts w:ascii="Arial" w:hAnsi="Arial" w:cs="Arial"/>
          <w:b/>
          <w:sz w:val="24"/>
          <w:szCs w:val="24"/>
        </w:rPr>
        <w:t>Asset Management Tools:</w:t>
      </w:r>
      <w:r>
        <w:rPr>
          <w:rFonts w:ascii="Arial" w:hAnsi="Arial" w:cs="Arial"/>
          <w:sz w:val="24"/>
          <w:szCs w:val="24"/>
        </w:rPr>
        <w:t xml:space="preserve"> The use of modern asset management tools for Urban Heights will help them make a stronger financial position for economic downturn. </w:t>
      </w:r>
    </w:p>
    <w:p w14:paraId="5CAED758" w14:textId="77777777" w:rsidR="00C64ED6" w:rsidRPr="00FA1B88" w:rsidRDefault="00C64ED6" w:rsidP="00FA1B88">
      <w:pPr>
        <w:spacing w:line="360" w:lineRule="auto"/>
        <w:jc w:val="both"/>
        <w:rPr>
          <w:rFonts w:ascii="Arial" w:hAnsi="Arial" w:cs="Arial"/>
          <w:sz w:val="24"/>
          <w:szCs w:val="24"/>
        </w:rPr>
      </w:pPr>
    </w:p>
    <w:p w14:paraId="3A8822EF" w14:textId="77777777" w:rsidR="00C64ED6" w:rsidRPr="00FA1B88" w:rsidRDefault="00C64ED6" w:rsidP="00FA1B88">
      <w:pPr>
        <w:spacing w:line="360" w:lineRule="auto"/>
        <w:jc w:val="both"/>
        <w:rPr>
          <w:rFonts w:ascii="Arial" w:hAnsi="Arial" w:cs="Arial"/>
          <w:sz w:val="24"/>
          <w:szCs w:val="24"/>
        </w:rPr>
      </w:pPr>
    </w:p>
    <w:p w14:paraId="13B10E1B" w14:textId="77777777" w:rsidR="00C64ED6" w:rsidRPr="00FA1B88" w:rsidRDefault="00C64ED6" w:rsidP="00FA1B88">
      <w:pPr>
        <w:spacing w:line="360" w:lineRule="auto"/>
        <w:jc w:val="both"/>
        <w:rPr>
          <w:rFonts w:ascii="Arial" w:hAnsi="Arial" w:cs="Arial"/>
          <w:sz w:val="24"/>
          <w:szCs w:val="24"/>
        </w:rPr>
      </w:pPr>
    </w:p>
    <w:p w14:paraId="0A76EF23" w14:textId="77777777" w:rsidR="00C64ED6" w:rsidRPr="00FA1B88" w:rsidRDefault="00C64ED6" w:rsidP="00FA1B88">
      <w:pPr>
        <w:spacing w:line="360" w:lineRule="auto"/>
        <w:jc w:val="both"/>
        <w:rPr>
          <w:rFonts w:ascii="Arial" w:hAnsi="Arial" w:cs="Arial"/>
          <w:sz w:val="24"/>
          <w:szCs w:val="24"/>
        </w:rPr>
      </w:pPr>
    </w:p>
    <w:p w14:paraId="33866A16" w14:textId="7803E237" w:rsidR="00973C9B" w:rsidRPr="00FA1B88" w:rsidRDefault="00973C9B" w:rsidP="00FA1B88">
      <w:pPr>
        <w:spacing w:line="360" w:lineRule="auto"/>
        <w:jc w:val="both"/>
        <w:rPr>
          <w:rFonts w:ascii="Arial" w:hAnsi="Arial" w:cs="Arial"/>
          <w:sz w:val="24"/>
          <w:szCs w:val="24"/>
        </w:rPr>
      </w:pPr>
    </w:p>
    <w:p w14:paraId="104DC3B9" w14:textId="77777777" w:rsidR="00A636B3" w:rsidRPr="00FA1B88" w:rsidRDefault="00A636B3" w:rsidP="00FA1B88">
      <w:pPr>
        <w:spacing w:line="360" w:lineRule="auto"/>
        <w:jc w:val="both"/>
        <w:rPr>
          <w:rFonts w:ascii="Arial" w:hAnsi="Arial" w:cs="Arial"/>
          <w:sz w:val="24"/>
          <w:szCs w:val="24"/>
        </w:rPr>
      </w:pPr>
    </w:p>
    <w:p w14:paraId="43EB9F20" w14:textId="1CA5C474" w:rsidR="00A636B3" w:rsidRPr="00FA1B88" w:rsidRDefault="00A636B3" w:rsidP="00FA1B88">
      <w:pPr>
        <w:spacing w:line="360" w:lineRule="auto"/>
        <w:rPr>
          <w:rFonts w:ascii="Arial" w:hAnsi="Arial" w:cs="Arial"/>
          <w:sz w:val="24"/>
          <w:szCs w:val="24"/>
        </w:rPr>
      </w:pPr>
    </w:p>
    <w:p w14:paraId="76FE3F32" w14:textId="77777777" w:rsidR="00A636B3" w:rsidRPr="00FA1B88" w:rsidRDefault="00A636B3" w:rsidP="00FA1B88">
      <w:pPr>
        <w:spacing w:line="360" w:lineRule="auto"/>
        <w:rPr>
          <w:rFonts w:ascii="Arial" w:hAnsi="Arial" w:cs="Arial"/>
          <w:sz w:val="24"/>
          <w:szCs w:val="24"/>
        </w:rPr>
      </w:pPr>
      <w:r w:rsidRPr="00FA1B88">
        <w:rPr>
          <w:rFonts w:ascii="Arial" w:hAnsi="Arial" w:cs="Arial"/>
          <w:sz w:val="24"/>
          <w:szCs w:val="24"/>
        </w:rPr>
        <w:lastRenderedPageBreak/>
        <w:br w:type="page"/>
      </w:r>
    </w:p>
    <w:p w14:paraId="4B647DCF" w14:textId="41445F06" w:rsidR="005A7C4C" w:rsidRPr="00FA1B88" w:rsidRDefault="005A7C4C" w:rsidP="00FA1B88">
      <w:pPr>
        <w:pStyle w:val="Heading1"/>
        <w:spacing w:line="360" w:lineRule="auto"/>
        <w:rPr>
          <w:rFonts w:ascii="Arial" w:hAnsi="Arial"/>
        </w:rPr>
      </w:pPr>
      <w:bookmarkStart w:id="12" w:name="_Toc167863796"/>
      <w:r w:rsidRPr="00FA1B88">
        <w:rPr>
          <w:rFonts w:ascii="Arial" w:hAnsi="Arial"/>
        </w:rPr>
        <w:lastRenderedPageBreak/>
        <w:t>Conclusion</w:t>
      </w:r>
      <w:bookmarkEnd w:id="12"/>
    </w:p>
    <w:p w14:paraId="69D5C92B" w14:textId="34994B19" w:rsidR="005A7C4C" w:rsidRPr="00FA1B88" w:rsidRDefault="00417B92" w:rsidP="00FA1B88">
      <w:pPr>
        <w:spacing w:line="360" w:lineRule="auto"/>
        <w:jc w:val="both"/>
        <w:rPr>
          <w:rFonts w:ascii="Arial" w:hAnsi="Arial" w:cs="Arial"/>
          <w:sz w:val="24"/>
          <w:szCs w:val="24"/>
        </w:rPr>
      </w:pPr>
      <w:r w:rsidRPr="00417B92">
        <w:rPr>
          <w:rFonts w:ascii="Arial" w:hAnsi="Arial" w:cs="Arial"/>
          <w:sz w:val="24"/>
          <w:szCs w:val="24"/>
        </w:rPr>
        <w:t>A company's success is dependent on a great number of different factors. The financial performance is taught and examined in current business schools via a great number of factors that will guarantee the profitability and revenue income not only in the short term but also in the long term. When it comes to long-term growth, the key worry is the income and profit, which will assure the sustainability of any sort of firm and the excellent nature of it. For the purpose of this case study, both short-term and long-term projects</w:t>
      </w:r>
      <w:r w:rsidR="00E00F42">
        <w:rPr>
          <w:rFonts w:ascii="Arial" w:hAnsi="Arial" w:cs="Arial"/>
          <w:sz w:val="24"/>
          <w:szCs w:val="24"/>
        </w:rPr>
        <w:t xml:space="preserve"> has</w:t>
      </w:r>
      <w:r w:rsidRPr="00417B92">
        <w:rPr>
          <w:rFonts w:ascii="Arial" w:hAnsi="Arial" w:cs="Arial"/>
          <w:sz w:val="24"/>
          <w:szCs w:val="24"/>
        </w:rPr>
        <w:t xml:space="preserve"> be</w:t>
      </w:r>
      <w:r w:rsidR="00E00F42">
        <w:rPr>
          <w:rFonts w:ascii="Arial" w:hAnsi="Arial" w:cs="Arial"/>
          <w:sz w:val="24"/>
          <w:szCs w:val="24"/>
        </w:rPr>
        <w:t>en</w:t>
      </w:r>
      <w:r w:rsidRPr="00417B92">
        <w:rPr>
          <w:rFonts w:ascii="Arial" w:hAnsi="Arial" w:cs="Arial"/>
          <w:sz w:val="24"/>
          <w:szCs w:val="24"/>
        </w:rPr>
        <w:t xml:space="preserve"> used to guarantee the quality of the product nature, which will be an essential component in the process of conducting a comparative analysis of the Urban Heights Hotel. This is also very important in order to guarantee revenue, profitability, and other essential ratio analysis for the report, which </w:t>
      </w:r>
      <w:r w:rsidR="00E00F42">
        <w:rPr>
          <w:rFonts w:ascii="Arial" w:hAnsi="Arial" w:cs="Arial"/>
          <w:sz w:val="24"/>
          <w:szCs w:val="24"/>
        </w:rPr>
        <w:t xml:space="preserve">has </w:t>
      </w:r>
      <w:r w:rsidRPr="00417B92">
        <w:rPr>
          <w:rFonts w:ascii="Arial" w:hAnsi="Arial" w:cs="Arial"/>
          <w:sz w:val="24"/>
          <w:szCs w:val="24"/>
        </w:rPr>
        <w:t>assist</w:t>
      </w:r>
      <w:r w:rsidR="00E00F42">
        <w:rPr>
          <w:rFonts w:ascii="Arial" w:hAnsi="Arial" w:cs="Arial"/>
          <w:sz w:val="24"/>
          <w:szCs w:val="24"/>
        </w:rPr>
        <w:t>ed</w:t>
      </w:r>
      <w:r w:rsidRPr="00417B92">
        <w:rPr>
          <w:rFonts w:ascii="Arial" w:hAnsi="Arial" w:cs="Arial"/>
          <w:sz w:val="24"/>
          <w:szCs w:val="24"/>
        </w:rPr>
        <w:t xml:space="preserve"> us in determining the kind of hotel that it will be in the future. In light of the fact that there has been a reduction in revenue over the course of the last two years, we </w:t>
      </w:r>
      <w:r w:rsidR="00E00F42">
        <w:rPr>
          <w:rFonts w:ascii="Arial" w:hAnsi="Arial" w:cs="Arial"/>
          <w:sz w:val="24"/>
          <w:szCs w:val="24"/>
        </w:rPr>
        <w:t xml:space="preserve">have </w:t>
      </w:r>
      <w:r w:rsidRPr="00417B92">
        <w:rPr>
          <w:rFonts w:ascii="Arial" w:hAnsi="Arial" w:cs="Arial"/>
          <w:sz w:val="24"/>
          <w:szCs w:val="24"/>
        </w:rPr>
        <w:t xml:space="preserve">thoroughly </w:t>
      </w:r>
      <w:r w:rsidR="00E00F42" w:rsidRPr="00417B92">
        <w:rPr>
          <w:rFonts w:ascii="Arial" w:hAnsi="Arial" w:cs="Arial"/>
          <w:sz w:val="24"/>
          <w:szCs w:val="24"/>
        </w:rPr>
        <w:t>addressed</w:t>
      </w:r>
      <w:r w:rsidRPr="00417B92">
        <w:rPr>
          <w:rFonts w:ascii="Arial" w:hAnsi="Arial" w:cs="Arial"/>
          <w:sz w:val="24"/>
          <w:szCs w:val="24"/>
        </w:rPr>
        <w:t xml:space="preserve"> the future investment prospects as well as the alternatives that we ha</w:t>
      </w:r>
      <w:r w:rsidR="00E00F42">
        <w:rPr>
          <w:rFonts w:ascii="Arial" w:hAnsi="Arial" w:cs="Arial"/>
          <w:sz w:val="24"/>
          <w:szCs w:val="24"/>
        </w:rPr>
        <w:t>d</w:t>
      </w:r>
      <w:r w:rsidRPr="00417B92">
        <w:rPr>
          <w:rFonts w:ascii="Arial" w:hAnsi="Arial" w:cs="Arial"/>
          <w:sz w:val="24"/>
          <w:szCs w:val="24"/>
        </w:rPr>
        <w:t xml:space="preserve"> for the future. The purpose of this research </w:t>
      </w:r>
      <w:r w:rsidR="00E00F42">
        <w:rPr>
          <w:rFonts w:ascii="Arial" w:hAnsi="Arial" w:cs="Arial"/>
          <w:sz w:val="24"/>
          <w:szCs w:val="24"/>
        </w:rPr>
        <w:t>wa</w:t>
      </w:r>
      <w:r w:rsidRPr="00417B92">
        <w:rPr>
          <w:rFonts w:ascii="Arial" w:hAnsi="Arial" w:cs="Arial"/>
          <w:sz w:val="24"/>
          <w:szCs w:val="24"/>
        </w:rPr>
        <w:t xml:space="preserve">s to conduct an in-depth investigation into the ways in which a company may flourish over an extended length of time, as well as to determine which turnaround strategy can be used to rescue Urban Heights from experiencing a precipitous decrease in sales. Additionally, this </w:t>
      </w:r>
      <w:r w:rsidR="00E00F42">
        <w:rPr>
          <w:rFonts w:ascii="Arial" w:hAnsi="Arial" w:cs="Arial"/>
          <w:sz w:val="24"/>
          <w:szCs w:val="24"/>
        </w:rPr>
        <w:t xml:space="preserve">report has </w:t>
      </w:r>
      <w:r w:rsidRPr="00417B92">
        <w:rPr>
          <w:rFonts w:ascii="Arial" w:hAnsi="Arial" w:cs="Arial"/>
          <w:sz w:val="24"/>
          <w:szCs w:val="24"/>
        </w:rPr>
        <w:t>provide</w:t>
      </w:r>
      <w:r w:rsidR="00E00F42">
        <w:rPr>
          <w:rFonts w:ascii="Arial" w:hAnsi="Arial" w:cs="Arial"/>
          <w:sz w:val="24"/>
          <w:szCs w:val="24"/>
        </w:rPr>
        <w:t>d</w:t>
      </w:r>
      <w:r w:rsidRPr="00417B92">
        <w:rPr>
          <w:rFonts w:ascii="Arial" w:hAnsi="Arial" w:cs="Arial"/>
          <w:sz w:val="24"/>
          <w:szCs w:val="24"/>
        </w:rPr>
        <w:t xml:space="preserve"> </w:t>
      </w:r>
      <w:r w:rsidR="00E00F42">
        <w:rPr>
          <w:rFonts w:ascii="Arial" w:hAnsi="Arial" w:cs="Arial"/>
          <w:sz w:val="24"/>
          <w:szCs w:val="24"/>
        </w:rPr>
        <w:t>a comparative analysis</w:t>
      </w:r>
      <w:r w:rsidRPr="00417B92">
        <w:rPr>
          <w:rFonts w:ascii="Arial" w:hAnsi="Arial" w:cs="Arial"/>
          <w:sz w:val="24"/>
          <w:szCs w:val="24"/>
        </w:rPr>
        <w:t>, which</w:t>
      </w:r>
      <w:r w:rsidR="001A394C">
        <w:rPr>
          <w:rFonts w:ascii="Arial" w:hAnsi="Arial" w:cs="Arial"/>
          <w:sz w:val="24"/>
          <w:szCs w:val="24"/>
        </w:rPr>
        <w:t xml:space="preserve"> has</w:t>
      </w:r>
      <w:r w:rsidRPr="00417B92">
        <w:rPr>
          <w:rFonts w:ascii="Arial" w:hAnsi="Arial" w:cs="Arial"/>
          <w:sz w:val="24"/>
          <w:szCs w:val="24"/>
        </w:rPr>
        <w:t xml:space="preserve"> guarantee</w:t>
      </w:r>
      <w:r w:rsidR="001A394C">
        <w:rPr>
          <w:rFonts w:ascii="Arial" w:hAnsi="Arial" w:cs="Arial"/>
          <w:sz w:val="24"/>
          <w:szCs w:val="24"/>
        </w:rPr>
        <w:t>d</w:t>
      </w:r>
      <w:r w:rsidRPr="00417B92">
        <w:rPr>
          <w:rFonts w:ascii="Arial" w:hAnsi="Arial" w:cs="Arial"/>
          <w:sz w:val="24"/>
          <w:szCs w:val="24"/>
        </w:rPr>
        <w:t xml:space="preserve"> the quality of the job for the hotel's future prospects in the financial arena. </w:t>
      </w:r>
      <w:r w:rsidR="00711BA6" w:rsidRPr="00FA1B88">
        <w:rPr>
          <w:rFonts w:ascii="Arial" w:hAnsi="Arial" w:cs="Arial"/>
          <w:sz w:val="24"/>
          <w:szCs w:val="24"/>
        </w:rPr>
        <w:br w:type="page"/>
      </w:r>
    </w:p>
    <w:p w14:paraId="19096024" w14:textId="5D5A3BA4" w:rsidR="00A371AE" w:rsidRPr="00FA1B88" w:rsidRDefault="00A371AE" w:rsidP="00FA1B88">
      <w:pPr>
        <w:pStyle w:val="Heading1"/>
        <w:spacing w:line="360" w:lineRule="auto"/>
        <w:rPr>
          <w:rFonts w:ascii="Arial" w:hAnsi="Arial"/>
        </w:rPr>
      </w:pPr>
      <w:bookmarkStart w:id="13" w:name="_Toc167863797"/>
      <w:r w:rsidRPr="00FA1B88">
        <w:rPr>
          <w:rFonts w:ascii="Arial" w:hAnsi="Arial"/>
        </w:rPr>
        <w:lastRenderedPageBreak/>
        <w:t>References</w:t>
      </w:r>
      <w:bookmarkEnd w:id="13"/>
      <w:r w:rsidRPr="00FA1B88">
        <w:rPr>
          <w:rFonts w:ascii="Arial" w:hAnsi="Arial"/>
        </w:rPr>
        <w:t xml:space="preserve"> </w:t>
      </w:r>
    </w:p>
    <w:p w14:paraId="655EFAA4"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Al-Hourani, A., Kandeepan, S. and Jamalipour, A., 2014, December. Modeling air-to-ground path loss for low altitude platforms in urban environments. In </w:t>
      </w:r>
      <w:r w:rsidRPr="00006733">
        <w:rPr>
          <w:rFonts w:ascii="Arial" w:hAnsi="Arial" w:cs="Arial"/>
          <w:i/>
          <w:iCs/>
          <w:color w:val="222222"/>
          <w:sz w:val="24"/>
          <w:szCs w:val="24"/>
          <w:shd w:val="clear" w:color="auto" w:fill="FFFFFF"/>
        </w:rPr>
        <w:t>2014 IEEE global communications conference</w:t>
      </w:r>
      <w:r w:rsidRPr="00006733">
        <w:rPr>
          <w:rFonts w:ascii="Arial" w:hAnsi="Arial" w:cs="Arial"/>
          <w:color w:val="222222"/>
          <w:sz w:val="24"/>
          <w:szCs w:val="24"/>
          <w:shd w:val="clear" w:color="auto" w:fill="FFFFFF"/>
        </w:rPr>
        <w:t> (pp. 2898-2904). IEEE.</w:t>
      </w:r>
    </w:p>
    <w:p w14:paraId="07C2524E"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Bauranov, A. and Rakas, J., 2021. Designing airspace for urban air mobility: A review of concepts and approaches. </w:t>
      </w:r>
      <w:r w:rsidRPr="00006733">
        <w:rPr>
          <w:rFonts w:ascii="Arial" w:hAnsi="Arial" w:cs="Arial"/>
          <w:i/>
          <w:iCs/>
          <w:color w:val="222222"/>
          <w:sz w:val="24"/>
          <w:szCs w:val="24"/>
          <w:shd w:val="clear" w:color="auto" w:fill="FFFFFF"/>
        </w:rPr>
        <w:t>Progress in Aerospace Sciences</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125</w:t>
      </w:r>
      <w:r w:rsidRPr="00006733">
        <w:rPr>
          <w:rFonts w:ascii="Arial" w:hAnsi="Arial" w:cs="Arial"/>
          <w:color w:val="222222"/>
          <w:sz w:val="24"/>
          <w:szCs w:val="24"/>
          <w:shd w:val="clear" w:color="auto" w:fill="FFFFFF"/>
        </w:rPr>
        <w:t>, p.100726.</w:t>
      </w:r>
    </w:p>
    <w:p w14:paraId="44DC1CF4"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Brueckner, J.K., 2011. </w:t>
      </w:r>
      <w:r w:rsidRPr="00006733">
        <w:rPr>
          <w:rFonts w:ascii="Arial" w:hAnsi="Arial" w:cs="Arial"/>
          <w:i/>
          <w:iCs/>
          <w:color w:val="222222"/>
          <w:sz w:val="24"/>
          <w:szCs w:val="24"/>
          <w:shd w:val="clear" w:color="auto" w:fill="FFFFFF"/>
        </w:rPr>
        <w:t>Lectures on urban economics</w:t>
      </w:r>
      <w:r w:rsidRPr="00006733">
        <w:rPr>
          <w:rFonts w:ascii="Arial" w:hAnsi="Arial" w:cs="Arial"/>
          <w:color w:val="222222"/>
          <w:sz w:val="24"/>
          <w:szCs w:val="24"/>
          <w:shd w:val="clear" w:color="auto" w:fill="FFFFFF"/>
        </w:rPr>
        <w:t>. MIT press.</w:t>
      </w:r>
    </w:p>
    <w:p w14:paraId="4B4F9355"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Cheshire, P.C. and Hay, D.G., 2017. </w:t>
      </w:r>
      <w:r w:rsidRPr="00006733">
        <w:rPr>
          <w:rFonts w:ascii="Arial" w:hAnsi="Arial" w:cs="Arial"/>
          <w:i/>
          <w:iCs/>
          <w:color w:val="222222"/>
          <w:sz w:val="24"/>
          <w:szCs w:val="24"/>
          <w:shd w:val="clear" w:color="auto" w:fill="FFFFFF"/>
        </w:rPr>
        <w:t>Urban Problems in Western Europe: an economic analysis</w:t>
      </w:r>
      <w:r w:rsidRPr="00006733">
        <w:rPr>
          <w:rFonts w:ascii="Arial" w:hAnsi="Arial" w:cs="Arial"/>
          <w:color w:val="222222"/>
          <w:sz w:val="24"/>
          <w:szCs w:val="24"/>
          <w:shd w:val="clear" w:color="auto" w:fill="FFFFFF"/>
        </w:rPr>
        <w:t>. Routledge.</w:t>
      </w:r>
    </w:p>
    <w:p w14:paraId="46D403C9"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Chong, W.T., Naghavi, M.S., Poh, S.C., Mahlia, T.M.I. and Pan, K.C., 2011. Techno-economic analysis of a wind–solar hybrid renewable energy system with rainwater collection feature for urban high-rise application. </w:t>
      </w:r>
      <w:r w:rsidRPr="00006733">
        <w:rPr>
          <w:rFonts w:ascii="Arial" w:hAnsi="Arial" w:cs="Arial"/>
          <w:i/>
          <w:iCs/>
          <w:color w:val="222222"/>
          <w:sz w:val="24"/>
          <w:szCs w:val="24"/>
          <w:shd w:val="clear" w:color="auto" w:fill="FFFFFF"/>
        </w:rPr>
        <w:t>Applied Energy</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88</w:t>
      </w:r>
      <w:r w:rsidRPr="00006733">
        <w:rPr>
          <w:rFonts w:ascii="Arial" w:hAnsi="Arial" w:cs="Arial"/>
          <w:color w:val="222222"/>
          <w:sz w:val="24"/>
          <w:szCs w:val="24"/>
          <w:shd w:val="clear" w:color="auto" w:fill="FFFFFF"/>
        </w:rPr>
        <w:t>(11), pp.4067-4077.</w:t>
      </w:r>
    </w:p>
    <w:p w14:paraId="4EA2230A"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Cohen, A.P., Shaheen, S.A. and Farrar, E.M., 2021. Urban air mobility: History, ecosystem, market potential, and challenges. </w:t>
      </w:r>
      <w:r w:rsidRPr="00006733">
        <w:rPr>
          <w:rFonts w:ascii="Arial" w:hAnsi="Arial" w:cs="Arial"/>
          <w:i/>
          <w:iCs/>
          <w:color w:val="222222"/>
          <w:sz w:val="24"/>
          <w:szCs w:val="24"/>
          <w:shd w:val="clear" w:color="auto" w:fill="FFFFFF"/>
        </w:rPr>
        <w:t>IEEE Transactions on Intelligent Transportation Systems</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22</w:t>
      </w:r>
      <w:r w:rsidRPr="00006733">
        <w:rPr>
          <w:rFonts w:ascii="Arial" w:hAnsi="Arial" w:cs="Arial"/>
          <w:color w:val="222222"/>
          <w:sz w:val="24"/>
          <w:szCs w:val="24"/>
          <w:shd w:val="clear" w:color="auto" w:fill="FFFFFF"/>
        </w:rPr>
        <w:t>(9), pp.6074-6087.</w:t>
      </w:r>
    </w:p>
    <w:p w14:paraId="3D271B7D"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Ennew, C., Waite, N. and Waite, R., 2013. </w:t>
      </w:r>
      <w:r w:rsidRPr="00006733">
        <w:rPr>
          <w:rFonts w:ascii="Arial" w:hAnsi="Arial" w:cs="Arial"/>
          <w:i/>
          <w:iCs/>
          <w:color w:val="222222"/>
          <w:sz w:val="24"/>
          <w:szCs w:val="24"/>
          <w:shd w:val="clear" w:color="auto" w:fill="FFFFFF"/>
        </w:rPr>
        <w:t>Financial services marketing: An international guide to principles and practice</w:t>
      </w:r>
      <w:r w:rsidRPr="00006733">
        <w:rPr>
          <w:rFonts w:ascii="Arial" w:hAnsi="Arial" w:cs="Arial"/>
          <w:color w:val="222222"/>
          <w:sz w:val="24"/>
          <w:szCs w:val="24"/>
          <w:shd w:val="clear" w:color="auto" w:fill="FFFFFF"/>
        </w:rPr>
        <w:t>. Routledge. Ennew, C., Waite, N. and Waite, R., 2013. </w:t>
      </w:r>
      <w:r w:rsidRPr="00006733">
        <w:rPr>
          <w:rFonts w:ascii="Arial" w:hAnsi="Arial" w:cs="Arial"/>
          <w:i/>
          <w:iCs/>
          <w:color w:val="222222"/>
          <w:sz w:val="24"/>
          <w:szCs w:val="24"/>
          <w:shd w:val="clear" w:color="auto" w:fill="FFFFFF"/>
        </w:rPr>
        <w:t>Financial services marketing: An international guide to principles and practice</w:t>
      </w:r>
      <w:r w:rsidRPr="00006733">
        <w:rPr>
          <w:rFonts w:ascii="Arial" w:hAnsi="Arial" w:cs="Arial"/>
          <w:color w:val="222222"/>
          <w:sz w:val="24"/>
          <w:szCs w:val="24"/>
          <w:shd w:val="clear" w:color="auto" w:fill="FFFFFF"/>
        </w:rPr>
        <w:t>. Routledge.</w:t>
      </w:r>
    </w:p>
    <w:p w14:paraId="2056509F"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Fernández, D.S. and Lutz, M.A., 2010. Urban flood hazard zoning in Tucumán Province, Argentina, using GIS and multicriteria decision analysis. </w:t>
      </w:r>
      <w:r w:rsidRPr="00006733">
        <w:rPr>
          <w:rFonts w:ascii="Arial" w:hAnsi="Arial" w:cs="Arial"/>
          <w:i/>
          <w:iCs/>
          <w:color w:val="222222"/>
          <w:sz w:val="24"/>
          <w:szCs w:val="24"/>
          <w:shd w:val="clear" w:color="auto" w:fill="FFFFFF"/>
        </w:rPr>
        <w:t>Engineering Geology</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111</w:t>
      </w:r>
      <w:r w:rsidRPr="00006733">
        <w:rPr>
          <w:rFonts w:ascii="Arial" w:hAnsi="Arial" w:cs="Arial"/>
          <w:color w:val="222222"/>
          <w:sz w:val="24"/>
          <w:szCs w:val="24"/>
          <w:shd w:val="clear" w:color="auto" w:fill="FFFFFF"/>
        </w:rPr>
        <w:t>(1-4), pp.90-98.</w:t>
      </w:r>
    </w:p>
    <w:p w14:paraId="2A5F9ECF"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Francis, L.F.M. and Jensen, M.B., 2017. Benefits of green roofs: A systematic review of the evidence for three ecosystem services. </w:t>
      </w:r>
      <w:r w:rsidRPr="00006733">
        <w:rPr>
          <w:rFonts w:ascii="Arial" w:hAnsi="Arial" w:cs="Arial"/>
          <w:i/>
          <w:iCs/>
          <w:color w:val="222222"/>
          <w:sz w:val="24"/>
          <w:szCs w:val="24"/>
          <w:shd w:val="clear" w:color="auto" w:fill="FFFFFF"/>
        </w:rPr>
        <w:t>Urban forestry &amp; urban greening</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28</w:t>
      </w:r>
      <w:r w:rsidRPr="00006733">
        <w:rPr>
          <w:rFonts w:ascii="Arial" w:hAnsi="Arial" w:cs="Arial"/>
          <w:color w:val="222222"/>
          <w:sz w:val="24"/>
          <w:szCs w:val="24"/>
          <w:shd w:val="clear" w:color="auto" w:fill="FFFFFF"/>
        </w:rPr>
        <w:t>, pp.167-176.</w:t>
      </w:r>
    </w:p>
    <w:p w14:paraId="315C23C5"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Guironnet, A., Attuyer, K. and Halbert, L., 2016. Building cities on financial assets: The financialisation of property markets and its implications for city governments in the Paris city-region. </w:t>
      </w:r>
      <w:r w:rsidRPr="00006733">
        <w:rPr>
          <w:rFonts w:ascii="Arial" w:hAnsi="Arial" w:cs="Arial"/>
          <w:i/>
          <w:iCs/>
          <w:color w:val="222222"/>
          <w:sz w:val="24"/>
          <w:szCs w:val="24"/>
          <w:shd w:val="clear" w:color="auto" w:fill="FFFFFF"/>
        </w:rPr>
        <w:t>Urban studies</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53</w:t>
      </w:r>
      <w:r w:rsidRPr="00006733">
        <w:rPr>
          <w:rFonts w:ascii="Arial" w:hAnsi="Arial" w:cs="Arial"/>
          <w:color w:val="222222"/>
          <w:sz w:val="24"/>
          <w:szCs w:val="24"/>
          <w:shd w:val="clear" w:color="auto" w:fill="FFFFFF"/>
        </w:rPr>
        <w:t>(7), pp.1442-1464.</w:t>
      </w:r>
    </w:p>
    <w:p w14:paraId="36D51BBA"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lastRenderedPageBreak/>
        <w:t>Iriani, F., Rakhmiati, R., Dini Kertasari, V., Puji Handayani, E., Zuyasna, Z. and W Yanuastri, P., 2023. Secondary metabolite compounds of Moringa oleifera leaves in two different urban altitude locations, Indonesia. </w:t>
      </w:r>
      <w:r w:rsidRPr="00006733">
        <w:rPr>
          <w:rFonts w:ascii="Arial" w:hAnsi="Arial" w:cs="Arial"/>
          <w:i/>
          <w:iCs/>
          <w:color w:val="222222"/>
          <w:sz w:val="24"/>
          <w:szCs w:val="24"/>
          <w:shd w:val="clear" w:color="auto" w:fill="FFFFFF"/>
        </w:rPr>
        <w:t>Caspian Journal of Environmental Sciences</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21</w:t>
      </w:r>
      <w:r w:rsidRPr="00006733">
        <w:rPr>
          <w:rFonts w:ascii="Arial" w:hAnsi="Arial" w:cs="Arial"/>
          <w:color w:val="222222"/>
          <w:sz w:val="24"/>
          <w:szCs w:val="24"/>
          <w:shd w:val="clear" w:color="auto" w:fill="FFFFFF"/>
        </w:rPr>
        <w:t>(5), pp.1065-1071.</w:t>
      </w:r>
    </w:p>
    <w:p w14:paraId="28957C46"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Lohri, C.R., Camenzind, E.J. and Zurbrügg, C., 2014. Financial sustainability in municipal solid waste management–Costs and revenues in Bahir Dar, Ethiopia. </w:t>
      </w:r>
      <w:r w:rsidRPr="00006733">
        <w:rPr>
          <w:rFonts w:ascii="Arial" w:hAnsi="Arial" w:cs="Arial"/>
          <w:i/>
          <w:iCs/>
          <w:color w:val="222222"/>
          <w:sz w:val="24"/>
          <w:szCs w:val="24"/>
          <w:shd w:val="clear" w:color="auto" w:fill="FFFFFF"/>
        </w:rPr>
        <w:t>Waste management</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34</w:t>
      </w:r>
      <w:r w:rsidRPr="00006733">
        <w:rPr>
          <w:rFonts w:ascii="Arial" w:hAnsi="Arial" w:cs="Arial"/>
          <w:color w:val="222222"/>
          <w:sz w:val="24"/>
          <w:szCs w:val="24"/>
          <w:shd w:val="clear" w:color="auto" w:fill="FFFFFF"/>
        </w:rPr>
        <w:t>(2), pp.542-552.</w:t>
      </w:r>
    </w:p>
    <w:p w14:paraId="09CD4AC5"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Nadhim, E.A., Hon, C., Xia, B., Stewart, I. and Fang, D., 2016. Falls from height in the construction industry: A critical review of the scientific literature. </w:t>
      </w:r>
      <w:r w:rsidRPr="00006733">
        <w:rPr>
          <w:rFonts w:ascii="Arial" w:hAnsi="Arial" w:cs="Arial"/>
          <w:i/>
          <w:iCs/>
          <w:color w:val="222222"/>
          <w:sz w:val="24"/>
          <w:szCs w:val="24"/>
          <w:shd w:val="clear" w:color="auto" w:fill="FFFFFF"/>
        </w:rPr>
        <w:t>International journal of environmental research and public health</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13</w:t>
      </w:r>
      <w:r w:rsidRPr="00006733">
        <w:rPr>
          <w:rFonts w:ascii="Arial" w:hAnsi="Arial" w:cs="Arial"/>
          <w:color w:val="222222"/>
          <w:sz w:val="24"/>
          <w:szCs w:val="24"/>
          <w:shd w:val="clear" w:color="auto" w:fill="FFFFFF"/>
        </w:rPr>
        <w:t>(7), p.638.</w:t>
      </w:r>
    </w:p>
    <w:p w14:paraId="23BA2A08"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Ng, E., Yuan, C., Chen, L., Ren, C. and Fung, J.C., 2011. Improving the wind environment in high-density cities by understanding urban morphology and surface roughness: A study in Hong Kong. </w:t>
      </w:r>
      <w:r w:rsidRPr="00006733">
        <w:rPr>
          <w:rFonts w:ascii="Arial" w:hAnsi="Arial" w:cs="Arial"/>
          <w:i/>
          <w:iCs/>
          <w:color w:val="222222"/>
          <w:sz w:val="24"/>
          <w:szCs w:val="24"/>
          <w:shd w:val="clear" w:color="auto" w:fill="FFFFFF"/>
        </w:rPr>
        <w:t>Landscape and Urban planning</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101</w:t>
      </w:r>
      <w:r w:rsidRPr="00006733">
        <w:rPr>
          <w:rFonts w:ascii="Arial" w:hAnsi="Arial" w:cs="Arial"/>
          <w:color w:val="222222"/>
          <w:sz w:val="24"/>
          <w:szCs w:val="24"/>
          <w:shd w:val="clear" w:color="auto" w:fill="FFFFFF"/>
        </w:rPr>
        <w:t>(1), pp.59-74.</w:t>
      </w:r>
    </w:p>
    <w:p w14:paraId="37EB2CCE"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Roy, S., Byrne, J. and Pickering, C., 2012. A systematic quantitative review of urban tree benefits, costs, and assessment methods across cities in different climatic zones. </w:t>
      </w:r>
      <w:r w:rsidRPr="00006733">
        <w:rPr>
          <w:rFonts w:ascii="Arial" w:hAnsi="Arial" w:cs="Arial"/>
          <w:i/>
          <w:iCs/>
          <w:color w:val="222222"/>
          <w:sz w:val="24"/>
          <w:szCs w:val="24"/>
          <w:shd w:val="clear" w:color="auto" w:fill="FFFFFF"/>
        </w:rPr>
        <w:t>Urban forestry &amp; urban greening</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11</w:t>
      </w:r>
      <w:r w:rsidRPr="00006733">
        <w:rPr>
          <w:rFonts w:ascii="Arial" w:hAnsi="Arial" w:cs="Arial"/>
          <w:color w:val="222222"/>
          <w:sz w:val="24"/>
          <w:szCs w:val="24"/>
          <w:shd w:val="clear" w:color="auto" w:fill="FFFFFF"/>
        </w:rPr>
        <w:t>(4), pp.351-363.</w:t>
      </w:r>
    </w:p>
    <w:p w14:paraId="5422A1A4"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Ruel, M.T., Garrett, J.L., Hawkes, C. and Cohen, M.J., 2010. The food, fuel, and financial crises affect the urban and rural poor disproportionately: a review of the evidence. </w:t>
      </w:r>
      <w:r w:rsidRPr="00006733">
        <w:rPr>
          <w:rFonts w:ascii="Arial" w:hAnsi="Arial" w:cs="Arial"/>
          <w:i/>
          <w:iCs/>
          <w:color w:val="222222"/>
          <w:sz w:val="24"/>
          <w:szCs w:val="24"/>
          <w:shd w:val="clear" w:color="auto" w:fill="FFFFFF"/>
        </w:rPr>
        <w:t>the Journal of Nutrition</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140</w:t>
      </w:r>
      <w:r w:rsidRPr="00006733">
        <w:rPr>
          <w:rFonts w:ascii="Arial" w:hAnsi="Arial" w:cs="Arial"/>
          <w:color w:val="222222"/>
          <w:sz w:val="24"/>
          <w:szCs w:val="24"/>
          <w:shd w:val="clear" w:color="auto" w:fill="FFFFFF"/>
        </w:rPr>
        <w:t>(1), pp.170S-176S.</w:t>
      </w:r>
    </w:p>
    <w:p w14:paraId="4FA0035E"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Vogel, H.L., 2014. </w:t>
      </w:r>
      <w:r w:rsidRPr="00006733">
        <w:rPr>
          <w:rFonts w:ascii="Arial" w:hAnsi="Arial" w:cs="Arial"/>
          <w:i/>
          <w:iCs/>
          <w:color w:val="222222"/>
          <w:sz w:val="24"/>
          <w:szCs w:val="24"/>
          <w:shd w:val="clear" w:color="auto" w:fill="FFFFFF"/>
        </w:rPr>
        <w:t>Entertainment industry economics: A guide for financial analysis</w:t>
      </w:r>
      <w:r w:rsidRPr="00006733">
        <w:rPr>
          <w:rFonts w:ascii="Arial" w:hAnsi="Arial" w:cs="Arial"/>
          <w:color w:val="222222"/>
          <w:sz w:val="24"/>
          <w:szCs w:val="24"/>
          <w:shd w:val="clear" w:color="auto" w:fill="FFFFFF"/>
        </w:rPr>
        <w:t>. Cambridge university press.</w:t>
      </w:r>
    </w:p>
    <w:p w14:paraId="48AE117A"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Walker, S.L., 2011. Building mounted wind turbines and their suitability for the urban scale—A review of methods of estimating urban wind resource. </w:t>
      </w:r>
      <w:r w:rsidRPr="00006733">
        <w:rPr>
          <w:rFonts w:ascii="Arial" w:hAnsi="Arial" w:cs="Arial"/>
          <w:i/>
          <w:iCs/>
          <w:color w:val="222222"/>
          <w:sz w:val="24"/>
          <w:szCs w:val="24"/>
          <w:shd w:val="clear" w:color="auto" w:fill="FFFFFF"/>
        </w:rPr>
        <w:t>Energy and Buildings</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43</w:t>
      </w:r>
      <w:r w:rsidRPr="00006733">
        <w:rPr>
          <w:rFonts w:ascii="Arial" w:hAnsi="Arial" w:cs="Arial"/>
          <w:color w:val="222222"/>
          <w:sz w:val="24"/>
          <w:szCs w:val="24"/>
          <w:shd w:val="clear" w:color="auto" w:fill="FFFFFF"/>
        </w:rPr>
        <w:t>(8), pp.1852-1862.</w:t>
      </w:r>
    </w:p>
    <w:p w14:paraId="58E1577A" w14:textId="77777777" w:rsidR="00006733" w:rsidRPr="00006733" w:rsidRDefault="00006733" w:rsidP="00006733">
      <w:pPr>
        <w:spacing w:line="360" w:lineRule="auto"/>
        <w:jc w:val="both"/>
        <w:rPr>
          <w:rFonts w:ascii="Arial" w:hAnsi="Arial" w:cs="Arial"/>
          <w:color w:val="222222"/>
          <w:sz w:val="24"/>
          <w:szCs w:val="24"/>
          <w:shd w:val="clear" w:color="auto" w:fill="FFFFFF"/>
        </w:rPr>
      </w:pPr>
      <w:r w:rsidRPr="00006733">
        <w:rPr>
          <w:rFonts w:ascii="Arial" w:hAnsi="Arial" w:cs="Arial"/>
          <w:color w:val="222222"/>
          <w:sz w:val="24"/>
          <w:szCs w:val="24"/>
          <w:shd w:val="clear" w:color="auto" w:fill="FFFFFF"/>
        </w:rPr>
        <w:t>Yu, B., Liu, H., Wu, J., Hu, Y. and Zhang, L., 2010. Automated derivation of urban building density information using airborne LiDAR data and object-based method. </w:t>
      </w:r>
      <w:r w:rsidRPr="00006733">
        <w:rPr>
          <w:rFonts w:ascii="Arial" w:hAnsi="Arial" w:cs="Arial"/>
          <w:i/>
          <w:iCs/>
          <w:color w:val="222222"/>
          <w:sz w:val="24"/>
          <w:szCs w:val="24"/>
          <w:shd w:val="clear" w:color="auto" w:fill="FFFFFF"/>
        </w:rPr>
        <w:t>Landscape and urban planning</w:t>
      </w:r>
      <w:r w:rsidRPr="00006733">
        <w:rPr>
          <w:rFonts w:ascii="Arial" w:hAnsi="Arial" w:cs="Arial"/>
          <w:color w:val="222222"/>
          <w:sz w:val="24"/>
          <w:szCs w:val="24"/>
          <w:shd w:val="clear" w:color="auto" w:fill="FFFFFF"/>
        </w:rPr>
        <w:t>, </w:t>
      </w:r>
      <w:r w:rsidRPr="00006733">
        <w:rPr>
          <w:rFonts w:ascii="Arial" w:hAnsi="Arial" w:cs="Arial"/>
          <w:i/>
          <w:iCs/>
          <w:color w:val="222222"/>
          <w:sz w:val="24"/>
          <w:szCs w:val="24"/>
          <w:shd w:val="clear" w:color="auto" w:fill="FFFFFF"/>
        </w:rPr>
        <w:t>98</w:t>
      </w:r>
      <w:r w:rsidRPr="00006733">
        <w:rPr>
          <w:rFonts w:ascii="Arial" w:hAnsi="Arial" w:cs="Arial"/>
          <w:color w:val="222222"/>
          <w:sz w:val="24"/>
          <w:szCs w:val="24"/>
          <w:shd w:val="clear" w:color="auto" w:fill="FFFFFF"/>
        </w:rPr>
        <w:t>(3-4), pp.210-219.</w:t>
      </w:r>
    </w:p>
    <w:p w14:paraId="597B3C3A" w14:textId="77777777" w:rsidR="00006733" w:rsidRPr="00FA1B88" w:rsidRDefault="00006733" w:rsidP="001C38A7">
      <w:pPr>
        <w:spacing w:line="360" w:lineRule="auto"/>
        <w:jc w:val="both"/>
        <w:rPr>
          <w:rFonts w:ascii="Arial" w:hAnsi="Arial" w:cs="Arial"/>
          <w:color w:val="222222"/>
          <w:sz w:val="24"/>
          <w:szCs w:val="24"/>
          <w:shd w:val="clear" w:color="auto" w:fill="FFFFFF"/>
        </w:rPr>
      </w:pPr>
    </w:p>
    <w:p w14:paraId="6F8573C3" w14:textId="77777777" w:rsidR="00FA1B88" w:rsidRPr="00FA1B88" w:rsidRDefault="00FA1B88" w:rsidP="00FA1B88">
      <w:pPr>
        <w:spacing w:line="360" w:lineRule="auto"/>
        <w:jc w:val="both"/>
        <w:rPr>
          <w:rFonts w:ascii="Arial" w:hAnsi="Arial" w:cs="Arial"/>
          <w:color w:val="222222"/>
          <w:sz w:val="24"/>
          <w:szCs w:val="24"/>
          <w:shd w:val="clear" w:color="auto" w:fill="FFFFFF"/>
        </w:rPr>
      </w:pPr>
    </w:p>
    <w:p w14:paraId="1A6DC04E" w14:textId="77777777" w:rsidR="00960B2D" w:rsidRPr="00FA1B88" w:rsidRDefault="00960B2D" w:rsidP="00FA1B88">
      <w:pPr>
        <w:spacing w:line="360" w:lineRule="auto"/>
        <w:jc w:val="both"/>
        <w:rPr>
          <w:rFonts w:ascii="Arial" w:hAnsi="Arial" w:cs="Arial"/>
          <w:color w:val="222222"/>
          <w:sz w:val="24"/>
          <w:szCs w:val="24"/>
          <w:shd w:val="clear" w:color="auto" w:fill="FFFFFF"/>
        </w:rPr>
      </w:pPr>
    </w:p>
    <w:p w14:paraId="20DAF616" w14:textId="77777777" w:rsidR="003F5AD1" w:rsidRPr="00FA1B88" w:rsidRDefault="003F5AD1" w:rsidP="00FA1B88">
      <w:pPr>
        <w:spacing w:line="360" w:lineRule="auto"/>
        <w:jc w:val="both"/>
        <w:rPr>
          <w:rFonts w:ascii="Arial" w:hAnsi="Arial" w:cs="Arial"/>
          <w:color w:val="222222"/>
          <w:sz w:val="24"/>
          <w:szCs w:val="24"/>
          <w:shd w:val="clear" w:color="auto" w:fill="FFFFFF"/>
        </w:rPr>
      </w:pPr>
    </w:p>
    <w:p w14:paraId="7BA2F0CC" w14:textId="16F17D6D" w:rsidR="0081556B" w:rsidRPr="00FA1B88" w:rsidRDefault="0081556B" w:rsidP="00FA1B88">
      <w:pPr>
        <w:spacing w:line="360" w:lineRule="auto"/>
        <w:jc w:val="both"/>
        <w:rPr>
          <w:rFonts w:ascii="Arial" w:hAnsi="Arial" w:cs="Arial"/>
          <w:color w:val="222222"/>
          <w:sz w:val="24"/>
          <w:szCs w:val="24"/>
          <w:shd w:val="clear" w:color="auto" w:fill="FFFFFF"/>
        </w:rPr>
      </w:pPr>
    </w:p>
    <w:sectPr w:rsidR="0081556B" w:rsidRPr="00FA1B88">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781A6C" w14:textId="77777777" w:rsidR="009D7736" w:rsidRDefault="009D7736" w:rsidP="003530CF">
      <w:pPr>
        <w:spacing w:after="0" w:line="240" w:lineRule="auto"/>
      </w:pPr>
      <w:r>
        <w:separator/>
      </w:r>
    </w:p>
  </w:endnote>
  <w:endnote w:type="continuationSeparator" w:id="0">
    <w:p w14:paraId="3F932F0B" w14:textId="77777777" w:rsidR="009D7736" w:rsidRDefault="009D7736" w:rsidP="0035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552575"/>
      <w:docPartObj>
        <w:docPartGallery w:val="Page Numbers (Bottom of Page)"/>
        <w:docPartUnique/>
      </w:docPartObj>
    </w:sdtPr>
    <w:sdtEndPr>
      <w:rPr>
        <w:noProof/>
      </w:rPr>
    </w:sdtEndPr>
    <w:sdtContent>
      <w:p w14:paraId="4533D37B" w14:textId="21F5DEB6" w:rsidR="009E432D" w:rsidRDefault="009E43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25990" w14:textId="77777777" w:rsidR="009E432D" w:rsidRDefault="009E4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0426ED" w14:textId="77777777" w:rsidR="009D7736" w:rsidRDefault="009D7736" w:rsidP="003530CF">
      <w:pPr>
        <w:spacing w:after="0" w:line="240" w:lineRule="auto"/>
      </w:pPr>
      <w:r>
        <w:separator/>
      </w:r>
    </w:p>
  </w:footnote>
  <w:footnote w:type="continuationSeparator" w:id="0">
    <w:p w14:paraId="43BBE317" w14:textId="77777777" w:rsidR="009D7736" w:rsidRDefault="009D7736" w:rsidP="0035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E3547"/>
    <w:multiLevelType w:val="hybridMultilevel"/>
    <w:tmpl w:val="AF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75590"/>
    <w:multiLevelType w:val="hybridMultilevel"/>
    <w:tmpl w:val="82C06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E716F"/>
    <w:multiLevelType w:val="hybridMultilevel"/>
    <w:tmpl w:val="D8FCB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891397"/>
    <w:multiLevelType w:val="hybridMultilevel"/>
    <w:tmpl w:val="C9E87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C241F"/>
    <w:multiLevelType w:val="hybridMultilevel"/>
    <w:tmpl w:val="ECD43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871BAD"/>
    <w:multiLevelType w:val="hybridMultilevel"/>
    <w:tmpl w:val="6B028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C079B2"/>
    <w:multiLevelType w:val="hybridMultilevel"/>
    <w:tmpl w:val="39E8E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B6007"/>
    <w:multiLevelType w:val="hybridMultilevel"/>
    <w:tmpl w:val="54524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546757"/>
    <w:multiLevelType w:val="hybridMultilevel"/>
    <w:tmpl w:val="95DEF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1526B0"/>
    <w:multiLevelType w:val="hybridMultilevel"/>
    <w:tmpl w:val="15B87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7411C4"/>
    <w:multiLevelType w:val="hybridMultilevel"/>
    <w:tmpl w:val="B210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3B3C87"/>
    <w:multiLevelType w:val="hybridMultilevel"/>
    <w:tmpl w:val="7E8A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3332394">
    <w:abstractNumId w:val="0"/>
  </w:num>
  <w:num w:numId="2" w16cid:durableId="640615197">
    <w:abstractNumId w:val="8"/>
  </w:num>
  <w:num w:numId="3" w16cid:durableId="763649525">
    <w:abstractNumId w:val="9"/>
  </w:num>
  <w:num w:numId="4" w16cid:durableId="1076590787">
    <w:abstractNumId w:val="4"/>
  </w:num>
  <w:num w:numId="5" w16cid:durableId="634875860">
    <w:abstractNumId w:val="10"/>
  </w:num>
  <w:num w:numId="6" w16cid:durableId="669140940">
    <w:abstractNumId w:val="2"/>
  </w:num>
  <w:num w:numId="7" w16cid:durableId="263729810">
    <w:abstractNumId w:val="11"/>
  </w:num>
  <w:num w:numId="8" w16cid:durableId="1383555551">
    <w:abstractNumId w:val="1"/>
  </w:num>
  <w:num w:numId="9" w16cid:durableId="1164126330">
    <w:abstractNumId w:val="7"/>
  </w:num>
  <w:num w:numId="10" w16cid:durableId="1550607961">
    <w:abstractNumId w:val="3"/>
  </w:num>
  <w:num w:numId="11" w16cid:durableId="96872265">
    <w:abstractNumId w:val="6"/>
  </w:num>
  <w:num w:numId="12" w16cid:durableId="10669945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2FB"/>
    <w:rsid w:val="00000441"/>
    <w:rsid w:val="00006733"/>
    <w:rsid w:val="00006934"/>
    <w:rsid w:val="000238A7"/>
    <w:rsid w:val="00030006"/>
    <w:rsid w:val="000325ED"/>
    <w:rsid w:val="0004072E"/>
    <w:rsid w:val="00040D01"/>
    <w:rsid w:val="00041E80"/>
    <w:rsid w:val="0004244D"/>
    <w:rsid w:val="00047B1B"/>
    <w:rsid w:val="00062617"/>
    <w:rsid w:val="00063581"/>
    <w:rsid w:val="000714A5"/>
    <w:rsid w:val="00076233"/>
    <w:rsid w:val="000926E7"/>
    <w:rsid w:val="00097449"/>
    <w:rsid w:val="000A3721"/>
    <w:rsid w:val="000A669E"/>
    <w:rsid w:val="000A7C48"/>
    <w:rsid w:val="000B14FA"/>
    <w:rsid w:val="000B24A9"/>
    <w:rsid w:val="000D0C50"/>
    <w:rsid w:val="000D718E"/>
    <w:rsid w:val="000E0C9C"/>
    <w:rsid w:val="000E375B"/>
    <w:rsid w:val="000E4648"/>
    <w:rsid w:val="000E5B22"/>
    <w:rsid w:val="000F2D13"/>
    <w:rsid w:val="000F3961"/>
    <w:rsid w:val="00112C22"/>
    <w:rsid w:val="0012310F"/>
    <w:rsid w:val="00124A9E"/>
    <w:rsid w:val="001259F9"/>
    <w:rsid w:val="00130207"/>
    <w:rsid w:val="001331FE"/>
    <w:rsid w:val="00155233"/>
    <w:rsid w:val="001579AC"/>
    <w:rsid w:val="0016115B"/>
    <w:rsid w:val="0016246E"/>
    <w:rsid w:val="00176D13"/>
    <w:rsid w:val="00176F61"/>
    <w:rsid w:val="0018239C"/>
    <w:rsid w:val="0019484B"/>
    <w:rsid w:val="001A394C"/>
    <w:rsid w:val="001A4883"/>
    <w:rsid w:val="001A5423"/>
    <w:rsid w:val="001A761D"/>
    <w:rsid w:val="001C312C"/>
    <w:rsid w:val="001C38A7"/>
    <w:rsid w:val="001C605D"/>
    <w:rsid w:val="001E276A"/>
    <w:rsid w:val="001E28AC"/>
    <w:rsid w:val="001E4290"/>
    <w:rsid w:val="001F21BF"/>
    <w:rsid w:val="001F2282"/>
    <w:rsid w:val="00202AE2"/>
    <w:rsid w:val="00204C6C"/>
    <w:rsid w:val="0021609A"/>
    <w:rsid w:val="002225C9"/>
    <w:rsid w:val="002262FF"/>
    <w:rsid w:val="00244095"/>
    <w:rsid w:val="0025724A"/>
    <w:rsid w:val="002619CA"/>
    <w:rsid w:val="00266801"/>
    <w:rsid w:val="002754E3"/>
    <w:rsid w:val="0028030E"/>
    <w:rsid w:val="00280637"/>
    <w:rsid w:val="00280766"/>
    <w:rsid w:val="002950C6"/>
    <w:rsid w:val="002A4E93"/>
    <w:rsid w:val="002B1554"/>
    <w:rsid w:val="002C0531"/>
    <w:rsid w:val="002C1611"/>
    <w:rsid w:val="002C5F1F"/>
    <w:rsid w:val="002C6896"/>
    <w:rsid w:val="002D6C79"/>
    <w:rsid w:val="002F03AB"/>
    <w:rsid w:val="002F2FD8"/>
    <w:rsid w:val="002F398F"/>
    <w:rsid w:val="00300B75"/>
    <w:rsid w:val="00312ABA"/>
    <w:rsid w:val="00322137"/>
    <w:rsid w:val="00326549"/>
    <w:rsid w:val="00326FC3"/>
    <w:rsid w:val="003475EE"/>
    <w:rsid w:val="00347FDA"/>
    <w:rsid w:val="003530CF"/>
    <w:rsid w:val="003619A7"/>
    <w:rsid w:val="003645B4"/>
    <w:rsid w:val="0037051E"/>
    <w:rsid w:val="0038003E"/>
    <w:rsid w:val="00382BF2"/>
    <w:rsid w:val="00386A24"/>
    <w:rsid w:val="0038764F"/>
    <w:rsid w:val="00390737"/>
    <w:rsid w:val="003964D1"/>
    <w:rsid w:val="003B5C85"/>
    <w:rsid w:val="003C3410"/>
    <w:rsid w:val="003E1EF6"/>
    <w:rsid w:val="003F5AD1"/>
    <w:rsid w:val="003F77CA"/>
    <w:rsid w:val="004041FA"/>
    <w:rsid w:val="0040467A"/>
    <w:rsid w:val="00405BB0"/>
    <w:rsid w:val="00414D4E"/>
    <w:rsid w:val="00417B92"/>
    <w:rsid w:val="00421C55"/>
    <w:rsid w:val="0042373B"/>
    <w:rsid w:val="00423AEC"/>
    <w:rsid w:val="00424B50"/>
    <w:rsid w:val="00432138"/>
    <w:rsid w:val="00433312"/>
    <w:rsid w:val="004342FD"/>
    <w:rsid w:val="00442506"/>
    <w:rsid w:val="0044338F"/>
    <w:rsid w:val="00443BB6"/>
    <w:rsid w:val="004624A5"/>
    <w:rsid w:val="004624E7"/>
    <w:rsid w:val="00466EA8"/>
    <w:rsid w:val="00476B7A"/>
    <w:rsid w:val="0048103D"/>
    <w:rsid w:val="00486404"/>
    <w:rsid w:val="00496445"/>
    <w:rsid w:val="00496D07"/>
    <w:rsid w:val="004A4A0F"/>
    <w:rsid w:val="004A4C1D"/>
    <w:rsid w:val="004B2BBE"/>
    <w:rsid w:val="004B314A"/>
    <w:rsid w:val="004B5BD7"/>
    <w:rsid w:val="004C2A47"/>
    <w:rsid w:val="004C5A8E"/>
    <w:rsid w:val="004C68AC"/>
    <w:rsid w:val="004D2537"/>
    <w:rsid w:val="004D6A67"/>
    <w:rsid w:val="004E28C9"/>
    <w:rsid w:val="004E5A52"/>
    <w:rsid w:val="004F1995"/>
    <w:rsid w:val="005049F5"/>
    <w:rsid w:val="00506E3C"/>
    <w:rsid w:val="005234A1"/>
    <w:rsid w:val="00533071"/>
    <w:rsid w:val="005336EB"/>
    <w:rsid w:val="005419B0"/>
    <w:rsid w:val="00542666"/>
    <w:rsid w:val="005501F6"/>
    <w:rsid w:val="00567852"/>
    <w:rsid w:val="0057031F"/>
    <w:rsid w:val="00573343"/>
    <w:rsid w:val="00580DEB"/>
    <w:rsid w:val="0058709D"/>
    <w:rsid w:val="00590636"/>
    <w:rsid w:val="00596A7F"/>
    <w:rsid w:val="00597792"/>
    <w:rsid w:val="005A0212"/>
    <w:rsid w:val="005A64C4"/>
    <w:rsid w:val="005A754A"/>
    <w:rsid w:val="005A7C4C"/>
    <w:rsid w:val="005B00FF"/>
    <w:rsid w:val="005B7118"/>
    <w:rsid w:val="005C2005"/>
    <w:rsid w:val="005C2ED6"/>
    <w:rsid w:val="005C7A7B"/>
    <w:rsid w:val="005D428E"/>
    <w:rsid w:val="005D696C"/>
    <w:rsid w:val="005D6EC6"/>
    <w:rsid w:val="005D7089"/>
    <w:rsid w:val="005E74D7"/>
    <w:rsid w:val="005F2DC3"/>
    <w:rsid w:val="005F6D85"/>
    <w:rsid w:val="00600C89"/>
    <w:rsid w:val="00602512"/>
    <w:rsid w:val="00610930"/>
    <w:rsid w:val="006118B6"/>
    <w:rsid w:val="00612685"/>
    <w:rsid w:val="00620BAD"/>
    <w:rsid w:val="00652955"/>
    <w:rsid w:val="00661974"/>
    <w:rsid w:val="00661C7B"/>
    <w:rsid w:val="00670640"/>
    <w:rsid w:val="006762A1"/>
    <w:rsid w:val="00687AC3"/>
    <w:rsid w:val="006919D7"/>
    <w:rsid w:val="006950EB"/>
    <w:rsid w:val="00695990"/>
    <w:rsid w:val="006A1B40"/>
    <w:rsid w:val="006A64E7"/>
    <w:rsid w:val="006A6C17"/>
    <w:rsid w:val="006A76FC"/>
    <w:rsid w:val="006B6D8E"/>
    <w:rsid w:val="006D0FC8"/>
    <w:rsid w:val="006D3F77"/>
    <w:rsid w:val="006E352A"/>
    <w:rsid w:val="006F585E"/>
    <w:rsid w:val="00711BA6"/>
    <w:rsid w:val="00716947"/>
    <w:rsid w:val="00722667"/>
    <w:rsid w:val="00724CBC"/>
    <w:rsid w:val="00741FFA"/>
    <w:rsid w:val="00742133"/>
    <w:rsid w:val="007465D8"/>
    <w:rsid w:val="00753D0B"/>
    <w:rsid w:val="00755DAC"/>
    <w:rsid w:val="00756AF1"/>
    <w:rsid w:val="00763FC3"/>
    <w:rsid w:val="007728A2"/>
    <w:rsid w:val="0077548A"/>
    <w:rsid w:val="00776A91"/>
    <w:rsid w:val="00780823"/>
    <w:rsid w:val="00784D11"/>
    <w:rsid w:val="007A0CBE"/>
    <w:rsid w:val="007A180B"/>
    <w:rsid w:val="007A3CDF"/>
    <w:rsid w:val="007A48F3"/>
    <w:rsid w:val="007B0B52"/>
    <w:rsid w:val="007B7E8A"/>
    <w:rsid w:val="007C01D5"/>
    <w:rsid w:val="007C3D92"/>
    <w:rsid w:val="007C678F"/>
    <w:rsid w:val="007D05CF"/>
    <w:rsid w:val="007F0EE4"/>
    <w:rsid w:val="007F7833"/>
    <w:rsid w:val="008060D8"/>
    <w:rsid w:val="0081556B"/>
    <w:rsid w:val="00826727"/>
    <w:rsid w:val="008303D5"/>
    <w:rsid w:val="0083594C"/>
    <w:rsid w:val="00847D77"/>
    <w:rsid w:val="00860FA3"/>
    <w:rsid w:val="008610C8"/>
    <w:rsid w:val="0086119E"/>
    <w:rsid w:val="008624A3"/>
    <w:rsid w:val="008659D9"/>
    <w:rsid w:val="008718E3"/>
    <w:rsid w:val="00872445"/>
    <w:rsid w:val="00873463"/>
    <w:rsid w:val="00875CA8"/>
    <w:rsid w:val="00883845"/>
    <w:rsid w:val="008873AF"/>
    <w:rsid w:val="00892636"/>
    <w:rsid w:val="00895612"/>
    <w:rsid w:val="008B32FB"/>
    <w:rsid w:val="008C2629"/>
    <w:rsid w:val="008C3299"/>
    <w:rsid w:val="008C350F"/>
    <w:rsid w:val="008C3FF4"/>
    <w:rsid w:val="008C4541"/>
    <w:rsid w:val="008C4D20"/>
    <w:rsid w:val="008D0913"/>
    <w:rsid w:val="008E280B"/>
    <w:rsid w:val="00900C16"/>
    <w:rsid w:val="0090157E"/>
    <w:rsid w:val="0090702F"/>
    <w:rsid w:val="00907D9C"/>
    <w:rsid w:val="00911DB6"/>
    <w:rsid w:val="009209DF"/>
    <w:rsid w:val="00921C29"/>
    <w:rsid w:val="009255A2"/>
    <w:rsid w:val="009465FE"/>
    <w:rsid w:val="00955F3E"/>
    <w:rsid w:val="00956653"/>
    <w:rsid w:val="00960B2D"/>
    <w:rsid w:val="00960C07"/>
    <w:rsid w:val="009662FC"/>
    <w:rsid w:val="00973C9B"/>
    <w:rsid w:val="009740AA"/>
    <w:rsid w:val="00990F84"/>
    <w:rsid w:val="009958FC"/>
    <w:rsid w:val="0099607F"/>
    <w:rsid w:val="009B1AF5"/>
    <w:rsid w:val="009B6442"/>
    <w:rsid w:val="009C075A"/>
    <w:rsid w:val="009C176B"/>
    <w:rsid w:val="009C2B8C"/>
    <w:rsid w:val="009C4B44"/>
    <w:rsid w:val="009C7A4B"/>
    <w:rsid w:val="009D55A1"/>
    <w:rsid w:val="009D5888"/>
    <w:rsid w:val="009D7736"/>
    <w:rsid w:val="009E432D"/>
    <w:rsid w:val="009F061B"/>
    <w:rsid w:val="009F2D3A"/>
    <w:rsid w:val="009F7C2B"/>
    <w:rsid w:val="009F7DFC"/>
    <w:rsid w:val="00A121EC"/>
    <w:rsid w:val="00A30D08"/>
    <w:rsid w:val="00A326BD"/>
    <w:rsid w:val="00A371AE"/>
    <w:rsid w:val="00A45E36"/>
    <w:rsid w:val="00A4611D"/>
    <w:rsid w:val="00A574AF"/>
    <w:rsid w:val="00A60C61"/>
    <w:rsid w:val="00A636B3"/>
    <w:rsid w:val="00A74396"/>
    <w:rsid w:val="00A81646"/>
    <w:rsid w:val="00A8229B"/>
    <w:rsid w:val="00A876FE"/>
    <w:rsid w:val="00A915F4"/>
    <w:rsid w:val="00A92188"/>
    <w:rsid w:val="00AA20D9"/>
    <w:rsid w:val="00AA2510"/>
    <w:rsid w:val="00AA3A2D"/>
    <w:rsid w:val="00AB5CB5"/>
    <w:rsid w:val="00AC64C5"/>
    <w:rsid w:val="00AC7849"/>
    <w:rsid w:val="00AD33E2"/>
    <w:rsid w:val="00AD6CD5"/>
    <w:rsid w:val="00AE1BB9"/>
    <w:rsid w:val="00AE1E24"/>
    <w:rsid w:val="00AF6AA4"/>
    <w:rsid w:val="00AF7287"/>
    <w:rsid w:val="00B00139"/>
    <w:rsid w:val="00B0170F"/>
    <w:rsid w:val="00B031CA"/>
    <w:rsid w:val="00B137BA"/>
    <w:rsid w:val="00B26F9F"/>
    <w:rsid w:val="00B33B53"/>
    <w:rsid w:val="00B34DCA"/>
    <w:rsid w:val="00B36DB0"/>
    <w:rsid w:val="00B421C2"/>
    <w:rsid w:val="00B437A2"/>
    <w:rsid w:val="00B43967"/>
    <w:rsid w:val="00B47B39"/>
    <w:rsid w:val="00B54110"/>
    <w:rsid w:val="00B5411A"/>
    <w:rsid w:val="00B566DC"/>
    <w:rsid w:val="00B57D8D"/>
    <w:rsid w:val="00B57E78"/>
    <w:rsid w:val="00B6296A"/>
    <w:rsid w:val="00B630B9"/>
    <w:rsid w:val="00B67270"/>
    <w:rsid w:val="00B6796D"/>
    <w:rsid w:val="00B72AF7"/>
    <w:rsid w:val="00B8335A"/>
    <w:rsid w:val="00B83D53"/>
    <w:rsid w:val="00B979A9"/>
    <w:rsid w:val="00BA22FE"/>
    <w:rsid w:val="00BC7EF7"/>
    <w:rsid w:val="00BD51F8"/>
    <w:rsid w:val="00BF0EC6"/>
    <w:rsid w:val="00BF1C84"/>
    <w:rsid w:val="00BF62BD"/>
    <w:rsid w:val="00C012D1"/>
    <w:rsid w:val="00C04F0F"/>
    <w:rsid w:val="00C10C96"/>
    <w:rsid w:val="00C16CEE"/>
    <w:rsid w:val="00C174C8"/>
    <w:rsid w:val="00C26DAA"/>
    <w:rsid w:val="00C27CCA"/>
    <w:rsid w:val="00C325A2"/>
    <w:rsid w:val="00C32F4A"/>
    <w:rsid w:val="00C343B3"/>
    <w:rsid w:val="00C346F4"/>
    <w:rsid w:val="00C47EF0"/>
    <w:rsid w:val="00C51917"/>
    <w:rsid w:val="00C60EE0"/>
    <w:rsid w:val="00C6185F"/>
    <w:rsid w:val="00C64ED6"/>
    <w:rsid w:val="00C66589"/>
    <w:rsid w:val="00C73933"/>
    <w:rsid w:val="00C74B90"/>
    <w:rsid w:val="00C80E2B"/>
    <w:rsid w:val="00C8456B"/>
    <w:rsid w:val="00C865CA"/>
    <w:rsid w:val="00C900F5"/>
    <w:rsid w:val="00C903FF"/>
    <w:rsid w:val="00C905DF"/>
    <w:rsid w:val="00C912F7"/>
    <w:rsid w:val="00C940EE"/>
    <w:rsid w:val="00C94C90"/>
    <w:rsid w:val="00CA10BB"/>
    <w:rsid w:val="00CA21C1"/>
    <w:rsid w:val="00CB3B1A"/>
    <w:rsid w:val="00CE120F"/>
    <w:rsid w:val="00CE5DF0"/>
    <w:rsid w:val="00D019C3"/>
    <w:rsid w:val="00D0409B"/>
    <w:rsid w:val="00D26318"/>
    <w:rsid w:val="00D309C8"/>
    <w:rsid w:val="00D500AD"/>
    <w:rsid w:val="00D64E0D"/>
    <w:rsid w:val="00D73F0D"/>
    <w:rsid w:val="00D90047"/>
    <w:rsid w:val="00D9043B"/>
    <w:rsid w:val="00D973BA"/>
    <w:rsid w:val="00DB0456"/>
    <w:rsid w:val="00DB559F"/>
    <w:rsid w:val="00DC3EB9"/>
    <w:rsid w:val="00DC613E"/>
    <w:rsid w:val="00DD2781"/>
    <w:rsid w:val="00DD2AFE"/>
    <w:rsid w:val="00DE116D"/>
    <w:rsid w:val="00DE1B80"/>
    <w:rsid w:val="00DE1BB1"/>
    <w:rsid w:val="00DE2A0C"/>
    <w:rsid w:val="00DE2DFE"/>
    <w:rsid w:val="00DF0758"/>
    <w:rsid w:val="00DF7417"/>
    <w:rsid w:val="00E00F42"/>
    <w:rsid w:val="00E07FC9"/>
    <w:rsid w:val="00E12859"/>
    <w:rsid w:val="00E13E5B"/>
    <w:rsid w:val="00E15D62"/>
    <w:rsid w:val="00E262D3"/>
    <w:rsid w:val="00E26334"/>
    <w:rsid w:val="00E26863"/>
    <w:rsid w:val="00E40141"/>
    <w:rsid w:val="00E73712"/>
    <w:rsid w:val="00E85B2F"/>
    <w:rsid w:val="00E87EC5"/>
    <w:rsid w:val="00E91C77"/>
    <w:rsid w:val="00EB386C"/>
    <w:rsid w:val="00EB6A24"/>
    <w:rsid w:val="00EC2406"/>
    <w:rsid w:val="00EE0290"/>
    <w:rsid w:val="00F04F99"/>
    <w:rsid w:val="00F14F28"/>
    <w:rsid w:val="00F34031"/>
    <w:rsid w:val="00F35102"/>
    <w:rsid w:val="00F40C55"/>
    <w:rsid w:val="00F50B52"/>
    <w:rsid w:val="00F67918"/>
    <w:rsid w:val="00F756DE"/>
    <w:rsid w:val="00FA1B88"/>
    <w:rsid w:val="00FB0578"/>
    <w:rsid w:val="00FB2CA6"/>
    <w:rsid w:val="00FB52A9"/>
    <w:rsid w:val="00FB592C"/>
    <w:rsid w:val="00FB67A8"/>
    <w:rsid w:val="00FC3EB0"/>
    <w:rsid w:val="00FC4762"/>
    <w:rsid w:val="00FD4B99"/>
    <w:rsid w:val="00FD65B5"/>
    <w:rsid w:val="00FE04FB"/>
    <w:rsid w:val="00FE1909"/>
    <w:rsid w:val="00FF01B5"/>
    <w:rsid w:val="00FF2DA0"/>
    <w:rsid w:val="00FF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94F2"/>
  <w15:chartTrackingRefBased/>
  <w15:docId w15:val="{7C2F4741-BE53-44F9-8B00-54B10D17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047"/>
  </w:style>
  <w:style w:type="paragraph" w:styleId="Heading1">
    <w:name w:val="heading 1"/>
    <w:basedOn w:val="Normal"/>
    <w:link w:val="Heading1Char"/>
    <w:autoRedefine/>
    <w:uiPriority w:val="1"/>
    <w:qFormat/>
    <w:rsid w:val="006A76FC"/>
    <w:pPr>
      <w:widowControl w:val="0"/>
      <w:autoSpaceDE w:val="0"/>
      <w:autoSpaceDN w:val="0"/>
      <w:spacing w:before="3" w:line="256" w:lineRule="auto"/>
      <w:outlineLvl w:val="0"/>
    </w:pPr>
    <w:rPr>
      <w:rFonts w:ascii="Times New Roman" w:eastAsia="Tahoma" w:hAnsi="Times New Roman" w:cs="Arial"/>
      <w:b/>
      <w:bCs/>
      <w:color w:val="4472C4" w:themeColor="accent1"/>
      <w:sz w:val="32"/>
      <w:szCs w:val="48"/>
    </w:rPr>
  </w:style>
  <w:style w:type="paragraph" w:styleId="Heading2">
    <w:name w:val="heading 2"/>
    <w:basedOn w:val="Normal"/>
    <w:next w:val="Normal"/>
    <w:link w:val="Heading2Char"/>
    <w:autoRedefine/>
    <w:uiPriority w:val="9"/>
    <w:unhideWhenUsed/>
    <w:qFormat/>
    <w:rsid w:val="006A76FC"/>
    <w:pPr>
      <w:keepNext/>
      <w:keepLines/>
      <w:spacing w:before="40" w:line="360" w:lineRule="auto"/>
      <w:outlineLvl w:val="1"/>
    </w:pPr>
    <w:rPr>
      <w:rFonts w:ascii="Times New Roman" w:eastAsia="Times New Roman" w:hAnsi="Times New Roman" w:cstheme="majorBidi"/>
      <w:color w:val="8EAADB" w:themeColor="accent1" w:themeTint="99"/>
      <w:sz w:val="28"/>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6A76FC"/>
    <w:rPr>
      <w:rFonts w:ascii="Times New Roman" w:eastAsia="Tahoma" w:hAnsi="Times New Roman" w:cs="Arial"/>
      <w:b/>
      <w:bCs/>
      <w:color w:val="4472C4" w:themeColor="accent1"/>
      <w:sz w:val="32"/>
      <w:szCs w:val="48"/>
    </w:rPr>
  </w:style>
  <w:style w:type="character" w:customStyle="1" w:styleId="Heading2Char">
    <w:name w:val="Heading 2 Char"/>
    <w:basedOn w:val="DefaultParagraphFont"/>
    <w:link w:val="Heading2"/>
    <w:uiPriority w:val="9"/>
    <w:rsid w:val="006A76FC"/>
    <w:rPr>
      <w:rFonts w:ascii="Times New Roman" w:eastAsia="Times New Roman" w:hAnsi="Times New Roman" w:cstheme="majorBidi"/>
      <w:color w:val="8EAADB" w:themeColor="accent1" w:themeTint="99"/>
      <w:sz w:val="28"/>
      <w:szCs w:val="26"/>
      <w:lang w:eastAsia="en-GB"/>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styleId="PlaceholderText">
    <w:name w:val="Placeholder Text"/>
    <w:basedOn w:val="DefaultParagraphFont"/>
    <w:uiPriority w:val="99"/>
    <w:semiHidden/>
    <w:rsid w:val="00486404"/>
    <w:rPr>
      <w:color w:val="808080"/>
    </w:rPr>
  </w:style>
  <w:style w:type="paragraph" w:styleId="ListParagraph">
    <w:name w:val="List Paragraph"/>
    <w:basedOn w:val="Normal"/>
    <w:uiPriority w:val="34"/>
    <w:qFormat/>
    <w:rsid w:val="00421C55"/>
    <w:pPr>
      <w:ind w:left="720"/>
      <w:contextualSpacing/>
    </w:pPr>
  </w:style>
  <w:style w:type="paragraph" w:styleId="TOCHeading">
    <w:name w:val="TOC Heading"/>
    <w:basedOn w:val="Heading1"/>
    <w:next w:val="Normal"/>
    <w:uiPriority w:val="39"/>
    <w:unhideWhenUsed/>
    <w:qFormat/>
    <w:rsid w:val="00D9043B"/>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075A"/>
    <w:pPr>
      <w:spacing w:after="100"/>
    </w:pPr>
  </w:style>
  <w:style w:type="paragraph" w:styleId="TOC2">
    <w:name w:val="toc 2"/>
    <w:basedOn w:val="Normal"/>
    <w:next w:val="Normal"/>
    <w:autoRedefine/>
    <w:uiPriority w:val="39"/>
    <w:unhideWhenUsed/>
    <w:rsid w:val="009C075A"/>
    <w:pPr>
      <w:spacing w:after="100"/>
      <w:ind w:left="220"/>
    </w:pPr>
  </w:style>
  <w:style w:type="character" w:styleId="Hyperlink">
    <w:name w:val="Hyperlink"/>
    <w:basedOn w:val="DefaultParagraphFont"/>
    <w:uiPriority w:val="99"/>
    <w:unhideWhenUsed/>
    <w:rsid w:val="009C075A"/>
    <w:rPr>
      <w:color w:val="0563C1" w:themeColor="hyperlink"/>
      <w:u w:val="single"/>
    </w:rPr>
  </w:style>
  <w:style w:type="paragraph" w:styleId="Header">
    <w:name w:val="header"/>
    <w:basedOn w:val="Normal"/>
    <w:link w:val="HeaderChar"/>
    <w:uiPriority w:val="99"/>
    <w:unhideWhenUsed/>
    <w:rsid w:val="00353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CF"/>
  </w:style>
  <w:style w:type="paragraph" w:styleId="Footer">
    <w:name w:val="footer"/>
    <w:basedOn w:val="Normal"/>
    <w:link w:val="FooterChar"/>
    <w:uiPriority w:val="99"/>
    <w:unhideWhenUsed/>
    <w:rsid w:val="00353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CF"/>
  </w:style>
  <w:style w:type="table" w:styleId="GridTable4-Accent2">
    <w:name w:val="Grid Table 4 Accent 2"/>
    <w:basedOn w:val="TableNormal"/>
    <w:uiPriority w:val="49"/>
    <w:rsid w:val="00DF075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DF075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4D6A6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4">
    <w:name w:val="Grid Table 4 Accent 4"/>
    <w:basedOn w:val="TableNormal"/>
    <w:uiPriority w:val="49"/>
    <w:rsid w:val="004D6A67"/>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1032">
      <w:bodyDiv w:val="1"/>
      <w:marLeft w:val="0"/>
      <w:marRight w:val="0"/>
      <w:marTop w:val="0"/>
      <w:marBottom w:val="0"/>
      <w:divBdr>
        <w:top w:val="none" w:sz="0" w:space="0" w:color="auto"/>
        <w:left w:val="none" w:sz="0" w:space="0" w:color="auto"/>
        <w:bottom w:val="none" w:sz="0" w:space="0" w:color="auto"/>
        <w:right w:val="none" w:sz="0" w:space="0" w:color="auto"/>
      </w:divBdr>
    </w:div>
    <w:div w:id="275065192">
      <w:bodyDiv w:val="1"/>
      <w:marLeft w:val="0"/>
      <w:marRight w:val="0"/>
      <w:marTop w:val="0"/>
      <w:marBottom w:val="0"/>
      <w:divBdr>
        <w:top w:val="none" w:sz="0" w:space="0" w:color="auto"/>
        <w:left w:val="none" w:sz="0" w:space="0" w:color="auto"/>
        <w:bottom w:val="none" w:sz="0" w:space="0" w:color="auto"/>
        <w:right w:val="none" w:sz="0" w:space="0" w:color="auto"/>
      </w:divBdr>
    </w:div>
    <w:div w:id="343096131">
      <w:bodyDiv w:val="1"/>
      <w:marLeft w:val="0"/>
      <w:marRight w:val="0"/>
      <w:marTop w:val="0"/>
      <w:marBottom w:val="0"/>
      <w:divBdr>
        <w:top w:val="none" w:sz="0" w:space="0" w:color="auto"/>
        <w:left w:val="none" w:sz="0" w:space="0" w:color="auto"/>
        <w:bottom w:val="none" w:sz="0" w:space="0" w:color="auto"/>
        <w:right w:val="none" w:sz="0" w:space="0" w:color="auto"/>
      </w:divBdr>
    </w:div>
    <w:div w:id="390036790">
      <w:bodyDiv w:val="1"/>
      <w:marLeft w:val="0"/>
      <w:marRight w:val="0"/>
      <w:marTop w:val="0"/>
      <w:marBottom w:val="0"/>
      <w:divBdr>
        <w:top w:val="none" w:sz="0" w:space="0" w:color="auto"/>
        <w:left w:val="none" w:sz="0" w:space="0" w:color="auto"/>
        <w:bottom w:val="none" w:sz="0" w:space="0" w:color="auto"/>
        <w:right w:val="none" w:sz="0" w:space="0" w:color="auto"/>
      </w:divBdr>
    </w:div>
    <w:div w:id="728698471">
      <w:bodyDiv w:val="1"/>
      <w:marLeft w:val="0"/>
      <w:marRight w:val="0"/>
      <w:marTop w:val="0"/>
      <w:marBottom w:val="0"/>
      <w:divBdr>
        <w:top w:val="none" w:sz="0" w:space="0" w:color="auto"/>
        <w:left w:val="none" w:sz="0" w:space="0" w:color="auto"/>
        <w:bottom w:val="none" w:sz="0" w:space="0" w:color="auto"/>
        <w:right w:val="none" w:sz="0" w:space="0" w:color="auto"/>
      </w:divBdr>
    </w:div>
    <w:div w:id="876815422">
      <w:bodyDiv w:val="1"/>
      <w:marLeft w:val="0"/>
      <w:marRight w:val="0"/>
      <w:marTop w:val="0"/>
      <w:marBottom w:val="0"/>
      <w:divBdr>
        <w:top w:val="none" w:sz="0" w:space="0" w:color="auto"/>
        <w:left w:val="none" w:sz="0" w:space="0" w:color="auto"/>
        <w:bottom w:val="none" w:sz="0" w:space="0" w:color="auto"/>
        <w:right w:val="none" w:sz="0" w:space="0" w:color="auto"/>
      </w:divBdr>
    </w:div>
    <w:div w:id="892738370">
      <w:bodyDiv w:val="1"/>
      <w:marLeft w:val="0"/>
      <w:marRight w:val="0"/>
      <w:marTop w:val="0"/>
      <w:marBottom w:val="0"/>
      <w:divBdr>
        <w:top w:val="none" w:sz="0" w:space="0" w:color="auto"/>
        <w:left w:val="none" w:sz="0" w:space="0" w:color="auto"/>
        <w:bottom w:val="none" w:sz="0" w:space="0" w:color="auto"/>
        <w:right w:val="none" w:sz="0" w:space="0" w:color="auto"/>
      </w:divBdr>
    </w:div>
    <w:div w:id="907544183">
      <w:bodyDiv w:val="1"/>
      <w:marLeft w:val="0"/>
      <w:marRight w:val="0"/>
      <w:marTop w:val="0"/>
      <w:marBottom w:val="0"/>
      <w:divBdr>
        <w:top w:val="none" w:sz="0" w:space="0" w:color="auto"/>
        <w:left w:val="none" w:sz="0" w:space="0" w:color="auto"/>
        <w:bottom w:val="none" w:sz="0" w:space="0" w:color="auto"/>
        <w:right w:val="none" w:sz="0" w:space="0" w:color="auto"/>
      </w:divBdr>
    </w:div>
    <w:div w:id="962734526">
      <w:bodyDiv w:val="1"/>
      <w:marLeft w:val="0"/>
      <w:marRight w:val="0"/>
      <w:marTop w:val="0"/>
      <w:marBottom w:val="0"/>
      <w:divBdr>
        <w:top w:val="none" w:sz="0" w:space="0" w:color="auto"/>
        <w:left w:val="none" w:sz="0" w:space="0" w:color="auto"/>
        <w:bottom w:val="none" w:sz="0" w:space="0" w:color="auto"/>
        <w:right w:val="none" w:sz="0" w:space="0" w:color="auto"/>
      </w:divBdr>
    </w:div>
    <w:div w:id="997463790">
      <w:bodyDiv w:val="1"/>
      <w:marLeft w:val="0"/>
      <w:marRight w:val="0"/>
      <w:marTop w:val="0"/>
      <w:marBottom w:val="0"/>
      <w:divBdr>
        <w:top w:val="none" w:sz="0" w:space="0" w:color="auto"/>
        <w:left w:val="none" w:sz="0" w:space="0" w:color="auto"/>
        <w:bottom w:val="none" w:sz="0" w:space="0" w:color="auto"/>
        <w:right w:val="none" w:sz="0" w:space="0" w:color="auto"/>
      </w:divBdr>
    </w:div>
    <w:div w:id="1046685503">
      <w:bodyDiv w:val="1"/>
      <w:marLeft w:val="0"/>
      <w:marRight w:val="0"/>
      <w:marTop w:val="0"/>
      <w:marBottom w:val="0"/>
      <w:divBdr>
        <w:top w:val="none" w:sz="0" w:space="0" w:color="auto"/>
        <w:left w:val="none" w:sz="0" w:space="0" w:color="auto"/>
        <w:bottom w:val="none" w:sz="0" w:space="0" w:color="auto"/>
        <w:right w:val="none" w:sz="0" w:space="0" w:color="auto"/>
      </w:divBdr>
    </w:div>
    <w:div w:id="1069305855">
      <w:bodyDiv w:val="1"/>
      <w:marLeft w:val="0"/>
      <w:marRight w:val="0"/>
      <w:marTop w:val="0"/>
      <w:marBottom w:val="0"/>
      <w:divBdr>
        <w:top w:val="none" w:sz="0" w:space="0" w:color="auto"/>
        <w:left w:val="none" w:sz="0" w:space="0" w:color="auto"/>
        <w:bottom w:val="none" w:sz="0" w:space="0" w:color="auto"/>
        <w:right w:val="none" w:sz="0" w:space="0" w:color="auto"/>
      </w:divBdr>
    </w:div>
    <w:div w:id="1086804329">
      <w:bodyDiv w:val="1"/>
      <w:marLeft w:val="0"/>
      <w:marRight w:val="0"/>
      <w:marTop w:val="0"/>
      <w:marBottom w:val="0"/>
      <w:divBdr>
        <w:top w:val="none" w:sz="0" w:space="0" w:color="auto"/>
        <w:left w:val="none" w:sz="0" w:space="0" w:color="auto"/>
        <w:bottom w:val="none" w:sz="0" w:space="0" w:color="auto"/>
        <w:right w:val="none" w:sz="0" w:space="0" w:color="auto"/>
      </w:divBdr>
    </w:div>
    <w:div w:id="1106081003">
      <w:bodyDiv w:val="1"/>
      <w:marLeft w:val="0"/>
      <w:marRight w:val="0"/>
      <w:marTop w:val="0"/>
      <w:marBottom w:val="0"/>
      <w:divBdr>
        <w:top w:val="none" w:sz="0" w:space="0" w:color="auto"/>
        <w:left w:val="none" w:sz="0" w:space="0" w:color="auto"/>
        <w:bottom w:val="none" w:sz="0" w:space="0" w:color="auto"/>
        <w:right w:val="none" w:sz="0" w:space="0" w:color="auto"/>
      </w:divBdr>
      <w:divsChild>
        <w:div w:id="46298849">
          <w:marLeft w:val="0"/>
          <w:marRight w:val="0"/>
          <w:marTop w:val="0"/>
          <w:marBottom w:val="0"/>
          <w:divBdr>
            <w:top w:val="none" w:sz="0" w:space="0" w:color="auto"/>
            <w:left w:val="none" w:sz="0" w:space="0" w:color="auto"/>
            <w:bottom w:val="none" w:sz="0" w:space="0" w:color="auto"/>
            <w:right w:val="none" w:sz="0" w:space="0" w:color="auto"/>
          </w:divBdr>
        </w:div>
      </w:divsChild>
    </w:div>
    <w:div w:id="1108702238">
      <w:bodyDiv w:val="1"/>
      <w:marLeft w:val="0"/>
      <w:marRight w:val="0"/>
      <w:marTop w:val="0"/>
      <w:marBottom w:val="0"/>
      <w:divBdr>
        <w:top w:val="none" w:sz="0" w:space="0" w:color="auto"/>
        <w:left w:val="none" w:sz="0" w:space="0" w:color="auto"/>
        <w:bottom w:val="none" w:sz="0" w:space="0" w:color="auto"/>
        <w:right w:val="none" w:sz="0" w:space="0" w:color="auto"/>
      </w:divBdr>
    </w:div>
    <w:div w:id="1196194784">
      <w:bodyDiv w:val="1"/>
      <w:marLeft w:val="0"/>
      <w:marRight w:val="0"/>
      <w:marTop w:val="0"/>
      <w:marBottom w:val="0"/>
      <w:divBdr>
        <w:top w:val="none" w:sz="0" w:space="0" w:color="auto"/>
        <w:left w:val="none" w:sz="0" w:space="0" w:color="auto"/>
        <w:bottom w:val="none" w:sz="0" w:space="0" w:color="auto"/>
        <w:right w:val="none" w:sz="0" w:space="0" w:color="auto"/>
      </w:divBdr>
    </w:div>
    <w:div w:id="1226406980">
      <w:bodyDiv w:val="1"/>
      <w:marLeft w:val="0"/>
      <w:marRight w:val="0"/>
      <w:marTop w:val="0"/>
      <w:marBottom w:val="0"/>
      <w:divBdr>
        <w:top w:val="none" w:sz="0" w:space="0" w:color="auto"/>
        <w:left w:val="none" w:sz="0" w:space="0" w:color="auto"/>
        <w:bottom w:val="none" w:sz="0" w:space="0" w:color="auto"/>
        <w:right w:val="none" w:sz="0" w:space="0" w:color="auto"/>
      </w:divBdr>
    </w:div>
    <w:div w:id="1322345313">
      <w:bodyDiv w:val="1"/>
      <w:marLeft w:val="0"/>
      <w:marRight w:val="0"/>
      <w:marTop w:val="0"/>
      <w:marBottom w:val="0"/>
      <w:divBdr>
        <w:top w:val="none" w:sz="0" w:space="0" w:color="auto"/>
        <w:left w:val="none" w:sz="0" w:space="0" w:color="auto"/>
        <w:bottom w:val="none" w:sz="0" w:space="0" w:color="auto"/>
        <w:right w:val="none" w:sz="0" w:space="0" w:color="auto"/>
      </w:divBdr>
    </w:div>
    <w:div w:id="1334071455">
      <w:bodyDiv w:val="1"/>
      <w:marLeft w:val="0"/>
      <w:marRight w:val="0"/>
      <w:marTop w:val="0"/>
      <w:marBottom w:val="0"/>
      <w:divBdr>
        <w:top w:val="none" w:sz="0" w:space="0" w:color="auto"/>
        <w:left w:val="none" w:sz="0" w:space="0" w:color="auto"/>
        <w:bottom w:val="none" w:sz="0" w:space="0" w:color="auto"/>
        <w:right w:val="none" w:sz="0" w:space="0" w:color="auto"/>
      </w:divBdr>
    </w:div>
    <w:div w:id="1341351522">
      <w:bodyDiv w:val="1"/>
      <w:marLeft w:val="0"/>
      <w:marRight w:val="0"/>
      <w:marTop w:val="0"/>
      <w:marBottom w:val="0"/>
      <w:divBdr>
        <w:top w:val="none" w:sz="0" w:space="0" w:color="auto"/>
        <w:left w:val="none" w:sz="0" w:space="0" w:color="auto"/>
        <w:bottom w:val="none" w:sz="0" w:space="0" w:color="auto"/>
        <w:right w:val="none" w:sz="0" w:space="0" w:color="auto"/>
      </w:divBdr>
    </w:div>
    <w:div w:id="1402025685">
      <w:bodyDiv w:val="1"/>
      <w:marLeft w:val="0"/>
      <w:marRight w:val="0"/>
      <w:marTop w:val="0"/>
      <w:marBottom w:val="0"/>
      <w:divBdr>
        <w:top w:val="none" w:sz="0" w:space="0" w:color="auto"/>
        <w:left w:val="none" w:sz="0" w:space="0" w:color="auto"/>
        <w:bottom w:val="none" w:sz="0" w:space="0" w:color="auto"/>
        <w:right w:val="none" w:sz="0" w:space="0" w:color="auto"/>
      </w:divBdr>
    </w:div>
    <w:div w:id="1413890868">
      <w:bodyDiv w:val="1"/>
      <w:marLeft w:val="0"/>
      <w:marRight w:val="0"/>
      <w:marTop w:val="0"/>
      <w:marBottom w:val="0"/>
      <w:divBdr>
        <w:top w:val="none" w:sz="0" w:space="0" w:color="auto"/>
        <w:left w:val="none" w:sz="0" w:space="0" w:color="auto"/>
        <w:bottom w:val="none" w:sz="0" w:space="0" w:color="auto"/>
        <w:right w:val="none" w:sz="0" w:space="0" w:color="auto"/>
      </w:divBdr>
    </w:div>
    <w:div w:id="1457064776">
      <w:bodyDiv w:val="1"/>
      <w:marLeft w:val="0"/>
      <w:marRight w:val="0"/>
      <w:marTop w:val="0"/>
      <w:marBottom w:val="0"/>
      <w:divBdr>
        <w:top w:val="none" w:sz="0" w:space="0" w:color="auto"/>
        <w:left w:val="none" w:sz="0" w:space="0" w:color="auto"/>
        <w:bottom w:val="none" w:sz="0" w:space="0" w:color="auto"/>
        <w:right w:val="none" w:sz="0" w:space="0" w:color="auto"/>
      </w:divBdr>
    </w:div>
    <w:div w:id="1459109773">
      <w:bodyDiv w:val="1"/>
      <w:marLeft w:val="0"/>
      <w:marRight w:val="0"/>
      <w:marTop w:val="0"/>
      <w:marBottom w:val="0"/>
      <w:divBdr>
        <w:top w:val="none" w:sz="0" w:space="0" w:color="auto"/>
        <w:left w:val="none" w:sz="0" w:space="0" w:color="auto"/>
        <w:bottom w:val="none" w:sz="0" w:space="0" w:color="auto"/>
        <w:right w:val="none" w:sz="0" w:space="0" w:color="auto"/>
      </w:divBdr>
    </w:div>
    <w:div w:id="1550995491">
      <w:bodyDiv w:val="1"/>
      <w:marLeft w:val="0"/>
      <w:marRight w:val="0"/>
      <w:marTop w:val="0"/>
      <w:marBottom w:val="0"/>
      <w:divBdr>
        <w:top w:val="none" w:sz="0" w:space="0" w:color="auto"/>
        <w:left w:val="none" w:sz="0" w:space="0" w:color="auto"/>
        <w:bottom w:val="none" w:sz="0" w:space="0" w:color="auto"/>
        <w:right w:val="none" w:sz="0" w:space="0" w:color="auto"/>
      </w:divBdr>
    </w:div>
    <w:div w:id="1553686689">
      <w:bodyDiv w:val="1"/>
      <w:marLeft w:val="0"/>
      <w:marRight w:val="0"/>
      <w:marTop w:val="0"/>
      <w:marBottom w:val="0"/>
      <w:divBdr>
        <w:top w:val="none" w:sz="0" w:space="0" w:color="auto"/>
        <w:left w:val="none" w:sz="0" w:space="0" w:color="auto"/>
        <w:bottom w:val="none" w:sz="0" w:space="0" w:color="auto"/>
        <w:right w:val="none" w:sz="0" w:space="0" w:color="auto"/>
      </w:divBdr>
    </w:div>
    <w:div w:id="1611820643">
      <w:bodyDiv w:val="1"/>
      <w:marLeft w:val="0"/>
      <w:marRight w:val="0"/>
      <w:marTop w:val="0"/>
      <w:marBottom w:val="0"/>
      <w:divBdr>
        <w:top w:val="none" w:sz="0" w:space="0" w:color="auto"/>
        <w:left w:val="none" w:sz="0" w:space="0" w:color="auto"/>
        <w:bottom w:val="none" w:sz="0" w:space="0" w:color="auto"/>
        <w:right w:val="none" w:sz="0" w:space="0" w:color="auto"/>
      </w:divBdr>
    </w:div>
    <w:div w:id="1730575286">
      <w:bodyDiv w:val="1"/>
      <w:marLeft w:val="0"/>
      <w:marRight w:val="0"/>
      <w:marTop w:val="0"/>
      <w:marBottom w:val="0"/>
      <w:divBdr>
        <w:top w:val="none" w:sz="0" w:space="0" w:color="auto"/>
        <w:left w:val="none" w:sz="0" w:space="0" w:color="auto"/>
        <w:bottom w:val="none" w:sz="0" w:space="0" w:color="auto"/>
        <w:right w:val="none" w:sz="0" w:space="0" w:color="auto"/>
      </w:divBdr>
    </w:div>
    <w:div w:id="1744522597">
      <w:bodyDiv w:val="1"/>
      <w:marLeft w:val="0"/>
      <w:marRight w:val="0"/>
      <w:marTop w:val="0"/>
      <w:marBottom w:val="0"/>
      <w:divBdr>
        <w:top w:val="none" w:sz="0" w:space="0" w:color="auto"/>
        <w:left w:val="none" w:sz="0" w:space="0" w:color="auto"/>
        <w:bottom w:val="none" w:sz="0" w:space="0" w:color="auto"/>
        <w:right w:val="none" w:sz="0" w:space="0" w:color="auto"/>
      </w:divBdr>
    </w:div>
    <w:div w:id="1774323967">
      <w:bodyDiv w:val="1"/>
      <w:marLeft w:val="0"/>
      <w:marRight w:val="0"/>
      <w:marTop w:val="0"/>
      <w:marBottom w:val="0"/>
      <w:divBdr>
        <w:top w:val="none" w:sz="0" w:space="0" w:color="auto"/>
        <w:left w:val="none" w:sz="0" w:space="0" w:color="auto"/>
        <w:bottom w:val="none" w:sz="0" w:space="0" w:color="auto"/>
        <w:right w:val="none" w:sz="0" w:space="0" w:color="auto"/>
      </w:divBdr>
    </w:div>
    <w:div w:id="1875996146">
      <w:bodyDiv w:val="1"/>
      <w:marLeft w:val="0"/>
      <w:marRight w:val="0"/>
      <w:marTop w:val="0"/>
      <w:marBottom w:val="0"/>
      <w:divBdr>
        <w:top w:val="none" w:sz="0" w:space="0" w:color="auto"/>
        <w:left w:val="none" w:sz="0" w:space="0" w:color="auto"/>
        <w:bottom w:val="none" w:sz="0" w:space="0" w:color="auto"/>
        <w:right w:val="none" w:sz="0" w:space="0" w:color="auto"/>
      </w:divBdr>
    </w:div>
    <w:div w:id="1960452199">
      <w:bodyDiv w:val="1"/>
      <w:marLeft w:val="0"/>
      <w:marRight w:val="0"/>
      <w:marTop w:val="0"/>
      <w:marBottom w:val="0"/>
      <w:divBdr>
        <w:top w:val="none" w:sz="0" w:space="0" w:color="auto"/>
        <w:left w:val="none" w:sz="0" w:space="0" w:color="auto"/>
        <w:bottom w:val="none" w:sz="0" w:space="0" w:color="auto"/>
        <w:right w:val="none" w:sz="0" w:space="0" w:color="auto"/>
      </w:divBdr>
    </w:div>
    <w:div w:id="1973901847">
      <w:bodyDiv w:val="1"/>
      <w:marLeft w:val="0"/>
      <w:marRight w:val="0"/>
      <w:marTop w:val="0"/>
      <w:marBottom w:val="0"/>
      <w:divBdr>
        <w:top w:val="none" w:sz="0" w:space="0" w:color="auto"/>
        <w:left w:val="none" w:sz="0" w:space="0" w:color="auto"/>
        <w:bottom w:val="none" w:sz="0" w:space="0" w:color="auto"/>
        <w:right w:val="none" w:sz="0" w:space="0" w:color="auto"/>
      </w:divBdr>
    </w:div>
    <w:div w:id="1993218289">
      <w:bodyDiv w:val="1"/>
      <w:marLeft w:val="0"/>
      <w:marRight w:val="0"/>
      <w:marTop w:val="0"/>
      <w:marBottom w:val="0"/>
      <w:divBdr>
        <w:top w:val="none" w:sz="0" w:space="0" w:color="auto"/>
        <w:left w:val="none" w:sz="0" w:space="0" w:color="auto"/>
        <w:bottom w:val="none" w:sz="0" w:space="0" w:color="auto"/>
        <w:right w:val="none" w:sz="0" w:space="0" w:color="auto"/>
      </w:divBdr>
    </w:div>
    <w:div w:id="2011977742">
      <w:bodyDiv w:val="1"/>
      <w:marLeft w:val="0"/>
      <w:marRight w:val="0"/>
      <w:marTop w:val="0"/>
      <w:marBottom w:val="0"/>
      <w:divBdr>
        <w:top w:val="none" w:sz="0" w:space="0" w:color="auto"/>
        <w:left w:val="none" w:sz="0" w:space="0" w:color="auto"/>
        <w:bottom w:val="none" w:sz="0" w:space="0" w:color="auto"/>
        <w:right w:val="none" w:sz="0" w:space="0" w:color="auto"/>
      </w:divBdr>
    </w:div>
    <w:div w:id="2031756659">
      <w:bodyDiv w:val="1"/>
      <w:marLeft w:val="0"/>
      <w:marRight w:val="0"/>
      <w:marTop w:val="0"/>
      <w:marBottom w:val="0"/>
      <w:divBdr>
        <w:top w:val="none" w:sz="0" w:space="0" w:color="auto"/>
        <w:left w:val="none" w:sz="0" w:space="0" w:color="auto"/>
        <w:bottom w:val="none" w:sz="0" w:space="0" w:color="auto"/>
        <w:right w:val="none" w:sz="0" w:space="0" w:color="auto"/>
      </w:divBdr>
    </w:div>
    <w:div w:id="2080246822">
      <w:bodyDiv w:val="1"/>
      <w:marLeft w:val="0"/>
      <w:marRight w:val="0"/>
      <w:marTop w:val="0"/>
      <w:marBottom w:val="0"/>
      <w:divBdr>
        <w:top w:val="none" w:sz="0" w:space="0" w:color="auto"/>
        <w:left w:val="none" w:sz="0" w:space="0" w:color="auto"/>
        <w:bottom w:val="none" w:sz="0" w:space="0" w:color="auto"/>
        <w:right w:val="none" w:sz="0" w:space="0" w:color="auto"/>
      </w:divBdr>
    </w:div>
    <w:div w:id="2131123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G:\2024(Outsourcing)\May\2.%20Shabana%20Apu\2000%20Word%20Financial%20Management\Copy%20of%20Financia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2024(Outsourcing)\May\2.%20Shabana%20Apu\2000%20Word%20Financial%20Management\Copy%20of%20Financia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2024(Outsourcing)\May\2.%20Shabana%20Apu\2000%20Word%20Financial%20Management\Copy%20of%20Financial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Revenue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Sheet4!$H$2:$H$4</c:f>
              <c:numCache>
                <c:formatCode>General</c:formatCode>
                <c:ptCount val="3"/>
                <c:pt idx="0">
                  <c:v>2021</c:v>
                </c:pt>
                <c:pt idx="1">
                  <c:v>2022</c:v>
                </c:pt>
                <c:pt idx="2">
                  <c:v>2023</c:v>
                </c:pt>
              </c:numCache>
            </c:numRef>
          </c:xVal>
          <c:yVal>
            <c:numRef>
              <c:f>Sheet4!$I$2:$I$4</c:f>
              <c:numCache>
                <c:formatCode>#,##0</c:formatCode>
                <c:ptCount val="3"/>
                <c:pt idx="0">
                  <c:v>2500000</c:v>
                </c:pt>
                <c:pt idx="1">
                  <c:v>2200000</c:v>
                </c:pt>
                <c:pt idx="2">
                  <c:v>1800000</c:v>
                </c:pt>
              </c:numCache>
            </c:numRef>
          </c:yVal>
          <c:smooth val="0"/>
          <c:extLst>
            <c:ext xmlns:c16="http://schemas.microsoft.com/office/drawing/2014/chart" uri="{C3380CC4-5D6E-409C-BE32-E72D297353CC}">
              <c16:uniqueId val="{00000000-8D36-4C0F-8BDD-B27E7E710BB2}"/>
            </c:ext>
          </c:extLst>
        </c:ser>
        <c:dLbls>
          <c:showLegendKey val="0"/>
          <c:showVal val="0"/>
          <c:showCatName val="0"/>
          <c:showSerName val="0"/>
          <c:showPercent val="0"/>
          <c:showBubbleSize val="0"/>
        </c:dLbls>
        <c:axId val="501195808"/>
        <c:axId val="501196136"/>
      </c:scatterChart>
      <c:valAx>
        <c:axId val="50119580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1196136"/>
        <c:crosses val="autoZero"/>
        <c:crossBetween val="midCat"/>
        <c:majorUnit val="1"/>
        <c:minorUnit val="1"/>
      </c:valAx>
      <c:valAx>
        <c:axId val="501196136"/>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11958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Operating Expense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991426071741033"/>
          <c:y val="0.18560185185185185"/>
          <c:w val="0.81419685039370082"/>
          <c:h val="0.72088764946048411"/>
        </c:manualLayout>
      </c:layout>
      <c:scatterChart>
        <c:scatterStyle val="lineMarker"/>
        <c:varyColors val="0"/>
        <c:ser>
          <c:idx val="0"/>
          <c:order val="0"/>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prstDash val="sysDash"/>
              </a:ln>
              <a:effectLst/>
            </c:spPr>
            <c:trendlineType val="linear"/>
            <c:dispRSqr val="0"/>
            <c:dispEq val="0"/>
          </c:trendline>
          <c:xVal>
            <c:numRef>
              <c:f>Sheet3!$A$6:$A$8</c:f>
              <c:numCache>
                <c:formatCode>General</c:formatCode>
                <c:ptCount val="3"/>
                <c:pt idx="0">
                  <c:v>2021</c:v>
                </c:pt>
                <c:pt idx="1">
                  <c:v>2022</c:v>
                </c:pt>
                <c:pt idx="2">
                  <c:v>2023</c:v>
                </c:pt>
              </c:numCache>
            </c:numRef>
          </c:xVal>
          <c:yVal>
            <c:numRef>
              <c:f>Sheet3!$B$6:$B$8</c:f>
              <c:numCache>
                <c:formatCode>General</c:formatCode>
                <c:ptCount val="3"/>
                <c:pt idx="0">
                  <c:v>1800000</c:v>
                </c:pt>
                <c:pt idx="1">
                  <c:v>2000000</c:v>
                </c:pt>
                <c:pt idx="2">
                  <c:v>2300000</c:v>
                </c:pt>
              </c:numCache>
            </c:numRef>
          </c:yVal>
          <c:smooth val="0"/>
          <c:extLst>
            <c:ext xmlns:c16="http://schemas.microsoft.com/office/drawing/2014/chart" uri="{C3380CC4-5D6E-409C-BE32-E72D297353CC}">
              <c16:uniqueId val="{00000001-2536-4ED7-950B-E471C0B5E066}"/>
            </c:ext>
          </c:extLst>
        </c:ser>
        <c:dLbls>
          <c:dLblPos val="t"/>
          <c:showLegendKey val="0"/>
          <c:showVal val="1"/>
          <c:showCatName val="0"/>
          <c:showSerName val="0"/>
          <c:showPercent val="0"/>
          <c:showBubbleSize val="0"/>
        </c:dLbls>
        <c:axId val="511408656"/>
        <c:axId val="511409640"/>
      </c:scatterChart>
      <c:valAx>
        <c:axId val="51140865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1409640"/>
        <c:crosses val="autoZero"/>
        <c:crossBetween val="midCat"/>
        <c:majorUnit val="1"/>
        <c:minorUnit val="1"/>
      </c:valAx>
      <c:valAx>
        <c:axId val="51140964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14086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Net Income Analysis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Sheet5!$B$6:$B$8</c:f>
              <c:numCache>
                <c:formatCode>General</c:formatCode>
                <c:ptCount val="3"/>
                <c:pt idx="0">
                  <c:v>2021</c:v>
                </c:pt>
                <c:pt idx="1">
                  <c:v>2022</c:v>
                </c:pt>
                <c:pt idx="2">
                  <c:v>2023</c:v>
                </c:pt>
              </c:numCache>
            </c:numRef>
          </c:xVal>
          <c:yVal>
            <c:numRef>
              <c:f>Sheet5!$C$6:$C$8</c:f>
              <c:numCache>
                <c:formatCode>General</c:formatCode>
                <c:ptCount val="3"/>
                <c:pt idx="0">
                  <c:v>700000</c:v>
                </c:pt>
                <c:pt idx="1">
                  <c:v>200000</c:v>
                </c:pt>
                <c:pt idx="2">
                  <c:v>-500000</c:v>
                </c:pt>
              </c:numCache>
            </c:numRef>
          </c:yVal>
          <c:smooth val="0"/>
          <c:extLst>
            <c:ext xmlns:c16="http://schemas.microsoft.com/office/drawing/2014/chart" uri="{C3380CC4-5D6E-409C-BE32-E72D297353CC}">
              <c16:uniqueId val="{00000000-233C-4280-94B8-B80427453960}"/>
            </c:ext>
          </c:extLst>
        </c:ser>
        <c:dLbls>
          <c:showLegendKey val="0"/>
          <c:showVal val="0"/>
          <c:showCatName val="0"/>
          <c:showSerName val="0"/>
          <c:showPercent val="0"/>
          <c:showBubbleSize val="0"/>
        </c:dLbls>
        <c:axId val="497977168"/>
        <c:axId val="497980776"/>
      </c:scatterChart>
      <c:valAx>
        <c:axId val="497977168"/>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980776"/>
        <c:crosses val="autoZero"/>
        <c:crossBetween val="midCat"/>
        <c:majorUnit val="1"/>
        <c:minorUnit val="1"/>
      </c:valAx>
      <c:valAx>
        <c:axId val="497980776"/>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9771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D6F19-0ED6-4612-A720-0DA373D0E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2743</Words>
  <Characters>15641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 (2233687)</cp:lastModifiedBy>
  <cp:revision>2</cp:revision>
  <dcterms:created xsi:type="dcterms:W3CDTF">2024-11-06T01:22:00Z</dcterms:created>
  <dcterms:modified xsi:type="dcterms:W3CDTF">2024-11-06T01:22:00Z</dcterms:modified>
</cp:coreProperties>
</file>