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77777777" w:rsidR="00B817F7" w:rsidRPr="00965149" w:rsidRDefault="00B817F7" w:rsidP="00965149">
      <w:pPr>
        <w:pStyle w:val="Heading1"/>
        <w:rPr>
          <w:rFonts w:ascii="Arial" w:hAnsi="Arial" w:cs="Arial"/>
          <w:b w:val="0"/>
          <w:bCs/>
          <w:i/>
          <w:lang w:val="en-GB"/>
        </w:rPr>
      </w:pPr>
      <w:bookmarkStart w:id="0" w:name="_7p0swl76k9c" w:colFirst="0" w:colLast="0"/>
      <w:bookmarkEnd w:id="0"/>
    </w:p>
    <w:p w14:paraId="00000003" w14:textId="77777777" w:rsidR="00B817F7" w:rsidRPr="00965149" w:rsidRDefault="00B817F7" w:rsidP="00965149">
      <w:pPr>
        <w:pStyle w:val="Heading1"/>
        <w:rPr>
          <w:rFonts w:ascii="Arial" w:hAnsi="Arial" w:cs="Arial"/>
          <w:b w:val="0"/>
          <w:bCs/>
          <w:i/>
          <w:lang w:val="en-GB"/>
        </w:rPr>
      </w:pPr>
      <w:bookmarkStart w:id="1" w:name="_5zllj4no72g9" w:colFirst="0" w:colLast="0"/>
      <w:bookmarkEnd w:id="1"/>
    </w:p>
    <w:p w14:paraId="00000004" w14:textId="77777777" w:rsidR="00B817F7" w:rsidRPr="00965149" w:rsidRDefault="00B817F7" w:rsidP="00965149">
      <w:pPr>
        <w:pStyle w:val="Heading1"/>
        <w:rPr>
          <w:rFonts w:ascii="Arial" w:hAnsi="Arial" w:cs="Arial"/>
          <w:b w:val="0"/>
          <w:bCs/>
          <w:i/>
          <w:lang w:val="en-GB"/>
        </w:rPr>
      </w:pPr>
      <w:bookmarkStart w:id="2" w:name="_n43ci928lepj" w:colFirst="0" w:colLast="0"/>
      <w:bookmarkEnd w:id="2"/>
    </w:p>
    <w:p w14:paraId="00000005" w14:textId="77777777" w:rsidR="00B817F7" w:rsidRPr="00965149" w:rsidRDefault="00B817F7" w:rsidP="00965149">
      <w:pPr>
        <w:pStyle w:val="Heading1"/>
        <w:rPr>
          <w:rFonts w:ascii="Arial" w:hAnsi="Arial" w:cs="Arial"/>
          <w:b w:val="0"/>
          <w:bCs/>
          <w:i/>
          <w:lang w:val="en-GB"/>
        </w:rPr>
      </w:pPr>
      <w:bookmarkStart w:id="3" w:name="_31a9w78jvnqf" w:colFirst="0" w:colLast="0"/>
      <w:bookmarkEnd w:id="3"/>
    </w:p>
    <w:p w14:paraId="00000006" w14:textId="77777777" w:rsidR="00B817F7" w:rsidRPr="00965149" w:rsidRDefault="00B817F7" w:rsidP="00965149">
      <w:pPr>
        <w:pStyle w:val="Heading1"/>
        <w:rPr>
          <w:rFonts w:ascii="Arial" w:hAnsi="Arial" w:cs="Arial"/>
          <w:b w:val="0"/>
          <w:bCs/>
          <w:i/>
          <w:lang w:val="en-GB"/>
        </w:rPr>
      </w:pPr>
      <w:bookmarkStart w:id="4" w:name="_zhtq8vlo7kh4" w:colFirst="0" w:colLast="0"/>
      <w:bookmarkEnd w:id="4"/>
    </w:p>
    <w:p w14:paraId="00000007" w14:textId="77777777" w:rsidR="00B817F7" w:rsidRPr="00965149" w:rsidRDefault="00B817F7" w:rsidP="00965149">
      <w:pPr>
        <w:pStyle w:val="Heading1"/>
        <w:rPr>
          <w:rFonts w:ascii="Arial" w:hAnsi="Arial" w:cs="Arial"/>
          <w:b w:val="0"/>
          <w:bCs/>
          <w:iCs/>
          <w:lang w:val="en-GB"/>
        </w:rPr>
      </w:pPr>
      <w:bookmarkStart w:id="5" w:name="_1es0rx3k0moe" w:colFirst="0" w:colLast="0"/>
      <w:bookmarkEnd w:id="5"/>
    </w:p>
    <w:p w14:paraId="0420C938" w14:textId="1C2D0FC4" w:rsidR="00965149" w:rsidRDefault="00000000" w:rsidP="00965149">
      <w:pPr>
        <w:rPr>
          <w:rFonts w:ascii="Arial" w:hAnsi="Arial" w:cs="Arial"/>
          <w:bCs/>
          <w:iCs/>
          <w:lang w:val="en-GB"/>
        </w:rPr>
      </w:pPr>
      <w:r w:rsidRPr="00965149">
        <w:rPr>
          <w:rFonts w:ascii="Arial" w:hAnsi="Arial" w:cs="Arial"/>
          <w:bCs/>
          <w:iCs/>
          <w:lang w:val="en-GB"/>
        </w:rPr>
        <w:t xml:space="preserve">How to engage employees throughout the employee lifecycle? </w:t>
      </w:r>
    </w:p>
    <w:p w14:paraId="7D3CAAD1" w14:textId="77777777" w:rsidR="00965149" w:rsidRDefault="00965149" w:rsidP="00965149">
      <w:pPr>
        <w:rPr>
          <w:rFonts w:ascii="Arial" w:hAnsi="Arial" w:cs="Arial"/>
          <w:bCs/>
          <w:iCs/>
          <w:lang w:val="en-GB"/>
        </w:rPr>
      </w:pPr>
    </w:p>
    <w:p w14:paraId="020AECB5" w14:textId="77777777" w:rsidR="00965149" w:rsidRDefault="00965149" w:rsidP="00965149">
      <w:pPr>
        <w:rPr>
          <w:rFonts w:ascii="Arial" w:hAnsi="Arial" w:cs="Arial"/>
          <w:bCs/>
          <w:iCs/>
          <w:lang w:val="en-GB"/>
        </w:rPr>
      </w:pPr>
    </w:p>
    <w:p w14:paraId="21B43057" w14:textId="77777777" w:rsidR="00965149" w:rsidRDefault="00965149" w:rsidP="00965149">
      <w:pPr>
        <w:rPr>
          <w:rFonts w:ascii="Arial" w:hAnsi="Arial" w:cs="Arial"/>
          <w:bCs/>
          <w:iCs/>
          <w:lang w:val="en-GB"/>
        </w:rPr>
      </w:pPr>
    </w:p>
    <w:p w14:paraId="180D1A81" w14:textId="77777777" w:rsidR="00965149" w:rsidRDefault="00965149" w:rsidP="00965149">
      <w:pPr>
        <w:rPr>
          <w:rFonts w:ascii="Arial" w:hAnsi="Arial" w:cs="Arial"/>
          <w:bCs/>
          <w:iCs/>
          <w:lang w:val="en-GB"/>
        </w:rPr>
      </w:pPr>
    </w:p>
    <w:p w14:paraId="2D22D95D" w14:textId="77777777" w:rsidR="00965149" w:rsidRDefault="00965149" w:rsidP="00965149">
      <w:pPr>
        <w:rPr>
          <w:rFonts w:ascii="Arial" w:hAnsi="Arial" w:cs="Arial"/>
          <w:bCs/>
          <w:iCs/>
          <w:lang w:val="en-GB"/>
        </w:rPr>
      </w:pPr>
    </w:p>
    <w:p w14:paraId="7C16D686" w14:textId="77777777" w:rsidR="00965149" w:rsidRDefault="00965149" w:rsidP="00965149">
      <w:pPr>
        <w:rPr>
          <w:rFonts w:ascii="Arial" w:hAnsi="Arial" w:cs="Arial"/>
          <w:bCs/>
          <w:iCs/>
          <w:lang w:val="en-GB"/>
        </w:rPr>
      </w:pPr>
    </w:p>
    <w:p w14:paraId="50315B37" w14:textId="77777777" w:rsidR="00965149" w:rsidRPr="00965149" w:rsidRDefault="00965149" w:rsidP="00965149">
      <w:pPr>
        <w:rPr>
          <w:rFonts w:ascii="Arial" w:hAnsi="Arial" w:cs="Arial"/>
          <w:bCs/>
          <w:iCs/>
          <w:lang w:val="en-GB"/>
        </w:rPr>
      </w:pPr>
    </w:p>
    <w:p w14:paraId="7E569F74" w14:textId="77777777" w:rsidR="00965149" w:rsidRPr="00965149" w:rsidRDefault="00965149" w:rsidP="00965149">
      <w:pPr>
        <w:rPr>
          <w:rFonts w:ascii="Arial" w:hAnsi="Arial" w:cs="Arial"/>
          <w:bCs/>
          <w:lang w:val="en-GB"/>
        </w:rPr>
      </w:pPr>
    </w:p>
    <w:p w14:paraId="3FCA5F0F" w14:textId="77777777" w:rsidR="00965149" w:rsidRPr="00965149" w:rsidRDefault="00965149" w:rsidP="00965149">
      <w:pPr>
        <w:rPr>
          <w:rFonts w:ascii="Arial" w:hAnsi="Arial" w:cs="Arial"/>
          <w:bCs/>
          <w:lang w:val="en-GB"/>
        </w:rPr>
      </w:pPr>
    </w:p>
    <w:p w14:paraId="0B68BF09" w14:textId="77777777" w:rsidR="00965149" w:rsidRPr="00965149" w:rsidRDefault="00965149" w:rsidP="00965149">
      <w:pPr>
        <w:rPr>
          <w:rFonts w:ascii="Arial" w:hAnsi="Arial" w:cs="Arial"/>
          <w:bCs/>
          <w:lang w:val="en-GB"/>
        </w:rPr>
      </w:pPr>
    </w:p>
    <w:p w14:paraId="07C28216" w14:textId="77777777" w:rsidR="00965149" w:rsidRPr="00CC3110" w:rsidRDefault="00965149" w:rsidP="00965149">
      <w:pPr>
        <w:pStyle w:val="Title"/>
        <w:jc w:val="both"/>
        <w:rPr>
          <w:rFonts w:ascii="Arial" w:hAnsi="Arial" w:cs="Arial"/>
          <w:b w:val="0"/>
          <w:bCs/>
          <w:sz w:val="24"/>
          <w:szCs w:val="24"/>
        </w:rPr>
      </w:pPr>
      <w:r w:rsidRPr="00CC3110">
        <w:rPr>
          <w:rFonts w:ascii="Arial" w:hAnsi="Arial" w:cs="Arial"/>
          <w:b w:val="0"/>
          <w:bCs/>
          <w:sz w:val="24"/>
          <w:szCs w:val="24"/>
        </w:rPr>
        <w:t>Student name: Iulia – Denis Cristea</w:t>
      </w:r>
    </w:p>
    <w:p w14:paraId="4C053C17" w14:textId="77777777" w:rsidR="00965149" w:rsidRPr="00CC3110" w:rsidRDefault="00965149" w:rsidP="00965149">
      <w:pPr>
        <w:pStyle w:val="Title"/>
        <w:jc w:val="both"/>
        <w:rPr>
          <w:rFonts w:ascii="Arial" w:hAnsi="Arial" w:cs="Arial"/>
          <w:b w:val="0"/>
          <w:bCs/>
          <w:sz w:val="24"/>
          <w:szCs w:val="24"/>
        </w:rPr>
      </w:pPr>
      <w:r w:rsidRPr="00CC3110">
        <w:rPr>
          <w:rFonts w:ascii="Arial" w:hAnsi="Arial" w:cs="Arial"/>
          <w:b w:val="0"/>
          <w:bCs/>
          <w:sz w:val="24"/>
          <w:szCs w:val="24"/>
        </w:rPr>
        <w:t>Student ID: 2119917</w:t>
      </w:r>
    </w:p>
    <w:p w14:paraId="7FDF1DBC" w14:textId="77777777" w:rsidR="00965149" w:rsidRPr="00CC3110" w:rsidRDefault="00965149" w:rsidP="00965149">
      <w:pPr>
        <w:pStyle w:val="Title"/>
        <w:jc w:val="both"/>
        <w:rPr>
          <w:rFonts w:ascii="Arial" w:hAnsi="Arial" w:cs="Arial"/>
          <w:b w:val="0"/>
          <w:bCs/>
          <w:sz w:val="24"/>
          <w:szCs w:val="24"/>
        </w:rPr>
      </w:pPr>
      <w:r w:rsidRPr="00CC3110">
        <w:rPr>
          <w:rFonts w:ascii="Arial" w:hAnsi="Arial" w:cs="Arial"/>
          <w:b w:val="0"/>
          <w:bCs/>
          <w:sz w:val="24"/>
          <w:szCs w:val="24"/>
        </w:rPr>
        <w:t>Module Tutor: Helen Evans</w:t>
      </w:r>
    </w:p>
    <w:p w14:paraId="00000008" w14:textId="2D84BE44" w:rsidR="00B817F7" w:rsidRPr="00965149" w:rsidRDefault="00965149" w:rsidP="00965149">
      <w:pPr>
        <w:pStyle w:val="Title"/>
        <w:jc w:val="both"/>
        <w:rPr>
          <w:rFonts w:ascii="Arial" w:hAnsi="Arial" w:cs="Arial"/>
          <w:b w:val="0"/>
          <w:bCs/>
          <w:sz w:val="24"/>
          <w:szCs w:val="24"/>
          <w:lang w:val="en-GB"/>
        </w:rPr>
      </w:pPr>
      <w:r w:rsidRPr="00CC3110">
        <w:rPr>
          <w:rFonts w:ascii="Arial" w:hAnsi="Arial" w:cs="Arial"/>
          <w:b w:val="0"/>
          <w:bCs/>
          <w:sz w:val="24"/>
          <w:szCs w:val="24"/>
        </w:rPr>
        <w:t>Module: BMIH5005</w:t>
      </w:r>
      <w:r w:rsidR="00000000" w:rsidRPr="00965149">
        <w:rPr>
          <w:rFonts w:ascii="Arial" w:hAnsi="Arial" w:cs="Arial"/>
          <w:b w:val="0"/>
          <w:bCs/>
          <w:sz w:val="24"/>
          <w:szCs w:val="24"/>
          <w:lang w:val="en-GB"/>
        </w:rPr>
        <w:br w:type="page"/>
      </w:r>
    </w:p>
    <w:p w14:paraId="0000000D" w14:textId="68A90AB1" w:rsidR="00B817F7" w:rsidRPr="00965149" w:rsidRDefault="00B817F7" w:rsidP="00965149">
      <w:pPr>
        <w:rPr>
          <w:rFonts w:ascii="Arial" w:hAnsi="Arial" w:cs="Arial"/>
          <w:bCs/>
          <w:lang w:val="en-GB"/>
        </w:rPr>
      </w:pPr>
    </w:p>
    <w:p w14:paraId="0000000E" w14:textId="77777777" w:rsidR="00B817F7" w:rsidRPr="00965149" w:rsidRDefault="00000000" w:rsidP="00965149">
      <w:pPr>
        <w:pStyle w:val="Heading1"/>
        <w:rPr>
          <w:rFonts w:ascii="Arial" w:hAnsi="Arial" w:cs="Arial"/>
          <w:b w:val="0"/>
          <w:bCs/>
          <w:lang w:val="en-GB"/>
        </w:rPr>
      </w:pPr>
      <w:bookmarkStart w:id="6" w:name="_uw3zaqg08xn9" w:colFirst="0" w:colLast="0"/>
      <w:bookmarkEnd w:id="6"/>
      <w:r w:rsidRPr="00965149">
        <w:rPr>
          <w:rFonts w:ascii="Arial" w:hAnsi="Arial" w:cs="Arial"/>
          <w:b w:val="0"/>
          <w:bCs/>
          <w:lang w:val="en-GB"/>
        </w:rPr>
        <w:br w:type="page"/>
      </w:r>
    </w:p>
    <w:p w14:paraId="00000010" w14:textId="77777777" w:rsidR="00B817F7" w:rsidRPr="00965149" w:rsidRDefault="00000000" w:rsidP="00965149">
      <w:pPr>
        <w:rPr>
          <w:rFonts w:ascii="Arial" w:hAnsi="Arial" w:cs="Arial"/>
          <w:bCs/>
          <w:lang w:val="en-GB"/>
        </w:rPr>
      </w:pPr>
      <w:bookmarkStart w:id="7" w:name="_yn2w4uqgotr" w:colFirst="0" w:colLast="0"/>
      <w:bookmarkEnd w:id="7"/>
      <w:r w:rsidRPr="00965149">
        <w:rPr>
          <w:rFonts w:ascii="Arial" w:hAnsi="Arial" w:cs="Arial"/>
          <w:bCs/>
          <w:lang w:val="en-GB"/>
        </w:rPr>
        <w:lastRenderedPageBreak/>
        <w:t xml:space="preserve">Personal resourcing development can be defined as the process of developing the skills, attitudes talents, </w:t>
      </w:r>
      <w:proofErr w:type="gramStart"/>
      <w:r w:rsidRPr="00965149">
        <w:rPr>
          <w:rFonts w:ascii="Arial" w:hAnsi="Arial" w:cs="Arial"/>
          <w:bCs/>
          <w:lang w:val="en-GB"/>
        </w:rPr>
        <w:t>trails</w:t>
      </w:r>
      <w:proofErr w:type="gramEnd"/>
      <w:r w:rsidRPr="00965149">
        <w:rPr>
          <w:rFonts w:ascii="Arial" w:hAnsi="Arial" w:cs="Arial"/>
          <w:bCs/>
          <w:lang w:val="en-GB"/>
        </w:rPr>
        <w:t xml:space="preserve"> and the totality of knowledge. It has become one of the crucial factors within different business organisations as it allows individuals to work effectively and succeed in their professional careers. This essay is about personal resourcing development and will highlight the points related to employee engagement and employee life cycle. The chosen topic of the essay is “engaging employees throughout the employee lifecycle”. This essay will show how employees can be engaged in different stages of the employee life cycle. Furthermore, it will also show how engaging the employees in different stages of the employee life cycle can be beneficial for teams and organisations. </w:t>
      </w:r>
    </w:p>
    <w:p w14:paraId="00000013" w14:textId="0ED194F0" w:rsidR="00B817F7" w:rsidRPr="00965149" w:rsidRDefault="00000000" w:rsidP="00965149">
      <w:pPr>
        <w:pStyle w:val="Heading1"/>
        <w:rPr>
          <w:rFonts w:ascii="Arial" w:hAnsi="Arial" w:cs="Arial"/>
          <w:b w:val="0"/>
          <w:bCs/>
          <w:lang w:val="en-GB"/>
        </w:rPr>
      </w:pPr>
      <w:bookmarkStart w:id="8" w:name="_wup6vi6zc5gp" w:colFirst="0" w:colLast="0"/>
      <w:bookmarkStart w:id="9" w:name="_nydwhicdiuhi" w:colFirst="0" w:colLast="0"/>
      <w:bookmarkEnd w:id="8"/>
      <w:bookmarkEnd w:id="9"/>
      <w:r w:rsidRPr="00965149">
        <w:rPr>
          <w:rFonts w:ascii="Arial" w:hAnsi="Arial" w:cs="Arial"/>
          <w:b w:val="0"/>
          <w:bCs/>
          <w:lang w:val="en-GB"/>
        </w:rPr>
        <w:t xml:space="preserve">Employee engagement can be defined as the concept of human resources which contributes to enhancing the dedication and enthusiasm of the employees towards their jobs. Employee engagement has now become important as it can contribute to the success of the company as it enhances the morale of the employees and increases job satisfaction. Employee engagement determines the success of the company as it can increase the productivity of the employees and makes the employees cross the limit for the success of the company. Thus, it has now become important for different hospitality organisations to enhance the engagement of the employees as it can improve the overall productivity of the hospitality operation and achieve the goals and objectives of the organisation effectively (Sun and </w:t>
      </w:r>
      <w:proofErr w:type="spellStart"/>
      <w:r w:rsidRPr="00965149">
        <w:rPr>
          <w:rFonts w:ascii="Arial" w:hAnsi="Arial" w:cs="Arial"/>
          <w:b w:val="0"/>
          <w:bCs/>
          <w:lang w:val="en-GB"/>
        </w:rPr>
        <w:t>Bunchapattanasakda</w:t>
      </w:r>
      <w:proofErr w:type="spellEnd"/>
      <w:r w:rsidRPr="00965149">
        <w:rPr>
          <w:rFonts w:ascii="Arial" w:hAnsi="Arial" w:cs="Arial"/>
          <w:b w:val="0"/>
          <w:bCs/>
          <w:lang w:val="en-GB"/>
        </w:rPr>
        <w:t xml:space="preserve">, 2019). There are several strategies which can help the employees to foster the engagement of the employees such as effective communication, providing career advancement and offering rewards. Effective communication is one of the important strategies which can enhance the engagement of the employees as it can provide clear direction to the employees. Furthermore, hospitality organisations also need to provide promotion opportunities, provide </w:t>
      </w:r>
      <w:proofErr w:type="gramStart"/>
      <w:r w:rsidRPr="00965149">
        <w:rPr>
          <w:rFonts w:ascii="Arial" w:hAnsi="Arial" w:cs="Arial"/>
          <w:b w:val="0"/>
          <w:bCs/>
          <w:lang w:val="en-GB"/>
        </w:rPr>
        <w:t>feedback</w:t>
      </w:r>
      <w:proofErr w:type="gramEnd"/>
      <w:r w:rsidRPr="00965149">
        <w:rPr>
          <w:rFonts w:ascii="Arial" w:hAnsi="Arial" w:cs="Arial"/>
          <w:b w:val="0"/>
          <w:bCs/>
          <w:lang w:val="en-GB"/>
        </w:rPr>
        <w:t xml:space="preserve"> and make employees valued and respected within the working environment (Saks, 2022).  Hence, the business organisation needs to engage the employees throughout the employee lifecycle to boost the morale of the employees which can contribute to the success of the organisation.  </w:t>
      </w:r>
    </w:p>
    <w:p w14:paraId="00000014" w14:textId="77777777" w:rsidR="00B817F7" w:rsidRPr="00965149" w:rsidRDefault="00000000" w:rsidP="00965149">
      <w:pPr>
        <w:rPr>
          <w:rFonts w:ascii="Arial" w:hAnsi="Arial" w:cs="Arial"/>
          <w:bCs/>
          <w:lang w:val="en-GB"/>
        </w:rPr>
      </w:pPr>
      <w:r w:rsidRPr="00965149">
        <w:rPr>
          <w:rFonts w:ascii="Arial" w:hAnsi="Arial" w:cs="Arial"/>
          <w:bCs/>
          <w:lang w:val="en-GB"/>
        </w:rPr>
        <w:t xml:space="preserve">The employee life cycle can be defined as the model used by different business organisations which can help to identify and express different stages which employees experience while engaging in the company. Thus, the company knowing how to manage </w:t>
      </w:r>
      <w:r w:rsidRPr="00965149">
        <w:rPr>
          <w:rFonts w:ascii="Arial" w:hAnsi="Arial" w:cs="Arial"/>
          <w:bCs/>
          <w:lang w:val="en-GB"/>
        </w:rPr>
        <w:lastRenderedPageBreak/>
        <w:t>the employee life cycle and engage the employees in each stage of the cycle can help them to attract the right skills and talent. Additionally, it also optimises the experience of the employees and ultimately improves the performance and productivity of the organisation. Thus, there are six main stages of the employee life cycle which include</w:t>
      </w:r>
      <w:r w:rsidRPr="00965149">
        <w:rPr>
          <w:rFonts w:ascii="Arial" w:hAnsi="Arial" w:cs="Arial"/>
          <w:bCs/>
          <w:i/>
          <w:lang w:val="en-GB"/>
        </w:rPr>
        <w:t xml:space="preserve"> “attraction, recruitment, onboarding, retention, development and separation” </w:t>
      </w:r>
      <w:r w:rsidRPr="00965149">
        <w:rPr>
          <w:rFonts w:ascii="Arial" w:hAnsi="Arial" w:cs="Arial"/>
          <w:bCs/>
          <w:lang w:val="en-GB"/>
        </w:rPr>
        <w:t xml:space="preserve">(Cattermole, 2019). Different hospitality organisations need to engage the employees during these life cycles as it covers the entire relationship between the organisation and employees. The hospitality organisation can also visualise the relationship between employee and employer and set up the employees to keep them happy, </w:t>
      </w:r>
      <w:proofErr w:type="gramStart"/>
      <w:r w:rsidRPr="00965149">
        <w:rPr>
          <w:rFonts w:ascii="Arial" w:hAnsi="Arial" w:cs="Arial"/>
          <w:bCs/>
          <w:lang w:val="en-GB"/>
        </w:rPr>
        <w:t>productive</w:t>
      </w:r>
      <w:proofErr w:type="gramEnd"/>
      <w:r w:rsidRPr="00965149">
        <w:rPr>
          <w:rFonts w:ascii="Arial" w:hAnsi="Arial" w:cs="Arial"/>
          <w:bCs/>
          <w:lang w:val="en-GB"/>
        </w:rPr>
        <w:t xml:space="preserve"> and engaged within the workplace. Additionally, engaging the employees in each stage of the employee life cycle can also help the organisation to make an informed decision which can also provide benefit to both organisation and employees (Kwon and Park, 2019).</w:t>
      </w:r>
    </w:p>
    <w:p w14:paraId="00000015" w14:textId="77777777" w:rsidR="00B817F7" w:rsidRPr="00965149" w:rsidRDefault="00000000" w:rsidP="00965149">
      <w:pPr>
        <w:rPr>
          <w:rFonts w:ascii="Arial" w:hAnsi="Arial" w:cs="Arial"/>
          <w:bCs/>
          <w:lang w:val="en-GB"/>
        </w:rPr>
      </w:pPr>
      <w:r w:rsidRPr="00965149">
        <w:rPr>
          <w:rFonts w:ascii="Arial" w:hAnsi="Arial" w:cs="Arial"/>
          <w:bCs/>
          <w:i/>
          <w:lang w:val="en-GB"/>
        </w:rPr>
        <w:t>Attraction</w:t>
      </w:r>
      <w:r w:rsidRPr="00965149">
        <w:rPr>
          <w:rFonts w:ascii="Arial" w:hAnsi="Arial" w:cs="Arial"/>
          <w:bCs/>
          <w:lang w:val="en-GB"/>
        </w:rPr>
        <w:t xml:space="preserve"> is the first stage of the employee life cycle where different hospitality companies need to focus on engaging the employees from the very first step. The company </w:t>
      </w:r>
      <w:proofErr w:type="gramStart"/>
      <w:r w:rsidRPr="00965149">
        <w:rPr>
          <w:rFonts w:ascii="Arial" w:hAnsi="Arial" w:cs="Arial"/>
          <w:bCs/>
          <w:lang w:val="en-GB"/>
        </w:rPr>
        <w:t>have to</w:t>
      </w:r>
      <w:proofErr w:type="gramEnd"/>
      <w:r w:rsidRPr="00965149">
        <w:rPr>
          <w:rFonts w:ascii="Arial" w:hAnsi="Arial" w:cs="Arial"/>
          <w:bCs/>
          <w:lang w:val="en-GB"/>
        </w:rPr>
        <w:t xml:space="preserve"> engage the employees from this stage because it is the phase where they attract the right talented and skilled candidate who can contribute to the overall success of the company. At this stage, hospitality companies can affect how the candidate feels about the organisation by the way the organisation engages the employees. Thus, there are several strategies which can help different hospitality companies to build engagement in the attraction phase and one of the strategies includes using consumer and employer branding (Sato </w:t>
      </w:r>
      <w:r w:rsidRPr="00965149">
        <w:rPr>
          <w:rFonts w:ascii="Arial" w:hAnsi="Arial" w:cs="Arial"/>
          <w:bCs/>
          <w:i/>
          <w:lang w:val="en-GB"/>
        </w:rPr>
        <w:t xml:space="preserve">et al., </w:t>
      </w:r>
      <w:r w:rsidRPr="00965149">
        <w:rPr>
          <w:rFonts w:ascii="Arial" w:hAnsi="Arial" w:cs="Arial"/>
          <w:bCs/>
          <w:lang w:val="en-GB"/>
        </w:rPr>
        <w:t>2020). This can create engagement within the first stage of the employee life cycle as it can help the company to recognise their potential candidate and address their real desire. The hospitality industry also needs to create a culture which can help them to attract the best talent and demonstrate employer branding communication by being mindful of communication. The hospitality industry can also showcase the stories and experiences of the employees and the career opportunities provided to them (</w:t>
      </w:r>
      <w:proofErr w:type="spellStart"/>
      <w:r w:rsidRPr="00965149">
        <w:rPr>
          <w:rFonts w:ascii="Arial" w:hAnsi="Arial" w:cs="Arial"/>
          <w:bCs/>
          <w:lang w:val="en-GB"/>
        </w:rPr>
        <w:t>Hinzmann</w:t>
      </w:r>
      <w:proofErr w:type="spellEnd"/>
      <w:r w:rsidRPr="00965149">
        <w:rPr>
          <w:rFonts w:ascii="Arial" w:hAnsi="Arial" w:cs="Arial"/>
          <w:bCs/>
          <w:lang w:val="en-GB"/>
        </w:rPr>
        <w:t xml:space="preserve"> </w:t>
      </w:r>
      <w:r w:rsidRPr="00965149">
        <w:rPr>
          <w:rFonts w:ascii="Arial" w:hAnsi="Arial" w:cs="Arial"/>
          <w:bCs/>
          <w:i/>
          <w:lang w:val="en-GB"/>
        </w:rPr>
        <w:t xml:space="preserve">et al., </w:t>
      </w:r>
      <w:r w:rsidRPr="00965149">
        <w:rPr>
          <w:rFonts w:ascii="Arial" w:hAnsi="Arial" w:cs="Arial"/>
          <w:bCs/>
          <w:lang w:val="en-GB"/>
        </w:rPr>
        <w:t xml:space="preserve">2019). Thus, it can engage the potential candidate in the attraction stage which can improve the morale and behaviour of the potential candidates.  </w:t>
      </w:r>
    </w:p>
    <w:p w14:paraId="00000016" w14:textId="77777777" w:rsidR="00B817F7" w:rsidRPr="00965149" w:rsidRDefault="00000000" w:rsidP="00965149">
      <w:pPr>
        <w:rPr>
          <w:rFonts w:ascii="Arial" w:hAnsi="Arial" w:cs="Arial"/>
          <w:bCs/>
          <w:lang w:val="en-GB"/>
        </w:rPr>
      </w:pPr>
      <w:r w:rsidRPr="00965149">
        <w:rPr>
          <w:rFonts w:ascii="Arial" w:hAnsi="Arial" w:cs="Arial"/>
          <w:bCs/>
          <w:i/>
          <w:lang w:val="en-GB"/>
        </w:rPr>
        <w:t xml:space="preserve">Recruitment </w:t>
      </w:r>
      <w:r w:rsidRPr="00965149">
        <w:rPr>
          <w:rFonts w:ascii="Arial" w:hAnsi="Arial" w:cs="Arial"/>
          <w:bCs/>
          <w:lang w:val="en-GB"/>
        </w:rPr>
        <w:t xml:space="preserve">is the second stage of the employee life cycle which allows different business organisations like </w:t>
      </w:r>
      <w:proofErr w:type="spellStart"/>
      <w:r w:rsidRPr="00965149">
        <w:rPr>
          <w:rFonts w:ascii="Arial" w:hAnsi="Arial" w:cs="Arial"/>
          <w:bCs/>
          <w:lang w:val="en-GB"/>
        </w:rPr>
        <w:t>Vergin</w:t>
      </w:r>
      <w:proofErr w:type="spellEnd"/>
      <w:r w:rsidRPr="00965149">
        <w:rPr>
          <w:rFonts w:ascii="Arial" w:hAnsi="Arial" w:cs="Arial"/>
          <w:bCs/>
          <w:lang w:val="en-GB"/>
        </w:rPr>
        <w:t xml:space="preserve"> Travels and Hays Travels to find the right talent and skills within the organisation. Hospitality companies need to engage the candidate in the second </w:t>
      </w:r>
      <w:r w:rsidRPr="00965149">
        <w:rPr>
          <w:rFonts w:ascii="Arial" w:hAnsi="Arial" w:cs="Arial"/>
          <w:bCs/>
          <w:lang w:val="en-GB"/>
        </w:rPr>
        <w:lastRenderedPageBreak/>
        <w:t>stage of the employee life cycle because "candidates expect the same treatment as consumers". Thus, the company needs to create a positive experience for the candidate by personalising the communication to make the candidate feel better (Jackson, 2019). Furthermore, the companies such as Hays Travel needs to know their candidate before addressing the roles directly and identifying the gaps in their candidates. The companies doing so can help them to understand the skills and knowledge of the candidates and provide the task accordingly and engage them effectively. As a result, the candidate can understand their role in a significant manner and engage themselves while performing their roles within the workplace. Additionally, the company also needs to provide regular touchpoints to its candidates to help them stay engaged and keep them updated on the entire recruitment process (</w:t>
      </w:r>
      <w:proofErr w:type="spellStart"/>
      <w:r w:rsidRPr="00965149">
        <w:rPr>
          <w:rFonts w:ascii="Arial" w:hAnsi="Arial" w:cs="Arial"/>
          <w:bCs/>
          <w:lang w:val="en-GB"/>
        </w:rPr>
        <w:t>Riyanto</w:t>
      </w:r>
      <w:proofErr w:type="spellEnd"/>
      <w:r w:rsidRPr="00965149">
        <w:rPr>
          <w:rFonts w:ascii="Arial" w:hAnsi="Arial" w:cs="Arial"/>
          <w:bCs/>
          <w:lang w:val="en-GB"/>
        </w:rPr>
        <w:t xml:space="preserve"> </w:t>
      </w:r>
      <w:r w:rsidRPr="00965149">
        <w:rPr>
          <w:rFonts w:ascii="Arial" w:hAnsi="Arial" w:cs="Arial"/>
          <w:bCs/>
          <w:i/>
          <w:lang w:val="en-GB"/>
        </w:rPr>
        <w:t xml:space="preserve">et al., </w:t>
      </w:r>
      <w:r w:rsidRPr="00965149">
        <w:rPr>
          <w:rFonts w:ascii="Arial" w:hAnsi="Arial" w:cs="Arial"/>
          <w:bCs/>
          <w:lang w:val="en-GB"/>
        </w:rPr>
        <w:t xml:space="preserve">2021). This allows the company to showcase that they care about their candidate and leaves a positive impression which can translate to better engagement outcomes. The company doing so can help them to attract more candidates as more than 87% of the candidate are likely to join the company by the engagement and impression shown by the company in the recruitment process (Shuck, 2019). </w:t>
      </w:r>
    </w:p>
    <w:p w14:paraId="00000017" w14:textId="77777777" w:rsidR="00B817F7" w:rsidRPr="00965149" w:rsidRDefault="00000000" w:rsidP="00965149">
      <w:pPr>
        <w:rPr>
          <w:rFonts w:ascii="Arial" w:hAnsi="Arial" w:cs="Arial"/>
          <w:bCs/>
          <w:lang w:val="en-GB"/>
        </w:rPr>
      </w:pPr>
      <w:r w:rsidRPr="00965149">
        <w:rPr>
          <w:rFonts w:ascii="Arial" w:hAnsi="Arial" w:cs="Arial"/>
          <w:bCs/>
          <w:i/>
          <w:lang w:val="en-GB"/>
        </w:rPr>
        <w:t>Onboarding</w:t>
      </w:r>
      <w:r w:rsidRPr="00965149">
        <w:rPr>
          <w:rFonts w:ascii="Arial" w:hAnsi="Arial" w:cs="Arial"/>
          <w:bCs/>
          <w:lang w:val="en-GB"/>
        </w:rPr>
        <w:t xml:space="preserve"> is the third stage of the employee life cycle where the company </w:t>
      </w:r>
      <w:proofErr w:type="gramStart"/>
      <w:r w:rsidRPr="00965149">
        <w:rPr>
          <w:rFonts w:ascii="Arial" w:hAnsi="Arial" w:cs="Arial"/>
          <w:bCs/>
          <w:lang w:val="en-GB"/>
        </w:rPr>
        <w:t>have to</w:t>
      </w:r>
      <w:proofErr w:type="gramEnd"/>
      <w:r w:rsidRPr="00965149">
        <w:rPr>
          <w:rFonts w:ascii="Arial" w:hAnsi="Arial" w:cs="Arial"/>
          <w:bCs/>
          <w:lang w:val="en-GB"/>
        </w:rPr>
        <w:t xml:space="preserve"> create employee engagement as it can also contribute to the success of the organisation. It is one of the important stages of the employee life cycle where the organisation needs to create engagement as it is about helping the new employees to blend into the corporate culture. The company can engage the employees in the onboarding stage of the employee life cycle by providing real-time communication. The company providing real-time communication can help the employees to stay updated while also sharing ideas and reporting problems2019 (</w:t>
      </w:r>
      <w:proofErr w:type="spellStart"/>
      <w:r w:rsidRPr="00965149">
        <w:rPr>
          <w:rFonts w:ascii="Arial" w:hAnsi="Arial" w:cs="Arial"/>
          <w:bCs/>
          <w:lang w:val="en-GB"/>
        </w:rPr>
        <w:t>Maddrell</w:t>
      </w:r>
      <w:proofErr w:type="spellEnd"/>
      <w:r w:rsidRPr="00965149">
        <w:rPr>
          <w:rFonts w:ascii="Arial" w:hAnsi="Arial" w:cs="Arial"/>
          <w:bCs/>
          <w:lang w:val="en-GB"/>
        </w:rPr>
        <w:t xml:space="preserve"> </w:t>
      </w:r>
      <w:r w:rsidRPr="00965149">
        <w:rPr>
          <w:rFonts w:ascii="Arial" w:hAnsi="Arial" w:cs="Arial"/>
          <w:bCs/>
          <w:i/>
          <w:lang w:val="en-GB"/>
        </w:rPr>
        <w:t>et al.</w:t>
      </w:r>
      <w:proofErr w:type="gramStart"/>
      <w:r w:rsidRPr="00965149">
        <w:rPr>
          <w:rFonts w:ascii="Arial" w:hAnsi="Arial" w:cs="Arial"/>
          <w:bCs/>
          <w:i/>
          <w:lang w:val="en-GB"/>
        </w:rPr>
        <w:t xml:space="preserve">, </w:t>
      </w:r>
      <w:r w:rsidRPr="00965149">
        <w:rPr>
          <w:rFonts w:ascii="Arial" w:hAnsi="Arial" w:cs="Arial"/>
          <w:bCs/>
          <w:lang w:val="en-GB"/>
        </w:rPr>
        <w:t>)</w:t>
      </w:r>
      <w:proofErr w:type="gramEnd"/>
      <w:r w:rsidRPr="00965149">
        <w:rPr>
          <w:rFonts w:ascii="Arial" w:hAnsi="Arial" w:cs="Arial"/>
          <w:bCs/>
          <w:lang w:val="en-GB"/>
        </w:rPr>
        <w:t xml:space="preserve">. This will help the employees to understand the goal and vision of the organisation while also enhancing the sense of belongingness of the employees. This results in enhancing the engagement of the employees which contributes to enhancing the overall performance of the employees. The company also needs to provide timely push notifications to newly recruit employees and provide needed tools which are needed to complete the assigned task in an effective manner. The company also needs to monitor the recruit continuously and provide real-time feedback </w:t>
      </w:r>
      <w:r w:rsidRPr="00965149">
        <w:rPr>
          <w:rFonts w:ascii="Arial" w:hAnsi="Arial" w:cs="Arial"/>
          <w:bCs/>
          <w:lang w:val="en-GB"/>
        </w:rPr>
        <w:lastRenderedPageBreak/>
        <w:t>which can enhance their engagement within the workplace and leads to employees performing at a higher level (</w:t>
      </w:r>
      <w:proofErr w:type="spellStart"/>
      <w:r w:rsidRPr="00965149">
        <w:rPr>
          <w:rFonts w:ascii="Arial" w:hAnsi="Arial" w:cs="Arial"/>
          <w:bCs/>
          <w:lang w:val="en-GB"/>
        </w:rPr>
        <w:t>Panteli</w:t>
      </w:r>
      <w:proofErr w:type="spellEnd"/>
      <w:r w:rsidRPr="00965149">
        <w:rPr>
          <w:rFonts w:ascii="Arial" w:hAnsi="Arial" w:cs="Arial"/>
          <w:bCs/>
          <w:lang w:val="en-GB"/>
        </w:rPr>
        <w:t xml:space="preserve"> </w:t>
      </w:r>
      <w:r w:rsidRPr="00965149">
        <w:rPr>
          <w:rFonts w:ascii="Arial" w:hAnsi="Arial" w:cs="Arial"/>
          <w:bCs/>
          <w:i/>
          <w:lang w:val="en-GB"/>
        </w:rPr>
        <w:t xml:space="preserve">et al., </w:t>
      </w:r>
      <w:r w:rsidRPr="00965149">
        <w:rPr>
          <w:rFonts w:ascii="Arial" w:hAnsi="Arial" w:cs="Arial"/>
          <w:bCs/>
          <w:lang w:val="en-GB"/>
        </w:rPr>
        <w:t xml:space="preserve">2019).  </w:t>
      </w:r>
    </w:p>
    <w:p w14:paraId="00000018" w14:textId="77777777" w:rsidR="00B817F7" w:rsidRPr="00965149" w:rsidRDefault="00000000" w:rsidP="00965149">
      <w:pPr>
        <w:rPr>
          <w:rFonts w:ascii="Arial" w:hAnsi="Arial" w:cs="Arial"/>
          <w:bCs/>
          <w:lang w:val="en-GB"/>
        </w:rPr>
      </w:pPr>
      <w:r w:rsidRPr="00965149">
        <w:rPr>
          <w:rFonts w:ascii="Arial" w:hAnsi="Arial" w:cs="Arial"/>
          <w:bCs/>
          <w:i/>
          <w:lang w:val="en-GB"/>
        </w:rPr>
        <w:t xml:space="preserve">Employee retention </w:t>
      </w:r>
      <w:r w:rsidRPr="00965149">
        <w:rPr>
          <w:rFonts w:ascii="Arial" w:hAnsi="Arial" w:cs="Arial"/>
          <w:bCs/>
          <w:lang w:val="en-GB"/>
        </w:rPr>
        <w:t xml:space="preserve">is the fourth stage and the longest part of the employee life cycle as the company needs to continuously engage the employees to build a productive and stable workforce. Thus, it is also important for the company to focus on this stage of the employee life cycle as it can help the company to save the time and money spent on the recruitment process. Thus, there are also several strategies to engage the employees during this stage and one of the strategies include providing upskilling opportunities and independent learning. The hospitality companies doing so can effectively engage the employees as the employees can work at their own pace and complete the task effectively. The company also needs to provide opportunities to transition into meaningful and new roles. This can enhance the motivation of the employees which results in enhancing the engagement as the employees perform in a better manner (Kang and Sung, 2019). The company also needs to foster a culture of learning to engage the employees during the retention stage as it also contributes to enhancing the engagement of the employees. The company developing a culture of learning allows the employees to learn continuously in everyday activities and develop themself in their professional careers (Turner and Turner, 2020).   </w:t>
      </w:r>
    </w:p>
    <w:p w14:paraId="00000019" w14:textId="77777777" w:rsidR="00B817F7" w:rsidRPr="00965149" w:rsidRDefault="00000000" w:rsidP="00965149">
      <w:pPr>
        <w:rPr>
          <w:rFonts w:ascii="Arial" w:hAnsi="Arial" w:cs="Arial"/>
          <w:bCs/>
          <w:lang w:val="en-GB"/>
        </w:rPr>
      </w:pPr>
      <w:r w:rsidRPr="00965149">
        <w:rPr>
          <w:rFonts w:ascii="Arial" w:hAnsi="Arial" w:cs="Arial"/>
          <w:bCs/>
          <w:lang w:val="en-GB"/>
        </w:rPr>
        <w:t xml:space="preserve">The fifth stage of the employee life cycle includes </w:t>
      </w:r>
      <w:r w:rsidRPr="00965149">
        <w:rPr>
          <w:rFonts w:ascii="Arial" w:hAnsi="Arial" w:cs="Arial"/>
          <w:bCs/>
          <w:i/>
          <w:lang w:val="en-GB"/>
        </w:rPr>
        <w:t xml:space="preserve">development </w:t>
      </w:r>
      <w:r w:rsidRPr="00965149">
        <w:rPr>
          <w:rFonts w:ascii="Arial" w:hAnsi="Arial" w:cs="Arial"/>
          <w:bCs/>
          <w:lang w:val="en-GB"/>
        </w:rPr>
        <w:t xml:space="preserve">where the employees do not just work within the organisation but also grow by learning during their professional careers. Thus, it is important for different organisations like Visit Britain and Hays Travels to engage the employees as employees feel engaged and happy while learning new and useful things within the workplace. During this stage of the employee life cycle, the organisation needs to provide work-life balance while also providing career development opportunities to its employees (Geisler </w:t>
      </w:r>
      <w:r w:rsidRPr="00965149">
        <w:rPr>
          <w:rFonts w:ascii="Arial" w:hAnsi="Arial" w:cs="Arial"/>
          <w:bCs/>
          <w:i/>
          <w:lang w:val="en-GB"/>
        </w:rPr>
        <w:t xml:space="preserve">et al., </w:t>
      </w:r>
      <w:r w:rsidRPr="00965149">
        <w:rPr>
          <w:rFonts w:ascii="Arial" w:hAnsi="Arial" w:cs="Arial"/>
          <w:bCs/>
          <w:lang w:val="en-GB"/>
        </w:rPr>
        <w:t>2019). This will allow the employees to learn and develop new skills and knowledge and get engaged within the workplace. Additionally, the company also needs to provide rewards and recognition while also providing role consistency to its employees to engage the employees effectively during this stage. The company doing so can help the employees to get engaged within their role and improve their job satisfaction which can also contribute to enhancing the overall productivity of the organisation (</w:t>
      </w:r>
      <w:proofErr w:type="spellStart"/>
      <w:r w:rsidRPr="00965149">
        <w:rPr>
          <w:rFonts w:ascii="Arial" w:hAnsi="Arial" w:cs="Arial"/>
          <w:bCs/>
          <w:lang w:val="en-GB"/>
        </w:rPr>
        <w:t>Shrotryia</w:t>
      </w:r>
      <w:proofErr w:type="spellEnd"/>
      <w:r w:rsidRPr="00965149">
        <w:rPr>
          <w:rFonts w:ascii="Arial" w:hAnsi="Arial" w:cs="Arial"/>
          <w:bCs/>
          <w:lang w:val="en-GB"/>
        </w:rPr>
        <w:t xml:space="preserve"> and </w:t>
      </w:r>
      <w:proofErr w:type="spellStart"/>
      <w:r w:rsidRPr="00965149">
        <w:rPr>
          <w:rFonts w:ascii="Arial" w:hAnsi="Arial" w:cs="Arial"/>
          <w:bCs/>
          <w:lang w:val="en-GB"/>
        </w:rPr>
        <w:t>Dhanda</w:t>
      </w:r>
      <w:proofErr w:type="spellEnd"/>
      <w:r w:rsidRPr="00965149">
        <w:rPr>
          <w:rFonts w:ascii="Arial" w:hAnsi="Arial" w:cs="Arial"/>
          <w:bCs/>
          <w:lang w:val="en-GB"/>
        </w:rPr>
        <w:t xml:space="preserve">, 2019).    </w:t>
      </w:r>
    </w:p>
    <w:p w14:paraId="0000001A" w14:textId="77777777" w:rsidR="00B817F7" w:rsidRPr="00965149" w:rsidRDefault="00000000" w:rsidP="00965149">
      <w:pPr>
        <w:rPr>
          <w:rFonts w:ascii="Arial" w:hAnsi="Arial" w:cs="Arial"/>
          <w:bCs/>
          <w:lang w:val="en-GB"/>
        </w:rPr>
      </w:pPr>
      <w:r w:rsidRPr="00965149">
        <w:rPr>
          <w:rFonts w:ascii="Arial" w:hAnsi="Arial" w:cs="Arial"/>
          <w:bCs/>
          <w:i/>
          <w:lang w:val="en-GB"/>
        </w:rPr>
        <w:lastRenderedPageBreak/>
        <w:t xml:space="preserve">Separation </w:t>
      </w:r>
      <w:r w:rsidRPr="00965149">
        <w:rPr>
          <w:rFonts w:ascii="Arial" w:hAnsi="Arial" w:cs="Arial"/>
          <w:bCs/>
          <w:lang w:val="en-GB"/>
        </w:rPr>
        <w:t xml:space="preserve">is the final stage of the employee life cycle where the employee decides to separate from the organisation which is also one of the important stages where the organisation needs to engage their employees. The employees need to engage the employees in this stage as it can act as a source of new hire referrals. There are several strategies for engaging the employees in this stage and one of the strategies include conducting exit interview to understand the experience of the employees within the organisation (Nurmi and </w:t>
      </w:r>
      <w:proofErr w:type="spellStart"/>
      <w:r w:rsidRPr="00965149">
        <w:rPr>
          <w:rFonts w:ascii="Arial" w:hAnsi="Arial" w:cs="Arial"/>
          <w:bCs/>
          <w:lang w:val="en-GB"/>
        </w:rPr>
        <w:t>Varis</w:t>
      </w:r>
      <w:proofErr w:type="spellEnd"/>
      <w:r w:rsidRPr="00965149">
        <w:rPr>
          <w:rFonts w:ascii="Arial" w:hAnsi="Arial" w:cs="Arial"/>
          <w:bCs/>
          <w:lang w:val="en-GB"/>
        </w:rPr>
        <w:t xml:space="preserve">, 2021). This increases the morale of the employees as the employees feel like the organisation care about the organisation and the loss of the human workforce. This will allow the employees to build a substantial network with their ex-colleagues as more than 37% of the ex-employees are likely to suggest employment recommendations and referrals (Cattermole, 2019).  </w:t>
      </w:r>
    </w:p>
    <w:p w14:paraId="0000001B" w14:textId="77777777" w:rsidR="00B817F7" w:rsidRPr="00965149" w:rsidRDefault="00000000" w:rsidP="00965149">
      <w:pPr>
        <w:rPr>
          <w:rFonts w:ascii="Arial" w:hAnsi="Arial" w:cs="Arial"/>
          <w:bCs/>
          <w:lang w:val="en-GB"/>
        </w:rPr>
      </w:pPr>
      <w:r w:rsidRPr="00965149">
        <w:rPr>
          <w:rFonts w:ascii="Arial" w:hAnsi="Arial" w:cs="Arial"/>
          <w:bCs/>
          <w:lang w:val="en-GB"/>
        </w:rPr>
        <w:t xml:space="preserve">The different hospitality companies such as Visit </w:t>
      </w:r>
      <w:proofErr w:type="spellStart"/>
      <w:r w:rsidRPr="00965149">
        <w:rPr>
          <w:rFonts w:ascii="Arial" w:hAnsi="Arial" w:cs="Arial"/>
          <w:bCs/>
          <w:lang w:val="en-GB"/>
        </w:rPr>
        <w:t>Briain</w:t>
      </w:r>
      <w:proofErr w:type="spellEnd"/>
      <w:r w:rsidRPr="00965149">
        <w:rPr>
          <w:rFonts w:ascii="Arial" w:hAnsi="Arial" w:cs="Arial"/>
          <w:bCs/>
          <w:lang w:val="en-GB"/>
        </w:rPr>
        <w:t xml:space="preserve"> approaching employee engagement as the business strategy can provide various benefits to teams as well as organisations. It is because highly engaged business organisation shares the same experience and practices. Employee engagement programs during the employee lifecycle can reduce absenteeism as the employees are likely to not take the day off for no reason as they are highly engaged within the workplace. The company such as Hays Travel managing employee engagement in the employee lifecycle can reduce absenteeism as the hospitality industry experienced 41% absenteeism (</w:t>
      </w:r>
      <w:proofErr w:type="spellStart"/>
      <w:r w:rsidRPr="00965149">
        <w:rPr>
          <w:rFonts w:ascii="Arial" w:hAnsi="Arial" w:cs="Arial"/>
          <w:bCs/>
          <w:lang w:val="en-GB"/>
        </w:rPr>
        <w:t>Maltseva</w:t>
      </w:r>
      <w:proofErr w:type="spellEnd"/>
      <w:r w:rsidRPr="00965149">
        <w:rPr>
          <w:rFonts w:ascii="Arial" w:hAnsi="Arial" w:cs="Arial"/>
          <w:bCs/>
          <w:lang w:val="en-GB"/>
        </w:rPr>
        <w:t>, 2020). Furthermore, it also increases the productivity of the team within the workplace of the hospitality industry as employees share common goals and communicate effectively in a highly engaged workplace. This attitude of the employees allows them to work proactively which leads to increasing productivity within the hospitality industry. The hospitality industry providing an engaged working environment also helps to provide a dependable and stable workplace which enhances the commitment of the employee to provide quality work. Thus, the hospitality industry needs to ensure safety and health regulation which results in 70% fewer safety incidents (Nazir and Islam, 2020).</w:t>
      </w:r>
    </w:p>
    <w:p w14:paraId="0000001E" w14:textId="7D5FE73F" w:rsidR="00B817F7" w:rsidRPr="00965149" w:rsidRDefault="00000000" w:rsidP="00965149">
      <w:pPr>
        <w:pStyle w:val="Heading1"/>
        <w:rPr>
          <w:rFonts w:ascii="Arial" w:hAnsi="Arial" w:cs="Arial"/>
          <w:b w:val="0"/>
          <w:bCs/>
          <w:lang w:val="en-GB"/>
        </w:rPr>
      </w:pPr>
      <w:bookmarkStart w:id="10" w:name="_10ue2w17gpmz" w:colFirst="0" w:colLast="0"/>
      <w:bookmarkStart w:id="11" w:name="_gwmj7shfessu" w:colFirst="0" w:colLast="0"/>
      <w:bookmarkEnd w:id="10"/>
      <w:bookmarkEnd w:id="11"/>
      <w:r w:rsidRPr="00965149">
        <w:rPr>
          <w:rFonts w:ascii="Arial" w:hAnsi="Arial" w:cs="Arial"/>
          <w:b w:val="0"/>
          <w:bCs/>
          <w:lang w:val="en-GB"/>
        </w:rPr>
        <w:lastRenderedPageBreak/>
        <w:t xml:space="preserve">The above essay concluded with personal resourcing and development and covered different points related to the essay topic. The essay has briefly covered how employees can be kept engaged within the workplace throughout their life cycle of the employees. From the above essay, </w:t>
      </w:r>
      <w:proofErr w:type="gramStart"/>
      <w:r w:rsidRPr="00965149">
        <w:rPr>
          <w:rFonts w:ascii="Arial" w:hAnsi="Arial" w:cs="Arial"/>
          <w:b w:val="0"/>
          <w:bCs/>
          <w:lang w:val="en-GB"/>
        </w:rPr>
        <w:t>it can be seen that employee</w:t>
      </w:r>
      <w:proofErr w:type="gramEnd"/>
      <w:r w:rsidRPr="00965149">
        <w:rPr>
          <w:rFonts w:ascii="Arial" w:hAnsi="Arial" w:cs="Arial"/>
          <w:b w:val="0"/>
          <w:bCs/>
          <w:lang w:val="en-GB"/>
        </w:rPr>
        <w:t xml:space="preserve"> engagement in the employee lifecycle has become important as it can provide several benefits to the organisation. It has also been concluded that there are six major stages of the employee life cycle which include “attraction, recruitment, onboarding, development, retention and separation”. It has also been found that engaging the employees in the employee life cycle can reduce absenteeism and increase the productivity of the organisation which can help them to achieve the organisational goals effectively. </w:t>
      </w:r>
      <w:r w:rsidRPr="00965149">
        <w:rPr>
          <w:rFonts w:ascii="Arial" w:hAnsi="Arial" w:cs="Arial"/>
          <w:b w:val="0"/>
          <w:bCs/>
          <w:lang w:val="en-GB"/>
        </w:rPr>
        <w:br w:type="page"/>
      </w:r>
    </w:p>
    <w:p w14:paraId="0000001F" w14:textId="77777777" w:rsidR="00B817F7" w:rsidRPr="00965149" w:rsidRDefault="00000000" w:rsidP="00965149">
      <w:pPr>
        <w:pStyle w:val="Heading1"/>
        <w:rPr>
          <w:rFonts w:ascii="Arial" w:hAnsi="Arial" w:cs="Arial"/>
          <w:b w:val="0"/>
          <w:bCs/>
          <w:lang w:val="en-GB"/>
        </w:rPr>
      </w:pPr>
      <w:bookmarkStart w:id="12" w:name="_ny6ey2qxwhln" w:colFirst="0" w:colLast="0"/>
      <w:bookmarkEnd w:id="12"/>
      <w:r w:rsidRPr="00965149">
        <w:rPr>
          <w:rFonts w:ascii="Arial" w:hAnsi="Arial" w:cs="Arial"/>
          <w:b w:val="0"/>
          <w:bCs/>
          <w:lang w:val="en-GB"/>
        </w:rPr>
        <w:lastRenderedPageBreak/>
        <w:t>References</w:t>
      </w:r>
    </w:p>
    <w:p w14:paraId="64CA36CC" w14:textId="77777777" w:rsidR="00537618" w:rsidRPr="00965149" w:rsidRDefault="00000000" w:rsidP="00965149">
      <w:pPr>
        <w:rPr>
          <w:rFonts w:ascii="Arial" w:hAnsi="Arial" w:cs="Arial"/>
          <w:bCs/>
          <w:lang w:val="en-GB"/>
        </w:rPr>
      </w:pPr>
      <w:r w:rsidRPr="00965149">
        <w:rPr>
          <w:rFonts w:ascii="Arial" w:hAnsi="Arial" w:cs="Arial"/>
          <w:bCs/>
          <w:lang w:val="en-GB"/>
        </w:rPr>
        <w:t>Cattermole, G., (2019). Developing the employee lifecycle to keep top talent. Strategic HR review, 18(6), pp.258-262.</w:t>
      </w:r>
    </w:p>
    <w:p w14:paraId="3CA51843" w14:textId="77777777" w:rsidR="00537618" w:rsidRPr="00965149" w:rsidRDefault="00000000" w:rsidP="00965149">
      <w:pPr>
        <w:rPr>
          <w:rFonts w:ascii="Arial" w:hAnsi="Arial" w:cs="Arial"/>
          <w:bCs/>
          <w:lang w:val="en-GB"/>
        </w:rPr>
      </w:pPr>
      <w:r w:rsidRPr="00965149">
        <w:rPr>
          <w:rFonts w:ascii="Arial" w:hAnsi="Arial" w:cs="Arial"/>
          <w:bCs/>
          <w:lang w:val="en-GB"/>
        </w:rPr>
        <w:t>Cattermole, G., (2019). Developing the employee lifecycle to keep top talent. Strategic HR review, 18(6), pp.258-262.</w:t>
      </w:r>
    </w:p>
    <w:p w14:paraId="24A08840" w14:textId="77777777" w:rsidR="00537618" w:rsidRPr="00965149" w:rsidRDefault="00000000" w:rsidP="00965149">
      <w:pPr>
        <w:rPr>
          <w:rFonts w:ascii="Arial" w:hAnsi="Arial" w:cs="Arial"/>
          <w:bCs/>
          <w:lang w:val="en-GB"/>
        </w:rPr>
      </w:pPr>
      <w:r w:rsidRPr="00965149">
        <w:rPr>
          <w:rFonts w:ascii="Arial" w:hAnsi="Arial" w:cs="Arial"/>
          <w:bCs/>
          <w:lang w:val="en-GB"/>
        </w:rPr>
        <w:t xml:space="preserve">Geisler, M., Berthelsen, H. and </w:t>
      </w:r>
      <w:proofErr w:type="spellStart"/>
      <w:r w:rsidRPr="00965149">
        <w:rPr>
          <w:rFonts w:ascii="Arial" w:hAnsi="Arial" w:cs="Arial"/>
          <w:bCs/>
          <w:lang w:val="en-GB"/>
        </w:rPr>
        <w:t>Muhonen</w:t>
      </w:r>
      <w:proofErr w:type="spellEnd"/>
      <w:r w:rsidRPr="00965149">
        <w:rPr>
          <w:rFonts w:ascii="Arial" w:hAnsi="Arial" w:cs="Arial"/>
          <w:bCs/>
          <w:lang w:val="en-GB"/>
        </w:rPr>
        <w:t>, T., (2019). Retaining social workers: The role of quality of work and psychosocial safety climate for work engagement, job satisfaction, and organizational commitment. Human Service Organizations: Management, Leadership &amp; Governance, 43(1), pp.1-15.</w:t>
      </w:r>
    </w:p>
    <w:p w14:paraId="3D97C4C9" w14:textId="77777777" w:rsidR="00537618" w:rsidRPr="00965149" w:rsidRDefault="00000000" w:rsidP="00965149">
      <w:pPr>
        <w:rPr>
          <w:rFonts w:ascii="Arial" w:hAnsi="Arial" w:cs="Arial"/>
          <w:bCs/>
          <w:lang w:val="en-GB"/>
        </w:rPr>
      </w:pPr>
      <w:proofErr w:type="spellStart"/>
      <w:r w:rsidRPr="00965149">
        <w:rPr>
          <w:rFonts w:ascii="Arial" w:hAnsi="Arial" w:cs="Arial"/>
          <w:bCs/>
          <w:lang w:val="en-GB"/>
        </w:rPr>
        <w:t>Hinzmann</w:t>
      </w:r>
      <w:proofErr w:type="spellEnd"/>
      <w:r w:rsidRPr="00965149">
        <w:rPr>
          <w:rFonts w:ascii="Arial" w:hAnsi="Arial" w:cs="Arial"/>
          <w:bCs/>
          <w:lang w:val="en-GB"/>
        </w:rPr>
        <w:t xml:space="preserve">, R.A., </w:t>
      </w:r>
      <w:proofErr w:type="spellStart"/>
      <w:r w:rsidRPr="00965149">
        <w:rPr>
          <w:rFonts w:ascii="Arial" w:hAnsi="Arial" w:cs="Arial"/>
          <w:bCs/>
          <w:lang w:val="en-GB"/>
        </w:rPr>
        <w:t>Rašticová</w:t>
      </w:r>
      <w:proofErr w:type="spellEnd"/>
      <w:r w:rsidRPr="00965149">
        <w:rPr>
          <w:rFonts w:ascii="Arial" w:hAnsi="Arial" w:cs="Arial"/>
          <w:bCs/>
          <w:lang w:val="en-GB"/>
        </w:rPr>
        <w:t xml:space="preserve">, M. and </w:t>
      </w:r>
      <w:proofErr w:type="spellStart"/>
      <w:r w:rsidRPr="00965149">
        <w:rPr>
          <w:rFonts w:ascii="Arial" w:hAnsi="Arial" w:cs="Arial"/>
          <w:bCs/>
          <w:lang w:val="en-GB"/>
        </w:rPr>
        <w:t>Šácha</w:t>
      </w:r>
      <w:proofErr w:type="spellEnd"/>
      <w:r w:rsidRPr="00965149">
        <w:rPr>
          <w:rFonts w:ascii="Arial" w:hAnsi="Arial" w:cs="Arial"/>
          <w:bCs/>
          <w:lang w:val="en-GB"/>
        </w:rPr>
        <w:t xml:space="preserve">, J., (2019). Factors of employee engagement at the workplace. Do years of service </w:t>
      </w:r>
      <w:proofErr w:type="gramStart"/>
      <w:r w:rsidRPr="00965149">
        <w:rPr>
          <w:rFonts w:ascii="Arial" w:hAnsi="Arial" w:cs="Arial"/>
          <w:bCs/>
          <w:lang w:val="en-GB"/>
        </w:rPr>
        <w:t>count?.</w:t>
      </w:r>
      <w:proofErr w:type="gramEnd"/>
      <w:r w:rsidRPr="00965149">
        <w:rPr>
          <w:rFonts w:ascii="Arial" w:hAnsi="Arial" w:cs="Arial"/>
          <w:bCs/>
          <w:lang w:val="en-GB"/>
        </w:rPr>
        <w:t xml:space="preserve"> Acta Universitatis </w:t>
      </w:r>
      <w:proofErr w:type="spellStart"/>
      <w:r w:rsidRPr="00965149">
        <w:rPr>
          <w:rFonts w:ascii="Arial" w:hAnsi="Arial" w:cs="Arial"/>
          <w:bCs/>
          <w:lang w:val="en-GB"/>
        </w:rPr>
        <w:t>Agriculturae</w:t>
      </w:r>
      <w:proofErr w:type="spellEnd"/>
      <w:r w:rsidRPr="00965149">
        <w:rPr>
          <w:rFonts w:ascii="Arial" w:hAnsi="Arial" w:cs="Arial"/>
          <w:bCs/>
          <w:lang w:val="en-GB"/>
        </w:rPr>
        <w:t xml:space="preserve"> et </w:t>
      </w:r>
      <w:proofErr w:type="spellStart"/>
      <w:r w:rsidRPr="00965149">
        <w:rPr>
          <w:rFonts w:ascii="Arial" w:hAnsi="Arial" w:cs="Arial"/>
          <w:bCs/>
          <w:lang w:val="en-GB"/>
        </w:rPr>
        <w:t>Silviculturae</w:t>
      </w:r>
      <w:proofErr w:type="spellEnd"/>
      <w:r w:rsidRPr="00965149">
        <w:rPr>
          <w:rFonts w:ascii="Arial" w:hAnsi="Arial" w:cs="Arial"/>
          <w:bCs/>
          <w:lang w:val="en-GB"/>
        </w:rPr>
        <w:t xml:space="preserve"> </w:t>
      </w:r>
      <w:proofErr w:type="spellStart"/>
      <w:r w:rsidRPr="00965149">
        <w:rPr>
          <w:rFonts w:ascii="Arial" w:hAnsi="Arial" w:cs="Arial"/>
          <w:bCs/>
          <w:lang w:val="en-GB"/>
        </w:rPr>
        <w:t>Mendelianae</w:t>
      </w:r>
      <w:proofErr w:type="spellEnd"/>
      <w:r w:rsidRPr="00965149">
        <w:rPr>
          <w:rFonts w:ascii="Arial" w:hAnsi="Arial" w:cs="Arial"/>
          <w:bCs/>
          <w:lang w:val="en-GB"/>
        </w:rPr>
        <w:t xml:space="preserve"> </w:t>
      </w:r>
      <w:proofErr w:type="spellStart"/>
      <w:r w:rsidRPr="00965149">
        <w:rPr>
          <w:rFonts w:ascii="Arial" w:hAnsi="Arial" w:cs="Arial"/>
          <w:bCs/>
          <w:lang w:val="en-GB"/>
        </w:rPr>
        <w:t>Brunensis</w:t>
      </w:r>
      <w:proofErr w:type="spellEnd"/>
      <w:r w:rsidRPr="00965149">
        <w:rPr>
          <w:rFonts w:ascii="Arial" w:hAnsi="Arial" w:cs="Arial"/>
          <w:bCs/>
          <w:lang w:val="en-GB"/>
        </w:rPr>
        <w:t>.</w:t>
      </w:r>
    </w:p>
    <w:p w14:paraId="02651C14" w14:textId="77777777" w:rsidR="00537618" w:rsidRPr="00965149" w:rsidRDefault="00000000" w:rsidP="00965149">
      <w:pPr>
        <w:rPr>
          <w:rFonts w:ascii="Arial" w:hAnsi="Arial" w:cs="Arial"/>
          <w:bCs/>
          <w:lang w:val="en-GB"/>
        </w:rPr>
      </w:pPr>
      <w:r w:rsidRPr="00965149">
        <w:rPr>
          <w:rFonts w:ascii="Arial" w:hAnsi="Arial" w:cs="Arial"/>
          <w:bCs/>
          <w:lang w:val="en-GB"/>
        </w:rPr>
        <w:t>Jackson, E.A., (2019). Informal employment.</w:t>
      </w:r>
    </w:p>
    <w:p w14:paraId="7BF2E28F" w14:textId="77777777" w:rsidR="00537618" w:rsidRPr="00965149" w:rsidRDefault="00000000" w:rsidP="00965149">
      <w:pPr>
        <w:rPr>
          <w:rFonts w:ascii="Arial" w:hAnsi="Arial" w:cs="Arial"/>
          <w:bCs/>
          <w:lang w:val="en-GB"/>
        </w:rPr>
      </w:pPr>
      <w:r w:rsidRPr="00965149">
        <w:rPr>
          <w:rFonts w:ascii="Arial" w:hAnsi="Arial" w:cs="Arial"/>
          <w:bCs/>
          <w:lang w:val="en-GB"/>
        </w:rPr>
        <w:t>Kang, M. and Sung, M., (2019). To leave or not to leave: the effects of perceptions of organizational justice on employee turnover intention via employee-organization relationship and employee job engagement. Journal of Public Relations Research, 31(5-6), pp.152-175.</w:t>
      </w:r>
    </w:p>
    <w:p w14:paraId="2FEA8A1A" w14:textId="77777777" w:rsidR="00537618" w:rsidRPr="00965149" w:rsidRDefault="00000000" w:rsidP="00965149">
      <w:pPr>
        <w:rPr>
          <w:rFonts w:ascii="Arial" w:hAnsi="Arial" w:cs="Arial"/>
          <w:bCs/>
          <w:lang w:val="en-GB"/>
        </w:rPr>
      </w:pPr>
      <w:r w:rsidRPr="00965149">
        <w:rPr>
          <w:rFonts w:ascii="Arial" w:hAnsi="Arial" w:cs="Arial"/>
          <w:bCs/>
          <w:lang w:val="en-GB"/>
        </w:rPr>
        <w:t>Kwon, K. and Park, J., (2019). The life cycle of employee engagement theory in HRD research. Advances in Developing Human Resources, 21(3), pp.352-370.</w:t>
      </w:r>
    </w:p>
    <w:p w14:paraId="53C0E57B" w14:textId="77777777" w:rsidR="00537618" w:rsidRPr="00965149" w:rsidRDefault="00000000" w:rsidP="00965149">
      <w:pPr>
        <w:rPr>
          <w:rFonts w:ascii="Arial" w:hAnsi="Arial" w:cs="Arial"/>
          <w:bCs/>
          <w:lang w:val="en-GB"/>
        </w:rPr>
      </w:pPr>
      <w:proofErr w:type="spellStart"/>
      <w:r w:rsidRPr="00965149">
        <w:rPr>
          <w:rFonts w:ascii="Arial" w:hAnsi="Arial" w:cs="Arial"/>
          <w:bCs/>
          <w:lang w:val="en-GB"/>
        </w:rPr>
        <w:t>Maddrell</w:t>
      </w:r>
      <w:proofErr w:type="spellEnd"/>
      <w:r w:rsidRPr="00965149">
        <w:rPr>
          <w:rFonts w:ascii="Arial" w:hAnsi="Arial" w:cs="Arial"/>
          <w:bCs/>
          <w:lang w:val="en-GB"/>
        </w:rPr>
        <w:t xml:space="preserve">, A., Thomas, N.J. and Wyse, S., (2019). Glass ceilings and stone floors: An intersectional approach to challenges UK geographers face across the career lifecycle. </w:t>
      </w:r>
      <w:proofErr w:type="spellStart"/>
      <w:r w:rsidRPr="00965149">
        <w:rPr>
          <w:rFonts w:ascii="Arial" w:hAnsi="Arial" w:cs="Arial"/>
          <w:bCs/>
          <w:lang w:val="en-GB"/>
        </w:rPr>
        <w:t>Geografiska</w:t>
      </w:r>
      <w:proofErr w:type="spellEnd"/>
      <w:r w:rsidRPr="00965149">
        <w:rPr>
          <w:rFonts w:ascii="Arial" w:hAnsi="Arial" w:cs="Arial"/>
          <w:bCs/>
          <w:lang w:val="en-GB"/>
        </w:rPr>
        <w:t xml:space="preserve"> </w:t>
      </w:r>
      <w:proofErr w:type="spellStart"/>
      <w:r w:rsidRPr="00965149">
        <w:rPr>
          <w:rFonts w:ascii="Arial" w:hAnsi="Arial" w:cs="Arial"/>
          <w:bCs/>
          <w:lang w:val="en-GB"/>
        </w:rPr>
        <w:t>Annaler</w:t>
      </w:r>
      <w:proofErr w:type="spellEnd"/>
      <w:r w:rsidRPr="00965149">
        <w:rPr>
          <w:rFonts w:ascii="Arial" w:hAnsi="Arial" w:cs="Arial"/>
          <w:bCs/>
          <w:lang w:val="en-GB"/>
        </w:rPr>
        <w:t>: Series B, Human Geography, 101(1), pp.7-20.</w:t>
      </w:r>
    </w:p>
    <w:p w14:paraId="2A3077F3" w14:textId="77777777" w:rsidR="00537618" w:rsidRPr="00965149" w:rsidRDefault="00000000" w:rsidP="00965149">
      <w:pPr>
        <w:rPr>
          <w:rFonts w:ascii="Arial" w:hAnsi="Arial" w:cs="Arial"/>
          <w:bCs/>
          <w:lang w:val="en-GB"/>
        </w:rPr>
      </w:pPr>
      <w:proofErr w:type="spellStart"/>
      <w:r w:rsidRPr="00965149">
        <w:rPr>
          <w:rFonts w:ascii="Arial" w:hAnsi="Arial" w:cs="Arial"/>
          <w:bCs/>
          <w:lang w:val="en-GB"/>
        </w:rPr>
        <w:t>Maltseva</w:t>
      </w:r>
      <w:proofErr w:type="spellEnd"/>
      <w:r w:rsidRPr="00965149">
        <w:rPr>
          <w:rFonts w:ascii="Arial" w:hAnsi="Arial" w:cs="Arial"/>
          <w:bCs/>
          <w:lang w:val="en-GB"/>
        </w:rPr>
        <w:t>, K., (2020). Wearables in the workplace: The brave new world of employee engagement. Business Horizons, 63(4), pp.493-505.</w:t>
      </w:r>
    </w:p>
    <w:p w14:paraId="20767E12" w14:textId="77777777" w:rsidR="00537618" w:rsidRPr="00965149" w:rsidRDefault="00000000" w:rsidP="00965149">
      <w:pPr>
        <w:rPr>
          <w:rFonts w:ascii="Arial" w:hAnsi="Arial" w:cs="Arial"/>
          <w:bCs/>
          <w:lang w:val="en-GB"/>
        </w:rPr>
      </w:pPr>
      <w:r w:rsidRPr="00965149">
        <w:rPr>
          <w:rFonts w:ascii="Arial" w:hAnsi="Arial" w:cs="Arial"/>
          <w:bCs/>
          <w:lang w:val="en-GB"/>
        </w:rPr>
        <w:t xml:space="preserve">Nazir, </w:t>
      </w:r>
      <w:proofErr w:type="gramStart"/>
      <w:r w:rsidRPr="00965149">
        <w:rPr>
          <w:rFonts w:ascii="Arial" w:hAnsi="Arial" w:cs="Arial"/>
          <w:bCs/>
          <w:lang w:val="en-GB"/>
        </w:rPr>
        <w:t>O.</w:t>
      </w:r>
      <w:proofErr w:type="gramEnd"/>
      <w:r w:rsidRPr="00965149">
        <w:rPr>
          <w:rFonts w:ascii="Arial" w:hAnsi="Arial" w:cs="Arial"/>
          <w:bCs/>
          <w:lang w:val="en-GB"/>
        </w:rPr>
        <w:t xml:space="preserve"> and Islam, J.U., (2020). Effect of CSR activities on meaningfulness, compassion, and employee engagement: A sense-making theoretical approach. International Journal of Hospitality Management, 90, p.102630.</w:t>
      </w:r>
    </w:p>
    <w:p w14:paraId="7CCF3561" w14:textId="77777777" w:rsidR="00537618" w:rsidRPr="00965149" w:rsidRDefault="00000000" w:rsidP="00965149">
      <w:pPr>
        <w:rPr>
          <w:rFonts w:ascii="Arial" w:hAnsi="Arial" w:cs="Arial"/>
          <w:bCs/>
          <w:lang w:val="en-GB"/>
        </w:rPr>
      </w:pPr>
      <w:r w:rsidRPr="00965149">
        <w:rPr>
          <w:rFonts w:ascii="Arial" w:hAnsi="Arial" w:cs="Arial"/>
          <w:bCs/>
          <w:lang w:val="en-GB"/>
        </w:rPr>
        <w:t xml:space="preserve">Nurmi, K. and </w:t>
      </w:r>
      <w:proofErr w:type="spellStart"/>
      <w:r w:rsidRPr="00965149">
        <w:rPr>
          <w:rFonts w:ascii="Arial" w:hAnsi="Arial" w:cs="Arial"/>
          <w:bCs/>
          <w:lang w:val="en-GB"/>
        </w:rPr>
        <w:t>Varis</w:t>
      </w:r>
      <w:proofErr w:type="spellEnd"/>
      <w:r w:rsidRPr="00965149">
        <w:rPr>
          <w:rFonts w:ascii="Arial" w:hAnsi="Arial" w:cs="Arial"/>
          <w:bCs/>
          <w:lang w:val="en-GB"/>
        </w:rPr>
        <w:t>, K., (2021). How to Improve Employee Engagement in the Hospitability Business by Developing the Employer Brand During the Covid-19 Pandemic-An Action Research Case Study From the UK. American Journal of Management, 21(4), pp.44-66.</w:t>
      </w:r>
    </w:p>
    <w:p w14:paraId="343FB6F6" w14:textId="77777777" w:rsidR="00537618" w:rsidRPr="00965149" w:rsidRDefault="00000000" w:rsidP="00965149">
      <w:pPr>
        <w:rPr>
          <w:rFonts w:ascii="Arial" w:hAnsi="Arial" w:cs="Arial"/>
          <w:bCs/>
          <w:lang w:val="en-GB"/>
        </w:rPr>
      </w:pPr>
      <w:proofErr w:type="spellStart"/>
      <w:r w:rsidRPr="00965149">
        <w:rPr>
          <w:rFonts w:ascii="Arial" w:hAnsi="Arial" w:cs="Arial"/>
          <w:bCs/>
          <w:lang w:val="en-GB"/>
        </w:rPr>
        <w:lastRenderedPageBreak/>
        <w:t>Panteli</w:t>
      </w:r>
      <w:proofErr w:type="spellEnd"/>
      <w:r w:rsidRPr="00965149">
        <w:rPr>
          <w:rFonts w:ascii="Arial" w:hAnsi="Arial" w:cs="Arial"/>
          <w:bCs/>
          <w:lang w:val="en-GB"/>
        </w:rPr>
        <w:t xml:space="preserve">, N., </w:t>
      </w:r>
      <w:proofErr w:type="spellStart"/>
      <w:r w:rsidRPr="00965149">
        <w:rPr>
          <w:rFonts w:ascii="Arial" w:hAnsi="Arial" w:cs="Arial"/>
          <w:bCs/>
          <w:lang w:val="en-GB"/>
        </w:rPr>
        <w:t>Yalabik</w:t>
      </w:r>
      <w:proofErr w:type="spellEnd"/>
      <w:r w:rsidRPr="00965149">
        <w:rPr>
          <w:rFonts w:ascii="Arial" w:hAnsi="Arial" w:cs="Arial"/>
          <w:bCs/>
          <w:lang w:val="en-GB"/>
        </w:rPr>
        <w:t xml:space="preserve">, Z.Y. and </w:t>
      </w:r>
      <w:proofErr w:type="spellStart"/>
      <w:r w:rsidRPr="00965149">
        <w:rPr>
          <w:rFonts w:ascii="Arial" w:hAnsi="Arial" w:cs="Arial"/>
          <w:bCs/>
          <w:lang w:val="en-GB"/>
        </w:rPr>
        <w:t>Rapti</w:t>
      </w:r>
      <w:proofErr w:type="spellEnd"/>
      <w:r w:rsidRPr="00965149">
        <w:rPr>
          <w:rFonts w:ascii="Arial" w:hAnsi="Arial" w:cs="Arial"/>
          <w:bCs/>
          <w:lang w:val="en-GB"/>
        </w:rPr>
        <w:t xml:space="preserve">, A., (2019). Fostering work engagement in </w:t>
      </w:r>
      <w:proofErr w:type="gramStart"/>
      <w:r w:rsidRPr="00965149">
        <w:rPr>
          <w:rFonts w:ascii="Arial" w:hAnsi="Arial" w:cs="Arial"/>
          <w:bCs/>
          <w:lang w:val="en-GB"/>
        </w:rPr>
        <w:t>geographically-dispersed</w:t>
      </w:r>
      <w:proofErr w:type="gramEnd"/>
      <w:r w:rsidRPr="00965149">
        <w:rPr>
          <w:rFonts w:ascii="Arial" w:hAnsi="Arial" w:cs="Arial"/>
          <w:bCs/>
          <w:lang w:val="en-GB"/>
        </w:rPr>
        <w:t xml:space="preserve"> and asynchronous virtual teams. Information Technology &amp; People, 32(1), pp.2-17.</w:t>
      </w:r>
    </w:p>
    <w:p w14:paraId="0B5AC46D" w14:textId="77777777" w:rsidR="00537618" w:rsidRPr="00965149" w:rsidRDefault="00000000" w:rsidP="00965149">
      <w:pPr>
        <w:rPr>
          <w:rFonts w:ascii="Arial" w:hAnsi="Arial" w:cs="Arial"/>
          <w:bCs/>
          <w:lang w:val="en-GB"/>
        </w:rPr>
      </w:pPr>
      <w:proofErr w:type="spellStart"/>
      <w:r w:rsidRPr="00965149">
        <w:rPr>
          <w:rFonts w:ascii="Arial" w:hAnsi="Arial" w:cs="Arial"/>
          <w:bCs/>
          <w:lang w:val="en-GB"/>
        </w:rPr>
        <w:t>Riyanto</w:t>
      </w:r>
      <w:proofErr w:type="spellEnd"/>
      <w:r w:rsidRPr="00965149">
        <w:rPr>
          <w:rFonts w:ascii="Arial" w:hAnsi="Arial" w:cs="Arial"/>
          <w:bCs/>
          <w:lang w:val="en-GB"/>
        </w:rPr>
        <w:t xml:space="preserve">, S., </w:t>
      </w:r>
      <w:proofErr w:type="spellStart"/>
      <w:r w:rsidRPr="00965149">
        <w:rPr>
          <w:rFonts w:ascii="Arial" w:hAnsi="Arial" w:cs="Arial"/>
          <w:bCs/>
          <w:lang w:val="en-GB"/>
        </w:rPr>
        <w:t>Endri</w:t>
      </w:r>
      <w:proofErr w:type="spellEnd"/>
      <w:r w:rsidRPr="00965149">
        <w:rPr>
          <w:rFonts w:ascii="Arial" w:hAnsi="Arial" w:cs="Arial"/>
          <w:bCs/>
          <w:lang w:val="en-GB"/>
        </w:rPr>
        <w:t xml:space="preserve">, E. and </w:t>
      </w:r>
      <w:proofErr w:type="spellStart"/>
      <w:r w:rsidRPr="00965149">
        <w:rPr>
          <w:rFonts w:ascii="Arial" w:hAnsi="Arial" w:cs="Arial"/>
          <w:bCs/>
          <w:lang w:val="en-GB"/>
        </w:rPr>
        <w:t>Herlisha</w:t>
      </w:r>
      <w:proofErr w:type="spellEnd"/>
      <w:r w:rsidRPr="00965149">
        <w:rPr>
          <w:rFonts w:ascii="Arial" w:hAnsi="Arial" w:cs="Arial"/>
          <w:bCs/>
          <w:lang w:val="en-GB"/>
        </w:rPr>
        <w:t>, N., (2021). Effect of work motivation and job satisfaction on employee performance: Mediating role of employee engagement. Problems and Perspectives in Management, 19(3), p.162.</w:t>
      </w:r>
    </w:p>
    <w:p w14:paraId="342E40E5" w14:textId="77777777" w:rsidR="00537618" w:rsidRPr="00965149" w:rsidRDefault="00000000" w:rsidP="00965149">
      <w:pPr>
        <w:rPr>
          <w:rFonts w:ascii="Arial" w:hAnsi="Arial" w:cs="Arial"/>
          <w:bCs/>
          <w:lang w:val="en-GB"/>
        </w:rPr>
      </w:pPr>
      <w:r w:rsidRPr="00965149">
        <w:rPr>
          <w:rFonts w:ascii="Arial" w:hAnsi="Arial" w:cs="Arial"/>
          <w:bCs/>
          <w:lang w:val="en-GB"/>
        </w:rPr>
        <w:t>Saks, A.M., (2022). Caring human resources management and employee engagement. Human Resource Management Review, 32(3), p.100835.</w:t>
      </w:r>
    </w:p>
    <w:p w14:paraId="6D7C6CFA" w14:textId="77777777" w:rsidR="00537618" w:rsidRPr="00965149" w:rsidRDefault="00000000" w:rsidP="00965149">
      <w:pPr>
        <w:rPr>
          <w:rFonts w:ascii="Arial" w:hAnsi="Arial" w:cs="Arial"/>
          <w:bCs/>
          <w:lang w:val="en-GB"/>
        </w:rPr>
      </w:pPr>
      <w:r w:rsidRPr="00965149">
        <w:rPr>
          <w:rFonts w:ascii="Arial" w:hAnsi="Arial" w:cs="Arial"/>
          <w:bCs/>
          <w:lang w:val="en-GB"/>
        </w:rPr>
        <w:t xml:space="preserve">Sato, Y., Kobayashi, N. and </w:t>
      </w:r>
      <w:proofErr w:type="spellStart"/>
      <w:r w:rsidRPr="00965149">
        <w:rPr>
          <w:rFonts w:ascii="Arial" w:hAnsi="Arial" w:cs="Arial"/>
          <w:bCs/>
          <w:lang w:val="en-GB"/>
        </w:rPr>
        <w:t>Shirasaka</w:t>
      </w:r>
      <w:proofErr w:type="spellEnd"/>
      <w:r w:rsidRPr="00965149">
        <w:rPr>
          <w:rFonts w:ascii="Arial" w:hAnsi="Arial" w:cs="Arial"/>
          <w:bCs/>
          <w:lang w:val="en-GB"/>
        </w:rPr>
        <w:t>, S., (2020). An analysis of human resource management for knowledge workers: Using the three axes of target employee, lifecycle stage, and human resource flow. Review of Integrative Business and Economics Research, 9(1), pp.140-156.</w:t>
      </w:r>
    </w:p>
    <w:p w14:paraId="596DA037" w14:textId="77777777" w:rsidR="00537618" w:rsidRPr="00965149" w:rsidRDefault="00000000" w:rsidP="00965149">
      <w:pPr>
        <w:rPr>
          <w:rFonts w:ascii="Arial" w:hAnsi="Arial" w:cs="Arial"/>
          <w:bCs/>
          <w:lang w:val="en-GB"/>
        </w:rPr>
      </w:pPr>
      <w:proofErr w:type="spellStart"/>
      <w:r w:rsidRPr="00965149">
        <w:rPr>
          <w:rFonts w:ascii="Arial" w:hAnsi="Arial" w:cs="Arial"/>
          <w:bCs/>
          <w:lang w:val="en-GB"/>
        </w:rPr>
        <w:t>Shrotryia</w:t>
      </w:r>
      <w:proofErr w:type="spellEnd"/>
      <w:r w:rsidRPr="00965149">
        <w:rPr>
          <w:rFonts w:ascii="Arial" w:hAnsi="Arial" w:cs="Arial"/>
          <w:bCs/>
          <w:lang w:val="en-GB"/>
        </w:rPr>
        <w:t xml:space="preserve">, V.K. and </w:t>
      </w:r>
      <w:proofErr w:type="spellStart"/>
      <w:r w:rsidRPr="00965149">
        <w:rPr>
          <w:rFonts w:ascii="Arial" w:hAnsi="Arial" w:cs="Arial"/>
          <w:bCs/>
          <w:lang w:val="en-GB"/>
        </w:rPr>
        <w:t>Dhanda</w:t>
      </w:r>
      <w:proofErr w:type="spellEnd"/>
      <w:r w:rsidRPr="00965149">
        <w:rPr>
          <w:rFonts w:ascii="Arial" w:hAnsi="Arial" w:cs="Arial"/>
          <w:bCs/>
          <w:lang w:val="en-GB"/>
        </w:rPr>
        <w:t>, U., (2019). Content validity of assessment instrument for employee engagement. Sage Open, 9(1), p.2158244018821751.</w:t>
      </w:r>
    </w:p>
    <w:p w14:paraId="5DA83F50" w14:textId="77777777" w:rsidR="00537618" w:rsidRPr="00965149" w:rsidRDefault="00000000" w:rsidP="00965149">
      <w:pPr>
        <w:rPr>
          <w:rFonts w:ascii="Arial" w:hAnsi="Arial" w:cs="Arial"/>
          <w:bCs/>
          <w:lang w:val="en-GB"/>
        </w:rPr>
      </w:pPr>
      <w:r w:rsidRPr="00965149">
        <w:rPr>
          <w:rFonts w:ascii="Arial" w:hAnsi="Arial" w:cs="Arial"/>
          <w:bCs/>
          <w:lang w:val="en-GB"/>
        </w:rPr>
        <w:t>Shuck, B., (2019). Employee engagement: A research overview.</w:t>
      </w:r>
    </w:p>
    <w:p w14:paraId="1A91B808" w14:textId="77777777" w:rsidR="00537618" w:rsidRPr="00965149" w:rsidRDefault="00000000" w:rsidP="00965149">
      <w:pPr>
        <w:rPr>
          <w:rFonts w:ascii="Arial" w:hAnsi="Arial" w:cs="Arial"/>
          <w:bCs/>
          <w:lang w:val="en-GB"/>
        </w:rPr>
      </w:pPr>
      <w:r w:rsidRPr="00965149">
        <w:rPr>
          <w:rFonts w:ascii="Arial" w:hAnsi="Arial" w:cs="Arial"/>
          <w:bCs/>
          <w:lang w:val="en-GB"/>
        </w:rPr>
        <w:t xml:space="preserve">Sun, L. and </w:t>
      </w:r>
      <w:proofErr w:type="spellStart"/>
      <w:r w:rsidRPr="00965149">
        <w:rPr>
          <w:rFonts w:ascii="Arial" w:hAnsi="Arial" w:cs="Arial"/>
          <w:bCs/>
          <w:lang w:val="en-GB"/>
        </w:rPr>
        <w:t>Bunchapattanasakda</w:t>
      </w:r>
      <w:proofErr w:type="spellEnd"/>
      <w:r w:rsidRPr="00965149">
        <w:rPr>
          <w:rFonts w:ascii="Arial" w:hAnsi="Arial" w:cs="Arial"/>
          <w:bCs/>
          <w:lang w:val="en-GB"/>
        </w:rPr>
        <w:t>, C., (2019). Employee engagement: A literature review. International Journal of Human Resource Studies, 9(1), pp.63-80.</w:t>
      </w:r>
    </w:p>
    <w:p w14:paraId="00000033" w14:textId="318EFF7D" w:rsidR="00B817F7" w:rsidRPr="00965149" w:rsidRDefault="00000000" w:rsidP="00965149">
      <w:pPr>
        <w:rPr>
          <w:rFonts w:ascii="Arial" w:hAnsi="Arial" w:cs="Arial"/>
          <w:bCs/>
          <w:lang w:val="en-GB"/>
        </w:rPr>
      </w:pPr>
      <w:r w:rsidRPr="00965149">
        <w:rPr>
          <w:rFonts w:ascii="Arial" w:hAnsi="Arial" w:cs="Arial"/>
          <w:bCs/>
          <w:lang w:val="en-GB"/>
        </w:rPr>
        <w:t>Turner, P. and Turner, P., (2020). What Is Employee Engagement? (pp. 27-56). Springer International Publishing.</w:t>
      </w:r>
    </w:p>
    <w:sectPr w:rsidR="00B817F7" w:rsidRPr="00965149">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CAA17" w14:textId="77777777" w:rsidR="00D5764C" w:rsidRDefault="00D5764C">
      <w:pPr>
        <w:spacing w:line="240" w:lineRule="auto"/>
      </w:pPr>
      <w:r>
        <w:separator/>
      </w:r>
    </w:p>
  </w:endnote>
  <w:endnote w:type="continuationSeparator" w:id="0">
    <w:p w14:paraId="5CB4CE71" w14:textId="77777777" w:rsidR="00D5764C" w:rsidRDefault="00D576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502E417A" w:rsidR="00B817F7" w:rsidRDefault="00000000">
    <w:pPr>
      <w:jc w:val="right"/>
    </w:pPr>
    <w:r>
      <w:fldChar w:fldCharType="begin"/>
    </w:r>
    <w:r>
      <w:instrText>PAGE</w:instrText>
    </w:r>
    <w:r>
      <w:fldChar w:fldCharType="separate"/>
    </w:r>
    <w:r w:rsidR="0053761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029A5" w14:textId="77777777" w:rsidR="00D5764C" w:rsidRDefault="00D5764C">
      <w:pPr>
        <w:spacing w:line="240" w:lineRule="auto"/>
      </w:pPr>
      <w:r>
        <w:separator/>
      </w:r>
    </w:p>
  </w:footnote>
  <w:footnote w:type="continuationSeparator" w:id="0">
    <w:p w14:paraId="7A282829" w14:textId="77777777" w:rsidR="00D5764C" w:rsidRDefault="00D576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4" w14:textId="77777777" w:rsidR="00B817F7" w:rsidRDefault="00B817F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17F7"/>
    <w:rsid w:val="00537618"/>
    <w:rsid w:val="00965149"/>
    <w:rsid w:val="00B817F7"/>
    <w:rsid w:val="00D5764C"/>
    <w:rsid w:val="00FF74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33B859A"/>
  <w15:docId w15:val="{2AA072B1-4C0E-4AF6-B5E7-6D1AA4A74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customStyle="1" w:styleId="TitleChar">
    <w:name w:val="Title Char"/>
    <w:basedOn w:val="DefaultParagraphFont"/>
    <w:link w:val="Title"/>
    <w:rsid w:val="00965149"/>
    <w:rPr>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2514</Words>
  <Characters>14333</Characters>
  <Application>Microsoft Office Word</Application>
  <DocSecurity>0</DocSecurity>
  <Lines>119</Lines>
  <Paragraphs>33</Paragraphs>
  <ScaleCrop>false</ScaleCrop>
  <Company/>
  <LinksUpToDate>false</LinksUpToDate>
  <CharactersWithSpaces>16814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Iulia-Denis Cristea (2119917)</cp:lastModifiedBy>
  <cp:revision>2</cp:revision>
  <dcterms:created xsi:type="dcterms:W3CDTF">2023-05-09T09:48:00Z</dcterms:created>
  <dcterms:modified xsi:type="dcterms:W3CDTF">2023-05-09T09:48:00Z</dcterms:modified>
</cp:coreProperties>
</file>