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65B8" w14:textId="6AECCBD3" w:rsidR="00945E56" w:rsidRPr="00C9402D" w:rsidRDefault="00C9402D">
      <w:pPr>
        <w:rPr>
          <w:sz w:val="28"/>
          <w:szCs w:val="28"/>
        </w:rPr>
      </w:pPr>
      <w:r w:rsidRPr="00C9402D">
        <w:rPr>
          <w:sz w:val="28"/>
          <w:szCs w:val="28"/>
        </w:rPr>
        <w:t>Re</w:t>
      </w:r>
      <w:r w:rsidR="005E6F5D">
        <w:rPr>
          <w:sz w:val="28"/>
          <w:szCs w:val="28"/>
        </w:rPr>
        <w:t>ferences (RODICA DOBRE)1920091</w:t>
      </w:r>
    </w:p>
    <w:p w14:paraId="288277E1" w14:textId="77777777" w:rsidR="00C9402D" w:rsidRDefault="00C9402D"/>
    <w:p w14:paraId="77516581" w14:textId="6B5C90D3" w:rsidR="00C9402D" w:rsidRDefault="00C9402D" w:rsidP="00C9402D">
      <w:pPr>
        <w:pStyle w:val="NormalWeb"/>
        <w:spacing w:before="0" w:beforeAutospacing="0" w:after="0" w:afterAutospacing="0"/>
      </w:pPr>
    </w:p>
    <w:p w14:paraId="08B00A91" w14:textId="43913D01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>BANDURA, A. (2023). Cultivate Self</w:t>
      </w:r>
      <w:r w:rsidRPr="00C9402D">
        <w:rPr>
          <w:rFonts w:ascii="Cambria Math" w:eastAsia="+mn-ea" w:hAnsi="Cambria Math" w:cs="Cambria Math"/>
          <w:color w:val="000000"/>
          <w:kern w:val="24"/>
        </w:rPr>
        <w:t>‐</w:t>
      </w:r>
      <w:r w:rsidRPr="00C9402D">
        <w:rPr>
          <w:rFonts w:ascii="Aptos" w:eastAsia="+mn-ea" w:hAnsi="Aptos" w:cs="+mn-cs"/>
          <w:color w:val="000000"/>
          <w:kern w:val="24"/>
        </w:rPr>
        <w:t xml:space="preserve">Efficacy for Personal and Organizational Effectiveness. Principles of Organizational </w:t>
      </w:r>
      <w:r w:rsidR="005E6F5D" w:rsidRPr="00C9402D">
        <w:rPr>
          <w:rFonts w:ascii="Aptos" w:eastAsia="+mn-ea" w:hAnsi="Aptos" w:cs="+mn-cs"/>
          <w:color w:val="000000"/>
          <w:kern w:val="24"/>
        </w:rPr>
        <w:t>Behaviour</w:t>
      </w:r>
      <w:r w:rsidRPr="00C9402D">
        <w:rPr>
          <w:rFonts w:ascii="Aptos" w:eastAsia="+mn-ea" w:hAnsi="Aptos" w:cs="+mn-cs"/>
          <w:color w:val="000000"/>
          <w:kern w:val="24"/>
        </w:rPr>
        <w:t>, [online] 1(1), pp.113</w:t>
      </w:r>
      <w:r w:rsidRPr="00C9402D">
        <w:rPr>
          <w:rFonts w:ascii="Aptos" w:eastAsia="+mn-ea" w:hAnsi="Aptos" w:cs="Aptos"/>
          <w:color w:val="000000"/>
          <w:kern w:val="24"/>
        </w:rPr>
        <w:t>–</w:t>
      </w:r>
      <w:r w:rsidRPr="00C9402D">
        <w:rPr>
          <w:rFonts w:ascii="Aptos" w:eastAsia="+mn-ea" w:hAnsi="Aptos" w:cs="+mn-cs"/>
          <w:color w:val="000000"/>
          <w:kern w:val="24"/>
        </w:rPr>
        <w:t xml:space="preserve">135.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https://doi.org/10.1002/9781394320769.ch6.</w:t>
      </w:r>
    </w:p>
    <w:p w14:paraId="26CF330A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64920429" w14:textId="71F062AF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Hall, V. (2024). Health Promotion and Clients from Racially Diverse Communities. Health Promotion in Midwifery, pp.63–76.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https://doi.org/10.4324/9781003350071-5.</w:t>
      </w:r>
    </w:p>
    <w:p w14:paraId="491A9DBD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50B68E88" w14:textId="58C96B28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Harrington, J., Hughes Moore, B. and Thomas, E. (2022). Towards a Welsh health law: devolution, </w:t>
      </w:r>
      <w:r w:rsidR="005E6F5D" w:rsidRPr="00C9402D">
        <w:rPr>
          <w:rFonts w:ascii="Aptos" w:eastAsia="+mn-ea" w:hAnsi="Aptos" w:cs="+mn-cs"/>
          <w:color w:val="000000"/>
          <w:kern w:val="24"/>
        </w:rPr>
        <w:t>divergence,</w:t>
      </w:r>
      <w:r w:rsidRPr="00C9402D">
        <w:rPr>
          <w:rFonts w:ascii="Aptos" w:eastAsia="+mn-ea" w:hAnsi="Aptos" w:cs="+mn-cs"/>
          <w:color w:val="000000"/>
          <w:kern w:val="24"/>
        </w:rPr>
        <w:t xml:space="preserve"> and values. Northern Ireland Legal Quarterly, 73(3), pp.385–413.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https://doi.org/10.53386/nilq.v73i3.1038.</w:t>
      </w:r>
    </w:p>
    <w:p w14:paraId="0003B20B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0686D7FE" w14:textId="6B41F296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McRae, D., Gould, A., Price-Davies, R., Tagoe, J., Evans, </w:t>
      </w:r>
      <w:r w:rsidR="005E6F5D" w:rsidRPr="00C9402D">
        <w:rPr>
          <w:rFonts w:ascii="Aptos" w:eastAsia="+mn-ea" w:hAnsi="Aptos" w:cs="+mn-cs"/>
          <w:color w:val="000000"/>
          <w:kern w:val="24"/>
        </w:rPr>
        <w:t>A.,</w:t>
      </w:r>
      <w:r w:rsidRPr="00C9402D">
        <w:rPr>
          <w:rFonts w:ascii="Aptos" w:eastAsia="+mn-ea" w:hAnsi="Aptos" w:cs="+mn-cs"/>
          <w:color w:val="000000"/>
          <w:kern w:val="24"/>
        </w:rPr>
        <w:t xml:space="preserve"> and James, D.H. (2021). Public Attitudes towards Medicinal Waste and Medicines Reuse in a ‘Free Prescription’ Healthcare System. Pharmacy, 9(2), p.77.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https://doi.org/10.3390/pharmacy9020077.</w:t>
      </w:r>
    </w:p>
    <w:p w14:paraId="581E2ED3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7E18E3EA" w14:textId="5EAE7AB9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Morgan, A.H., Edwards, M.E., Bodger, O., Brown, M., Roberts, L., Roberts, L.D. and Davies, J.S. (2025). The experience and perception of first language usage in healthcare: the Welsh perspective. </w:t>
      </w:r>
      <w:r w:rsidR="005E6F5D" w:rsidRPr="00C9402D">
        <w:rPr>
          <w:rFonts w:ascii="Aptos" w:eastAsia="+mn-ea" w:hAnsi="Aptos" w:cs="+mn-cs"/>
          <w:color w:val="000000"/>
          <w:kern w:val="24"/>
        </w:rPr>
        <w:t>media</w:t>
      </w:r>
      <w:r w:rsidRPr="00C9402D">
        <w:rPr>
          <w:rFonts w:ascii="Aptos" w:eastAsia="+mn-ea" w:hAnsi="Aptos" w:cs="+mn-cs"/>
          <w:color w:val="000000"/>
          <w:kern w:val="24"/>
        </w:rPr>
        <w:t xml:space="preserve"> (Cold Spring Harbor Laboratory).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https://doi.org/10.1101/2025.02.20.25322596.</w:t>
      </w:r>
    </w:p>
    <w:p w14:paraId="236970FF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1BEC9480" w14:textId="2DC1971B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Olive, S. and Davies, M. (2024). Editorial Introduction: Ten Recent Diverse Texts in Welsh (and English) by Global Majority Authors. Jeunesse Young People Texts Cultures, 16(1), pp.1–6.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https://doi.org/10.3138/jeunesse-2024-0603.</w:t>
      </w:r>
    </w:p>
    <w:p w14:paraId="2CDDAA96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5E09BC27" w14:textId="756B0A58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Prys, C. and Matthews, D. (2022). Well-being and language: language as a well-being objective in Wales. Current Issues in Language Planning, 24(4), pp.1–18.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https://doi.org/10.1080/14664208.2022.2117962.</w:t>
      </w:r>
    </w:p>
    <w:p w14:paraId="769CAFBE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36841336" w14:textId="02240AC1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Tarrant, A. (2022). Devolution and the difficulty of divergence: The development of adult social care policy in Wales. Critical Social Policy, 43(4), p.026101832211454.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https://doi.org/10.1177/02610183221145404.</w:t>
      </w:r>
    </w:p>
    <w:p w14:paraId="1FBB5424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03E1DFCE" w14:textId="68365C42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Vanka, K.S., Shukla, S., Gomez, H.M., James, C., Palanisami, T., Williams, K., Chambers, D.C., Britton, W.J., Ilic, D., Hansbro, P.M. and Horvat, J.C. (2022). Understanding the pathogenesis of occupational coal and silica dust-associated lung disease. European Respiratory Review, 31(165), p.210250.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https://doi.org/10.1183/16000617.0250-2021.</w:t>
      </w:r>
    </w:p>
    <w:p w14:paraId="121FE49C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0B538581" w14:textId="6E6FA20E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t xml:space="preserve">Williams, F. (2023). When Was Arts in Health? Singapore: Springer Nature Singapore.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https://doi.org/10.1007/978-981-19-3617-3.</w:t>
      </w:r>
    </w:p>
    <w:p w14:paraId="43F055CB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1E356B06" w14:textId="133C7382" w:rsidR="00C9402D" w:rsidRPr="00C9402D" w:rsidRDefault="00C9402D" w:rsidP="00C9402D">
      <w:pPr>
        <w:pStyle w:val="NormalWeb"/>
        <w:spacing w:before="0" w:beforeAutospacing="0" w:after="0" w:afterAutospacing="0"/>
        <w:rPr>
          <w:rFonts w:ascii="Aptos" w:eastAsia="+mn-ea" w:hAnsi="Aptos" w:cs="+mn-cs"/>
          <w:color w:val="000000"/>
          <w:kern w:val="24"/>
        </w:rPr>
      </w:pPr>
      <w:r w:rsidRPr="00C9402D">
        <w:rPr>
          <w:rFonts w:ascii="Aptos" w:eastAsia="+mn-ea" w:hAnsi="Aptos" w:cs="+mn-cs"/>
          <w:color w:val="000000"/>
          <w:kern w:val="24"/>
        </w:rPr>
        <w:lastRenderedPageBreak/>
        <w:t xml:space="preserve">Young, S., Asherson, P., Lloyd, T., </w:t>
      </w:r>
      <w:r w:rsidR="005E6F5D" w:rsidRPr="00C9402D">
        <w:rPr>
          <w:rFonts w:ascii="Aptos" w:eastAsia="+mn-ea" w:hAnsi="Aptos" w:cs="+mn-cs"/>
          <w:color w:val="000000"/>
          <w:kern w:val="24"/>
        </w:rPr>
        <w:t>Aboud</w:t>
      </w:r>
      <w:r w:rsidRPr="00C9402D">
        <w:rPr>
          <w:rFonts w:ascii="Aptos" w:eastAsia="+mn-ea" w:hAnsi="Aptos" w:cs="+mn-cs"/>
          <w:color w:val="000000"/>
          <w:kern w:val="24"/>
        </w:rPr>
        <w:t xml:space="preserve">, M., Arif, M., Colley, W.A., Cortese, S., Cubbin, S., Doyle, N., Morua, S.D., Ferreira-Lay, P., Gudjonsson, G., Ivens, V., Jarvis, C., Lewis, A., Mason, P., Newlove-Delgado, T., Pitts, M., Read, H. and van Rensburg, K. (2021). Failure of Healthcare Provision for Attention-Deficit/Hyperactivity Disorder in the United Kingdom: A Consensus Statement. Frontiers in Psychiatry, [online] 12(649399). </w:t>
      </w:r>
      <w:r w:rsidR="005E6F5D" w:rsidRPr="00C9402D">
        <w:rPr>
          <w:rFonts w:ascii="Aptos" w:eastAsia="+mn-ea" w:hAnsi="Aptos" w:cs="+mn-cs"/>
          <w:color w:val="000000"/>
          <w:kern w:val="24"/>
        </w:rPr>
        <w:t>Doi</w:t>
      </w:r>
      <w:r w:rsidRPr="00C9402D">
        <w:rPr>
          <w:rFonts w:ascii="Aptos" w:eastAsia="+mn-ea" w:hAnsi="Aptos" w:cs="+mn-cs"/>
          <w:color w:val="000000"/>
          <w:kern w:val="24"/>
        </w:rPr>
        <w:t>: https://doi.org/10.3389/fpsyt.2021.649399.</w:t>
      </w:r>
    </w:p>
    <w:p w14:paraId="4CD9612D" w14:textId="77777777" w:rsidR="00C9402D" w:rsidRPr="00C9402D" w:rsidRDefault="00C9402D" w:rsidP="00C9402D">
      <w:pPr>
        <w:pStyle w:val="NormalWeb"/>
        <w:spacing w:before="0" w:beforeAutospacing="0" w:after="0" w:afterAutospacing="0"/>
      </w:pPr>
    </w:p>
    <w:p w14:paraId="4BAAB4C9" w14:textId="77777777" w:rsidR="00C9402D" w:rsidRPr="00C9402D" w:rsidRDefault="00C9402D">
      <w:pPr>
        <w:rPr>
          <w:sz w:val="24"/>
          <w:szCs w:val="24"/>
        </w:rPr>
      </w:pPr>
    </w:p>
    <w:sectPr w:rsidR="00C9402D" w:rsidRPr="00C940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2D"/>
    <w:rsid w:val="00295C6A"/>
    <w:rsid w:val="005500A0"/>
    <w:rsid w:val="005E6F5D"/>
    <w:rsid w:val="00736189"/>
    <w:rsid w:val="00845F8D"/>
    <w:rsid w:val="008C0251"/>
    <w:rsid w:val="00945E56"/>
    <w:rsid w:val="00C754B5"/>
    <w:rsid w:val="00C9402D"/>
    <w:rsid w:val="00CA4C75"/>
    <w:rsid w:val="00F3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9D413"/>
  <w15:chartTrackingRefBased/>
  <w15:docId w15:val="{3BE675CA-907D-44A1-9F08-E4DC46D8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4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0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0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0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0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0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0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0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0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0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0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0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4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4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0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40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0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0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0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402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4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940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6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339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IORDACHE</dc:creator>
  <cp:keywords/>
  <dc:description/>
  <cp:lastModifiedBy>rodica dobre</cp:lastModifiedBy>
  <cp:revision>6</cp:revision>
  <dcterms:created xsi:type="dcterms:W3CDTF">2025-04-28T20:09:00Z</dcterms:created>
  <dcterms:modified xsi:type="dcterms:W3CDTF">2025-05-02T15:22:00Z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e4a8851d-ce21-46fc-bf81-a6d41c4179d8</vt:lpwstr>
  </property>
</Properties>
</file>