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EDF87" w14:textId="77777777" w:rsidR="00D6414C" w:rsidRDefault="00D6414C"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bookmarkStart w:id="0" w:name="_Toc139417122"/>
    </w:p>
    <w:p w14:paraId="55846D3B" w14:textId="77777777" w:rsidR="00D6414C" w:rsidRDefault="00D6414C"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p>
    <w:p w14:paraId="66DC4F29" w14:textId="06EFEBCE" w:rsidR="00D6414C" w:rsidRDefault="005B6DE0"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r>
        <w:rPr>
          <w:rFonts w:ascii="Times New Roman" w:eastAsia="Times New Roman" w:hAnsi="Times New Roman" w:cs="Times New Roman"/>
          <w:b/>
          <w:kern w:val="0"/>
          <w:sz w:val="28"/>
          <w:szCs w:val="32"/>
          <w:lang w:val="en-US"/>
          <w14:ligatures w14:val="none"/>
        </w:rPr>
        <w:t xml:space="preserve">Law portfolio </w:t>
      </w:r>
      <w:r w:rsidR="00100958">
        <w:rPr>
          <w:rFonts w:ascii="Times New Roman" w:eastAsia="Times New Roman" w:hAnsi="Times New Roman" w:cs="Times New Roman"/>
          <w:b/>
          <w:kern w:val="0"/>
          <w:sz w:val="28"/>
          <w:szCs w:val="32"/>
          <w:lang w:val="en-US"/>
          <w14:ligatures w14:val="none"/>
        </w:rPr>
        <w:t>-</w:t>
      </w:r>
      <w:r>
        <w:rPr>
          <w:rFonts w:ascii="Times New Roman" w:eastAsia="Times New Roman" w:hAnsi="Times New Roman" w:cs="Times New Roman"/>
          <w:b/>
          <w:kern w:val="0"/>
          <w:sz w:val="28"/>
          <w:szCs w:val="32"/>
          <w:lang w:val="en-US"/>
          <w14:ligatures w14:val="none"/>
        </w:rPr>
        <w:t xml:space="preserve">Criminal </w:t>
      </w:r>
      <w:proofErr w:type="gramStart"/>
      <w:r>
        <w:rPr>
          <w:rFonts w:ascii="Times New Roman" w:eastAsia="Times New Roman" w:hAnsi="Times New Roman" w:cs="Times New Roman"/>
          <w:b/>
          <w:kern w:val="0"/>
          <w:sz w:val="28"/>
          <w:szCs w:val="32"/>
          <w:lang w:val="en-US"/>
          <w14:ligatures w14:val="none"/>
        </w:rPr>
        <w:t xml:space="preserve">Law </w:t>
      </w:r>
      <w:r w:rsidR="00A34268">
        <w:rPr>
          <w:rFonts w:ascii="Times New Roman" w:eastAsia="Times New Roman" w:hAnsi="Times New Roman" w:cs="Times New Roman"/>
          <w:b/>
          <w:kern w:val="0"/>
          <w:sz w:val="28"/>
          <w:szCs w:val="32"/>
          <w:lang w:val="en-US"/>
          <w14:ligatures w14:val="none"/>
        </w:rPr>
        <w:t>.</w:t>
      </w:r>
      <w:proofErr w:type="gramEnd"/>
      <w:r w:rsidR="00100958">
        <w:rPr>
          <w:rFonts w:ascii="Times New Roman" w:eastAsia="Times New Roman" w:hAnsi="Times New Roman" w:cs="Times New Roman"/>
          <w:b/>
          <w:kern w:val="0"/>
          <w:sz w:val="28"/>
          <w:szCs w:val="32"/>
          <w:lang w:val="en-US"/>
          <w14:ligatures w14:val="none"/>
        </w:rPr>
        <w:t xml:space="preserve"> </w:t>
      </w:r>
      <w:proofErr w:type="gramStart"/>
      <w:r w:rsidR="00A34268">
        <w:rPr>
          <w:rFonts w:ascii="Times New Roman" w:eastAsia="Times New Roman" w:hAnsi="Times New Roman" w:cs="Times New Roman"/>
          <w:b/>
          <w:kern w:val="0"/>
          <w:sz w:val="28"/>
          <w:szCs w:val="32"/>
          <w:lang w:val="en-US"/>
          <w14:ligatures w14:val="none"/>
        </w:rPr>
        <w:t>Module :BMPL</w:t>
      </w:r>
      <w:proofErr w:type="gramEnd"/>
      <w:r w:rsidR="00A34268">
        <w:rPr>
          <w:rFonts w:ascii="Times New Roman" w:eastAsia="Times New Roman" w:hAnsi="Times New Roman" w:cs="Times New Roman"/>
          <w:b/>
          <w:kern w:val="0"/>
          <w:sz w:val="28"/>
          <w:szCs w:val="32"/>
          <w:lang w:val="en-US"/>
          <w14:ligatures w14:val="none"/>
        </w:rPr>
        <w:t>4009</w:t>
      </w:r>
    </w:p>
    <w:p w14:paraId="1F3B1203" w14:textId="77777777" w:rsidR="00D6414C" w:rsidRDefault="00D6414C"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p>
    <w:p w14:paraId="73B10B67" w14:textId="77777777" w:rsidR="00D6414C" w:rsidRDefault="00D6414C"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p>
    <w:p w14:paraId="3C22F1BB" w14:textId="77777777" w:rsidR="00BD3B0C" w:rsidRDefault="00BD3B0C" w:rsidP="00261978">
      <w:pPr>
        <w:keepNext/>
        <w:keepLines/>
        <w:spacing w:before="240" w:after="0" w:line="360" w:lineRule="auto"/>
        <w:jc w:val="center"/>
        <w:outlineLvl w:val="0"/>
        <w:rPr>
          <w:rFonts w:ascii="Times New Roman" w:eastAsia="Times New Roman" w:hAnsi="Times New Roman" w:cs="Times New Roman"/>
          <w:b/>
          <w:kern w:val="0"/>
          <w:sz w:val="28"/>
          <w:szCs w:val="32"/>
          <w:lang w:val="en-US"/>
          <w14:ligatures w14:val="none"/>
        </w:rPr>
      </w:pPr>
    </w:p>
    <w:p w14:paraId="123FEA0B" w14:textId="18E2494E" w:rsidR="00261978" w:rsidRPr="00261978" w:rsidRDefault="00261978" w:rsidP="00261978">
      <w:pPr>
        <w:keepNext/>
        <w:keepLines/>
        <w:spacing w:before="240" w:after="0" w:line="360" w:lineRule="auto"/>
        <w:jc w:val="center"/>
        <w:outlineLvl w:val="0"/>
        <w:rPr>
          <w:rFonts w:ascii="Times New Roman" w:eastAsia="Times New Roman" w:hAnsi="Times New Roman" w:cs="Times New Roman"/>
          <w:b/>
          <w:kern w:val="0"/>
          <w:sz w:val="36"/>
          <w:szCs w:val="40"/>
          <w:lang w:val="en-US"/>
          <w14:ligatures w14:val="none"/>
        </w:rPr>
      </w:pPr>
      <w:r w:rsidRPr="00261978">
        <w:rPr>
          <w:rFonts w:ascii="Times New Roman" w:eastAsia="Times New Roman" w:hAnsi="Times New Roman" w:cs="Times New Roman"/>
          <w:b/>
          <w:kern w:val="0"/>
          <w:sz w:val="36"/>
          <w:szCs w:val="40"/>
          <w:lang w:val="en-US"/>
          <w14:ligatures w14:val="none"/>
        </w:rPr>
        <w:t>Scenario Question</w:t>
      </w:r>
      <w:bookmarkEnd w:id="0"/>
    </w:p>
    <w:p w14:paraId="390265F6" w14:textId="77777777" w:rsidR="00261978" w:rsidRDefault="00261978" w:rsidP="00261978">
      <w:pPr>
        <w:spacing w:line="360" w:lineRule="auto"/>
        <w:rPr>
          <w:rFonts w:ascii="Times New Roman" w:eastAsia="Calibri" w:hAnsi="Times New Roman" w:cs="Times New Roman"/>
          <w:kern w:val="0"/>
          <w:sz w:val="24"/>
          <w:lang w:val="en-US"/>
          <w14:ligatures w14:val="none"/>
        </w:rPr>
      </w:pPr>
    </w:p>
    <w:p w14:paraId="5A858F94" w14:textId="77777777" w:rsidR="00100958" w:rsidRDefault="00100958" w:rsidP="00261978">
      <w:pPr>
        <w:spacing w:line="360" w:lineRule="auto"/>
        <w:rPr>
          <w:rFonts w:ascii="Times New Roman" w:eastAsia="Calibri" w:hAnsi="Times New Roman" w:cs="Times New Roman"/>
          <w:kern w:val="0"/>
          <w:sz w:val="24"/>
          <w:lang w:val="en-US"/>
          <w14:ligatures w14:val="none"/>
        </w:rPr>
      </w:pPr>
    </w:p>
    <w:p w14:paraId="07B6E53A" w14:textId="77777777" w:rsidR="00100958" w:rsidRDefault="00100958" w:rsidP="00261978">
      <w:pPr>
        <w:spacing w:line="360" w:lineRule="auto"/>
        <w:rPr>
          <w:rFonts w:ascii="Times New Roman" w:eastAsia="Calibri" w:hAnsi="Times New Roman" w:cs="Times New Roman"/>
          <w:kern w:val="0"/>
          <w:sz w:val="24"/>
          <w:lang w:val="en-US"/>
          <w14:ligatures w14:val="none"/>
        </w:rPr>
      </w:pPr>
    </w:p>
    <w:p w14:paraId="0F6FAD47" w14:textId="77777777" w:rsidR="00100958" w:rsidRDefault="00100958" w:rsidP="00261978">
      <w:pPr>
        <w:spacing w:line="360" w:lineRule="auto"/>
        <w:rPr>
          <w:rFonts w:ascii="Times New Roman" w:eastAsia="Calibri" w:hAnsi="Times New Roman" w:cs="Times New Roman"/>
          <w:kern w:val="0"/>
          <w:sz w:val="24"/>
          <w:lang w:val="en-US"/>
          <w14:ligatures w14:val="none"/>
        </w:rPr>
      </w:pPr>
    </w:p>
    <w:p w14:paraId="11E38E88" w14:textId="77777777" w:rsidR="00BD3B0C" w:rsidRDefault="00BD3B0C" w:rsidP="00261978">
      <w:pPr>
        <w:spacing w:line="360" w:lineRule="auto"/>
        <w:rPr>
          <w:rFonts w:ascii="Times New Roman" w:eastAsia="Calibri" w:hAnsi="Times New Roman" w:cs="Times New Roman"/>
          <w:kern w:val="0"/>
          <w:sz w:val="24"/>
          <w:lang w:val="en-US"/>
          <w14:ligatures w14:val="none"/>
        </w:rPr>
      </w:pPr>
    </w:p>
    <w:p w14:paraId="590A212D" w14:textId="77777777" w:rsidR="00BD3B0C" w:rsidRDefault="00BD3B0C" w:rsidP="00261978">
      <w:pPr>
        <w:spacing w:line="360" w:lineRule="auto"/>
        <w:rPr>
          <w:rFonts w:ascii="Times New Roman" w:eastAsia="Calibri" w:hAnsi="Times New Roman" w:cs="Times New Roman"/>
          <w:kern w:val="0"/>
          <w:sz w:val="24"/>
          <w:lang w:val="en-US"/>
          <w14:ligatures w14:val="none"/>
        </w:rPr>
      </w:pPr>
    </w:p>
    <w:p w14:paraId="5C7D73D7" w14:textId="77777777" w:rsidR="00BD3B0C" w:rsidRDefault="00BD3B0C" w:rsidP="00261978">
      <w:pPr>
        <w:spacing w:line="360" w:lineRule="auto"/>
        <w:rPr>
          <w:rFonts w:ascii="Times New Roman" w:eastAsia="Calibri" w:hAnsi="Times New Roman" w:cs="Times New Roman"/>
          <w:kern w:val="0"/>
          <w:sz w:val="24"/>
          <w:lang w:val="en-US"/>
          <w14:ligatures w14:val="none"/>
        </w:rPr>
      </w:pPr>
    </w:p>
    <w:p w14:paraId="388D1EC5" w14:textId="77777777" w:rsidR="00BD3B0C" w:rsidRDefault="00BD3B0C" w:rsidP="00261978">
      <w:pPr>
        <w:spacing w:line="360" w:lineRule="auto"/>
        <w:rPr>
          <w:rFonts w:ascii="Times New Roman" w:eastAsia="Calibri" w:hAnsi="Times New Roman" w:cs="Times New Roman"/>
          <w:kern w:val="0"/>
          <w:sz w:val="24"/>
          <w:lang w:val="en-US"/>
          <w14:ligatures w14:val="none"/>
        </w:rPr>
      </w:pPr>
    </w:p>
    <w:p w14:paraId="0C9627BE" w14:textId="0DC773FA" w:rsidR="00100958" w:rsidRDefault="00100958" w:rsidP="00261978">
      <w:pPr>
        <w:spacing w:line="360" w:lineRule="auto"/>
        <w:rPr>
          <w:rFonts w:ascii="Times New Roman" w:eastAsia="Calibri" w:hAnsi="Times New Roman" w:cs="Times New Roman"/>
          <w:kern w:val="0"/>
          <w:sz w:val="24"/>
          <w:lang w:val="en-US"/>
          <w14:ligatures w14:val="none"/>
        </w:rPr>
      </w:pPr>
      <w:r>
        <w:rPr>
          <w:rFonts w:ascii="Times New Roman" w:eastAsia="Calibri" w:hAnsi="Times New Roman" w:cs="Times New Roman"/>
          <w:kern w:val="0"/>
          <w:sz w:val="24"/>
          <w:lang w:val="en-US"/>
          <w14:ligatures w14:val="none"/>
        </w:rPr>
        <w:t xml:space="preserve">Lecturer: ZITA DRAPER </w:t>
      </w:r>
    </w:p>
    <w:p w14:paraId="38EE440F" w14:textId="41DA7035" w:rsidR="007F5A12" w:rsidRDefault="00100958" w:rsidP="00261978">
      <w:pPr>
        <w:spacing w:line="360" w:lineRule="auto"/>
        <w:rPr>
          <w:rFonts w:ascii="Times New Roman" w:eastAsia="Calibri" w:hAnsi="Times New Roman" w:cs="Times New Roman"/>
          <w:kern w:val="0"/>
          <w:sz w:val="24"/>
          <w:lang w:val="en-US"/>
          <w14:ligatures w14:val="none"/>
        </w:rPr>
      </w:pPr>
      <w:r>
        <w:rPr>
          <w:rFonts w:ascii="Times New Roman" w:eastAsia="Calibri" w:hAnsi="Times New Roman" w:cs="Times New Roman"/>
          <w:kern w:val="0"/>
          <w:sz w:val="24"/>
          <w:lang w:val="en-US"/>
          <w14:ligatures w14:val="none"/>
        </w:rPr>
        <w:t xml:space="preserve">                                                                                Stud</w:t>
      </w:r>
      <w:r w:rsidR="00586824">
        <w:rPr>
          <w:rFonts w:ascii="Times New Roman" w:eastAsia="Calibri" w:hAnsi="Times New Roman" w:cs="Times New Roman"/>
          <w:kern w:val="0"/>
          <w:sz w:val="24"/>
          <w:lang w:val="en-US"/>
          <w14:ligatures w14:val="none"/>
        </w:rPr>
        <w:t xml:space="preserve">ent </w:t>
      </w:r>
      <w:r w:rsidR="00BD3B0C">
        <w:rPr>
          <w:rFonts w:ascii="Times New Roman" w:eastAsia="Calibri" w:hAnsi="Times New Roman" w:cs="Times New Roman"/>
          <w:kern w:val="0"/>
          <w:sz w:val="24"/>
          <w:lang w:val="en-US"/>
          <w14:ligatures w14:val="none"/>
        </w:rPr>
        <w:t xml:space="preserve">name: </w:t>
      </w:r>
      <w:proofErr w:type="spellStart"/>
      <w:proofErr w:type="gramStart"/>
      <w:r w:rsidR="00586824">
        <w:rPr>
          <w:rFonts w:ascii="Times New Roman" w:eastAsia="Calibri" w:hAnsi="Times New Roman" w:cs="Times New Roman"/>
          <w:kern w:val="0"/>
          <w:sz w:val="24"/>
          <w:lang w:val="en-US"/>
          <w14:ligatures w14:val="none"/>
        </w:rPr>
        <w:t>Estera</w:t>
      </w:r>
      <w:proofErr w:type="spellEnd"/>
      <w:r w:rsidR="00586824">
        <w:rPr>
          <w:rFonts w:ascii="Times New Roman" w:eastAsia="Calibri" w:hAnsi="Times New Roman" w:cs="Times New Roman"/>
          <w:kern w:val="0"/>
          <w:sz w:val="24"/>
          <w:lang w:val="en-US"/>
          <w14:ligatures w14:val="none"/>
        </w:rPr>
        <w:t xml:space="preserve"> </w:t>
      </w:r>
      <w:r w:rsidR="007F5A12">
        <w:rPr>
          <w:rFonts w:ascii="Times New Roman" w:eastAsia="Calibri" w:hAnsi="Times New Roman" w:cs="Times New Roman"/>
          <w:kern w:val="0"/>
          <w:sz w:val="24"/>
          <w:lang w:val="en-US"/>
          <w14:ligatures w14:val="none"/>
        </w:rPr>
        <w:t xml:space="preserve"> Marina</w:t>
      </w:r>
      <w:proofErr w:type="gramEnd"/>
      <w:r w:rsidR="007F5A12">
        <w:rPr>
          <w:rFonts w:ascii="Times New Roman" w:eastAsia="Calibri" w:hAnsi="Times New Roman" w:cs="Times New Roman"/>
          <w:kern w:val="0"/>
          <w:sz w:val="24"/>
          <w:lang w:val="en-US"/>
          <w14:ligatures w14:val="none"/>
        </w:rPr>
        <w:t xml:space="preserve"> Dolea </w:t>
      </w:r>
      <w:r w:rsidR="00586824">
        <w:rPr>
          <w:rFonts w:ascii="Times New Roman" w:eastAsia="Calibri" w:hAnsi="Times New Roman" w:cs="Times New Roman"/>
          <w:kern w:val="0"/>
          <w:sz w:val="24"/>
          <w:lang w:val="en-US"/>
          <w14:ligatures w14:val="none"/>
        </w:rPr>
        <w:t xml:space="preserve">  </w:t>
      </w:r>
    </w:p>
    <w:p w14:paraId="4CDA049C" w14:textId="427F6F16" w:rsidR="00100958" w:rsidRPr="00261978" w:rsidRDefault="007F5A12" w:rsidP="00261978">
      <w:pPr>
        <w:spacing w:line="360" w:lineRule="auto"/>
        <w:rPr>
          <w:rFonts w:ascii="Times New Roman" w:eastAsia="Calibri" w:hAnsi="Times New Roman" w:cs="Times New Roman"/>
          <w:kern w:val="0"/>
          <w:sz w:val="24"/>
          <w:lang w:val="en-US"/>
          <w14:ligatures w14:val="none"/>
        </w:rPr>
      </w:pPr>
      <w:r>
        <w:rPr>
          <w:rFonts w:ascii="Times New Roman" w:eastAsia="Calibri" w:hAnsi="Times New Roman" w:cs="Times New Roman"/>
          <w:kern w:val="0"/>
          <w:sz w:val="24"/>
          <w:lang w:val="en-US"/>
          <w14:ligatures w14:val="none"/>
        </w:rPr>
        <w:t xml:space="preserve">                                                                                 </w:t>
      </w:r>
      <w:r w:rsidR="007A100A">
        <w:rPr>
          <w:rFonts w:ascii="Times New Roman" w:eastAsia="Calibri" w:hAnsi="Times New Roman" w:cs="Times New Roman"/>
          <w:kern w:val="0"/>
          <w:sz w:val="24"/>
          <w:lang w:val="en-US"/>
          <w14:ligatures w14:val="none"/>
        </w:rPr>
        <w:t>Student number :</w:t>
      </w:r>
      <w:r>
        <w:rPr>
          <w:rFonts w:ascii="Times New Roman" w:eastAsia="Calibri" w:hAnsi="Times New Roman" w:cs="Times New Roman"/>
          <w:kern w:val="0"/>
          <w:sz w:val="24"/>
          <w:lang w:val="en-US"/>
          <w14:ligatures w14:val="none"/>
        </w:rPr>
        <w:t xml:space="preserve">2018 1829 21 </w:t>
      </w:r>
    </w:p>
    <w:p w14:paraId="2C0E7086" w14:textId="77777777" w:rsidR="00261978" w:rsidRPr="00261978" w:rsidRDefault="00261978" w:rsidP="00261978">
      <w:pPr>
        <w:spacing w:line="360" w:lineRule="auto"/>
        <w:ind w:left="720" w:hanging="360"/>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br w:type="page"/>
      </w:r>
      <w:r w:rsidRPr="00261978">
        <w:rPr>
          <w:rFonts w:ascii="Times New Roman" w:eastAsia="Calibri" w:hAnsi="Times New Roman" w:cs="Times New Roman"/>
          <w:kern w:val="0"/>
          <w:sz w:val="24"/>
          <w:lang w:val="en-US"/>
          <w14:ligatures w14:val="none"/>
        </w:rPr>
        <w:lastRenderedPageBreak/>
        <w:br w:type="page"/>
      </w:r>
    </w:p>
    <w:sdt>
      <w:sdtPr>
        <w:rPr>
          <w:rFonts w:ascii="Times New Roman" w:eastAsia="Calibri" w:hAnsi="Times New Roman" w:cs="Times New Roman"/>
          <w:kern w:val="0"/>
          <w:sz w:val="24"/>
          <w14:ligatures w14:val="none"/>
        </w:rPr>
        <w:id w:val="617869058"/>
        <w:docPartObj>
          <w:docPartGallery w:val="Table of Contents"/>
          <w:docPartUnique/>
        </w:docPartObj>
      </w:sdtPr>
      <w:sdtEndPr>
        <w:rPr>
          <w:b/>
          <w:bCs/>
          <w:noProof/>
        </w:rPr>
      </w:sdtEndPr>
      <w:sdtContent>
        <w:p w14:paraId="40FF9C92" w14:textId="77777777" w:rsidR="00261978" w:rsidRPr="00261978" w:rsidRDefault="00261978" w:rsidP="00261978">
          <w:pPr>
            <w:keepNext/>
            <w:keepLines/>
            <w:spacing w:before="240" w:after="0"/>
            <w:rPr>
              <w:rFonts w:ascii="Calibri Light" w:eastAsia="Times New Roman" w:hAnsi="Calibri Light" w:cs="Times New Roman"/>
              <w:color w:val="2E74B5"/>
              <w:kern w:val="0"/>
              <w:sz w:val="32"/>
              <w:szCs w:val="32"/>
              <w:lang w:val="en-US"/>
              <w14:ligatures w14:val="none"/>
            </w:rPr>
          </w:pPr>
          <w:r w:rsidRPr="00261978">
            <w:rPr>
              <w:rFonts w:ascii="Calibri Light" w:eastAsia="Times New Roman" w:hAnsi="Calibri Light" w:cs="Times New Roman"/>
              <w:color w:val="2E74B5"/>
              <w:kern w:val="0"/>
              <w:sz w:val="32"/>
              <w:szCs w:val="32"/>
              <w:lang w:val="en-US"/>
              <w14:ligatures w14:val="none"/>
            </w:rPr>
            <w:t>Contents</w:t>
          </w:r>
        </w:p>
        <w:p w14:paraId="2926695A" w14:textId="77777777" w:rsidR="00261978" w:rsidRPr="00261978" w:rsidRDefault="00261978" w:rsidP="00261978">
          <w:pPr>
            <w:tabs>
              <w:tab w:val="right" w:leader="dot" w:pos="9350"/>
            </w:tabs>
            <w:spacing w:after="100" w:line="360" w:lineRule="auto"/>
            <w:rPr>
              <w:rFonts w:ascii="Calibri" w:eastAsia="Times New Roman" w:hAnsi="Calibri" w:cs="Times New Roman"/>
              <w:noProof/>
              <w:kern w:val="0"/>
              <w:lang w:val="en-US"/>
              <w14:ligatures w14:val="none"/>
            </w:rPr>
          </w:pPr>
          <w:r w:rsidRPr="00261978">
            <w:rPr>
              <w:rFonts w:ascii="Times New Roman" w:eastAsia="Calibri" w:hAnsi="Times New Roman" w:cs="Times New Roman"/>
              <w:b/>
              <w:bCs/>
              <w:noProof/>
              <w:kern w:val="0"/>
              <w:sz w:val="24"/>
              <w14:ligatures w14:val="none"/>
            </w:rPr>
            <w:fldChar w:fldCharType="begin"/>
          </w:r>
          <w:r w:rsidRPr="00261978">
            <w:rPr>
              <w:rFonts w:ascii="Times New Roman" w:eastAsia="Calibri" w:hAnsi="Times New Roman" w:cs="Times New Roman"/>
              <w:b/>
              <w:bCs/>
              <w:noProof/>
              <w:kern w:val="0"/>
              <w:sz w:val="24"/>
              <w14:ligatures w14:val="none"/>
            </w:rPr>
            <w:instrText xml:space="preserve"> TOC \o "1-3" \h \z \u </w:instrText>
          </w:r>
          <w:r w:rsidRPr="00261978">
            <w:rPr>
              <w:rFonts w:ascii="Times New Roman" w:eastAsia="Calibri" w:hAnsi="Times New Roman" w:cs="Times New Roman"/>
              <w:b/>
              <w:bCs/>
              <w:noProof/>
              <w:kern w:val="0"/>
              <w:sz w:val="24"/>
              <w14:ligatures w14:val="none"/>
            </w:rPr>
            <w:fldChar w:fldCharType="separate"/>
          </w:r>
          <w:hyperlink w:anchor="_Toc139417122" w:history="1">
            <w:r w:rsidRPr="00261978">
              <w:rPr>
                <w:rFonts w:ascii="Times New Roman" w:eastAsia="Calibri" w:hAnsi="Times New Roman" w:cs="Times New Roman"/>
                <w:noProof/>
                <w:color w:val="0563C1"/>
                <w:kern w:val="0"/>
                <w:sz w:val="24"/>
                <w:u w:val="single"/>
                <w14:ligatures w14:val="none"/>
              </w:rPr>
              <w:t>Scenario Question</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_Toc139417122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1</w:t>
            </w:r>
            <w:r w:rsidRPr="00261978">
              <w:rPr>
                <w:rFonts w:ascii="Times New Roman" w:eastAsia="Calibri" w:hAnsi="Times New Roman" w:cs="Times New Roman"/>
                <w:noProof/>
                <w:webHidden/>
                <w:kern w:val="0"/>
                <w:sz w:val="24"/>
                <w14:ligatures w14:val="none"/>
              </w:rPr>
              <w:fldChar w:fldCharType="end"/>
            </w:r>
          </w:hyperlink>
        </w:p>
        <w:p w14:paraId="41A47325"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3" w:history="1">
            <w:r w:rsidRPr="00261978">
              <w:rPr>
                <w:rFonts w:ascii="Times New Roman" w:eastAsia="Calibri" w:hAnsi="Times New Roman" w:cs="Times New Roman"/>
                <w:noProof/>
                <w:color w:val="0563C1"/>
                <w:kern w:val="0"/>
                <w:sz w:val="24"/>
                <w:u w:val="single"/>
                <w:lang w:val="en-US"/>
                <w14:ligatures w14:val="none"/>
              </w:rPr>
              <w:t>Introduction:</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_Toc139417123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4</w:t>
            </w:r>
            <w:r w:rsidRPr="00261978">
              <w:rPr>
                <w:rFonts w:ascii="Times New Roman" w:eastAsia="Calibri" w:hAnsi="Times New Roman" w:cs="Times New Roman"/>
                <w:noProof/>
                <w:webHidden/>
                <w:kern w:val="0"/>
                <w:sz w:val="24"/>
                <w14:ligatures w14:val="none"/>
              </w:rPr>
              <w:fldChar w:fldCharType="end"/>
            </w:r>
          </w:hyperlink>
        </w:p>
        <w:p w14:paraId="5CE216ED"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4" w:history="1">
            <w:r w:rsidRPr="00261978">
              <w:rPr>
                <w:rFonts w:ascii="Times New Roman" w:eastAsia="Calibri" w:hAnsi="Times New Roman" w:cs="Times New Roman"/>
                <w:noProof/>
                <w:color w:val="0563C1"/>
                <w:kern w:val="0"/>
                <w:sz w:val="24"/>
                <w:u w:val="single"/>
                <w14:ligatures w14:val="none"/>
              </w:rPr>
              <w:t>Advice for Paula:</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_Toc139417124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4</w:t>
            </w:r>
            <w:r w:rsidRPr="00261978">
              <w:rPr>
                <w:rFonts w:ascii="Times New Roman" w:eastAsia="Calibri" w:hAnsi="Times New Roman" w:cs="Times New Roman"/>
                <w:noProof/>
                <w:webHidden/>
                <w:kern w:val="0"/>
                <w:sz w:val="24"/>
                <w14:ligatures w14:val="none"/>
              </w:rPr>
              <w:fldChar w:fldCharType="end"/>
            </w:r>
          </w:hyperlink>
        </w:p>
        <w:p w14:paraId="68965CAF"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5" w:history="1">
            <w:r w:rsidRPr="00261978">
              <w:rPr>
                <w:rFonts w:ascii="Times New Roman" w:eastAsia="Calibri" w:hAnsi="Times New Roman" w:cs="Times New Roman"/>
                <w:noProof/>
                <w:color w:val="0563C1"/>
                <w:kern w:val="0"/>
                <w:sz w:val="24"/>
                <w:u w:val="single"/>
                <w:lang w:val="en-US"/>
                <w14:ligatures w14:val="none"/>
              </w:rPr>
              <w:t>Advice for Harriet:</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_Toc139417125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6</w:t>
            </w:r>
            <w:r w:rsidRPr="00261978">
              <w:rPr>
                <w:rFonts w:ascii="Times New Roman" w:eastAsia="Calibri" w:hAnsi="Times New Roman" w:cs="Times New Roman"/>
                <w:noProof/>
                <w:webHidden/>
                <w:kern w:val="0"/>
                <w:sz w:val="24"/>
                <w14:ligatures w14:val="none"/>
              </w:rPr>
              <w:fldChar w:fldCharType="end"/>
            </w:r>
          </w:hyperlink>
        </w:p>
        <w:p w14:paraId="6B6E9690"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6" w:history="1">
            <w:r w:rsidRPr="00261978">
              <w:rPr>
                <w:rFonts w:ascii="Times New Roman" w:eastAsia="Calibri" w:hAnsi="Times New Roman" w:cs="Times New Roman"/>
                <w:noProof/>
                <w:color w:val="0563C1"/>
                <w:kern w:val="0"/>
                <w:sz w:val="24"/>
                <w:u w:val="single"/>
                <w:lang w:val="en-US"/>
                <w14:ligatures w14:val="none"/>
              </w:rPr>
              <w:t>Mens Rea Analysis for Paula:</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_Toc139417126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7</w:t>
            </w:r>
            <w:r w:rsidRPr="00261978">
              <w:rPr>
                <w:rFonts w:ascii="Times New Roman" w:eastAsia="Calibri" w:hAnsi="Times New Roman" w:cs="Times New Roman"/>
                <w:noProof/>
                <w:webHidden/>
                <w:kern w:val="0"/>
                <w:sz w:val="24"/>
                <w14:ligatures w14:val="none"/>
              </w:rPr>
              <w:fldChar w:fldCharType="end"/>
            </w:r>
          </w:hyperlink>
        </w:p>
        <w:p w14:paraId="0C930F39"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7" w:history="1">
            <w:r w:rsidRPr="00261978">
              <w:rPr>
                <w:rFonts w:ascii="Times New Roman" w:eastAsia="Calibri" w:hAnsi="Times New Roman" w:cs="Times New Roman"/>
                <w:noProof/>
                <w:color w:val="0563C1"/>
                <w:kern w:val="0"/>
                <w:sz w:val="24"/>
                <w:u w:val="single"/>
                <w14:ligatures w14:val="none"/>
              </w:rPr>
              <w:t>Assault Occasioning Actual Bodily Harm (AOABH):</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_Toc139417127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7</w:t>
            </w:r>
            <w:r w:rsidRPr="00261978">
              <w:rPr>
                <w:rFonts w:ascii="Times New Roman" w:eastAsia="Calibri" w:hAnsi="Times New Roman" w:cs="Times New Roman"/>
                <w:noProof/>
                <w:webHidden/>
                <w:kern w:val="0"/>
                <w:sz w:val="24"/>
                <w14:ligatures w14:val="none"/>
              </w:rPr>
              <w:fldChar w:fldCharType="end"/>
            </w:r>
          </w:hyperlink>
        </w:p>
        <w:p w14:paraId="00BBA965"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8" w:history="1">
            <w:r w:rsidRPr="00261978">
              <w:rPr>
                <w:rFonts w:ascii="Times New Roman" w:eastAsia="Calibri" w:hAnsi="Times New Roman" w:cs="Times New Roman"/>
                <w:noProof/>
                <w:color w:val="0563C1"/>
                <w:kern w:val="0"/>
                <w:sz w:val="24"/>
                <w:u w:val="single"/>
                <w14:ligatures w14:val="none"/>
              </w:rPr>
              <w:t>Conclusion:</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_Toc139417128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8</w:t>
            </w:r>
            <w:r w:rsidRPr="00261978">
              <w:rPr>
                <w:rFonts w:ascii="Times New Roman" w:eastAsia="Calibri" w:hAnsi="Times New Roman" w:cs="Times New Roman"/>
                <w:noProof/>
                <w:webHidden/>
                <w:kern w:val="0"/>
                <w:sz w:val="24"/>
                <w14:ligatures w14:val="none"/>
              </w:rPr>
              <w:fldChar w:fldCharType="end"/>
            </w:r>
          </w:hyperlink>
        </w:p>
        <w:p w14:paraId="3A5E3732" w14:textId="77777777" w:rsidR="00261978" w:rsidRPr="00261978" w:rsidRDefault="00261978" w:rsidP="00261978">
          <w:pPr>
            <w:tabs>
              <w:tab w:val="right" w:leader="dot" w:pos="9350"/>
            </w:tabs>
            <w:spacing w:after="100" w:line="360" w:lineRule="auto"/>
            <w:ind w:left="240"/>
            <w:rPr>
              <w:rFonts w:ascii="Calibri" w:eastAsia="Times New Roman" w:hAnsi="Calibri" w:cs="Times New Roman"/>
              <w:noProof/>
              <w:kern w:val="0"/>
              <w:lang w:val="en-US"/>
              <w14:ligatures w14:val="none"/>
            </w:rPr>
          </w:pPr>
          <w:hyperlink w:anchor="_Toc139417129" w:history="1">
            <w:r w:rsidRPr="00261978">
              <w:rPr>
                <w:rFonts w:ascii="Times New Roman" w:eastAsia="Calibri" w:hAnsi="Times New Roman" w:cs="Times New Roman"/>
                <w:noProof/>
                <w:color w:val="0563C1"/>
                <w:kern w:val="0"/>
                <w:sz w:val="24"/>
                <w:u w:val="single"/>
                <w:lang w:val="en-US"/>
                <w14:ligatures w14:val="none"/>
              </w:rPr>
              <w:t>References:</w:t>
            </w:r>
            <w:r w:rsidRPr="00261978">
              <w:rPr>
                <w:rFonts w:ascii="Times New Roman" w:eastAsia="Calibri" w:hAnsi="Times New Roman" w:cs="Times New Roman"/>
                <w:noProof/>
                <w:webHidden/>
                <w:kern w:val="0"/>
                <w:sz w:val="24"/>
                <w14:ligatures w14:val="none"/>
              </w:rPr>
              <w:tab/>
            </w:r>
            <w:r w:rsidRPr="00261978">
              <w:rPr>
                <w:rFonts w:ascii="Times New Roman" w:eastAsia="Calibri" w:hAnsi="Times New Roman" w:cs="Times New Roman"/>
                <w:noProof/>
                <w:webHidden/>
                <w:kern w:val="0"/>
                <w:sz w:val="24"/>
                <w14:ligatures w14:val="none"/>
              </w:rPr>
              <w:fldChar w:fldCharType="begin"/>
            </w:r>
            <w:r w:rsidRPr="00261978">
              <w:rPr>
                <w:rFonts w:ascii="Times New Roman" w:eastAsia="Calibri" w:hAnsi="Times New Roman" w:cs="Times New Roman"/>
                <w:noProof/>
                <w:webHidden/>
                <w:kern w:val="0"/>
                <w:sz w:val="24"/>
                <w14:ligatures w14:val="none"/>
              </w:rPr>
              <w:instrText xml:space="preserve"> PAGEREF _Toc139417129 \h </w:instrText>
            </w:r>
            <w:r w:rsidRPr="00261978">
              <w:rPr>
                <w:rFonts w:ascii="Times New Roman" w:eastAsia="Calibri" w:hAnsi="Times New Roman" w:cs="Times New Roman"/>
                <w:noProof/>
                <w:webHidden/>
                <w:kern w:val="0"/>
                <w:sz w:val="24"/>
                <w14:ligatures w14:val="none"/>
              </w:rPr>
            </w:r>
            <w:r w:rsidRPr="00261978">
              <w:rPr>
                <w:rFonts w:ascii="Times New Roman" w:eastAsia="Calibri" w:hAnsi="Times New Roman" w:cs="Times New Roman"/>
                <w:noProof/>
                <w:webHidden/>
                <w:kern w:val="0"/>
                <w:sz w:val="24"/>
                <w14:ligatures w14:val="none"/>
              </w:rPr>
              <w:fldChar w:fldCharType="separate"/>
            </w:r>
            <w:r w:rsidRPr="00261978">
              <w:rPr>
                <w:rFonts w:ascii="Times New Roman" w:eastAsia="Calibri" w:hAnsi="Times New Roman" w:cs="Times New Roman"/>
                <w:noProof/>
                <w:webHidden/>
                <w:kern w:val="0"/>
                <w:sz w:val="24"/>
                <w14:ligatures w14:val="none"/>
              </w:rPr>
              <w:t>9</w:t>
            </w:r>
            <w:r w:rsidRPr="00261978">
              <w:rPr>
                <w:rFonts w:ascii="Times New Roman" w:eastAsia="Calibri" w:hAnsi="Times New Roman" w:cs="Times New Roman"/>
                <w:noProof/>
                <w:webHidden/>
                <w:kern w:val="0"/>
                <w:sz w:val="24"/>
                <w14:ligatures w14:val="none"/>
              </w:rPr>
              <w:fldChar w:fldCharType="end"/>
            </w:r>
          </w:hyperlink>
        </w:p>
        <w:p w14:paraId="4B785926"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b/>
              <w:bCs/>
              <w:noProof/>
              <w:kern w:val="0"/>
              <w:sz w:val="24"/>
              <w14:ligatures w14:val="none"/>
            </w:rPr>
            <w:fldChar w:fldCharType="end"/>
          </w:r>
        </w:p>
      </w:sdtContent>
    </w:sdt>
    <w:p w14:paraId="6300DFE5" w14:textId="77777777" w:rsidR="00261978" w:rsidRPr="00261978" w:rsidRDefault="00261978" w:rsidP="00261978">
      <w:pPr>
        <w:spacing w:line="360" w:lineRule="auto"/>
        <w:ind w:left="720" w:hanging="360"/>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br w:type="page"/>
      </w:r>
    </w:p>
    <w:p w14:paraId="339A2CE8"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bookmarkStart w:id="1" w:name="_Toc139417123"/>
      <w:r w:rsidRPr="00261978">
        <w:rPr>
          <w:rFonts w:ascii="Times New Roman" w:eastAsia="Times New Roman" w:hAnsi="Times New Roman" w:cs="Times New Roman"/>
          <w:b/>
          <w:color w:val="000000"/>
          <w:kern w:val="0"/>
          <w:sz w:val="26"/>
          <w:szCs w:val="26"/>
          <w:lang w:val="en-US"/>
          <w14:ligatures w14:val="none"/>
        </w:rPr>
        <w:lastRenderedPageBreak/>
        <w:t>Introduction:</w:t>
      </w:r>
      <w:bookmarkEnd w:id="1"/>
    </w:p>
    <w:p w14:paraId="3CB99C85"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The scenario in question focuses </w:t>
      </w:r>
      <w:proofErr w:type="gramStart"/>
      <w:r w:rsidRPr="00261978">
        <w:rPr>
          <w:rFonts w:ascii="Times New Roman" w:eastAsia="Calibri" w:hAnsi="Times New Roman" w:cs="Times New Roman"/>
          <w:kern w:val="0"/>
          <w:sz w:val="24"/>
          <w:lang w:val="en-US"/>
          <w14:ligatures w14:val="none"/>
        </w:rPr>
        <w:t>around</w:t>
      </w:r>
      <w:proofErr w:type="gramEnd"/>
      <w:r w:rsidRPr="00261978">
        <w:rPr>
          <w:rFonts w:ascii="Times New Roman" w:eastAsia="Calibri" w:hAnsi="Times New Roman" w:cs="Times New Roman"/>
          <w:kern w:val="0"/>
          <w:sz w:val="24"/>
          <w:lang w:val="en-US"/>
          <w14:ligatures w14:val="none"/>
        </w:rPr>
        <w:t xml:space="preserve"> a surprise birthday celebration that resulted in a number of incidents, some of which may have involved illegal activity. Paula and Harriet, the material's two main characters, have taken actions that could result in legal repercussions.</w:t>
      </w:r>
    </w:p>
    <w:p w14:paraId="37B664CC"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Paula made the decision to steal the host Christine's birthday present, a fancy handbag, likely because she was jealous. She moved the purse under her car covertly with the intention of retrieving it later. On the other hand, when Leon contaminated Harriet's drink, she unintentionally drank alcohol and experienced a severe allergic response. The resulting hallucinations drove her to hurt another visitor physically and damage property.</w:t>
      </w:r>
    </w:p>
    <w:p w14:paraId="6B45AEB6"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The debate that follows will examine Paula and Harriet's probable criminal responsibility as a result of these deeds. It will </w:t>
      </w:r>
      <w:proofErr w:type="gramStart"/>
      <w:r w:rsidRPr="00261978">
        <w:rPr>
          <w:rFonts w:ascii="Times New Roman" w:eastAsia="Calibri" w:hAnsi="Times New Roman" w:cs="Times New Roman"/>
          <w:kern w:val="0"/>
          <w:sz w:val="24"/>
          <w:lang w:val="en-US"/>
          <w14:ligatures w14:val="none"/>
        </w:rPr>
        <w:t>look into</w:t>
      </w:r>
      <w:proofErr w:type="gramEnd"/>
      <w:r w:rsidRPr="00261978">
        <w:rPr>
          <w:rFonts w:ascii="Times New Roman" w:eastAsia="Calibri" w:hAnsi="Times New Roman" w:cs="Times New Roman"/>
          <w:kern w:val="0"/>
          <w:sz w:val="24"/>
          <w:lang w:val="en-US"/>
          <w14:ligatures w14:val="none"/>
        </w:rPr>
        <w:t xml:space="preserve"> the actus reus and </w:t>
      </w:r>
      <w:proofErr w:type="spellStart"/>
      <w:r w:rsidRPr="00261978">
        <w:rPr>
          <w:rFonts w:ascii="Times New Roman" w:eastAsia="Calibri" w:hAnsi="Times New Roman" w:cs="Times New Roman"/>
          <w:kern w:val="0"/>
          <w:sz w:val="24"/>
          <w:lang w:val="en-US"/>
          <w14:ligatures w14:val="none"/>
        </w:rPr>
        <w:t>mens</w:t>
      </w:r>
      <w:proofErr w:type="spellEnd"/>
      <w:r w:rsidRPr="00261978">
        <w:rPr>
          <w:rFonts w:ascii="Times New Roman" w:eastAsia="Calibri" w:hAnsi="Times New Roman" w:cs="Times New Roman"/>
          <w:kern w:val="0"/>
          <w:sz w:val="24"/>
          <w:lang w:val="en-US"/>
          <w14:ligatures w14:val="none"/>
        </w:rPr>
        <w:t xml:space="preserve"> rea factors in relation to potential offences committed and potential </w:t>
      </w:r>
      <w:proofErr w:type="spellStart"/>
      <w:r w:rsidRPr="00261978">
        <w:rPr>
          <w:rFonts w:ascii="Times New Roman" w:eastAsia="Calibri" w:hAnsi="Times New Roman" w:cs="Times New Roman"/>
          <w:kern w:val="0"/>
          <w:sz w:val="24"/>
          <w:lang w:val="en-US"/>
          <w14:ligatures w14:val="none"/>
        </w:rPr>
        <w:t>defences</w:t>
      </w:r>
      <w:proofErr w:type="spellEnd"/>
      <w:r w:rsidRPr="00261978">
        <w:rPr>
          <w:rFonts w:ascii="Times New Roman" w:eastAsia="Calibri" w:hAnsi="Times New Roman" w:cs="Times New Roman"/>
          <w:kern w:val="0"/>
          <w:sz w:val="24"/>
          <w:lang w:val="en-US"/>
          <w14:ligatures w14:val="none"/>
        </w:rPr>
        <w:t xml:space="preserve"> that might be applicable. Additionally, it will support these evaluations with pertinent statutes and case law, giving the reader a solid understanding of the probable legal ramifications of their conduct.</w:t>
      </w:r>
    </w:p>
    <w:p w14:paraId="6B4C7CB1"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bookmarkStart w:id="2" w:name="_Toc139417124"/>
      <w:r w:rsidRPr="00261978">
        <w:rPr>
          <w:rFonts w:ascii="Times New Roman" w:eastAsia="Times New Roman" w:hAnsi="Times New Roman" w:cs="Times New Roman"/>
          <w:b/>
          <w:color w:val="000000"/>
          <w:kern w:val="0"/>
          <w:sz w:val="26"/>
          <w:szCs w:val="26"/>
          <w14:ligatures w14:val="none"/>
        </w:rPr>
        <w:t>Advice for Paula:</w:t>
      </w:r>
      <w:bookmarkEnd w:id="2"/>
    </w:p>
    <w:p w14:paraId="705886D0"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Theft is defined by the Theft Act of 1968 as the dishonest appropriation of another person's property with the intent to permanently deprive the other party of it (Theft Act of 1968, s. 1). Paula's activities appear to be consistent with this description.</w:t>
      </w:r>
    </w:p>
    <w:p w14:paraId="0F38C4CA"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Paula must appropriate someone else's property </w:t>
      </w:r>
      <w:proofErr w:type="gramStart"/>
      <w:r w:rsidRPr="00261978">
        <w:rPr>
          <w:rFonts w:ascii="Times New Roman" w:eastAsia="Calibri" w:hAnsi="Times New Roman" w:cs="Times New Roman"/>
          <w:kern w:val="0"/>
          <w:sz w:val="24"/>
          <w:lang w:val="en-US"/>
          <w14:ligatures w14:val="none"/>
        </w:rPr>
        <w:t>in order for</w:t>
      </w:r>
      <w:proofErr w:type="gramEnd"/>
      <w:r w:rsidRPr="00261978">
        <w:rPr>
          <w:rFonts w:ascii="Times New Roman" w:eastAsia="Calibri" w:hAnsi="Times New Roman" w:cs="Times New Roman"/>
          <w:kern w:val="0"/>
          <w:sz w:val="24"/>
          <w:lang w:val="en-US"/>
          <w14:ligatures w14:val="none"/>
        </w:rPr>
        <w:t xml:space="preserve"> a theft to occur. According to the theft act of 1968, section 3, appropriation is the assumption of the owner's rights. When Paula grabbed the purse from the party and stashed it under her car, it was claimed as Christine's. It's important to remember that, as was determined in Morris [1983], the appropriation need not always be done without the owner's permission.</w:t>
      </w:r>
    </w:p>
    <w:p w14:paraId="0FE22A2A"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The purpose to permanently deprive the other party of the property is required for the </w:t>
      </w:r>
      <w:proofErr w:type="spellStart"/>
      <w:r w:rsidRPr="00261978">
        <w:rPr>
          <w:rFonts w:ascii="Times New Roman" w:eastAsia="Calibri" w:hAnsi="Times New Roman" w:cs="Times New Roman"/>
          <w:kern w:val="0"/>
          <w:sz w:val="24"/>
          <w:lang w:val="en-US"/>
          <w14:ligatures w14:val="none"/>
        </w:rPr>
        <w:t>mens</w:t>
      </w:r>
      <w:proofErr w:type="spellEnd"/>
      <w:r w:rsidRPr="00261978">
        <w:rPr>
          <w:rFonts w:ascii="Times New Roman" w:eastAsia="Calibri" w:hAnsi="Times New Roman" w:cs="Times New Roman"/>
          <w:kern w:val="0"/>
          <w:sz w:val="24"/>
          <w:lang w:val="en-US"/>
          <w14:ligatures w14:val="none"/>
        </w:rPr>
        <w:t xml:space="preserve"> rea for theft. Paula's plan to take the handbag home, inferred from the fact that she hid it beneath her car to find it later, would probably meet the criteria for having the intent to permanently deprive (see Theft Act 1968, s.6).</w:t>
      </w:r>
    </w:p>
    <w:p w14:paraId="72784A3F"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It's important to assess dishonesty. Two criteria were established in the Ghosh [1982] case: whether the defendant's actions would be considered dishonest by the common standards of </w:t>
      </w:r>
      <w:r w:rsidRPr="00261978">
        <w:rPr>
          <w:rFonts w:ascii="Times New Roman" w:eastAsia="Calibri" w:hAnsi="Times New Roman" w:cs="Times New Roman"/>
          <w:kern w:val="0"/>
          <w:sz w:val="24"/>
          <w:lang w:val="en-US"/>
          <w14:ligatures w14:val="none"/>
        </w:rPr>
        <w:lastRenderedPageBreak/>
        <w:t xml:space="preserve">reasonable and honest persons, and </w:t>
      </w:r>
      <w:proofErr w:type="gramStart"/>
      <w:r w:rsidRPr="00261978">
        <w:rPr>
          <w:rFonts w:ascii="Times New Roman" w:eastAsia="Calibri" w:hAnsi="Times New Roman" w:cs="Times New Roman"/>
          <w:kern w:val="0"/>
          <w:sz w:val="24"/>
          <w:lang w:val="en-US"/>
          <w14:ligatures w14:val="none"/>
        </w:rPr>
        <w:t>whether or not</w:t>
      </w:r>
      <w:proofErr w:type="gramEnd"/>
      <w:r w:rsidRPr="00261978">
        <w:rPr>
          <w:rFonts w:ascii="Times New Roman" w:eastAsia="Calibri" w:hAnsi="Times New Roman" w:cs="Times New Roman"/>
          <w:kern w:val="0"/>
          <w:sz w:val="24"/>
          <w:lang w:val="en-US"/>
          <w14:ligatures w14:val="none"/>
        </w:rPr>
        <w:t xml:space="preserve"> the defendant was aware that their actions were dishonest by these standards.</w:t>
      </w:r>
      <w:r w:rsidRPr="00261978">
        <w:rPr>
          <w:rFonts w:ascii="Times New Roman" w:eastAsia="Calibri" w:hAnsi="Times New Roman" w:cs="Times New Roman"/>
          <w:kern w:val="0"/>
          <w:sz w:val="24"/>
          <w14:ligatures w14:val="none"/>
        </w:rPr>
        <w:t xml:space="preserve"> </w:t>
      </w:r>
      <w:r w:rsidRPr="00261978">
        <w:rPr>
          <w:rFonts w:ascii="Times New Roman" w:eastAsia="Calibri" w:hAnsi="Times New Roman" w:cs="Times New Roman"/>
          <w:kern w:val="0"/>
          <w:sz w:val="24"/>
          <w:lang w:val="en-US"/>
          <w14:ligatures w14:val="none"/>
        </w:rPr>
        <w:t>It was recently decided that the second, subjective limb of the Ghosh test is no longer required in the case of Ivey v. Genting Casinos (UK) ltd [2017], which changed the original Ghosh test. Simply determining whether the action in question violates the (objective) standards of reasonable, honest, and ordinary people should be the sole function of the court.</w:t>
      </w:r>
    </w:p>
    <w:p w14:paraId="0BC54D8C" w14:textId="77777777" w:rsidR="00261978" w:rsidRPr="00261978" w:rsidRDefault="00261978" w:rsidP="00261978">
      <w:pPr>
        <w:spacing w:line="360" w:lineRule="auto"/>
        <w:rPr>
          <w:rFonts w:ascii="Times New Roman" w:eastAsia="Calibri" w:hAnsi="Times New Roman" w:cs="Times New Roman"/>
          <w:b/>
          <w:kern w:val="0"/>
          <w:sz w:val="24"/>
          <w:lang w:val="en-US"/>
          <w14:ligatures w14:val="none"/>
        </w:rPr>
      </w:pPr>
      <w:r w:rsidRPr="00261978">
        <w:rPr>
          <w:rFonts w:ascii="Times New Roman" w:eastAsia="Calibri" w:hAnsi="Times New Roman" w:cs="Times New Roman"/>
          <w:b/>
          <w:kern w:val="0"/>
          <w:sz w:val="24"/>
          <w:lang w:val="en-US"/>
          <w14:ligatures w14:val="none"/>
        </w:rPr>
        <w:t>Potential defense:</w:t>
      </w:r>
    </w:p>
    <w:p w14:paraId="2B3CB4AD"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For the crime of theft, the Theft Act of 1968 lists a few potential </w:t>
      </w:r>
      <w:proofErr w:type="spellStart"/>
      <w:r w:rsidRPr="00261978">
        <w:rPr>
          <w:rFonts w:ascii="Times New Roman" w:eastAsia="Calibri" w:hAnsi="Times New Roman" w:cs="Times New Roman"/>
          <w:kern w:val="0"/>
          <w:sz w:val="24"/>
          <w:lang w:val="en-US"/>
          <w14:ligatures w14:val="none"/>
        </w:rPr>
        <w:t>defences</w:t>
      </w:r>
      <w:proofErr w:type="spellEnd"/>
      <w:r w:rsidRPr="00261978">
        <w:rPr>
          <w:rFonts w:ascii="Times New Roman" w:eastAsia="Calibri" w:hAnsi="Times New Roman" w:cs="Times New Roman"/>
          <w:kern w:val="0"/>
          <w:sz w:val="24"/>
          <w:lang w:val="en-US"/>
          <w14:ligatures w14:val="none"/>
        </w:rPr>
        <w:t xml:space="preserve">. One such argument is provided by Section 2(1)(a), which states that appropriating property in the assumption that one has the legal authority to deny the other of it does not constitute dishonesty. A person who appropriates property in the belief that the person to whom the property belongs would consent if they knew about the appropriation and the circumstances of it will not be found dishonest under Section 2(1)(b), which provides another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w:t>
      </w:r>
    </w:p>
    <w:p w14:paraId="52EC08E5" w14:textId="77777777" w:rsidR="00261978" w:rsidRPr="00261978" w:rsidRDefault="00261978" w:rsidP="00261978">
      <w:pPr>
        <w:numPr>
          <w:ilvl w:val="0"/>
          <w:numId w:val="3"/>
        </w:numPr>
        <w:spacing w:line="360" w:lineRule="auto"/>
        <w:contextualSpacing/>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An acceptance of the right to </w:t>
      </w:r>
      <w:proofErr w:type="gramStart"/>
      <w:r w:rsidRPr="00261978">
        <w:rPr>
          <w:rFonts w:ascii="Times New Roman" w:eastAsia="Calibri" w:hAnsi="Times New Roman" w:cs="Times New Roman"/>
          <w:kern w:val="0"/>
          <w:sz w:val="24"/>
          <w:lang w:val="en-US"/>
          <w14:ligatures w14:val="none"/>
        </w:rPr>
        <w:t>deprived</w:t>
      </w:r>
      <w:proofErr w:type="gramEnd"/>
      <w:r w:rsidRPr="00261978">
        <w:rPr>
          <w:rFonts w:ascii="Times New Roman" w:eastAsia="Calibri" w:hAnsi="Times New Roman" w:cs="Times New Roman"/>
          <w:kern w:val="0"/>
          <w:sz w:val="24"/>
          <w:lang w:val="en-US"/>
          <w14:ligatures w14:val="none"/>
        </w:rPr>
        <w:t xml:space="preserve"> (Theft Act 1968, s.2(1)(a)): If Paula had really felt she had the right to take the purse, then this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might be applicable. She may not have had any legal claim to the bag, but based on the stealthy way she took it and hid it and her overt attempt to avoid being found by waiting until no one was looking, it appears she was aware of this. It is therefore improbable that this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w:t>
      </w:r>
      <w:proofErr w:type="gramStart"/>
      <w:r w:rsidRPr="00261978">
        <w:rPr>
          <w:rFonts w:ascii="Times New Roman" w:eastAsia="Calibri" w:hAnsi="Times New Roman" w:cs="Times New Roman"/>
          <w:kern w:val="0"/>
          <w:sz w:val="24"/>
          <w:lang w:val="en-US"/>
          <w14:ligatures w14:val="none"/>
        </w:rPr>
        <w:t>would</w:t>
      </w:r>
      <w:proofErr w:type="gramEnd"/>
      <w:r w:rsidRPr="00261978">
        <w:rPr>
          <w:rFonts w:ascii="Times New Roman" w:eastAsia="Calibri" w:hAnsi="Times New Roman" w:cs="Times New Roman"/>
          <w:kern w:val="0"/>
          <w:sz w:val="24"/>
          <w:lang w:val="en-US"/>
          <w14:ligatures w14:val="none"/>
        </w:rPr>
        <w:t xml:space="preserve"> succeed in court.</w:t>
      </w:r>
    </w:p>
    <w:p w14:paraId="441E0DEF" w14:textId="77777777" w:rsidR="00261978" w:rsidRPr="00261978" w:rsidRDefault="00261978" w:rsidP="00261978">
      <w:pPr>
        <w:numPr>
          <w:ilvl w:val="0"/>
          <w:numId w:val="3"/>
        </w:numPr>
        <w:spacing w:line="360" w:lineRule="auto"/>
        <w:contextualSpacing/>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Belief that the owner would consent (Theft Act 1968, s.2(1)(</w:t>
      </w:r>
      <w:proofErr w:type="gramStart"/>
      <w:r w:rsidRPr="00261978">
        <w:rPr>
          <w:rFonts w:ascii="Times New Roman" w:eastAsia="Calibri" w:hAnsi="Times New Roman" w:cs="Times New Roman"/>
          <w:kern w:val="0"/>
          <w:sz w:val="24"/>
          <w:lang w:val="en-US"/>
          <w14:ligatures w14:val="none"/>
        </w:rPr>
        <w:t>b))</w:t>
      </w:r>
      <w:proofErr w:type="gramEnd"/>
      <w:r w:rsidRPr="00261978">
        <w:rPr>
          <w:rFonts w:ascii="Times New Roman" w:eastAsia="Calibri" w:hAnsi="Times New Roman" w:cs="Times New Roman"/>
          <w:kern w:val="0"/>
          <w:sz w:val="24"/>
          <w:lang w:val="en-US"/>
          <w14:ligatures w14:val="none"/>
        </w:rPr>
        <w:t xml:space="preserve">: Paula may be able to use this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if she can show that she had a sincere belief that Christine would have given her permission to take the bag if Christine had been aware of the facts. Once more, Paula's secrecy implies that she was aware that Christine would not have approved of her stealing the bag. Furthermore, Paula probably couldn't legitimately claim that she believed Christine would agree to her stealing the bag because it was a gift and worth a lot of money.</w:t>
      </w:r>
    </w:p>
    <w:p w14:paraId="5009745F"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In conclusion, given Paula's clearly intentional and covert actions, and the context of her actions, it seems unlikely that she would be able to successfully use any of these </w:t>
      </w:r>
      <w:proofErr w:type="spellStart"/>
      <w:r w:rsidRPr="00261978">
        <w:rPr>
          <w:rFonts w:ascii="Times New Roman" w:eastAsia="Calibri" w:hAnsi="Times New Roman" w:cs="Times New Roman"/>
          <w:kern w:val="0"/>
          <w:sz w:val="24"/>
          <w:lang w:val="en-US"/>
          <w14:ligatures w14:val="none"/>
        </w:rPr>
        <w:t>defences</w:t>
      </w:r>
      <w:proofErr w:type="spellEnd"/>
      <w:r w:rsidRPr="00261978">
        <w:rPr>
          <w:rFonts w:ascii="Times New Roman" w:eastAsia="Calibri" w:hAnsi="Times New Roman" w:cs="Times New Roman"/>
          <w:kern w:val="0"/>
          <w:sz w:val="24"/>
          <w:lang w:val="en-US"/>
          <w14:ligatures w14:val="none"/>
        </w:rPr>
        <w:t>.</w:t>
      </w:r>
    </w:p>
    <w:p w14:paraId="15C24598"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58F48CF8"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38D0DB23"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3F73ADC6"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53DE5986"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bookmarkStart w:id="3" w:name="_Toc139417125"/>
      <w:r w:rsidRPr="00261978">
        <w:rPr>
          <w:rFonts w:ascii="Times New Roman" w:eastAsia="Times New Roman" w:hAnsi="Times New Roman" w:cs="Times New Roman"/>
          <w:b/>
          <w:color w:val="000000"/>
          <w:kern w:val="0"/>
          <w:sz w:val="26"/>
          <w:szCs w:val="26"/>
          <w:lang w:val="en-US"/>
          <w14:ligatures w14:val="none"/>
        </w:rPr>
        <w:t>Advice for Harriet:</w:t>
      </w:r>
      <w:bookmarkEnd w:id="3"/>
    </w:p>
    <w:p w14:paraId="141D464B"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During her hallucinations, Harriet may have committed two crimes: criminal damage and assault causing actual bodily harm (AOABH).</w:t>
      </w:r>
    </w:p>
    <w:p w14:paraId="421E7234"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Criminal Damage</w:t>
      </w:r>
    </w:p>
    <w:p w14:paraId="25100F42"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Criminal damage is defined as the deliberate or careless destruction or damage of another person's property (Criminal Damage Act 1971, s. 1). This is against the Criminal Damage Act of 1971.</w:t>
      </w:r>
    </w:p>
    <w:p w14:paraId="74260CB3"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Property destruction or damage is the crime of criminal damage. When Harriet started breaking the big pieces of glass, she damaged the bi-fold doors to Christine's kitchen. This action appears to satisfy the crime's actus reus. In Hardman v. Chief Constable of Avon and Somerset [1986], the idea of damage was examined. It was determined that damage is not confined to permanent or obvious injury and may also include temporary </w:t>
      </w:r>
      <w:proofErr w:type="gramStart"/>
      <w:r w:rsidRPr="00261978">
        <w:rPr>
          <w:rFonts w:ascii="Times New Roman" w:eastAsia="Calibri" w:hAnsi="Times New Roman" w:cs="Times New Roman"/>
          <w:kern w:val="0"/>
          <w:sz w:val="24"/>
          <w:lang w:val="en-US"/>
          <w14:ligatures w14:val="none"/>
        </w:rPr>
        <w:t>damages</w:t>
      </w:r>
      <w:proofErr w:type="gramEnd"/>
      <w:r w:rsidRPr="00261978">
        <w:rPr>
          <w:rFonts w:ascii="Times New Roman" w:eastAsia="Calibri" w:hAnsi="Times New Roman" w:cs="Times New Roman"/>
          <w:kern w:val="0"/>
          <w:sz w:val="24"/>
          <w:lang w:val="en-US"/>
          <w14:ligatures w14:val="none"/>
        </w:rPr>
        <w:t xml:space="preserve"> to the use or value of property.</w:t>
      </w:r>
    </w:p>
    <w:p w14:paraId="72C211EE"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1A36CEAD"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Intention or carelessness towards the destruction of any property is the </w:t>
      </w:r>
      <w:proofErr w:type="spellStart"/>
      <w:r w:rsidRPr="00261978">
        <w:rPr>
          <w:rFonts w:ascii="Times New Roman" w:eastAsia="Calibri" w:hAnsi="Times New Roman" w:cs="Times New Roman"/>
          <w:kern w:val="0"/>
          <w:sz w:val="24"/>
          <w:lang w:val="en-US"/>
          <w14:ligatures w14:val="none"/>
        </w:rPr>
        <w:t>mens</w:t>
      </w:r>
      <w:proofErr w:type="spellEnd"/>
      <w:r w:rsidRPr="00261978">
        <w:rPr>
          <w:rFonts w:ascii="Times New Roman" w:eastAsia="Calibri" w:hAnsi="Times New Roman" w:cs="Times New Roman"/>
          <w:kern w:val="0"/>
          <w:sz w:val="24"/>
          <w:lang w:val="en-US"/>
          <w14:ligatures w14:val="none"/>
        </w:rPr>
        <w:t xml:space="preserve"> rea for criminal damage. Even though Harriet had no intention of causing harm, her careless </w:t>
      </w:r>
      <w:proofErr w:type="spellStart"/>
      <w:r w:rsidRPr="00261978">
        <w:rPr>
          <w:rFonts w:ascii="Times New Roman" w:eastAsia="Calibri" w:hAnsi="Times New Roman" w:cs="Times New Roman"/>
          <w:kern w:val="0"/>
          <w:sz w:val="24"/>
          <w:lang w:val="en-US"/>
          <w14:ligatures w14:val="none"/>
        </w:rPr>
        <w:t>behaviour</w:t>
      </w:r>
      <w:proofErr w:type="spellEnd"/>
      <w:r w:rsidRPr="00261978">
        <w:rPr>
          <w:rFonts w:ascii="Times New Roman" w:eastAsia="Calibri" w:hAnsi="Times New Roman" w:cs="Times New Roman"/>
          <w:kern w:val="0"/>
          <w:sz w:val="24"/>
          <w:lang w:val="en-US"/>
          <w14:ligatures w14:val="none"/>
        </w:rPr>
        <w:t xml:space="preserve"> as a result of hallucinations while she was oblivious to the potential harm may have met the requirements for recklessness as determined in R v Cunningham [1957]. In this instance, the court determined that recklessness might be assumed when the defendant took a risk despite anticipating that a certain type of harm might be caused.</w:t>
      </w:r>
    </w:p>
    <w:p w14:paraId="43A37606" w14:textId="77777777" w:rsidR="00261978" w:rsidRPr="00261978" w:rsidRDefault="00261978" w:rsidP="00261978">
      <w:pPr>
        <w:spacing w:line="360" w:lineRule="auto"/>
        <w:rPr>
          <w:rFonts w:ascii="Times New Roman" w:eastAsia="Calibri" w:hAnsi="Times New Roman" w:cs="Times New Roman"/>
          <w:b/>
          <w:kern w:val="0"/>
          <w:sz w:val="24"/>
          <w:lang w:val="en-US"/>
          <w14:ligatures w14:val="none"/>
        </w:rPr>
      </w:pPr>
      <w:r w:rsidRPr="00261978">
        <w:rPr>
          <w:rFonts w:ascii="Times New Roman" w:eastAsia="Calibri" w:hAnsi="Times New Roman" w:cs="Times New Roman"/>
          <w:b/>
          <w:kern w:val="0"/>
          <w:sz w:val="24"/>
          <w:lang w:val="en-US"/>
          <w14:ligatures w14:val="none"/>
        </w:rPr>
        <w:t xml:space="preserve">Potential </w:t>
      </w:r>
      <w:proofErr w:type="spellStart"/>
      <w:r w:rsidRPr="00261978">
        <w:rPr>
          <w:rFonts w:ascii="Times New Roman" w:eastAsia="Calibri" w:hAnsi="Times New Roman" w:cs="Times New Roman"/>
          <w:b/>
          <w:kern w:val="0"/>
          <w:sz w:val="24"/>
          <w:lang w:val="en-US"/>
          <w14:ligatures w14:val="none"/>
        </w:rPr>
        <w:t>defence</w:t>
      </w:r>
      <w:proofErr w:type="spellEnd"/>
      <w:r w:rsidRPr="00261978">
        <w:rPr>
          <w:rFonts w:ascii="Times New Roman" w:eastAsia="Calibri" w:hAnsi="Times New Roman" w:cs="Times New Roman"/>
          <w:b/>
          <w:kern w:val="0"/>
          <w:sz w:val="24"/>
          <w:lang w:val="en-US"/>
          <w14:ligatures w14:val="none"/>
        </w:rPr>
        <w:t>:</w:t>
      </w:r>
    </w:p>
    <w:p w14:paraId="70F3A057"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Given that she did not voluntarily ingest alcohol, Harriet may be able to use drunkenness as a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When intoxication results in an offence that calls for </w:t>
      </w:r>
      <w:proofErr w:type="gramStart"/>
      <w:r w:rsidRPr="00261978">
        <w:rPr>
          <w:rFonts w:ascii="Times New Roman" w:eastAsia="Calibri" w:hAnsi="Times New Roman" w:cs="Times New Roman"/>
          <w:kern w:val="0"/>
          <w:sz w:val="24"/>
          <w:lang w:val="en-US"/>
          <w14:ligatures w14:val="none"/>
        </w:rPr>
        <w:t>particular intent</w:t>
      </w:r>
      <w:proofErr w:type="gramEnd"/>
      <w:r w:rsidRPr="00261978">
        <w:rPr>
          <w:rFonts w:ascii="Times New Roman" w:eastAsia="Calibri" w:hAnsi="Times New Roman" w:cs="Times New Roman"/>
          <w:kern w:val="0"/>
          <w:sz w:val="24"/>
          <w:lang w:val="en-US"/>
          <w14:ligatures w14:val="none"/>
        </w:rPr>
        <w:t xml:space="preserve">, such as criminal damage, the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of involuntary intoxication may be invoked. It was </w:t>
      </w:r>
      <w:proofErr w:type="spellStart"/>
      <w:r w:rsidRPr="00261978">
        <w:rPr>
          <w:rFonts w:ascii="Times New Roman" w:eastAsia="Calibri" w:hAnsi="Times New Roman" w:cs="Times New Roman"/>
          <w:kern w:val="0"/>
          <w:sz w:val="24"/>
          <w:lang w:val="en-US"/>
          <w14:ligatures w14:val="none"/>
        </w:rPr>
        <w:t>recognised</w:t>
      </w:r>
      <w:proofErr w:type="spellEnd"/>
      <w:r w:rsidRPr="00261978">
        <w:rPr>
          <w:rFonts w:ascii="Times New Roman" w:eastAsia="Calibri" w:hAnsi="Times New Roman" w:cs="Times New Roman"/>
          <w:kern w:val="0"/>
          <w:sz w:val="24"/>
          <w:lang w:val="en-US"/>
          <w14:ligatures w14:val="none"/>
        </w:rPr>
        <w:t xml:space="preserve"> in the case of </w:t>
      </w:r>
      <w:r w:rsidRPr="00261978">
        <w:rPr>
          <w:rFonts w:ascii="Times New Roman" w:eastAsia="Calibri" w:hAnsi="Times New Roman" w:cs="Times New Roman"/>
          <w:kern w:val="0"/>
          <w:sz w:val="24"/>
          <w:lang w:val="en-US"/>
          <w14:ligatures w14:val="none"/>
        </w:rPr>
        <w:lastRenderedPageBreak/>
        <w:t xml:space="preserve">Bailey v. Hardie (1984) that involuntary drunkenness might be used as a </w:t>
      </w:r>
      <w:proofErr w:type="spellStart"/>
      <w:r w:rsidRPr="00261978">
        <w:rPr>
          <w:rFonts w:ascii="Times New Roman" w:eastAsia="Calibri" w:hAnsi="Times New Roman" w:cs="Times New Roman"/>
          <w:kern w:val="0"/>
          <w:sz w:val="24"/>
          <w:lang w:val="en-US"/>
          <w14:ligatures w14:val="none"/>
        </w:rPr>
        <w:t>defence</w:t>
      </w:r>
      <w:proofErr w:type="spellEnd"/>
      <w:r w:rsidRPr="00261978">
        <w:rPr>
          <w:rFonts w:ascii="Times New Roman" w:eastAsia="Calibri" w:hAnsi="Times New Roman" w:cs="Times New Roman"/>
          <w:kern w:val="0"/>
          <w:sz w:val="24"/>
          <w:lang w:val="en-US"/>
          <w14:ligatures w14:val="none"/>
        </w:rPr>
        <w:t xml:space="preserve"> where the defendant was unaware that their conduct would have negative effects.</w:t>
      </w:r>
    </w:p>
    <w:p w14:paraId="4D5B137B"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bookmarkStart w:id="4" w:name="_Toc139417126"/>
      <w:proofErr w:type="spellStart"/>
      <w:r w:rsidRPr="00261978">
        <w:rPr>
          <w:rFonts w:ascii="Times New Roman" w:eastAsia="Times New Roman" w:hAnsi="Times New Roman" w:cs="Times New Roman"/>
          <w:b/>
          <w:color w:val="000000"/>
          <w:kern w:val="0"/>
          <w:sz w:val="26"/>
          <w:szCs w:val="26"/>
          <w:lang w:val="en-US"/>
          <w14:ligatures w14:val="none"/>
        </w:rPr>
        <w:t>Mens</w:t>
      </w:r>
      <w:proofErr w:type="spellEnd"/>
      <w:r w:rsidRPr="00261978">
        <w:rPr>
          <w:rFonts w:ascii="Times New Roman" w:eastAsia="Times New Roman" w:hAnsi="Times New Roman" w:cs="Times New Roman"/>
          <w:b/>
          <w:color w:val="000000"/>
          <w:kern w:val="0"/>
          <w:sz w:val="26"/>
          <w:szCs w:val="26"/>
          <w:lang w:val="en-US"/>
          <w14:ligatures w14:val="none"/>
        </w:rPr>
        <w:t xml:space="preserve"> Rea Analysis for Paula:</w:t>
      </w:r>
      <w:bookmarkEnd w:id="4"/>
    </w:p>
    <w:p w14:paraId="3A07227C"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 xml:space="preserve">The </w:t>
      </w:r>
      <w:proofErr w:type="spellStart"/>
      <w:r w:rsidRPr="00261978">
        <w:rPr>
          <w:rFonts w:ascii="Times New Roman" w:eastAsia="Calibri" w:hAnsi="Times New Roman" w:cs="Times New Roman"/>
          <w:kern w:val="0"/>
          <w:sz w:val="24"/>
          <w14:ligatures w14:val="none"/>
        </w:rPr>
        <w:t>mens</w:t>
      </w:r>
      <w:proofErr w:type="spellEnd"/>
      <w:r w:rsidRPr="00261978">
        <w:rPr>
          <w:rFonts w:ascii="Times New Roman" w:eastAsia="Calibri" w:hAnsi="Times New Roman" w:cs="Times New Roman"/>
          <w:kern w:val="0"/>
          <w:sz w:val="24"/>
          <w14:ligatures w14:val="none"/>
        </w:rPr>
        <w:t xml:space="preserve"> rea for theft, as defined under section 1 of the Theft Act 1968, includes dishonesty and the intention to permanently deprive the owner of the property.</w:t>
      </w:r>
    </w:p>
    <w:p w14:paraId="3EC2CFDB"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The dishonesty factor in Paula's case can be supported by the fact that she grabbed Christine's designer purse without her permission while fully aware that it wasn't hers. Over time, the criteria for defining dishonesty have changed. The Ghosh test, an objective-subjective test, was initially employed. The second component of the Ghosh test—whether the defendant must have understood what he was doing was dishonest by the standards of ordinary decent people—was, however, deemed unconstitutional by the Supreme Court in Ivey v. Genting Casinos (UK) Ltd. [2017]. The test for dishonesty is now completely objective; it concerns whether the defendant's actions violated the lay standards of reasonable, honest, and ordinary people.</w:t>
      </w:r>
      <w:r w:rsidRPr="00261978">
        <w:rPr>
          <w:rFonts w:ascii="Times New Roman" w:eastAsia="Calibri" w:hAnsi="Times New Roman" w:cs="Times New Roman"/>
          <w:kern w:val="0"/>
          <w:sz w:val="24"/>
          <w14:ligatures w14:val="none"/>
        </w:rPr>
        <w:t xml:space="preserve"> </w:t>
      </w:r>
      <w:r w:rsidRPr="00261978">
        <w:rPr>
          <w:rFonts w:ascii="Times New Roman" w:eastAsia="Calibri" w:hAnsi="Times New Roman" w:cs="Times New Roman"/>
          <w:kern w:val="0"/>
          <w:sz w:val="24"/>
          <w:lang w:val="en-US"/>
          <w14:ligatures w14:val="none"/>
        </w:rPr>
        <w:t xml:space="preserve">Paula hid the bag under her car with the purpose </w:t>
      </w:r>
      <w:proofErr w:type="gramStart"/>
      <w:r w:rsidRPr="00261978">
        <w:rPr>
          <w:rFonts w:ascii="Times New Roman" w:eastAsia="Calibri" w:hAnsi="Times New Roman" w:cs="Times New Roman"/>
          <w:kern w:val="0"/>
          <w:sz w:val="24"/>
          <w:lang w:val="en-US"/>
          <w14:ligatures w14:val="none"/>
        </w:rPr>
        <w:t>to take</w:t>
      </w:r>
      <w:proofErr w:type="gramEnd"/>
      <w:r w:rsidRPr="00261978">
        <w:rPr>
          <w:rFonts w:ascii="Times New Roman" w:eastAsia="Calibri" w:hAnsi="Times New Roman" w:cs="Times New Roman"/>
          <w:kern w:val="0"/>
          <w:sz w:val="24"/>
          <w:lang w:val="en-US"/>
          <w14:ligatures w14:val="none"/>
        </w:rPr>
        <w:t xml:space="preserve"> it home after the party, so intending to permanently deprive. This makes it plain that the goal is to permanently deny Christine access to her fancy purse. According to the ruling in R v. Morris (1983), it is sufficient to prove that the defendant meant to treat the owner's rights as being disregarded rather than that they planned to permanently deprive them of their property by keeping it.</w:t>
      </w:r>
    </w:p>
    <w:p w14:paraId="52ACD21C"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Therefore, it could be claimed that Paula's acts satisfy the </w:t>
      </w:r>
      <w:proofErr w:type="spellStart"/>
      <w:r w:rsidRPr="00261978">
        <w:rPr>
          <w:rFonts w:ascii="Times New Roman" w:eastAsia="Calibri" w:hAnsi="Times New Roman" w:cs="Times New Roman"/>
          <w:kern w:val="0"/>
          <w:sz w:val="24"/>
          <w:lang w:val="en-US"/>
          <w14:ligatures w14:val="none"/>
        </w:rPr>
        <w:t>mens</w:t>
      </w:r>
      <w:proofErr w:type="spellEnd"/>
      <w:r w:rsidRPr="00261978">
        <w:rPr>
          <w:rFonts w:ascii="Times New Roman" w:eastAsia="Calibri" w:hAnsi="Times New Roman" w:cs="Times New Roman"/>
          <w:kern w:val="0"/>
          <w:sz w:val="24"/>
          <w:lang w:val="en-US"/>
          <w14:ligatures w14:val="none"/>
        </w:rPr>
        <w:t xml:space="preserve"> rea standards for stealing </w:t>
      </w:r>
      <w:proofErr w:type="gramStart"/>
      <w:r w:rsidRPr="00261978">
        <w:rPr>
          <w:rFonts w:ascii="Times New Roman" w:eastAsia="Calibri" w:hAnsi="Times New Roman" w:cs="Times New Roman"/>
          <w:kern w:val="0"/>
          <w:sz w:val="24"/>
          <w:lang w:val="en-US"/>
          <w14:ligatures w14:val="none"/>
        </w:rPr>
        <w:t>in light of</w:t>
      </w:r>
      <w:proofErr w:type="gramEnd"/>
      <w:r w:rsidRPr="00261978">
        <w:rPr>
          <w:rFonts w:ascii="Times New Roman" w:eastAsia="Calibri" w:hAnsi="Times New Roman" w:cs="Times New Roman"/>
          <w:kern w:val="0"/>
          <w:sz w:val="24"/>
          <w:lang w:val="en-US"/>
          <w14:ligatures w14:val="none"/>
        </w:rPr>
        <w:t xml:space="preserve"> these points and the supporting case laws.</w:t>
      </w:r>
    </w:p>
    <w:p w14:paraId="4B0555F0"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26BEA2E5"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7A7BE256"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7DA6F174"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14:ligatures w14:val="none"/>
        </w:rPr>
      </w:pPr>
      <w:bookmarkStart w:id="5" w:name="_Toc139417127"/>
      <w:r w:rsidRPr="00261978">
        <w:rPr>
          <w:rFonts w:ascii="Times New Roman" w:eastAsia="Times New Roman" w:hAnsi="Times New Roman" w:cs="Times New Roman"/>
          <w:b/>
          <w:color w:val="000000"/>
          <w:kern w:val="0"/>
          <w:sz w:val="26"/>
          <w:szCs w:val="26"/>
          <w14:ligatures w14:val="none"/>
        </w:rPr>
        <w:t>Assault Occasioning Actual Bodily Harm (AOABH):</w:t>
      </w:r>
      <w:bookmarkEnd w:id="5"/>
    </w:p>
    <w:p w14:paraId="0889E4DB"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AOABH needs an attack that results in Actual Bodily Harm (ABH). In one instance, Harriet struck Daniel in the face, breaking his cheekbone. This harm could meet the concept of ABH as stated in R v Chan-Fook [1994] because it goes beyond being merely momentary or trivial.</w:t>
      </w:r>
    </w:p>
    <w:p w14:paraId="2D1D66D3" w14:textId="77777777" w:rsidR="00261978" w:rsidRPr="00261978" w:rsidRDefault="00261978" w:rsidP="00261978">
      <w:pPr>
        <w:spacing w:line="360" w:lineRule="auto"/>
        <w:rPr>
          <w:rFonts w:ascii="Times New Roman" w:eastAsia="Calibri" w:hAnsi="Times New Roman" w:cs="Times New Roman"/>
          <w:kern w:val="0"/>
          <w:sz w:val="24"/>
          <w14:ligatures w14:val="none"/>
        </w:rPr>
      </w:pPr>
      <w:proofErr w:type="spellStart"/>
      <w:r w:rsidRPr="00261978">
        <w:rPr>
          <w:rFonts w:ascii="Times New Roman" w:eastAsia="Calibri" w:hAnsi="Times New Roman" w:cs="Times New Roman"/>
          <w:kern w:val="0"/>
          <w:sz w:val="24"/>
          <w14:ligatures w14:val="none"/>
        </w:rPr>
        <w:lastRenderedPageBreak/>
        <w:t>Mens</w:t>
      </w:r>
      <w:proofErr w:type="spellEnd"/>
      <w:r w:rsidRPr="00261978">
        <w:rPr>
          <w:rFonts w:ascii="Times New Roman" w:eastAsia="Calibri" w:hAnsi="Times New Roman" w:cs="Times New Roman"/>
          <w:kern w:val="0"/>
          <w:sz w:val="24"/>
          <w14:ligatures w14:val="none"/>
        </w:rPr>
        <w:t xml:space="preserve"> Rea: The desire to provoke imminent, unlawful personal violence in the victim or arrogant disregard for whether such apprehension will occur constitute the </w:t>
      </w:r>
      <w:proofErr w:type="spellStart"/>
      <w:r w:rsidRPr="00261978">
        <w:rPr>
          <w:rFonts w:ascii="Times New Roman" w:eastAsia="Calibri" w:hAnsi="Times New Roman" w:cs="Times New Roman"/>
          <w:kern w:val="0"/>
          <w:sz w:val="24"/>
          <w14:ligatures w14:val="none"/>
        </w:rPr>
        <w:t>mens</w:t>
      </w:r>
      <w:proofErr w:type="spellEnd"/>
      <w:r w:rsidRPr="00261978">
        <w:rPr>
          <w:rFonts w:ascii="Times New Roman" w:eastAsia="Calibri" w:hAnsi="Times New Roman" w:cs="Times New Roman"/>
          <w:kern w:val="0"/>
          <w:sz w:val="24"/>
          <w14:ligatures w14:val="none"/>
        </w:rPr>
        <w:t xml:space="preserve"> rea of AOABH. It is questionable whether Harriet's hallucinations and her conviction that she was in immediate danger met the requirements of intent or recklessness in this situation. The R v. </w:t>
      </w:r>
      <w:proofErr w:type="gramStart"/>
      <w:r w:rsidRPr="00261978">
        <w:rPr>
          <w:rFonts w:ascii="Times New Roman" w:eastAsia="Calibri" w:hAnsi="Times New Roman" w:cs="Times New Roman"/>
          <w:kern w:val="0"/>
          <w:sz w:val="24"/>
          <w14:ligatures w14:val="none"/>
        </w:rPr>
        <w:t>Savage;</w:t>
      </w:r>
      <w:proofErr w:type="gramEnd"/>
      <w:r w:rsidRPr="00261978">
        <w:rPr>
          <w:rFonts w:ascii="Times New Roman" w:eastAsia="Calibri" w:hAnsi="Times New Roman" w:cs="Times New Roman"/>
          <w:kern w:val="0"/>
          <w:sz w:val="24"/>
          <w14:ligatures w14:val="none"/>
        </w:rPr>
        <w:t xml:space="preserve"> Parmenter decision from 1991 made clear that only the assault was required; the defendant did not need to have meant or anticipated the harm. It can be alleged that Harriet anticipated impending unlawful bodily violence because she swung violently, striking Daniel.</w:t>
      </w:r>
    </w:p>
    <w:p w14:paraId="5BFE6825"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Again, Harriet may use involuntary intoxication as an excuse. As mentioned above, the defence of intoxication can be used to defend against offences requiring specific intent, including AOABH. If Harriet can show that her intoxication caused the loss of control that culminated in the assault, the fact that she did not voluntarily ingest alcohol may help her case.</w:t>
      </w:r>
    </w:p>
    <w:p w14:paraId="49EE35D2" w14:textId="77777777" w:rsidR="00261978" w:rsidRP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14:ligatures w14:val="none"/>
        </w:rPr>
      </w:pPr>
      <w:bookmarkStart w:id="6" w:name="_Toc139417128"/>
      <w:r w:rsidRPr="00261978">
        <w:rPr>
          <w:rFonts w:ascii="Times New Roman" w:eastAsia="Times New Roman" w:hAnsi="Times New Roman" w:cs="Times New Roman"/>
          <w:b/>
          <w:color w:val="000000"/>
          <w:kern w:val="0"/>
          <w:sz w:val="26"/>
          <w:szCs w:val="26"/>
          <w14:ligatures w14:val="none"/>
        </w:rPr>
        <w:t>Conclusion:</w:t>
      </w:r>
      <w:bookmarkEnd w:id="6"/>
    </w:p>
    <w:p w14:paraId="5293A616"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Finally, because of their behaviour at Christine's party, Paula and Harriet find themselves in legal binds. Both Paula and Harriet may be charged with crimes for their ostensible stealing and for their assaults that resulted in actual bodily harm.</w:t>
      </w:r>
    </w:p>
    <w:p w14:paraId="055769F2"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 xml:space="preserve">For Paula, the actus reus and </w:t>
      </w:r>
      <w:proofErr w:type="spellStart"/>
      <w:r w:rsidRPr="00261978">
        <w:rPr>
          <w:rFonts w:ascii="Times New Roman" w:eastAsia="Calibri" w:hAnsi="Times New Roman" w:cs="Times New Roman"/>
          <w:kern w:val="0"/>
          <w:sz w:val="24"/>
          <w14:ligatures w14:val="none"/>
        </w:rPr>
        <w:t>mens</w:t>
      </w:r>
      <w:proofErr w:type="spellEnd"/>
      <w:r w:rsidRPr="00261978">
        <w:rPr>
          <w:rFonts w:ascii="Times New Roman" w:eastAsia="Calibri" w:hAnsi="Times New Roman" w:cs="Times New Roman"/>
          <w:kern w:val="0"/>
          <w:sz w:val="24"/>
          <w14:ligatures w14:val="none"/>
        </w:rPr>
        <w:t xml:space="preserve"> rea for stealing as stated by the stealing Act 1968 are likely satisfied by her covert actions and obvious desire to rob Christine of her pricey designer purse. Although there are defences such the right to deprive and the assumption that the owner would approve, it is unlikely that Paula would be able to use them given the circumstances of her acts. On the other hand, Harriet, who unintentionally drank alcohol and acted under the effect, may be able to use the defence of involuntary drunkenness. Although her activities were hurtful and detrimental, they were carried out because of her intoxication, which may have exonerated her from criminal responsibility.</w:t>
      </w:r>
    </w:p>
    <w:p w14:paraId="05881520" w14:textId="77777777" w:rsidR="00261978" w:rsidRPr="00261978" w:rsidRDefault="00261978" w:rsidP="00261978">
      <w:pPr>
        <w:spacing w:line="360" w:lineRule="auto"/>
        <w:rPr>
          <w:rFonts w:ascii="Times New Roman" w:eastAsia="Calibri" w:hAnsi="Times New Roman" w:cs="Times New Roman"/>
          <w:kern w:val="0"/>
          <w:sz w:val="24"/>
          <w14:ligatures w14:val="none"/>
        </w:rPr>
      </w:pPr>
      <w:r w:rsidRPr="00261978">
        <w:rPr>
          <w:rFonts w:ascii="Times New Roman" w:eastAsia="Calibri" w:hAnsi="Times New Roman" w:cs="Times New Roman"/>
          <w:kern w:val="0"/>
          <w:sz w:val="24"/>
          <w14:ligatures w14:val="none"/>
        </w:rPr>
        <w:t>The specific facts and circumstances of a case, however, can frequently affect how the law is applied. As a result, even though this guidance offers a broad overview based on current statutes and case laws, the results when presented before a court of law can differ greatly.</w:t>
      </w:r>
    </w:p>
    <w:p w14:paraId="509F268B"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04968C00"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1E8585E3"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036E1D8D"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327053A9"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1A463F08" w14:textId="77777777" w:rsidR="00261978" w:rsidRPr="00261978" w:rsidRDefault="00261978" w:rsidP="00261978">
      <w:pPr>
        <w:spacing w:line="360" w:lineRule="auto"/>
        <w:rPr>
          <w:rFonts w:ascii="Times New Roman" w:eastAsia="Calibri" w:hAnsi="Times New Roman" w:cs="Times New Roman"/>
          <w:kern w:val="0"/>
          <w:sz w:val="24"/>
          <w14:ligatures w14:val="none"/>
        </w:rPr>
      </w:pPr>
    </w:p>
    <w:p w14:paraId="13ECD812"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0029ECEE"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63731763"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51552242" w14:textId="77777777" w:rsidR="00261978" w:rsidRPr="00261978" w:rsidRDefault="00261978" w:rsidP="00261978">
      <w:pPr>
        <w:spacing w:line="360" w:lineRule="auto"/>
        <w:rPr>
          <w:rFonts w:ascii="Times New Roman" w:eastAsia="Calibri" w:hAnsi="Times New Roman" w:cs="Times New Roman"/>
          <w:kern w:val="0"/>
          <w:sz w:val="24"/>
          <w:lang w:val="en-US"/>
          <w14:ligatures w14:val="none"/>
        </w:rPr>
      </w:pPr>
    </w:p>
    <w:p w14:paraId="4A10186A" w14:textId="77777777" w:rsidR="00261978" w:rsidRDefault="00261978" w:rsidP="00261978">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bookmarkStart w:id="7" w:name="_Toc139417129"/>
      <w:r w:rsidRPr="00261978">
        <w:rPr>
          <w:rFonts w:ascii="Times New Roman" w:eastAsia="Times New Roman" w:hAnsi="Times New Roman" w:cs="Times New Roman"/>
          <w:b/>
          <w:color w:val="000000"/>
          <w:kern w:val="0"/>
          <w:sz w:val="26"/>
          <w:szCs w:val="26"/>
          <w:lang w:val="en-US"/>
          <w14:ligatures w14:val="none"/>
        </w:rPr>
        <w:t>References:</w:t>
      </w:r>
      <w:bookmarkEnd w:id="7"/>
    </w:p>
    <w:p w14:paraId="4160F3E4" w14:textId="77777777" w:rsidR="00F138BD" w:rsidRPr="00261978" w:rsidRDefault="00F138BD" w:rsidP="004A0910">
      <w:pPr>
        <w:numPr>
          <w:ilvl w:val="0"/>
          <w:numId w:val="2"/>
        </w:numPr>
        <w:spacing w:line="360" w:lineRule="auto"/>
        <w:ind w:left="720"/>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Bailey; Hardie [1984] 1 WLR 760.</w:t>
      </w:r>
    </w:p>
    <w:p w14:paraId="0B1E137A" w14:textId="77777777" w:rsidR="00F138BD" w:rsidRDefault="00F138BD" w:rsidP="004A0910">
      <w:pPr>
        <w:keepNext/>
        <w:keepLines/>
        <w:spacing w:before="40" w:after="0" w:line="360" w:lineRule="auto"/>
        <w:outlineLvl w:val="1"/>
        <w:rPr>
          <w:rFonts w:ascii="Times New Roman" w:eastAsia="Times New Roman" w:hAnsi="Times New Roman" w:cs="Times New Roman"/>
          <w:b/>
          <w:color w:val="000000"/>
          <w:kern w:val="0"/>
          <w:sz w:val="26"/>
          <w:szCs w:val="26"/>
          <w:lang w:val="en-US"/>
          <w14:ligatures w14:val="none"/>
        </w:rPr>
      </w:pPr>
    </w:p>
    <w:p w14:paraId="4F04DE3C" w14:textId="77777777" w:rsidR="00261978" w:rsidRDefault="00261978"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Criminal Damage Act 1971, s. 1. Available at: https://www.legislation.gov.uk/ukpga/1971/48 (Accessed: 5 July 2023).</w:t>
      </w:r>
    </w:p>
    <w:p w14:paraId="23A463D5" w14:textId="77777777" w:rsidR="00F138BD" w:rsidRPr="00261978" w:rsidRDefault="00F138BD"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Ghosh, R v [1982] EWCA Crim 2, [1982] QB 1053.</w:t>
      </w:r>
    </w:p>
    <w:p w14:paraId="66857D90" w14:textId="77777777" w:rsidR="00261978" w:rsidRDefault="00261978"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 xml:space="preserve">Great Britain. Theft Act 1968. Sections 1,3,6. Available at: </w:t>
      </w:r>
      <w:hyperlink r:id="rId5" w:tgtFrame="_new" w:history="1">
        <w:r w:rsidRPr="00261978">
          <w:rPr>
            <w:rFonts w:ascii="Times New Roman" w:eastAsia="Calibri" w:hAnsi="Times New Roman" w:cs="Times New Roman"/>
            <w:color w:val="0563C1"/>
            <w:kern w:val="0"/>
            <w:sz w:val="24"/>
            <w:u w:val="single"/>
            <w:lang w:val="en-US"/>
            <w14:ligatures w14:val="none"/>
          </w:rPr>
          <w:t>https://www.legislation.gov.uk/ukpga/1968/60</w:t>
        </w:r>
      </w:hyperlink>
      <w:r w:rsidRPr="00261978">
        <w:rPr>
          <w:rFonts w:ascii="Times New Roman" w:eastAsia="Calibri" w:hAnsi="Times New Roman" w:cs="Times New Roman"/>
          <w:kern w:val="0"/>
          <w:sz w:val="24"/>
          <w:lang w:val="en-US"/>
          <w14:ligatures w14:val="none"/>
        </w:rPr>
        <w:t xml:space="preserve"> (Accessed: 5 July 2023).</w:t>
      </w:r>
    </w:p>
    <w:p w14:paraId="0B9AA517" w14:textId="77777777" w:rsidR="00DA28E3" w:rsidRPr="00261978" w:rsidRDefault="00DA28E3"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Hardman v Chief Constable of Avon and Somerset [1986] 1 WLR 939.</w:t>
      </w:r>
    </w:p>
    <w:p w14:paraId="62BE7C4D" w14:textId="3200B55C" w:rsidR="00261978" w:rsidRPr="00261978" w:rsidRDefault="00261978"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Ivey v Genting Casinos (UK) ltd [2017] UKSC 67.</w:t>
      </w:r>
    </w:p>
    <w:p w14:paraId="40B39247" w14:textId="77777777" w:rsidR="00261978" w:rsidRDefault="00261978"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Morris, R v [1983] AC 320.</w:t>
      </w:r>
    </w:p>
    <w:p w14:paraId="7A5E62EF" w14:textId="77777777" w:rsidR="004A0910" w:rsidRPr="004A0910" w:rsidRDefault="004A0910" w:rsidP="004A0910">
      <w:pPr>
        <w:pStyle w:val="ListParagraph"/>
        <w:numPr>
          <w:ilvl w:val="0"/>
          <w:numId w:val="1"/>
        </w:numPr>
        <w:rPr>
          <w:rFonts w:ascii="Times New Roman" w:eastAsia="Calibri" w:hAnsi="Times New Roman" w:cs="Times New Roman"/>
          <w:kern w:val="0"/>
          <w:sz w:val="24"/>
          <w:lang w:val="en-US"/>
          <w14:ligatures w14:val="none"/>
        </w:rPr>
      </w:pPr>
      <w:r w:rsidRPr="004A0910">
        <w:rPr>
          <w:rFonts w:ascii="Times New Roman" w:eastAsia="Calibri" w:hAnsi="Times New Roman" w:cs="Times New Roman"/>
          <w:kern w:val="0"/>
          <w:sz w:val="24"/>
          <w:lang w:val="en-US"/>
          <w14:ligatures w14:val="none"/>
        </w:rPr>
        <w:t>Offences Against the Person Act 1861, s. 47. Available at: https://www.legislation.gov.uk/ukpga/Vict/24-25/100/section/47 (Accessed: 5 July 2023).</w:t>
      </w:r>
    </w:p>
    <w:p w14:paraId="1E9907F0" w14:textId="77777777" w:rsidR="00261978" w:rsidRPr="00261978" w:rsidRDefault="00261978" w:rsidP="004A0910">
      <w:pPr>
        <w:numPr>
          <w:ilvl w:val="0"/>
          <w:numId w:val="1"/>
        </w:numPr>
        <w:spacing w:line="360" w:lineRule="auto"/>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R v Cunningham [1957] 2 QB 396.</w:t>
      </w:r>
    </w:p>
    <w:p w14:paraId="488B3AC2" w14:textId="77777777" w:rsidR="00261978" w:rsidRPr="00261978" w:rsidRDefault="00261978" w:rsidP="004A0910">
      <w:pPr>
        <w:numPr>
          <w:ilvl w:val="0"/>
          <w:numId w:val="2"/>
        </w:numPr>
        <w:spacing w:line="360" w:lineRule="auto"/>
        <w:ind w:left="720"/>
        <w:contextualSpacing/>
        <w:rPr>
          <w:rFonts w:ascii="Times New Roman" w:eastAsia="Calibri" w:hAnsi="Times New Roman" w:cs="Times New Roman"/>
          <w:kern w:val="0"/>
          <w:sz w:val="24"/>
          <w:lang w:val="en-US"/>
          <w14:ligatures w14:val="none"/>
        </w:rPr>
      </w:pPr>
      <w:r w:rsidRPr="00261978">
        <w:rPr>
          <w:rFonts w:ascii="Times New Roman" w:eastAsia="Calibri" w:hAnsi="Times New Roman" w:cs="Times New Roman"/>
          <w:kern w:val="0"/>
          <w:sz w:val="24"/>
          <w:lang w:val="en-US"/>
          <w14:ligatures w14:val="none"/>
        </w:rPr>
        <w:t>R v Chan-Fook [1994] 1 WLR 689.</w:t>
      </w:r>
    </w:p>
    <w:p w14:paraId="7B0485E9" w14:textId="77777777" w:rsidR="003676A8" w:rsidRDefault="003676A8" w:rsidP="004A0910"/>
    <w:sectPr w:rsidR="003676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6368B"/>
    <w:multiLevelType w:val="hybridMultilevel"/>
    <w:tmpl w:val="7BD29C3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564CDA"/>
    <w:multiLevelType w:val="multilevel"/>
    <w:tmpl w:val="3BC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68D41CA"/>
    <w:multiLevelType w:val="hybridMultilevel"/>
    <w:tmpl w:val="586EE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2717959">
    <w:abstractNumId w:val="1"/>
  </w:num>
  <w:num w:numId="2" w16cid:durableId="769740207">
    <w:abstractNumId w:val="0"/>
  </w:num>
  <w:num w:numId="3" w16cid:durableId="132605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95"/>
    <w:rsid w:val="000821E4"/>
    <w:rsid w:val="00100958"/>
    <w:rsid w:val="00261978"/>
    <w:rsid w:val="0028218F"/>
    <w:rsid w:val="003676A8"/>
    <w:rsid w:val="00373E67"/>
    <w:rsid w:val="004A0910"/>
    <w:rsid w:val="00586824"/>
    <w:rsid w:val="005B6DE0"/>
    <w:rsid w:val="005C3110"/>
    <w:rsid w:val="007A100A"/>
    <w:rsid w:val="007F5A12"/>
    <w:rsid w:val="00914195"/>
    <w:rsid w:val="009A6608"/>
    <w:rsid w:val="00A34268"/>
    <w:rsid w:val="00BD3B0C"/>
    <w:rsid w:val="00D6414C"/>
    <w:rsid w:val="00DA28E3"/>
    <w:rsid w:val="00F1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9E22"/>
  <w15:chartTrackingRefBased/>
  <w15:docId w15:val="{C0EF4B52-37DF-47DB-B658-FCF0E335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9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483858">
      <w:bodyDiv w:val="1"/>
      <w:marLeft w:val="0"/>
      <w:marRight w:val="0"/>
      <w:marTop w:val="0"/>
      <w:marBottom w:val="0"/>
      <w:divBdr>
        <w:top w:val="none" w:sz="0" w:space="0" w:color="auto"/>
        <w:left w:val="none" w:sz="0" w:space="0" w:color="auto"/>
        <w:bottom w:val="none" w:sz="0" w:space="0" w:color="auto"/>
        <w:right w:val="none" w:sz="0" w:space="0" w:color="auto"/>
      </w:divBdr>
    </w:div>
    <w:div w:id="1347093492">
      <w:bodyDiv w:val="1"/>
      <w:marLeft w:val="0"/>
      <w:marRight w:val="0"/>
      <w:marTop w:val="0"/>
      <w:marBottom w:val="0"/>
      <w:divBdr>
        <w:top w:val="none" w:sz="0" w:space="0" w:color="auto"/>
        <w:left w:val="none" w:sz="0" w:space="0" w:color="auto"/>
        <w:bottom w:val="none" w:sz="0" w:space="0" w:color="auto"/>
        <w:right w:val="none" w:sz="0" w:space="0" w:color="auto"/>
      </w:divBdr>
      <w:divsChild>
        <w:div w:id="1750466795">
          <w:marLeft w:val="0"/>
          <w:marRight w:val="0"/>
          <w:marTop w:val="0"/>
          <w:marBottom w:val="0"/>
          <w:divBdr>
            <w:top w:val="none" w:sz="0" w:space="0" w:color="auto"/>
            <w:left w:val="none" w:sz="0" w:space="0" w:color="auto"/>
            <w:bottom w:val="none" w:sz="0" w:space="0" w:color="auto"/>
            <w:right w:val="none" w:sz="0" w:space="0" w:color="auto"/>
          </w:divBdr>
          <w:divsChild>
            <w:div w:id="1779790352">
              <w:marLeft w:val="0"/>
              <w:marRight w:val="0"/>
              <w:marTop w:val="0"/>
              <w:marBottom w:val="0"/>
              <w:divBdr>
                <w:top w:val="none" w:sz="0" w:space="0" w:color="auto"/>
                <w:left w:val="none" w:sz="0" w:space="0" w:color="auto"/>
                <w:bottom w:val="none" w:sz="0" w:space="0" w:color="auto"/>
                <w:right w:val="none" w:sz="0" w:space="0" w:color="auto"/>
              </w:divBdr>
              <w:divsChild>
                <w:div w:id="1193038650">
                  <w:marLeft w:val="0"/>
                  <w:marRight w:val="0"/>
                  <w:marTop w:val="0"/>
                  <w:marBottom w:val="0"/>
                  <w:divBdr>
                    <w:top w:val="none" w:sz="0" w:space="0" w:color="auto"/>
                    <w:left w:val="none" w:sz="0" w:space="0" w:color="auto"/>
                    <w:bottom w:val="none" w:sz="0" w:space="0" w:color="auto"/>
                    <w:right w:val="none" w:sz="0" w:space="0" w:color="auto"/>
                  </w:divBdr>
                  <w:divsChild>
                    <w:div w:id="1555581625">
                      <w:marLeft w:val="0"/>
                      <w:marRight w:val="0"/>
                      <w:marTop w:val="0"/>
                      <w:marBottom w:val="0"/>
                      <w:divBdr>
                        <w:top w:val="none" w:sz="0" w:space="0" w:color="auto"/>
                        <w:left w:val="none" w:sz="0" w:space="0" w:color="auto"/>
                        <w:bottom w:val="none" w:sz="0" w:space="0" w:color="auto"/>
                        <w:right w:val="none" w:sz="0" w:space="0" w:color="auto"/>
                      </w:divBdr>
                      <w:divsChild>
                        <w:div w:id="1165509292">
                          <w:marLeft w:val="0"/>
                          <w:marRight w:val="0"/>
                          <w:marTop w:val="100"/>
                          <w:marBottom w:val="100"/>
                          <w:divBdr>
                            <w:top w:val="none" w:sz="0" w:space="0" w:color="auto"/>
                            <w:left w:val="none" w:sz="0" w:space="0" w:color="auto"/>
                            <w:bottom w:val="none" w:sz="0" w:space="0" w:color="auto"/>
                            <w:right w:val="none" w:sz="0" w:space="0" w:color="auto"/>
                          </w:divBdr>
                          <w:divsChild>
                            <w:div w:id="20835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gislation.gov.uk/ukpga/1968/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1840</Words>
  <Characters>10492</Characters>
  <Application>Microsoft Office Word</Application>
  <DocSecurity>0</DocSecurity>
  <Lines>87</Lines>
  <Paragraphs>24</Paragraphs>
  <ScaleCrop>false</ScaleCrop>
  <Company/>
  <LinksUpToDate>false</LinksUpToDate>
  <CharactersWithSpaces>12308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Dolea</dc:creator>
  <cp:keywords/>
  <dc:description/>
  <cp:lastModifiedBy>Nicolae Dolea</cp:lastModifiedBy>
  <cp:revision>16</cp:revision>
  <dcterms:created xsi:type="dcterms:W3CDTF">2023-07-07T22:20:00Z</dcterms:created>
  <dcterms:modified xsi:type="dcterms:W3CDTF">2023-07-07T22:40:00Z</dcterms:modified>
</cp:coreProperties>
</file>