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95733" w14:textId="77777777" w:rsidR="00A60C17" w:rsidRDefault="00A60C17">
      <w:pPr>
        <w:spacing w:after="60"/>
        <w:jc w:val="center"/>
      </w:pPr>
      <w:r>
        <w:rPr>
          <w:noProof/>
        </w:rPr>
        <w:drawing>
          <wp:inline distT="0" distB="0" distL="0" distR="0" wp14:anchorId="438B6A96" wp14:editId="75E05D5E">
            <wp:extent cx="4404360" cy="1546524"/>
            <wp:effectExtent l="0" t="0" r="0" b="0"/>
            <wp:docPr id="15021105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6346" b="20433"/>
                    <a:stretch>
                      <a:fillRect/>
                    </a:stretch>
                  </pic:blipFill>
                  <pic:spPr bwMode="auto">
                    <a:xfrm>
                      <a:off x="0" y="0"/>
                      <a:ext cx="4408234" cy="1547884"/>
                    </a:xfrm>
                    <a:prstGeom prst="rect">
                      <a:avLst/>
                    </a:prstGeom>
                    <a:noFill/>
                    <a:ln>
                      <a:noFill/>
                    </a:ln>
                    <a:extLst>
                      <a:ext uri="{53640926-AAD7-44D8-BBD7-CCE9431645EC}">
                        <a14:shadowObscured xmlns:a14="http://schemas.microsoft.com/office/drawing/2010/main"/>
                      </a:ext>
                    </a:extLst>
                  </pic:spPr>
                </pic:pic>
              </a:graphicData>
            </a:graphic>
          </wp:inline>
        </w:drawing>
      </w:r>
    </w:p>
    <w:p w14:paraId="4FE18F92" w14:textId="3B636292" w:rsidR="00912F26" w:rsidRPr="00A60C17" w:rsidRDefault="00000000">
      <w:pPr>
        <w:spacing w:after="60"/>
        <w:jc w:val="center"/>
        <w:rPr>
          <w:b/>
          <w:bCs/>
        </w:rPr>
      </w:pPr>
      <w:r w:rsidRPr="00A60C17">
        <w:rPr>
          <w:b/>
          <w:bCs/>
        </w:rPr>
        <w:t>MSc Public Health and Social Care in Practice</w:t>
      </w:r>
    </w:p>
    <w:p w14:paraId="1B4DC675" w14:textId="77777777" w:rsidR="00912F26" w:rsidRPr="00A60C17" w:rsidRDefault="00000000">
      <w:pPr>
        <w:spacing w:after="500"/>
        <w:jc w:val="center"/>
        <w:rPr>
          <w:b/>
          <w:bCs/>
        </w:rPr>
      </w:pPr>
      <w:r w:rsidRPr="00A60C17">
        <w:rPr>
          <w:b/>
          <w:bCs/>
          <w:sz w:val="20"/>
          <w:szCs w:val="20"/>
        </w:rPr>
        <w:t>LEVEL 7 ASSESSMENT SPECIFICATION</w:t>
      </w:r>
    </w:p>
    <w:p w14:paraId="11C337FF" w14:textId="77777777" w:rsidR="00912F26" w:rsidRPr="00A60C17" w:rsidRDefault="00000000">
      <w:pPr>
        <w:spacing w:after="120"/>
        <w:jc w:val="center"/>
        <w:rPr>
          <w:b/>
          <w:bCs/>
        </w:rPr>
      </w:pPr>
      <w:r w:rsidRPr="00A60C17">
        <w:rPr>
          <w:b/>
          <w:bCs/>
          <w:sz w:val="34"/>
          <w:szCs w:val="34"/>
        </w:rPr>
        <w:t>Component 2: Analytical Report</w:t>
      </w:r>
    </w:p>
    <w:p w14:paraId="0947DBAD" w14:textId="77777777" w:rsidR="00912F26" w:rsidRPr="00A60C17" w:rsidRDefault="00000000">
      <w:pPr>
        <w:spacing w:after="500"/>
        <w:jc w:val="center"/>
        <w:rPr>
          <w:b/>
          <w:bCs/>
        </w:rPr>
      </w:pPr>
      <w:r w:rsidRPr="00A60C17">
        <w:rPr>
          <w:b/>
          <w:bCs/>
          <w:i/>
          <w:iCs/>
          <w:sz w:val="24"/>
          <w:szCs w:val="24"/>
        </w:rPr>
        <w:t>Social Epidemiological Analysis and Epidemiological Report</w:t>
      </w:r>
    </w:p>
    <w:tbl>
      <w:tblPr>
        <w:tblStyle w:val="TableGrid"/>
        <w:tblW w:w="7245" w:type="dxa"/>
        <w:jc w:val="center"/>
        <w:tblLook w:val="0000" w:firstRow="0" w:lastRow="0" w:firstColumn="0" w:lastColumn="0" w:noHBand="0" w:noVBand="0"/>
      </w:tblPr>
      <w:tblGrid>
        <w:gridCol w:w="2587"/>
        <w:gridCol w:w="4658"/>
      </w:tblGrid>
      <w:tr w:rsidR="00912F26" w:rsidRPr="00A60C17" w14:paraId="42EAE39E" w14:textId="77777777" w:rsidTr="008F60F5">
        <w:trPr>
          <w:trHeight w:val="146"/>
          <w:jc w:val="center"/>
        </w:trPr>
        <w:tc>
          <w:tcPr>
            <w:tcW w:w="2587" w:type="dxa"/>
          </w:tcPr>
          <w:p w14:paraId="24C32B81" w14:textId="77777777" w:rsidR="00912F26" w:rsidRPr="00A60C17" w:rsidRDefault="00000000" w:rsidP="00A60C17">
            <w:pPr>
              <w:spacing w:line="276" w:lineRule="auto"/>
              <w:rPr>
                <w:sz w:val="24"/>
                <w:szCs w:val="24"/>
              </w:rPr>
            </w:pPr>
            <w:r w:rsidRPr="00A60C17">
              <w:rPr>
                <w:b/>
                <w:bCs/>
                <w:sz w:val="24"/>
                <w:szCs w:val="24"/>
              </w:rPr>
              <w:t>Field</w:t>
            </w:r>
          </w:p>
        </w:tc>
        <w:tc>
          <w:tcPr>
            <w:tcW w:w="4658" w:type="dxa"/>
          </w:tcPr>
          <w:p w14:paraId="6E68BB6B" w14:textId="77777777" w:rsidR="00912F26" w:rsidRPr="00A60C17" w:rsidRDefault="00000000" w:rsidP="00A60C17">
            <w:pPr>
              <w:spacing w:line="276" w:lineRule="auto"/>
              <w:rPr>
                <w:sz w:val="24"/>
                <w:szCs w:val="24"/>
              </w:rPr>
            </w:pPr>
            <w:r w:rsidRPr="00A60C17">
              <w:rPr>
                <w:b/>
                <w:bCs/>
                <w:sz w:val="24"/>
                <w:szCs w:val="24"/>
              </w:rPr>
              <w:t>Detail</w:t>
            </w:r>
          </w:p>
        </w:tc>
      </w:tr>
      <w:tr w:rsidR="00912F26" w:rsidRPr="00A60C17" w14:paraId="6A673865" w14:textId="77777777" w:rsidTr="008F60F5">
        <w:trPr>
          <w:trHeight w:val="289"/>
          <w:jc w:val="center"/>
        </w:trPr>
        <w:tc>
          <w:tcPr>
            <w:tcW w:w="2587" w:type="dxa"/>
          </w:tcPr>
          <w:p w14:paraId="482B0608" w14:textId="77777777" w:rsidR="00912F26" w:rsidRPr="00A60C17" w:rsidRDefault="00000000" w:rsidP="00A60C17">
            <w:pPr>
              <w:spacing w:line="276" w:lineRule="auto"/>
              <w:rPr>
                <w:sz w:val="24"/>
                <w:szCs w:val="24"/>
              </w:rPr>
            </w:pPr>
            <w:r w:rsidRPr="00A60C17">
              <w:rPr>
                <w:sz w:val="24"/>
                <w:szCs w:val="24"/>
              </w:rPr>
              <w:t>Module</w:t>
            </w:r>
          </w:p>
        </w:tc>
        <w:tc>
          <w:tcPr>
            <w:tcW w:w="4658" w:type="dxa"/>
          </w:tcPr>
          <w:p w14:paraId="35932E62" w14:textId="77777777" w:rsidR="00912F26" w:rsidRPr="00A60C17" w:rsidRDefault="00000000" w:rsidP="00A60C17">
            <w:pPr>
              <w:spacing w:line="276" w:lineRule="auto"/>
              <w:rPr>
                <w:sz w:val="24"/>
                <w:szCs w:val="24"/>
              </w:rPr>
            </w:pPr>
            <w:r w:rsidRPr="00A60C17">
              <w:rPr>
                <w:sz w:val="24"/>
                <w:szCs w:val="24"/>
              </w:rPr>
              <w:t>Social Epidemiology and Public Health Development</w:t>
            </w:r>
          </w:p>
        </w:tc>
      </w:tr>
      <w:tr w:rsidR="00912F26" w:rsidRPr="00A60C17" w14:paraId="73DF4DBF" w14:textId="77777777" w:rsidTr="008F60F5">
        <w:trPr>
          <w:trHeight w:val="146"/>
          <w:jc w:val="center"/>
        </w:trPr>
        <w:tc>
          <w:tcPr>
            <w:tcW w:w="2587" w:type="dxa"/>
          </w:tcPr>
          <w:p w14:paraId="14EB6FE2" w14:textId="77777777" w:rsidR="00912F26" w:rsidRPr="00A60C17" w:rsidRDefault="00000000" w:rsidP="00A60C17">
            <w:pPr>
              <w:spacing w:line="276" w:lineRule="auto"/>
              <w:rPr>
                <w:sz w:val="24"/>
                <w:szCs w:val="24"/>
              </w:rPr>
            </w:pPr>
            <w:r w:rsidRPr="00A60C17">
              <w:rPr>
                <w:sz w:val="24"/>
                <w:szCs w:val="24"/>
              </w:rPr>
              <w:t>Module code</w:t>
            </w:r>
          </w:p>
        </w:tc>
        <w:tc>
          <w:tcPr>
            <w:tcW w:w="4658" w:type="dxa"/>
          </w:tcPr>
          <w:p w14:paraId="272FE7E0" w14:textId="77777777" w:rsidR="00912F26" w:rsidRPr="00A60C17" w:rsidRDefault="00000000" w:rsidP="00A60C17">
            <w:pPr>
              <w:spacing w:line="276" w:lineRule="auto"/>
              <w:rPr>
                <w:sz w:val="24"/>
                <w:szCs w:val="24"/>
              </w:rPr>
            </w:pPr>
            <w:r w:rsidRPr="00A60C17">
              <w:rPr>
                <w:sz w:val="24"/>
                <w:szCs w:val="24"/>
              </w:rPr>
              <w:t>LCHS7000</w:t>
            </w:r>
          </w:p>
        </w:tc>
      </w:tr>
      <w:tr w:rsidR="00912F26" w:rsidRPr="00A60C17" w14:paraId="438D5BA2" w14:textId="77777777" w:rsidTr="008F60F5">
        <w:trPr>
          <w:trHeight w:val="146"/>
          <w:jc w:val="center"/>
        </w:trPr>
        <w:tc>
          <w:tcPr>
            <w:tcW w:w="2587" w:type="dxa"/>
          </w:tcPr>
          <w:p w14:paraId="58B67C44" w14:textId="77777777" w:rsidR="00912F26" w:rsidRPr="00A60C17" w:rsidRDefault="00000000" w:rsidP="00A60C17">
            <w:pPr>
              <w:spacing w:line="276" w:lineRule="auto"/>
              <w:rPr>
                <w:sz w:val="24"/>
                <w:szCs w:val="24"/>
              </w:rPr>
            </w:pPr>
            <w:r w:rsidRPr="00A60C17">
              <w:rPr>
                <w:sz w:val="24"/>
                <w:szCs w:val="24"/>
              </w:rPr>
              <w:t>Assignment title</w:t>
            </w:r>
          </w:p>
        </w:tc>
        <w:tc>
          <w:tcPr>
            <w:tcW w:w="4658" w:type="dxa"/>
          </w:tcPr>
          <w:p w14:paraId="6BCA1B7C" w14:textId="77777777" w:rsidR="00912F26" w:rsidRPr="00A60C17" w:rsidRDefault="00000000" w:rsidP="00A60C17">
            <w:pPr>
              <w:spacing w:line="276" w:lineRule="auto"/>
              <w:rPr>
                <w:sz w:val="24"/>
                <w:szCs w:val="24"/>
              </w:rPr>
            </w:pPr>
            <w:r w:rsidRPr="00A60C17">
              <w:rPr>
                <w:sz w:val="24"/>
                <w:szCs w:val="24"/>
              </w:rPr>
              <w:t>Component 2 – Analytical Report</w:t>
            </w:r>
          </w:p>
        </w:tc>
      </w:tr>
      <w:tr w:rsidR="00912F26" w:rsidRPr="00A60C17" w14:paraId="43BA2988" w14:textId="77777777" w:rsidTr="008F60F5">
        <w:trPr>
          <w:trHeight w:val="142"/>
          <w:jc w:val="center"/>
        </w:trPr>
        <w:tc>
          <w:tcPr>
            <w:tcW w:w="2587" w:type="dxa"/>
          </w:tcPr>
          <w:p w14:paraId="21012BCC" w14:textId="77777777" w:rsidR="00912F26" w:rsidRPr="00A60C17" w:rsidRDefault="00000000" w:rsidP="00A60C17">
            <w:pPr>
              <w:spacing w:line="276" w:lineRule="auto"/>
              <w:rPr>
                <w:sz w:val="24"/>
                <w:szCs w:val="24"/>
              </w:rPr>
            </w:pPr>
            <w:r w:rsidRPr="00A60C17">
              <w:rPr>
                <w:sz w:val="24"/>
                <w:szCs w:val="24"/>
              </w:rPr>
              <w:t>Student name</w:t>
            </w:r>
          </w:p>
        </w:tc>
        <w:tc>
          <w:tcPr>
            <w:tcW w:w="4658" w:type="dxa"/>
          </w:tcPr>
          <w:p w14:paraId="44F9F1B3" w14:textId="0218A51D" w:rsidR="00912F26" w:rsidRPr="00A60C17" w:rsidRDefault="008F60F5" w:rsidP="00A60C17">
            <w:pPr>
              <w:spacing w:line="276" w:lineRule="auto"/>
              <w:rPr>
                <w:sz w:val="24"/>
                <w:szCs w:val="24"/>
              </w:rPr>
            </w:pPr>
            <w:proofErr w:type="spellStart"/>
            <w:r>
              <w:rPr>
                <w:sz w:val="24"/>
                <w:szCs w:val="24"/>
              </w:rPr>
              <w:t>Kuchhadiya</w:t>
            </w:r>
            <w:proofErr w:type="spellEnd"/>
            <w:r>
              <w:rPr>
                <w:sz w:val="24"/>
                <w:szCs w:val="24"/>
              </w:rPr>
              <w:t xml:space="preserve"> </w:t>
            </w:r>
            <w:proofErr w:type="spellStart"/>
            <w:r>
              <w:rPr>
                <w:sz w:val="24"/>
                <w:szCs w:val="24"/>
              </w:rPr>
              <w:t>Leelabhai</w:t>
            </w:r>
            <w:proofErr w:type="spellEnd"/>
            <w:r>
              <w:rPr>
                <w:sz w:val="24"/>
                <w:szCs w:val="24"/>
              </w:rPr>
              <w:t xml:space="preserve"> </w:t>
            </w:r>
            <w:proofErr w:type="spellStart"/>
            <w:r>
              <w:rPr>
                <w:sz w:val="24"/>
                <w:szCs w:val="24"/>
              </w:rPr>
              <w:t>Avadabhai</w:t>
            </w:r>
            <w:proofErr w:type="spellEnd"/>
          </w:p>
        </w:tc>
      </w:tr>
      <w:tr w:rsidR="00912F26" w:rsidRPr="00A60C17" w14:paraId="710380BB" w14:textId="77777777" w:rsidTr="008F60F5">
        <w:trPr>
          <w:trHeight w:val="146"/>
          <w:jc w:val="center"/>
        </w:trPr>
        <w:tc>
          <w:tcPr>
            <w:tcW w:w="2587" w:type="dxa"/>
          </w:tcPr>
          <w:p w14:paraId="57D82783" w14:textId="77777777" w:rsidR="00912F26" w:rsidRPr="00A60C17" w:rsidRDefault="00000000" w:rsidP="00A60C17">
            <w:pPr>
              <w:spacing w:line="276" w:lineRule="auto"/>
              <w:rPr>
                <w:sz w:val="24"/>
                <w:szCs w:val="24"/>
              </w:rPr>
            </w:pPr>
            <w:r w:rsidRPr="00A60C17">
              <w:rPr>
                <w:sz w:val="24"/>
                <w:szCs w:val="24"/>
              </w:rPr>
              <w:t>Student ID number</w:t>
            </w:r>
          </w:p>
        </w:tc>
        <w:tc>
          <w:tcPr>
            <w:tcW w:w="4658" w:type="dxa"/>
          </w:tcPr>
          <w:p w14:paraId="1A70B604" w14:textId="49682B82" w:rsidR="00912F26" w:rsidRPr="00A60C17" w:rsidRDefault="008F60F5" w:rsidP="00A60C17">
            <w:pPr>
              <w:spacing w:line="276" w:lineRule="auto"/>
              <w:rPr>
                <w:sz w:val="24"/>
                <w:szCs w:val="24"/>
              </w:rPr>
            </w:pPr>
            <w:r>
              <w:rPr>
                <w:sz w:val="24"/>
                <w:szCs w:val="24"/>
              </w:rPr>
              <w:t>2526423</w:t>
            </w:r>
          </w:p>
        </w:tc>
      </w:tr>
      <w:tr w:rsidR="00912F26" w:rsidRPr="00A60C17" w14:paraId="40B44D20" w14:textId="77777777" w:rsidTr="008F60F5">
        <w:trPr>
          <w:trHeight w:val="146"/>
          <w:jc w:val="center"/>
        </w:trPr>
        <w:tc>
          <w:tcPr>
            <w:tcW w:w="2587" w:type="dxa"/>
          </w:tcPr>
          <w:p w14:paraId="2E6E7880" w14:textId="77777777" w:rsidR="00912F26" w:rsidRPr="00A60C17" w:rsidRDefault="00000000" w:rsidP="00A60C17">
            <w:pPr>
              <w:spacing w:line="276" w:lineRule="auto"/>
              <w:rPr>
                <w:sz w:val="24"/>
                <w:szCs w:val="24"/>
              </w:rPr>
            </w:pPr>
            <w:r w:rsidRPr="00A60C17">
              <w:rPr>
                <w:sz w:val="24"/>
                <w:szCs w:val="24"/>
              </w:rPr>
              <w:t>Lecturer</w:t>
            </w:r>
          </w:p>
        </w:tc>
        <w:tc>
          <w:tcPr>
            <w:tcW w:w="4658" w:type="dxa"/>
          </w:tcPr>
          <w:p w14:paraId="5F1195FF" w14:textId="2610DC6E" w:rsidR="00912F26" w:rsidRPr="00A60C17" w:rsidRDefault="008F60F5" w:rsidP="00A60C17">
            <w:pPr>
              <w:spacing w:line="276" w:lineRule="auto"/>
              <w:rPr>
                <w:sz w:val="24"/>
                <w:szCs w:val="24"/>
              </w:rPr>
            </w:pPr>
            <w:proofErr w:type="spellStart"/>
            <w:r>
              <w:rPr>
                <w:sz w:val="24"/>
                <w:szCs w:val="24"/>
              </w:rPr>
              <w:t>Itse</w:t>
            </w:r>
            <w:proofErr w:type="spellEnd"/>
            <w:r>
              <w:rPr>
                <w:sz w:val="24"/>
                <w:szCs w:val="24"/>
              </w:rPr>
              <w:t xml:space="preserve"> Olaye</w:t>
            </w:r>
          </w:p>
        </w:tc>
      </w:tr>
      <w:tr w:rsidR="00912F26" w:rsidRPr="00A60C17" w14:paraId="20E71DCE" w14:textId="77777777" w:rsidTr="008F60F5">
        <w:trPr>
          <w:trHeight w:val="146"/>
          <w:jc w:val="center"/>
        </w:trPr>
        <w:tc>
          <w:tcPr>
            <w:tcW w:w="2587" w:type="dxa"/>
          </w:tcPr>
          <w:p w14:paraId="5FFF9745" w14:textId="399F778E" w:rsidR="00912F26" w:rsidRPr="00A60C17" w:rsidRDefault="00912F26" w:rsidP="00A60C17">
            <w:pPr>
              <w:spacing w:line="276" w:lineRule="auto"/>
              <w:rPr>
                <w:sz w:val="24"/>
                <w:szCs w:val="24"/>
              </w:rPr>
            </w:pPr>
          </w:p>
        </w:tc>
        <w:tc>
          <w:tcPr>
            <w:tcW w:w="4658" w:type="dxa"/>
          </w:tcPr>
          <w:p w14:paraId="6B5B1951" w14:textId="74DD7429" w:rsidR="00912F26" w:rsidRPr="00A60C17" w:rsidRDefault="00912F26" w:rsidP="00A60C17">
            <w:pPr>
              <w:spacing w:line="276" w:lineRule="auto"/>
              <w:rPr>
                <w:sz w:val="24"/>
                <w:szCs w:val="24"/>
              </w:rPr>
            </w:pPr>
          </w:p>
        </w:tc>
      </w:tr>
      <w:tr w:rsidR="00912F26" w:rsidRPr="00A60C17" w14:paraId="2930600C" w14:textId="77777777" w:rsidTr="008F60F5">
        <w:trPr>
          <w:trHeight w:val="142"/>
          <w:jc w:val="center"/>
        </w:trPr>
        <w:tc>
          <w:tcPr>
            <w:tcW w:w="2587" w:type="dxa"/>
          </w:tcPr>
          <w:p w14:paraId="5D6F3888" w14:textId="4EB32C7D" w:rsidR="00912F26" w:rsidRPr="00A60C17" w:rsidRDefault="00912F26" w:rsidP="00A60C17">
            <w:pPr>
              <w:spacing w:line="276" w:lineRule="auto"/>
              <w:rPr>
                <w:sz w:val="24"/>
                <w:szCs w:val="24"/>
              </w:rPr>
            </w:pPr>
          </w:p>
        </w:tc>
        <w:tc>
          <w:tcPr>
            <w:tcW w:w="4658" w:type="dxa"/>
          </w:tcPr>
          <w:p w14:paraId="0ED8AB4D" w14:textId="45C64413" w:rsidR="00912F26" w:rsidRPr="00A60C17" w:rsidRDefault="00912F26" w:rsidP="00A60C17">
            <w:pPr>
              <w:spacing w:line="276" w:lineRule="auto"/>
              <w:rPr>
                <w:sz w:val="24"/>
                <w:szCs w:val="24"/>
              </w:rPr>
            </w:pPr>
          </w:p>
        </w:tc>
      </w:tr>
      <w:tr w:rsidR="00912F26" w:rsidRPr="00A60C17" w14:paraId="2170EB95" w14:textId="77777777" w:rsidTr="008F60F5">
        <w:trPr>
          <w:trHeight w:val="146"/>
          <w:jc w:val="center"/>
        </w:trPr>
        <w:tc>
          <w:tcPr>
            <w:tcW w:w="2587" w:type="dxa"/>
          </w:tcPr>
          <w:p w14:paraId="3FE1733E" w14:textId="2B05520B" w:rsidR="00912F26" w:rsidRPr="00A60C17" w:rsidRDefault="00912F26" w:rsidP="00A60C17">
            <w:pPr>
              <w:spacing w:line="276" w:lineRule="auto"/>
              <w:rPr>
                <w:sz w:val="24"/>
                <w:szCs w:val="24"/>
              </w:rPr>
            </w:pPr>
          </w:p>
        </w:tc>
        <w:tc>
          <w:tcPr>
            <w:tcW w:w="4658" w:type="dxa"/>
          </w:tcPr>
          <w:p w14:paraId="470EE4EB" w14:textId="7B7E8C40" w:rsidR="00912F26" w:rsidRPr="00A60C17" w:rsidRDefault="00912F26" w:rsidP="00A60C17">
            <w:pPr>
              <w:spacing w:line="276" w:lineRule="auto"/>
              <w:rPr>
                <w:sz w:val="24"/>
                <w:szCs w:val="24"/>
              </w:rPr>
            </w:pPr>
          </w:p>
        </w:tc>
      </w:tr>
    </w:tbl>
    <w:p w14:paraId="5EDFAC26" w14:textId="77777777" w:rsidR="00912F26" w:rsidRPr="00A60C17" w:rsidRDefault="00000000">
      <w:r w:rsidRPr="00A60C17">
        <w:br w:type="page"/>
      </w:r>
    </w:p>
    <w:p w14:paraId="6D85E435" w14:textId="77777777" w:rsidR="00A60C17" w:rsidRPr="00A60C17" w:rsidRDefault="00A60C17" w:rsidP="00A60C17">
      <w:pPr>
        <w:spacing w:line="360" w:lineRule="auto"/>
        <w:jc w:val="both"/>
        <w:rPr>
          <w:rFonts w:ascii="Times New Roman" w:hAnsi="Times New Roman" w:cs="Times New Roman"/>
          <w:b/>
          <w:bCs/>
          <w:sz w:val="24"/>
          <w:szCs w:val="24"/>
        </w:rPr>
      </w:pPr>
      <w:r w:rsidRPr="00A60C17">
        <w:rPr>
          <w:rFonts w:ascii="Times New Roman" w:hAnsi="Times New Roman" w:cs="Times New Roman"/>
          <w:b/>
          <w:bCs/>
          <w:sz w:val="24"/>
          <w:szCs w:val="24"/>
        </w:rPr>
        <w:lastRenderedPageBreak/>
        <w:t>Acknowledgement of Generative AI Use</w:t>
      </w:r>
    </w:p>
    <w:p w14:paraId="4490CA1A" w14:textId="77777777" w:rsidR="00A60C17" w:rsidRDefault="00A60C17" w:rsidP="00A60C17">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I have used a generative AI tool to assist in the signposting, structuring and drafting of this report. All the statistics and sources have been checked by myself against the publications they are taken from, the arguments and my analysis are my own and the final text is myself responsible for the content, its accuracy and academic integrity.</w:t>
      </w:r>
    </w:p>
    <w:p w14:paraId="56D405FB" w14:textId="77777777" w:rsidR="00A60C17" w:rsidRDefault="00A60C17" w:rsidP="00A60C17">
      <w:pPr>
        <w:spacing w:line="360" w:lineRule="auto"/>
        <w:jc w:val="both"/>
        <w:rPr>
          <w:rFonts w:ascii="Times New Roman" w:hAnsi="Times New Roman" w:cs="Times New Roman"/>
          <w:sz w:val="24"/>
          <w:szCs w:val="24"/>
        </w:rPr>
      </w:pPr>
    </w:p>
    <w:p w14:paraId="6A04D68A" w14:textId="77777777" w:rsidR="00A60C17" w:rsidRDefault="00A60C17" w:rsidP="00A60C17">
      <w:pPr>
        <w:spacing w:line="360" w:lineRule="auto"/>
        <w:jc w:val="both"/>
        <w:rPr>
          <w:rFonts w:ascii="Times New Roman" w:hAnsi="Times New Roman" w:cs="Times New Roman"/>
          <w:sz w:val="24"/>
          <w:szCs w:val="24"/>
        </w:rPr>
      </w:pPr>
    </w:p>
    <w:p w14:paraId="6BA9E250" w14:textId="77777777" w:rsidR="00A60C17" w:rsidRDefault="00A60C17" w:rsidP="00A60C17">
      <w:pPr>
        <w:spacing w:line="360" w:lineRule="auto"/>
        <w:jc w:val="both"/>
        <w:rPr>
          <w:rFonts w:ascii="Times New Roman" w:hAnsi="Times New Roman" w:cs="Times New Roman"/>
          <w:sz w:val="24"/>
          <w:szCs w:val="24"/>
        </w:rPr>
      </w:pPr>
    </w:p>
    <w:p w14:paraId="3B17DBE6" w14:textId="77777777" w:rsidR="00A60C17" w:rsidRDefault="00A60C17" w:rsidP="00A60C17">
      <w:pPr>
        <w:spacing w:line="360" w:lineRule="auto"/>
        <w:jc w:val="both"/>
        <w:rPr>
          <w:rFonts w:ascii="Times New Roman" w:hAnsi="Times New Roman" w:cs="Times New Roman"/>
          <w:sz w:val="24"/>
          <w:szCs w:val="24"/>
        </w:rPr>
      </w:pPr>
    </w:p>
    <w:p w14:paraId="680FDC1F" w14:textId="77777777" w:rsidR="00A60C17" w:rsidRDefault="00A60C17" w:rsidP="00A60C17">
      <w:pPr>
        <w:spacing w:line="360" w:lineRule="auto"/>
        <w:jc w:val="both"/>
        <w:rPr>
          <w:rFonts w:ascii="Times New Roman" w:hAnsi="Times New Roman" w:cs="Times New Roman"/>
          <w:sz w:val="24"/>
          <w:szCs w:val="24"/>
        </w:rPr>
      </w:pPr>
    </w:p>
    <w:p w14:paraId="19A3B969" w14:textId="77777777" w:rsidR="00A60C17" w:rsidRDefault="00A60C17" w:rsidP="00A60C17">
      <w:pPr>
        <w:spacing w:line="360" w:lineRule="auto"/>
        <w:jc w:val="both"/>
        <w:rPr>
          <w:rFonts w:ascii="Times New Roman" w:hAnsi="Times New Roman" w:cs="Times New Roman"/>
          <w:sz w:val="24"/>
          <w:szCs w:val="24"/>
        </w:rPr>
      </w:pPr>
    </w:p>
    <w:p w14:paraId="35E3301F" w14:textId="77777777" w:rsidR="00A60C17" w:rsidRDefault="00A60C17" w:rsidP="00A60C17">
      <w:pPr>
        <w:spacing w:line="360" w:lineRule="auto"/>
        <w:jc w:val="both"/>
        <w:rPr>
          <w:rFonts w:ascii="Times New Roman" w:hAnsi="Times New Roman" w:cs="Times New Roman"/>
          <w:sz w:val="24"/>
          <w:szCs w:val="24"/>
        </w:rPr>
      </w:pPr>
    </w:p>
    <w:p w14:paraId="648C394E" w14:textId="77777777" w:rsidR="00A60C17" w:rsidRDefault="00A60C17" w:rsidP="00A60C17">
      <w:pPr>
        <w:spacing w:line="360" w:lineRule="auto"/>
        <w:jc w:val="both"/>
        <w:rPr>
          <w:rFonts w:ascii="Times New Roman" w:hAnsi="Times New Roman" w:cs="Times New Roman"/>
          <w:sz w:val="24"/>
          <w:szCs w:val="24"/>
        </w:rPr>
      </w:pPr>
    </w:p>
    <w:p w14:paraId="16C9F178" w14:textId="77777777" w:rsidR="00A60C17" w:rsidRDefault="00A60C17" w:rsidP="00A60C17">
      <w:pPr>
        <w:spacing w:line="360" w:lineRule="auto"/>
        <w:jc w:val="both"/>
        <w:rPr>
          <w:rFonts w:ascii="Times New Roman" w:hAnsi="Times New Roman" w:cs="Times New Roman"/>
          <w:sz w:val="24"/>
          <w:szCs w:val="24"/>
        </w:rPr>
      </w:pPr>
    </w:p>
    <w:p w14:paraId="51B521A7" w14:textId="77777777" w:rsidR="00A60C17" w:rsidRDefault="00A60C17" w:rsidP="00A60C17">
      <w:pPr>
        <w:spacing w:line="360" w:lineRule="auto"/>
        <w:jc w:val="both"/>
        <w:rPr>
          <w:rFonts w:ascii="Times New Roman" w:hAnsi="Times New Roman" w:cs="Times New Roman"/>
          <w:sz w:val="24"/>
          <w:szCs w:val="24"/>
        </w:rPr>
      </w:pPr>
    </w:p>
    <w:p w14:paraId="188840F3" w14:textId="77777777" w:rsidR="00A60C17" w:rsidRDefault="00A60C17" w:rsidP="00A60C17">
      <w:pPr>
        <w:spacing w:line="360" w:lineRule="auto"/>
        <w:jc w:val="both"/>
        <w:rPr>
          <w:rFonts w:ascii="Times New Roman" w:hAnsi="Times New Roman" w:cs="Times New Roman"/>
          <w:sz w:val="24"/>
          <w:szCs w:val="24"/>
        </w:rPr>
      </w:pPr>
    </w:p>
    <w:p w14:paraId="63E7DFFC" w14:textId="77777777" w:rsidR="00A60C17" w:rsidRDefault="00A60C17" w:rsidP="00A60C17">
      <w:pPr>
        <w:spacing w:line="360" w:lineRule="auto"/>
        <w:jc w:val="both"/>
        <w:rPr>
          <w:rFonts w:ascii="Times New Roman" w:hAnsi="Times New Roman" w:cs="Times New Roman"/>
          <w:sz w:val="24"/>
          <w:szCs w:val="24"/>
        </w:rPr>
      </w:pPr>
    </w:p>
    <w:p w14:paraId="05DED534" w14:textId="77777777" w:rsidR="00A60C17" w:rsidRDefault="00A60C17" w:rsidP="00A60C17">
      <w:pPr>
        <w:spacing w:line="360" w:lineRule="auto"/>
        <w:jc w:val="both"/>
        <w:rPr>
          <w:rFonts w:ascii="Times New Roman" w:hAnsi="Times New Roman" w:cs="Times New Roman"/>
          <w:sz w:val="24"/>
          <w:szCs w:val="24"/>
        </w:rPr>
      </w:pPr>
    </w:p>
    <w:p w14:paraId="0700E49E" w14:textId="77777777" w:rsidR="00A60C17" w:rsidRDefault="00A60C17" w:rsidP="00A60C17">
      <w:pPr>
        <w:spacing w:line="360" w:lineRule="auto"/>
        <w:jc w:val="both"/>
        <w:rPr>
          <w:rFonts w:ascii="Times New Roman" w:hAnsi="Times New Roman" w:cs="Times New Roman"/>
          <w:sz w:val="24"/>
          <w:szCs w:val="24"/>
        </w:rPr>
      </w:pPr>
    </w:p>
    <w:p w14:paraId="20B5122C" w14:textId="77777777" w:rsidR="00A60C17" w:rsidRDefault="00A60C17" w:rsidP="00A60C17">
      <w:pPr>
        <w:spacing w:line="360" w:lineRule="auto"/>
        <w:jc w:val="both"/>
        <w:rPr>
          <w:rFonts w:ascii="Times New Roman" w:hAnsi="Times New Roman" w:cs="Times New Roman"/>
          <w:sz w:val="24"/>
          <w:szCs w:val="24"/>
        </w:rPr>
      </w:pPr>
    </w:p>
    <w:p w14:paraId="1A05528A" w14:textId="77777777" w:rsidR="00A60C17" w:rsidRDefault="00A60C17" w:rsidP="00A60C17">
      <w:pPr>
        <w:spacing w:line="360" w:lineRule="auto"/>
        <w:jc w:val="both"/>
        <w:rPr>
          <w:rFonts w:ascii="Times New Roman" w:hAnsi="Times New Roman" w:cs="Times New Roman"/>
          <w:sz w:val="24"/>
          <w:szCs w:val="24"/>
        </w:rPr>
      </w:pPr>
    </w:p>
    <w:p w14:paraId="7769EE6C" w14:textId="77777777" w:rsidR="00A60C17" w:rsidRDefault="00A60C17" w:rsidP="00A60C17">
      <w:pPr>
        <w:spacing w:line="360" w:lineRule="auto"/>
        <w:jc w:val="both"/>
        <w:rPr>
          <w:rFonts w:ascii="Times New Roman" w:hAnsi="Times New Roman" w:cs="Times New Roman"/>
          <w:sz w:val="24"/>
          <w:szCs w:val="24"/>
        </w:rPr>
      </w:pPr>
    </w:p>
    <w:p w14:paraId="527C8C78" w14:textId="77777777" w:rsidR="00A60C17" w:rsidRDefault="00A60C17" w:rsidP="00A60C17">
      <w:pPr>
        <w:spacing w:line="360" w:lineRule="auto"/>
        <w:jc w:val="both"/>
        <w:rPr>
          <w:rFonts w:ascii="Times New Roman" w:hAnsi="Times New Roman" w:cs="Times New Roman"/>
          <w:sz w:val="24"/>
          <w:szCs w:val="24"/>
        </w:rPr>
      </w:pPr>
    </w:p>
    <w:p w14:paraId="343FDF0F" w14:textId="77777777" w:rsidR="00A60C17" w:rsidRDefault="00A60C17" w:rsidP="00A60C17">
      <w:pPr>
        <w:spacing w:line="360" w:lineRule="auto"/>
        <w:jc w:val="both"/>
        <w:rPr>
          <w:rFonts w:ascii="Times New Roman" w:hAnsi="Times New Roman" w:cs="Times New Roman"/>
          <w:sz w:val="24"/>
          <w:szCs w:val="24"/>
        </w:rPr>
      </w:pPr>
    </w:p>
    <w:p w14:paraId="387E1DCF" w14:textId="77777777" w:rsidR="00A60C17" w:rsidRDefault="00A60C17" w:rsidP="00A60C17">
      <w:pPr>
        <w:spacing w:line="360" w:lineRule="auto"/>
        <w:jc w:val="both"/>
        <w:rPr>
          <w:rFonts w:ascii="Times New Roman" w:hAnsi="Times New Roman" w:cs="Times New Roman"/>
          <w:sz w:val="24"/>
          <w:szCs w:val="24"/>
        </w:rPr>
      </w:pPr>
    </w:p>
    <w:p w14:paraId="17FEA85E" w14:textId="77777777" w:rsidR="00A60C17" w:rsidRDefault="00A60C17" w:rsidP="00A60C17">
      <w:pPr>
        <w:spacing w:line="360" w:lineRule="auto"/>
        <w:jc w:val="both"/>
        <w:rPr>
          <w:rFonts w:ascii="Times New Roman" w:hAnsi="Times New Roman" w:cs="Times New Roman"/>
          <w:sz w:val="24"/>
          <w:szCs w:val="24"/>
        </w:rPr>
      </w:pPr>
    </w:p>
    <w:p w14:paraId="1E341E5C" w14:textId="77777777" w:rsidR="00A60C17" w:rsidRDefault="00A60C17" w:rsidP="00A60C17">
      <w:pPr>
        <w:spacing w:line="360" w:lineRule="auto"/>
        <w:jc w:val="both"/>
        <w:rPr>
          <w:rFonts w:ascii="Times New Roman" w:hAnsi="Times New Roman" w:cs="Times New Roman"/>
          <w:sz w:val="24"/>
          <w:szCs w:val="24"/>
        </w:rPr>
      </w:pPr>
    </w:p>
    <w:p w14:paraId="78C5DB01" w14:textId="77777777" w:rsidR="00A60C17" w:rsidRDefault="00A60C17" w:rsidP="00A60C17">
      <w:pPr>
        <w:spacing w:line="360" w:lineRule="auto"/>
        <w:jc w:val="both"/>
        <w:rPr>
          <w:rFonts w:ascii="Times New Roman" w:hAnsi="Times New Roman" w:cs="Times New Roman"/>
          <w:sz w:val="24"/>
          <w:szCs w:val="24"/>
        </w:rPr>
      </w:pPr>
    </w:p>
    <w:p w14:paraId="2B2B4927" w14:textId="77777777" w:rsidR="00A60C17" w:rsidRDefault="00A60C17" w:rsidP="00A60C17">
      <w:pPr>
        <w:spacing w:line="360" w:lineRule="auto"/>
        <w:jc w:val="both"/>
        <w:rPr>
          <w:rFonts w:ascii="Times New Roman" w:hAnsi="Times New Roman" w:cs="Times New Roman"/>
          <w:sz w:val="24"/>
          <w:szCs w:val="24"/>
        </w:rPr>
      </w:pPr>
    </w:p>
    <w:p w14:paraId="08A0B3D7" w14:textId="77777777" w:rsidR="00A60C17" w:rsidRDefault="00A60C17" w:rsidP="00A60C17">
      <w:pPr>
        <w:spacing w:line="360" w:lineRule="auto"/>
        <w:jc w:val="both"/>
        <w:rPr>
          <w:rFonts w:ascii="Times New Roman" w:hAnsi="Times New Roman" w:cs="Times New Roman"/>
          <w:sz w:val="24"/>
          <w:szCs w:val="24"/>
        </w:rPr>
      </w:pPr>
    </w:p>
    <w:p w14:paraId="1EC9575C" w14:textId="77777777" w:rsidR="00A60C17" w:rsidRDefault="00A60C17" w:rsidP="00A60C17">
      <w:pPr>
        <w:spacing w:line="360" w:lineRule="auto"/>
        <w:jc w:val="both"/>
        <w:rPr>
          <w:rFonts w:ascii="Times New Roman" w:hAnsi="Times New Roman" w:cs="Times New Roman"/>
          <w:sz w:val="24"/>
          <w:szCs w:val="24"/>
        </w:rPr>
      </w:pPr>
    </w:p>
    <w:p w14:paraId="207796D6" w14:textId="77777777" w:rsidR="00A60C17" w:rsidRDefault="00A60C17" w:rsidP="00A60C17">
      <w:pPr>
        <w:spacing w:line="360" w:lineRule="auto"/>
        <w:jc w:val="both"/>
        <w:rPr>
          <w:rFonts w:ascii="Times New Roman" w:hAnsi="Times New Roman" w:cs="Times New Roman"/>
          <w:sz w:val="24"/>
          <w:szCs w:val="24"/>
        </w:rPr>
      </w:pPr>
    </w:p>
    <w:p w14:paraId="52DA5A43" w14:textId="77777777" w:rsidR="00A60C17" w:rsidRDefault="00A60C17" w:rsidP="00A60C17">
      <w:pPr>
        <w:spacing w:line="360" w:lineRule="auto"/>
        <w:jc w:val="both"/>
        <w:rPr>
          <w:rFonts w:ascii="Times New Roman" w:hAnsi="Times New Roman" w:cs="Times New Roman"/>
          <w:sz w:val="24"/>
          <w:szCs w:val="24"/>
        </w:rPr>
      </w:pPr>
    </w:p>
    <w:p w14:paraId="18BD53C7" w14:textId="77777777" w:rsidR="00A60C17" w:rsidRDefault="00A60C17" w:rsidP="00A60C17">
      <w:pPr>
        <w:spacing w:line="360" w:lineRule="auto"/>
        <w:jc w:val="both"/>
        <w:rPr>
          <w:rFonts w:ascii="Times New Roman" w:hAnsi="Times New Roman" w:cs="Times New Roman"/>
          <w:sz w:val="24"/>
          <w:szCs w:val="24"/>
        </w:rPr>
      </w:pPr>
    </w:p>
    <w:sdt>
      <w:sdtPr>
        <w:rPr>
          <w:rFonts w:ascii="Arial" w:eastAsia="Arial" w:hAnsi="Arial" w:cs="Arial"/>
          <w:color w:val="auto"/>
          <w:sz w:val="22"/>
          <w:szCs w:val="22"/>
        </w:rPr>
        <w:id w:val="-1963954853"/>
        <w:docPartObj>
          <w:docPartGallery w:val="Table of Contents"/>
          <w:docPartUnique/>
        </w:docPartObj>
      </w:sdtPr>
      <w:sdtEndPr>
        <w:rPr>
          <w:rFonts w:ascii="Times New Roman" w:hAnsi="Times New Roman" w:cs="Times New Roman"/>
          <w:b/>
          <w:bCs/>
          <w:noProof/>
          <w:sz w:val="24"/>
          <w:szCs w:val="24"/>
        </w:rPr>
      </w:sdtEndPr>
      <w:sdtContent>
        <w:p w14:paraId="2E92A05C" w14:textId="1CA49F41" w:rsidR="00A60C17" w:rsidRPr="00A60C17" w:rsidRDefault="00A60C17" w:rsidP="00A60C17">
          <w:pPr>
            <w:pStyle w:val="TOCHeading"/>
            <w:jc w:val="center"/>
            <w:rPr>
              <w:rFonts w:ascii="Times New Roman" w:hAnsi="Times New Roman" w:cs="Times New Roman"/>
              <w:b/>
              <w:bCs/>
              <w:color w:val="auto"/>
              <w:sz w:val="28"/>
              <w:szCs w:val="28"/>
            </w:rPr>
          </w:pPr>
          <w:r w:rsidRPr="00A60C17">
            <w:rPr>
              <w:rFonts w:ascii="Times New Roman" w:hAnsi="Times New Roman" w:cs="Times New Roman"/>
              <w:b/>
              <w:bCs/>
              <w:color w:val="auto"/>
              <w:sz w:val="28"/>
              <w:szCs w:val="28"/>
            </w:rPr>
            <w:t>Table of Contents</w:t>
          </w:r>
        </w:p>
        <w:p w14:paraId="7FB66559" w14:textId="643D9A7F" w:rsidR="00A60C17" w:rsidRPr="00A60C17" w:rsidRDefault="00A60C17" w:rsidP="00A60C17">
          <w:pPr>
            <w:pStyle w:val="TOC1"/>
            <w:tabs>
              <w:tab w:val="left" w:pos="480"/>
              <w:tab w:val="right" w:leader="dot" w:pos="9016"/>
            </w:tabs>
            <w:spacing w:line="360" w:lineRule="auto"/>
            <w:rPr>
              <w:rFonts w:ascii="Times New Roman" w:hAnsi="Times New Roman" w:cs="Times New Roman"/>
              <w:noProof/>
              <w:sz w:val="24"/>
              <w:szCs w:val="24"/>
            </w:rPr>
          </w:pPr>
          <w:r w:rsidRPr="00A60C17">
            <w:rPr>
              <w:rFonts w:ascii="Times New Roman" w:hAnsi="Times New Roman" w:cs="Times New Roman"/>
              <w:sz w:val="24"/>
              <w:szCs w:val="24"/>
            </w:rPr>
            <w:fldChar w:fldCharType="begin"/>
          </w:r>
          <w:r w:rsidRPr="00A60C17">
            <w:rPr>
              <w:rFonts w:ascii="Times New Roman" w:hAnsi="Times New Roman" w:cs="Times New Roman"/>
              <w:sz w:val="24"/>
              <w:szCs w:val="24"/>
            </w:rPr>
            <w:instrText xml:space="preserve"> TOC \o "1-3" \h \z \u </w:instrText>
          </w:r>
          <w:r w:rsidRPr="00A60C17">
            <w:rPr>
              <w:rFonts w:ascii="Times New Roman" w:hAnsi="Times New Roman" w:cs="Times New Roman"/>
              <w:sz w:val="24"/>
              <w:szCs w:val="24"/>
            </w:rPr>
            <w:fldChar w:fldCharType="separate"/>
          </w:r>
          <w:hyperlink w:anchor="_Toc237996090" w:history="1">
            <w:r w:rsidRPr="00A60C17">
              <w:rPr>
                <w:rStyle w:val="Hyperlink"/>
                <w:rFonts w:ascii="Times New Roman" w:hAnsi="Times New Roman" w:cs="Times New Roman"/>
                <w:noProof/>
                <w:sz w:val="24"/>
                <w:szCs w:val="24"/>
              </w:rPr>
              <w:t>1</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Task 1 – Social Epidemiological Analysis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_Toc237996090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4</w:t>
            </w:r>
            <w:r w:rsidRPr="00A60C17">
              <w:rPr>
                <w:rFonts w:ascii="Times New Roman" w:hAnsi="Times New Roman" w:cs="Times New Roman"/>
                <w:noProof/>
                <w:webHidden/>
                <w:sz w:val="24"/>
                <w:szCs w:val="24"/>
              </w:rPr>
              <w:fldChar w:fldCharType="end"/>
            </w:r>
          </w:hyperlink>
        </w:p>
        <w:p w14:paraId="135B054A" w14:textId="46858EA2"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1" w:history="1">
            <w:r w:rsidRPr="00A60C17">
              <w:rPr>
                <w:rStyle w:val="Hyperlink"/>
                <w:rFonts w:ascii="Times New Roman" w:hAnsi="Times New Roman" w:cs="Times New Roman"/>
                <w:noProof/>
                <w:sz w:val="24"/>
                <w:szCs w:val="24"/>
              </w:rPr>
              <w:t>1.1</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Introduction</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_Toc237996091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4</w:t>
            </w:r>
            <w:r w:rsidRPr="00A60C17">
              <w:rPr>
                <w:rFonts w:ascii="Times New Roman" w:hAnsi="Times New Roman" w:cs="Times New Roman"/>
                <w:noProof/>
                <w:webHidden/>
                <w:sz w:val="24"/>
                <w:szCs w:val="24"/>
              </w:rPr>
              <w:fldChar w:fldCharType="end"/>
            </w:r>
          </w:hyperlink>
        </w:p>
        <w:p w14:paraId="25E6A866" w14:textId="65921069"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2" w:history="1">
            <w:r w:rsidRPr="00A60C17">
              <w:rPr>
                <w:rStyle w:val="Hyperlink"/>
                <w:rFonts w:ascii="Times New Roman" w:hAnsi="Times New Roman" w:cs="Times New Roman"/>
                <w:noProof/>
                <w:sz w:val="24"/>
                <w:szCs w:val="24"/>
              </w:rPr>
              <w:t>1.2</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Contextual background and underlying factors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_Toc237996092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4</w:t>
            </w:r>
            <w:r w:rsidRPr="00A60C17">
              <w:rPr>
                <w:rFonts w:ascii="Times New Roman" w:hAnsi="Times New Roman" w:cs="Times New Roman"/>
                <w:noProof/>
                <w:webHidden/>
                <w:sz w:val="24"/>
                <w:szCs w:val="24"/>
              </w:rPr>
              <w:fldChar w:fldCharType="end"/>
            </w:r>
          </w:hyperlink>
        </w:p>
        <w:p w14:paraId="1CD71398" w14:textId="3A508DC7"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3" w:history="1">
            <w:r w:rsidRPr="00A60C17">
              <w:rPr>
                <w:rStyle w:val="Hyperlink"/>
                <w:rFonts w:ascii="Times New Roman" w:hAnsi="Times New Roman" w:cs="Times New Roman"/>
                <w:noProof/>
                <w:sz w:val="24"/>
                <w:szCs w:val="24"/>
              </w:rPr>
              <w:t>1.3</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Three disease/illness burdens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_Toc237996093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5</w:t>
            </w:r>
            <w:r w:rsidRPr="00A60C17">
              <w:rPr>
                <w:rFonts w:ascii="Times New Roman" w:hAnsi="Times New Roman" w:cs="Times New Roman"/>
                <w:noProof/>
                <w:webHidden/>
                <w:sz w:val="24"/>
                <w:szCs w:val="24"/>
              </w:rPr>
              <w:fldChar w:fldCharType="end"/>
            </w:r>
          </w:hyperlink>
        </w:p>
        <w:p w14:paraId="02176D16" w14:textId="41A34FD8"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4" w:history="1">
            <w:r w:rsidRPr="00A60C17">
              <w:rPr>
                <w:rStyle w:val="Hyperlink"/>
                <w:rFonts w:ascii="Times New Roman" w:hAnsi="Times New Roman" w:cs="Times New Roman"/>
                <w:noProof/>
                <w:sz w:val="24"/>
                <w:szCs w:val="24"/>
              </w:rPr>
              <w:t>1.4</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Three social determinants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_Toc237996094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5</w:t>
            </w:r>
            <w:r w:rsidRPr="00A60C17">
              <w:rPr>
                <w:rFonts w:ascii="Times New Roman" w:hAnsi="Times New Roman" w:cs="Times New Roman"/>
                <w:noProof/>
                <w:webHidden/>
                <w:sz w:val="24"/>
                <w:szCs w:val="24"/>
              </w:rPr>
              <w:fldChar w:fldCharType="end"/>
            </w:r>
          </w:hyperlink>
        </w:p>
        <w:p w14:paraId="57C0A7AD" w14:textId="3E02D49F"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5" w:history="1">
            <w:r w:rsidRPr="00A60C17">
              <w:rPr>
                <w:rStyle w:val="Hyperlink"/>
                <w:rFonts w:ascii="Times New Roman" w:hAnsi="Times New Roman" w:cs="Times New Roman"/>
                <w:noProof/>
                <w:sz w:val="24"/>
                <w:szCs w:val="24"/>
              </w:rPr>
              <w:t>1.5</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National responses to reduce health inequalities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_Toc237996095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6</w:t>
            </w:r>
            <w:r w:rsidRPr="00A60C17">
              <w:rPr>
                <w:rFonts w:ascii="Times New Roman" w:hAnsi="Times New Roman" w:cs="Times New Roman"/>
                <w:noProof/>
                <w:webHidden/>
                <w:sz w:val="24"/>
                <w:szCs w:val="24"/>
              </w:rPr>
              <w:fldChar w:fldCharType="end"/>
            </w:r>
          </w:hyperlink>
        </w:p>
        <w:p w14:paraId="14ED8B05" w14:textId="587FF98B"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6" w:history="1">
            <w:r w:rsidRPr="00A60C17">
              <w:rPr>
                <w:rStyle w:val="Hyperlink"/>
                <w:rFonts w:ascii="Times New Roman" w:hAnsi="Times New Roman" w:cs="Times New Roman"/>
                <w:noProof/>
                <w:sz w:val="24"/>
                <w:szCs w:val="24"/>
              </w:rPr>
              <w:t>1.6</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Organizations that look After the Elderly.</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_Toc237996096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7</w:t>
            </w:r>
            <w:r w:rsidRPr="00A60C17">
              <w:rPr>
                <w:rFonts w:ascii="Times New Roman" w:hAnsi="Times New Roman" w:cs="Times New Roman"/>
                <w:noProof/>
                <w:webHidden/>
                <w:sz w:val="24"/>
                <w:szCs w:val="24"/>
              </w:rPr>
              <w:fldChar w:fldCharType="end"/>
            </w:r>
          </w:hyperlink>
        </w:p>
        <w:p w14:paraId="77FAE9E6" w14:textId="3653B694"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7" w:history="1">
            <w:r w:rsidRPr="00A60C17">
              <w:rPr>
                <w:rStyle w:val="Hyperlink"/>
                <w:rFonts w:ascii="Times New Roman" w:hAnsi="Times New Roman" w:cs="Times New Roman"/>
                <w:noProof/>
                <w:sz w:val="24"/>
                <w:szCs w:val="24"/>
              </w:rPr>
              <w:t>1.7</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Conclusion</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_Toc237996097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7</w:t>
            </w:r>
            <w:r w:rsidRPr="00A60C17">
              <w:rPr>
                <w:rFonts w:ascii="Times New Roman" w:hAnsi="Times New Roman" w:cs="Times New Roman"/>
                <w:noProof/>
                <w:webHidden/>
                <w:sz w:val="24"/>
                <w:szCs w:val="24"/>
              </w:rPr>
              <w:fldChar w:fldCharType="end"/>
            </w:r>
          </w:hyperlink>
        </w:p>
        <w:p w14:paraId="6FEC0766" w14:textId="64C3CDBC" w:rsidR="00A60C17" w:rsidRPr="00A60C17" w:rsidRDefault="00A60C17" w:rsidP="00A60C17">
          <w:pPr>
            <w:pStyle w:val="TOC1"/>
            <w:tabs>
              <w:tab w:val="left" w:pos="480"/>
              <w:tab w:val="right" w:leader="dot" w:pos="9016"/>
            </w:tabs>
            <w:spacing w:line="360" w:lineRule="auto"/>
            <w:rPr>
              <w:rFonts w:ascii="Times New Roman" w:hAnsi="Times New Roman" w:cs="Times New Roman"/>
              <w:noProof/>
              <w:sz w:val="24"/>
              <w:szCs w:val="24"/>
            </w:rPr>
          </w:pPr>
          <w:hyperlink w:anchor="_Toc237996098" w:history="1">
            <w:r w:rsidRPr="00A60C17">
              <w:rPr>
                <w:rStyle w:val="Hyperlink"/>
                <w:rFonts w:ascii="Times New Roman" w:hAnsi="Times New Roman" w:cs="Times New Roman"/>
                <w:noProof/>
                <w:sz w:val="24"/>
                <w:szCs w:val="24"/>
              </w:rPr>
              <w:t>2</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Task 2 – Epidemiological Analysis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_Toc237996098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8</w:t>
            </w:r>
            <w:r w:rsidRPr="00A60C17">
              <w:rPr>
                <w:rFonts w:ascii="Times New Roman" w:hAnsi="Times New Roman" w:cs="Times New Roman"/>
                <w:noProof/>
                <w:webHidden/>
                <w:sz w:val="24"/>
                <w:szCs w:val="24"/>
              </w:rPr>
              <w:fldChar w:fldCharType="end"/>
            </w:r>
          </w:hyperlink>
        </w:p>
        <w:p w14:paraId="4CE4D528" w14:textId="31BDF330"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099" w:history="1">
            <w:r w:rsidRPr="00A60C17">
              <w:rPr>
                <w:rStyle w:val="Hyperlink"/>
                <w:rFonts w:ascii="Times New Roman" w:hAnsi="Times New Roman" w:cs="Times New Roman"/>
                <w:noProof/>
                <w:sz w:val="24"/>
                <w:szCs w:val="24"/>
              </w:rPr>
              <w:t>2.1</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Introduction: defining the problem and its consequences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_Toc237996099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8</w:t>
            </w:r>
            <w:r w:rsidRPr="00A60C17">
              <w:rPr>
                <w:rFonts w:ascii="Times New Roman" w:hAnsi="Times New Roman" w:cs="Times New Roman"/>
                <w:noProof/>
                <w:webHidden/>
                <w:sz w:val="24"/>
                <w:szCs w:val="24"/>
              </w:rPr>
              <w:fldChar w:fldCharType="end"/>
            </w:r>
          </w:hyperlink>
        </w:p>
        <w:p w14:paraId="01D2382D" w14:textId="7E2E11C5"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0" w:history="1">
            <w:r w:rsidRPr="00A60C17">
              <w:rPr>
                <w:rStyle w:val="Hyperlink"/>
                <w:rFonts w:ascii="Times New Roman" w:hAnsi="Times New Roman" w:cs="Times New Roman"/>
                <w:noProof/>
                <w:sz w:val="24"/>
                <w:szCs w:val="24"/>
              </w:rPr>
              <w:t>2.2</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Key determinants and risk factors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_Toc237996100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8</w:t>
            </w:r>
            <w:r w:rsidRPr="00A60C17">
              <w:rPr>
                <w:rFonts w:ascii="Times New Roman" w:hAnsi="Times New Roman" w:cs="Times New Roman"/>
                <w:noProof/>
                <w:webHidden/>
                <w:sz w:val="24"/>
                <w:szCs w:val="24"/>
              </w:rPr>
              <w:fldChar w:fldCharType="end"/>
            </w:r>
          </w:hyperlink>
        </w:p>
        <w:p w14:paraId="78C1C540" w14:textId="0BC8701D"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1" w:history="1">
            <w:r w:rsidRPr="00A60C17">
              <w:rPr>
                <w:rStyle w:val="Hyperlink"/>
                <w:rFonts w:ascii="Times New Roman" w:hAnsi="Times New Roman" w:cs="Times New Roman"/>
                <w:noProof/>
                <w:sz w:val="24"/>
                <w:szCs w:val="24"/>
              </w:rPr>
              <w:t>2.3</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Identifying those affected: health needs assessment in Newham</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_Toc237996101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9</w:t>
            </w:r>
            <w:r w:rsidRPr="00A60C17">
              <w:rPr>
                <w:rFonts w:ascii="Times New Roman" w:hAnsi="Times New Roman" w:cs="Times New Roman"/>
                <w:noProof/>
                <w:webHidden/>
                <w:sz w:val="24"/>
                <w:szCs w:val="24"/>
              </w:rPr>
              <w:fldChar w:fldCharType="end"/>
            </w:r>
          </w:hyperlink>
        </w:p>
        <w:p w14:paraId="3CB91D37" w14:textId="450D9A21"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2" w:history="1">
            <w:r w:rsidRPr="00A60C17">
              <w:rPr>
                <w:rStyle w:val="Hyperlink"/>
                <w:rFonts w:ascii="Times New Roman" w:hAnsi="Times New Roman" w:cs="Times New Roman"/>
                <w:noProof/>
                <w:sz w:val="24"/>
                <w:szCs w:val="24"/>
              </w:rPr>
              <w:t>2.4</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Surveillance and monitoring systems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_Toc237996102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10</w:t>
            </w:r>
            <w:r w:rsidRPr="00A60C17">
              <w:rPr>
                <w:rFonts w:ascii="Times New Roman" w:hAnsi="Times New Roman" w:cs="Times New Roman"/>
                <w:noProof/>
                <w:webHidden/>
                <w:sz w:val="24"/>
                <w:szCs w:val="24"/>
              </w:rPr>
              <w:fldChar w:fldCharType="end"/>
            </w:r>
          </w:hyperlink>
        </w:p>
        <w:p w14:paraId="24A2A637" w14:textId="3E3C1325"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3" w:history="1">
            <w:r w:rsidRPr="00A60C17">
              <w:rPr>
                <w:rStyle w:val="Hyperlink"/>
                <w:rFonts w:ascii="Times New Roman" w:hAnsi="Times New Roman" w:cs="Times New Roman"/>
                <w:noProof/>
                <w:sz w:val="24"/>
                <w:szCs w:val="24"/>
              </w:rPr>
              <w:t>2.5</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Public health measures: the three levels of prevention.</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_Toc237996103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11</w:t>
            </w:r>
            <w:r w:rsidRPr="00A60C17">
              <w:rPr>
                <w:rFonts w:ascii="Times New Roman" w:hAnsi="Times New Roman" w:cs="Times New Roman"/>
                <w:noProof/>
                <w:webHidden/>
                <w:sz w:val="24"/>
                <w:szCs w:val="24"/>
              </w:rPr>
              <w:fldChar w:fldCharType="end"/>
            </w:r>
          </w:hyperlink>
        </w:p>
        <w:p w14:paraId="0ECF60A7" w14:textId="0D7AF46A"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4" w:history="1">
            <w:r w:rsidRPr="00A60C17">
              <w:rPr>
                <w:rStyle w:val="Hyperlink"/>
                <w:rFonts w:ascii="Times New Roman" w:hAnsi="Times New Roman" w:cs="Times New Roman"/>
                <w:noProof/>
                <w:sz w:val="24"/>
                <w:szCs w:val="24"/>
              </w:rPr>
              <w:t>2.6</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Public health impact and consequences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_Toc237996104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11</w:t>
            </w:r>
            <w:r w:rsidRPr="00A60C17">
              <w:rPr>
                <w:rFonts w:ascii="Times New Roman" w:hAnsi="Times New Roman" w:cs="Times New Roman"/>
                <w:noProof/>
                <w:webHidden/>
                <w:sz w:val="24"/>
                <w:szCs w:val="24"/>
              </w:rPr>
              <w:fldChar w:fldCharType="end"/>
            </w:r>
          </w:hyperlink>
        </w:p>
        <w:p w14:paraId="44BBA3E2" w14:textId="18D0BC33"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5" w:history="1">
            <w:r w:rsidRPr="00A60C17">
              <w:rPr>
                <w:rStyle w:val="Hyperlink"/>
                <w:rFonts w:ascii="Times New Roman" w:hAnsi="Times New Roman" w:cs="Times New Roman"/>
                <w:noProof/>
                <w:sz w:val="24"/>
                <w:szCs w:val="24"/>
              </w:rPr>
              <w:t>2.7</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Design and evaluate an intervention</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_Toc237996105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11</w:t>
            </w:r>
            <w:r w:rsidRPr="00A60C17">
              <w:rPr>
                <w:rFonts w:ascii="Times New Roman" w:hAnsi="Times New Roman" w:cs="Times New Roman"/>
                <w:noProof/>
                <w:webHidden/>
                <w:sz w:val="24"/>
                <w:szCs w:val="24"/>
              </w:rPr>
              <w:fldChar w:fldCharType="end"/>
            </w:r>
          </w:hyperlink>
        </w:p>
        <w:p w14:paraId="6D8AFE4C" w14:textId="50BAB156"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6" w:history="1">
            <w:r w:rsidRPr="00A60C17">
              <w:rPr>
                <w:rStyle w:val="Hyperlink"/>
                <w:rFonts w:ascii="Times New Roman" w:hAnsi="Times New Roman" w:cs="Times New Roman"/>
                <w:noProof/>
                <w:sz w:val="24"/>
                <w:szCs w:val="24"/>
              </w:rPr>
              <w:t>2.8</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Strengths and weaknesses of the epidemiological approach</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_Toc237996106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12</w:t>
            </w:r>
            <w:r w:rsidRPr="00A60C17">
              <w:rPr>
                <w:rFonts w:ascii="Times New Roman" w:hAnsi="Times New Roman" w:cs="Times New Roman"/>
                <w:noProof/>
                <w:webHidden/>
                <w:sz w:val="24"/>
                <w:szCs w:val="24"/>
              </w:rPr>
              <w:fldChar w:fldCharType="end"/>
            </w:r>
          </w:hyperlink>
        </w:p>
        <w:p w14:paraId="084AAAB7" w14:textId="0DFB5F4F" w:rsidR="00A60C17" w:rsidRPr="00A60C17" w:rsidRDefault="00A60C17" w:rsidP="00A60C17">
          <w:pPr>
            <w:pStyle w:val="TOC2"/>
            <w:tabs>
              <w:tab w:val="left" w:pos="960"/>
              <w:tab w:val="right" w:leader="dot" w:pos="9016"/>
            </w:tabs>
            <w:spacing w:line="360" w:lineRule="auto"/>
            <w:rPr>
              <w:rFonts w:ascii="Times New Roman" w:hAnsi="Times New Roman" w:cs="Times New Roman"/>
              <w:noProof/>
              <w:sz w:val="24"/>
              <w:szCs w:val="24"/>
            </w:rPr>
          </w:pPr>
          <w:hyperlink w:anchor="_Toc237996107" w:history="1">
            <w:r w:rsidRPr="00A60C17">
              <w:rPr>
                <w:rStyle w:val="Hyperlink"/>
                <w:rFonts w:ascii="Times New Roman" w:hAnsi="Times New Roman" w:cs="Times New Roman"/>
                <w:noProof/>
                <w:sz w:val="24"/>
                <w:szCs w:val="24"/>
              </w:rPr>
              <w:t>2.9</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Conclusion and recommendations</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_Toc237996107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12</w:t>
            </w:r>
            <w:r w:rsidRPr="00A60C17">
              <w:rPr>
                <w:rFonts w:ascii="Times New Roman" w:hAnsi="Times New Roman" w:cs="Times New Roman"/>
                <w:noProof/>
                <w:webHidden/>
                <w:sz w:val="24"/>
                <w:szCs w:val="24"/>
              </w:rPr>
              <w:fldChar w:fldCharType="end"/>
            </w:r>
          </w:hyperlink>
        </w:p>
        <w:p w14:paraId="3383E0C2" w14:textId="0A41CEC5" w:rsidR="00A60C17" w:rsidRPr="00A60C17" w:rsidRDefault="00A60C17" w:rsidP="00A60C17">
          <w:pPr>
            <w:pStyle w:val="TOC1"/>
            <w:tabs>
              <w:tab w:val="left" w:pos="480"/>
              <w:tab w:val="right" w:leader="dot" w:pos="9016"/>
            </w:tabs>
            <w:spacing w:line="360" w:lineRule="auto"/>
            <w:rPr>
              <w:rFonts w:ascii="Times New Roman" w:hAnsi="Times New Roman" w:cs="Times New Roman"/>
              <w:noProof/>
              <w:sz w:val="24"/>
              <w:szCs w:val="24"/>
            </w:rPr>
          </w:pPr>
          <w:hyperlink w:anchor="_Toc237996108" w:history="1">
            <w:r w:rsidRPr="00A60C17">
              <w:rPr>
                <w:rStyle w:val="Hyperlink"/>
                <w:rFonts w:ascii="Times New Roman" w:hAnsi="Times New Roman" w:cs="Times New Roman"/>
                <w:noProof/>
                <w:sz w:val="24"/>
                <w:szCs w:val="24"/>
              </w:rPr>
              <w:t>3</w:t>
            </w:r>
            <w:r w:rsidRPr="00A60C17">
              <w:rPr>
                <w:rFonts w:ascii="Times New Roman" w:hAnsi="Times New Roman" w:cs="Times New Roman"/>
                <w:noProof/>
                <w:sz w:val="24"/>
                <w:szCs w:val="24"/>
              </w:rPr>
              <w:tab/>
            </w:r>
            <w:r w:rsidRPr="00A60C17">
              <w:rPr>
                <w:rStyle w:val="Hyperlink"/>
                <w:rFonts w:ascii="Times New Roman" w:hAnsi="Times New Roman" w:cs="Times New Roman"/>
                <w:noProof/>
                <w:sz w:val="24"/>
                <w:szCs w:val="24"/>
              </w:rPr>
              <w:t>Reference List</w:t>
            </w:r>
            <w:r w:rsidRPr="00A60C17">
              <w:rPr>
                <w:rFonts w:ascii="Times New Roman" w:hAnsi="Times New Roman" w:cs="Times New Roman"/>
                <w:noProof/>
                <w:webHidden/>
                <w:sz w:val="24"/>
                <w:szCs w:val="24"/>
              </w:rPr>
              <w:tab/>
            </w:r>
            <w:r w:rsidRPr="00A60C17">
              <w:rPr>
                <w:rFonts w:ascii="Times New Roman" w:hAnsi="Times New Roman" w:cs="Times New Roman"/>
                <w:noProof/>
                <w:webHidden/>
                <w:sz w:val="24"/>
                <w:szCs w:val="24"/>
              </w:rPr>
              <w:fldChar w:fldCharType="begin"/>
            </w:r>
            <w:r w:rsidRPr="00A60C17">
              <w:rPr>
                <w:rFonts w:ascii="Times New Roman" w:hAnsi="Times New Roman" w:cs="Times New Roman"/>
                <w:noProof/>
                <w:webHidden/>
                <w:sz w:val="24"/>
                <w:szCs w:val="24"/>
              </w:rPr>
              <w:instrText xml:space="preserve"> PAGEREF _Toc237996108 \h </w:instrText>
            </w:r>
            <w:r w:rsidRPr="00A60C17">
              <w:rPr>
                <w:rFonts w:ascii="Times New Roman" w:hAnsi="Times New Roman" w:cs="Times New Roman"/>
                <w:noProof/>
                <w:webHidden/>
                <w:sz w:val="24"/>
                <w:szCs w:val="24"/>
              </w:rPr>
            </w:r>
            <w:r w:rsidRPr="00A60C17">
              <w:rPr>
                <w:rFonts w:ascii="Times New Roman" w:hAnsi="Times New Roman" w:cs="Times New Roman"/>
                <w:noProof/>
                <w:webHidden/>
                <w:sz w:val="24"/>
                <w:szCs w:val="24"/>
              </w:rPr>
              <w:fldChar w:fldCharType="separate"/>
            </w:r>
            <w:r w:rsidR="003A6AA0">
              <w:rPr>
                <w:rFonts w:ascii="Times New Roman" w:hAnsi="Times New Roman" w:cs="Times New Roman"/>
                <w:noProof/>
                <w:webHidden/>
                <w:sz w:val="24"/>
                <w:szCs w:val="24"/>
              </w:rPr>
              <w:t>13</w:t>
            </w:r>
            <w:r w:rsidRPr="00A60C17">
              <w:rPr>
                <w:rFonts w:ascii="Times New Roman" w:hAnsi="Times New Roman" w:cs="Times New Roman"/>
                <w:noProof/>
                <w:webHidden/>
                <w:sz w:val="24"/>
                <w:szCs w:val="24"/>
              </w:rPr>
              <w:fldChar w:fldCharType="end"/>
            </w:r>
          </w:hyperlink>
        </w:p>
        <w:p w14:paraId="4A1EB267" w14:textId="61403FB7" w:rsidR="00A60C17" w:rsidRPr="00A60C17" w:rsidRDefault="00A60C17" w:rsidP="00A60C17">
          <w:pPr>
            <w:spacing w:line="360" w:lineRule="auto"/>
            <w:rPr>
              <w:rFonts w:ascii="Times New Roman" w:hAnsi="Times New Roman" w:cs="Times New Roman"/>
              <w:sz w:val="24"/>
              <w:szCs w:val="24"/>
            </w:rPr>
          </w:pPr>
          <w:r w:rsidRPr="00A60C17">
            <w:rPr>
              <w:rFonts w:ascii="Times New Roman" w:hAnsi="Times New Roman" w:cs="Times New Roman"/>
              <w:b/>
              <w:bCs/>
              <w:noProof/>
              <w:sz w:val="24"/>
              <w:szCs w:val="24"/>
            </w:rPr>
            <w:fldChar w:fldCharType="end"/>
          </w:r>
        </w:p>
      </w:sdtContent>
    </w:sdt>
    <w:p w14:paraId="683F5F22" w14:textId="77777777" w:rsidR="00A60C17" w:rsidRPr="00A60C17" w:rsidRDefault="00A60C17" w:rsidP="00A60C17">
      <w:pPr>
        <w:spacing w:line="360" w:lineRule="auto"/>
        <w:jc w:val="both"/>
        <w:rPr>
          <w:rFonts w:ascii="Times New Roman" w:hAnsi="Times New Roman" w:cs="Times New Roman"/>
          <w:sz w:val="24"/>
          <w:szCs w:val="24"/>
        </w:rPr>
      </w:pPr>
    </w:p>
    <w:p w14:paraId="33E608D8" w14:textId="77777777" w:rsidR="00A60C17" w:rsidRPr="00A60C17" w:rsidRDefault="00A60C17" w:rsidP="00A60C17">
      <w:pPr>
        <w:spacing w:line="360" w:lineRule="auto"/>
        <w:jc w:val="both"/>
        <w:rPr>
          <w:rFonts w:ascii="Times New Roman" w:hAnsi="Times New Roman" w:cs="Times New Roman"/>
          <w:sz w:val="24"/>
          <w:szCs w:val="24"/>
        </w:rPr>
      </w:pPr>
    </w:p>
    <w:p w14:paraId="3A775E19" w14:textId="77777777" w:rsidR="00A60C17" w:rsidRDefault="00A60C17" w:rsidP="00A60C17">
      <w:pPr>
        <w:spacing w:line="360" w:lineRule="auto"/>
        <w:jc w:val="both"/>
        <w:rPr>
          <w:rFonts w:ascii="Times New Roman" w:hAnsi="Times New Roman" w:cs="Times New Roman"/>
          <w:sz w:val="24"/>
          <w:szCs w:val="24"/>
        </w:rPr>
      </w:pPr>
    </w:p>
    <w:p w14:paraId="1119F315" w14:textId="77777777" w:rsidR="00A60C17" w:rsidRDefault="00A60C17" w:rsidP="00A60C17">
      <w:pPr>
        <w:spacing w:line="360" w:lineRule="auto"/>
        <w:jc w:val="both"/>
        <w:rPr>
          <w:rFonts w:ascii="Times New Roman" w:hAnsi="Times New Roman" w:cs="Times New Roman"/>
          <w:sz w:val="24"/>
          <w:szCs w:val="24"/>
        </w:rPr>
      </w:pPr>
    </w:p>
    <w:p w14:paraId="2D1FF9DC" w14:textId="77777777" w:rsidR="00A60C17" w:rsidRDefault="00A60C17" w:rsidP="00A60C17">
      <w:pPr>
        <w:spacing w:line="360" w:lineRule="auto"/>
        <w:jc w:val="both"/>
        <w:rPr>
          <w:rFonts w:ascii="Times New Roman" w:hAnsi="Times New Roman" w:cs="Times New Roman"/>
          <w:sz w:val="24"/>
          <w:szCs w:val="24"/>
        </w:rPr>
      </w:pPr>
    </w:p>
    <w:p w14:paraId="17A7B9CF" w14:textId="77777777" w:rsidR="00A60C17" w:rsidRDefault="00A60C17" w:rsidP="00A60C17">
      <w:pPr>
        <w:spacing w:line="360" w:lineRule="auto"/>
        <w:jc w:val="both"/>
        <w:rPr>
          <w:rFonts w:ascii="Times New Roman" w:hAnsi="Times New Roman" w:cs="Times New Roman"/>
          <w:sz w:val="24"/>
          <w:szCs w:val="24"/>
        </w:rPr>
      </w:pPr>
    </w:p>
    <w:p w14:paraId="2B90C573" w14:textId="77777777" w:rsidR="00A60C17" w:rsidRDefault="00A60C17" w:rsidP="00A60C17">
      <w:pPr>
        <w:spacing w:line="360" w:lineRule="auto"/>
        <w:jc w:val="both"/>
        <w:rPr>
          <w:rFonts w:ascii="Times New Roman" w:hAnsi="Times New Roman" w:cs="Times New Roman"/>
          <w:sz w:val="24"/>
          <w:szCs w:val="24"/>
        </w:rPr>
      </w:pPr>
    </w:p>
    <w:p w14:paraId="702D3548" w14:textId="77777777" w:rsidR="00A60C17" w:rsidRPr="00970EDE" w:rsidRDefault="00A60C17" w:rsidP="00A60C17">
      <w:pPr>
        <w:spacing w:line="360" w:lineRule="auto"/>
        <w:jc w:val="both"/>
        <w:rPr>
          <w:rFonts w:ascii="Times New Roman" w:hAnsi="Times New Roman" w:cs="Times New Roman"/>
          <w:sz w:val="24"/>
          <w:szCs w:val="24"/>
        </w:rPr>
      </w:pPr>
    </w:p>
    <w:p w14:paraId="6098D61F" w14:textId="77777777" w:rsidR="00912F26" w:rsidRPr="00970EDE" w:rsidRDefault="00000000" w:rsidP="00A60C17">
      <w:pPr>
        <w:pStyle w:val="Heading1"/>
      </w:pPr>
      <w:bookmarkStart w:id="0" w:name="_Toc237996090"/>
      <w:r w:rsidRPr="00970EDE">
        <w:lastRenderedPageBreak/>
        <w:t>Task 1 – Social Epidemiological Analysis</w:t>
      </w:r>
      <w:bookmarkEnd w:id="0"/>
    </w:p>
    <w:p w14:paraId="625B51A1"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Growing Older, Growing Apart: Age and Health Inequality among Older People in the United Kingdom</w:t>
      </w:r>
    </w:p>
    <w:p w14:paraId="64577CAE" w14:textId="77777777" w:rsidR="00912F26" w:rsidRPr="00970EDE" w:rsidRDefault="00000000" w:rsidP="00970EDE">
      <w:pPr>
        <w:pStyle w:val="Heading2"/>
      </w:pPr>
      <w:bookmarkStart w:id="1" w:name="_Toc237996091"/>
      <w:r w:rsidRPr="00970EDE">
        <w:t>Introduction</w:t>
      </w:r>
      <w:bookmarkEnd w:id="1"/>
    </w:p>
    <w:p w14:paraId="4153A98F"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Health inequalities are differences that exist at a population level between different groups of people, are socially produced and largely avoidable (Marmot et al., 2020; Local Government Association, 2021). This analysis focuses on older people in the UK, which </w:t>
      </w:r>
      <w:proofErr w:type="gramStart"/>
      <w:r w:rsidRPr="00970EDE">
        <w:rPr>
          <w:rFonts w:ascii="Times New Roman" w:hAnsi="Times New Roman" w:cs="Times New Roman"/>
          <w:sz w:val="24"/>
          <w:szCs w:val="24"/>
        </w:rPr>
        <w:t>is</w:t>
      </w:r>
      <w:proofErr w:type="gramEnd"/>
      <w:r w:rsidRPr="00970EDE">
        <w:rPr>
          <w:rFonts w:ascii="Times New Roman" w:hAnsi="Times New Roman" w:cs="Times New Roman"/>
          <w:sz w:val="24"/>
          <w:szCs w:val="24"/>
        </w:rPr>
        <w:t xml:space="preserve"> typically considered to be people over 65 years old. Today, there are over 10 million people aged over 85 (around 18% of the population) and the group continues to grow (Office for National Statistics, 2023; Centre for Ageing Better, 2024). The older they are, the higher the risk for health inequality is, due to a variety of interacting biological, economic and social factors. While there is a certain biological vulnerability as people age, there is also a social-epidemiological, life-course approach that emphasizes that not all the vulnerability is a product of ageing: disadvantages that build up along the life course – in income, housing, work and social connection – tend to cluster in later life and increase existing inequalities (Marmot et al., 2020; World Health Organization, 2022). Fixed incomes, bereavement, reduced mobility, digital exclusion and structural ageism are other areas that bring </w:t>
      </w:r>
      <w:proofErr w:type="gramStart"/>
      <w:r w:rsidRPr="00970EDE">
        <w:rPr>
          <w:rFonts w:ascii="Times New Roman" w:hAnsi="Times New Roman" w:cs="Times New Roman"/>
          <w:sz w:val="24"/>
          <w:szCs w:val="24"/>
        </w:rPr>
        <w:t>disadvantage</w:t>
      </w:r>
      <w:proofErr w:type="gramEnd"/>
      <w:r w:rsidRPr="00970EDE">
        <w:rPr>
          <w:rFonts w:ascii="Times New Roman" w:hAnsi="Times New Roman" w:cs="Times New Roman"/>
          <w:sz w:val="24"/>
          <w:szCs w:val="24"/>
        </w:rPr>
        <w:t xml:space="preserve"> to older people. The two views, ageing as a biologically decreasing process on the one hand and ageing as a socially structured process which is socially patterned and therefore modifiable on the other hand, constitute the context for the discussion that follows.</w:t>
      </w:r>
    </w:p>
    <w:p w14:paraId="419C9ACE" w14:textId="77777777" w:rsidR="00970EDE" w:rsidRPr="00970EDE" w:rsidRDefault="00970EDE" w:rsidP="00970EDE">
      <w:pPr>
        <w:pStyle w:val="Heading2"/>
      </w:pPr>
      <w:bookmarkStart w:id="2" w:name="_Toc237996092"/>
      <w:r w:rsidRPr="00970EDE">
        <w:t>Contextual background and underlying factors</w:t>
      </w:r>
      <w:bookmarkEnd w:id="2"/>
    </w:p>
    <w:p w14:paraId="5ACD2A07" w14:textId="2FEBB218" w:rsidR="00912F26"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Table 1 provides a summary of the six health inequality issues most important to older people in the UK and covers three disease/illness burdens and three social determinants that are explored in turn.</w:t>
      </w: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00"/>
        <w:gridCol w:w="3550"/>
        <w:gridCol w:w="4125"/>
      </w:tblGrid>
      <w:tr w:rsidR="00912F26" w:rsidRPr="00970EDE" w14:paraId="3C721662" w14:textId="77777777" w:rsidTr="00970EDE">
        <w:trPr>
          <w:tblHeader/>
        </w:trPr>
        <w:tc>
          <w:tcPr>
            <w:tcW w:w="1500"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0BD23A71"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Domain</w:t>
            </w:r>
          </w:p>
        </w:tc>
        <w:tc>
          <w:tcPr>
            <w:tcW w:w="3550"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1B18CA1C"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Issue</w:t>
            </w:r>
          </w:p>
        </w:tc>
        <w:tc>
          <w:tcPr>
            <w:tcW w:w="4125"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210E4B79"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Key indicator</w:t>
            </w:r>
          </w:p>
        </w:tc>
      </w:tr>
      <w:tr w:rsidR="00912F26" w:rsidRPr="00970EDE" w14:paraId="396865C9" w14:textId="77777777" w:rsidTr="00970EDE">
        <w:tc>
          <w:tcPr>
            <w:tcW w:w="15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7FD174A1"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Disease</w:t>
            </w:r>
          </w:p>
        </w:tc>
        <w:tc>
          <w:tcPr>
            <w:tcW w:w="355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21744C30"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Dementia and mental illness</w:t>
            </w:r>
          </w:p>
        </w:tc>
        <w:tc>
          <w:tcPr>
            <w:tcW w:w="412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059B7F1E"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982,000 people with dementia (UK), rising to 1.4m by 2040 (Alzheimer’s Society, 2024)</w:t>
            </w:r>
          </w:p>
        </w:tc>
      </w:tr>
      <w:tr w:rsidR="00912F26" w:rsidRPr="00970EDE" w14:paraId="0073DFE3" w14:textId="77777777" w:rsidTr="00970EDE">
        <w:tc>
          <w:tcPr>
            <w:tcW w:w="15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75159939"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Disease</w:t>
            </w:r>
          </w:p>
        </w:tc>
        <w:tc>
          <w:tcPr>
            <w:tcW w:w="355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58A40B4E"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Unequal access to healthcare</w:t>
            </w:r>
          </w:p>
        </w:tc>
        <w:tc>
          <w:tcPr>
            <w:tcW w:w="412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285282E2"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Healthy life expectancy at 65 (England): 13.5 vs 6.6 years, least vs most deprived men (Centre for Ageing Better, 2024)</w:t>
            </w:r>
          </w:p>
        </w:tc>
      </w:tr>
      <w:tr w:rsidR="00912F26" w:rsidRPr="00970EDE" w14:paraId="3844B79C" w14:textId="77777777" w:rsidTr="00970EDE">
        <w:tc>
          <w:tcPr>
            <w:tcW w:w="15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7860BB63"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lastRenderedPageBreak/>
              <w:t>Disease</w:t>
            </w:r>
          </w:p>
        </w:tc>
        <w:tc>
          <w:tcPr>
            <w:tcW w:w="355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3201C073"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Higher mortality and multimorbidity</w:t>
            </w:r>
          </w:p>
        </w:tc>
        <w:tc>
          <w:tcPr>
            <w:tcW w:w="412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0840C7FC"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~9.7-year male life-expectancy gap between richest and poorest areas in England (Marmot et al., 2020)</w:t>
            </w:r>
          </w:p>
        </w:tc>
      </w:tr>
      <w:tr w:rsidR="00912F26" w:rsidRPr="00970EDE" w14:paraId="74F22F4E" w14:textId="77777777" w:rsidTr="00970EDE">
        <w:tc>
          <w:tcPr>
            <w:tcW w:w="15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3F44A3D4"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Social</w:t>
            </w:r>
          </w:p>
        </w:tc>
        <w:tc>
          <w:tcPr>
            <w:tcW w:w="355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474DD2C8"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Social isolation and loneliness</w:t>
            </w:r>
          </w:p>
        </w:tc>
        <w:tc>
          <w:tcPr>
            <w:tcW w:w="412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0F9C2989"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940,000 (7%) of over-65s </w:t>
            </w:r>
            <w:proofErr w:type="gramStart"/>
            <w:r w:rsidRPr="00970EDE">
              <w:rPr>
                <w:rFonts w:ascii="Times New Roman" w:hAnsi="Times New Roman" w:cs="Times New Roman"/>
                <w:sz w:val="24"/>
                <w:szCs w:val="24"/>
              </w:rPr>
              <w:t>often</w:t>
            </w:r>
            <w:proofErr w:type="gramEnd"/>
            <w:r w:rsidRPr="00970EDE">
              <w:rPr>
                <w:rFonts w:ascii="Times New Roman" w:hAnsi="Times New Roman" w:cs="Times New Roman"/>
                <w:sz w:val="24"/>
                <w:szCs w:val="24"/>
              </w:rPr>
              <w:t xml:space="preserve"> lonely (Age UK, 2024b)</w:t>
            </w:r>
          </w:p>
        </w:tc>
      </w:tr>
      <w:tr w:rsidR="00912F26" w:rsidRPr="00970EDE" w14:paraId="36E97E31" w14:textId="77777777" w:rsidTr="00970EDE">
        <w:tc>
          <w:tcPr>
            <w:tcW w:w="15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0A0DA891"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Social</w:t>
            </w:r>
          </w:p>
        </w:tc>
        <w:tc>
          <w:tcPr>
            <w:tcW w:w="355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49088570"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Poverty</w:t>
            </w:r>
          </w:p>
        </w:tc>
        <w:tc>
          <w:tcPr>
            <w:tcW w:w="412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66F3ED75"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1.9m pensioners (16%) in relative poverty (Age UK, 2024a)</w:t>
            </w:r>
          </w:p>
        </w:tc>
      </w:tr>
      <w:tr w:rsidR="00912F26" w:rsidRPr="00970EDE" w14:paraId="387261B7" w14:textId="77777777" w:rsidTr="00970EDE">
        <w:tc>
          <w:tcPr>
            <w:tcW w:w="15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369AEBBA"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Social</w:t>
            </w:r>
          </w:p>
        </w:tc>
        <w:tc>
          <w:tcPr>
            <w:tcW w:w="355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705214CF"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Poor and cold housing</w:t>
            </w:r>
          </w:p>
        </w:tc>
        <w:tc>
          <w:tcPr>
            <w:tcW w:w="412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17F54C07"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~4,950 excess winter deaths linked to cold homes, winter 2022/23 (End Fuel Poverty Coalition, 2024)</w:t>
            </w:r>
          </w:p>
        </w:tc>
      </w:tr>
    </w:tbl>
    <w:p w14:paraId="171B73AA" w14:textId="77777777"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b/>
          <w:bCs/>
          <w:i/>
          <w:iCs/>
          <w:sz w:val="24"/>
          <w:szCs w:val="24"/>
        </w:rPr>
        <w:t>Table 1. The six priority health inequality issues faced by older people in the UK</w:t>
      </w:r>
      <w:r w:rsidRPr="00970EDE">
        <w:rPr>
          <w:rFonts w:ascii="Times New Roman" w:hAnsi="Times New Roman" w:cs="Times New Roman"/>
          <w:i/>
          <w:iCs/>
          <w:sz w:val="24"/>
          <w:szCs w:val="24"/>
        </w:rPr>
        <w:t>.</w:t>
      </w:r>
    </w:p>
    <w:p w14:paraId="1330ED7E" w14:textId="77777777" w:rsidR="00912F26" w:rsidRDefault="00000000" w:rsidP="00970EDE">
      <w:pPr>
        <w:pStyle w:val="Heading2"/>
      </w:pPr>
      <w:bookmarkStart w:id="3" w:name="_Toc237996093"/>
      <w:r w:rsidRPr="00970EDE">
        <w:t>Three disease/illness burdens</w:t>
      </w:r>
      <w:bookmarkEnd w:id="3"/>
    </w:p>
    <w:p w14:paraId="5CB4710D" w14:textId="6D5093E8" w:rsidR="00A60C17" w:rsidRPr="00A60C17" w:rsidRDefault="00A60C17" w:rsidP="00A60C17">
      <w:pPr>
        <w:spacing w:line="360" w:lineRule="auto"/>
        <w:jc w:val="both"/>
        <w:rPr>
          <w:rFonts w:ascii="Times New Roman" w:hAnsi="Times New Roman" w:cs="Times New Roman"/>
          <w:sz w:val="24"/>
          <w:szCs w:val="24"/>
        </w:rPr>
      </w:pPr>
      <w:r w:rsidRPr="00A60C17">
        <w:rPr>
          <w:rFonts w:ascii="Times New Roman" w:hAnsi="Times New Roman" w:cs="Times New Roman"/>
          <w:sz w:val="24"/>
          <w:szCs w:val="24"/>
        </w:rPr>
        <w:t xml:space="preserve">There are also substantial inequalities for older people in mental health, access to health care and healthy life expectancy. There are currently approximately 982,000 people in the UK with </w:t>
      </w:r>
      <w:proofErr w:type="gramStart"/>
      <w:r w:rsidRPr="00A60C17">
        <w:rPr>
          <w:rFonts w:ascii="Times New Roman" w:hAnsi="Times New Roman" w:cs="Times New Roman"/>
          <w:sz w:val="24"/>
          <w:szCs w:val="24"/>
        </w:rPr>
        <w:t>dementia</w:t>
      </w:r>
      <w:proofErr w:type="gramEnd"/>
      <w:r w:rsidRPr="00A60C17">
        <w:rPr>
          <w:rFonts w:ascii="Times New Roman" w:hAnsi="Times New Roman" w:cs="Times New Roman"/>
          <w:sz w:val="24"/>
          <w:szCs w:val="24"/>
        </w:rPr>
        <w:t xml:space="preserve"> and this is expected to rise to 1.4 million by 2040 (Alzheimer's Society, 2024). Depression is also prevalent, but few of those aged 65+ with mental health conditions access talking therapies (4.4% as opposed to 12.6% for </w:t>
      </w:r>
      <w:proofErr w:type="gramStart"/>
      <w:r w:rsidRPr="00A60C17">
        <w:rPr>
          <w:rFonts w:ascii="Times New Roman" w:hAnsi="Times New Roman" w:cs="Times New Roman"/>
          <w:sz w:val="24"/>
          <w:szCs w:val="24"/>
        </w:rPr>
        <w:t>18-24 year olds</w:t>
      </w:r>
      <w:proofErr w:type="gramEnd"/>
      <w:r w:rsidRPr="00A60C17">
        <w:rPr>
          <w:rFonts w:ascii="Times New Roman" w:hAnsi="Times New Roman" w:cs="Times New Roman"/>
          <w:sz w:val="24"/>
          <w:szCs w:val="24"/>
        </w:rPr>
        <w:t xml:space="preserve">, Centre for Ageing Better, 2024). Digital exclusion and transport challenges, along with ageism, are other factors that impact access to healthcare. There are also inequalities in healthy life expectancy – men in the least deprived areas have a healthy life expectancy of 13.5 years compared to 6.6 years in the most deprived areas (Centre for Ageing Better, 2024). Older people are also more likely to </w:t>
      </w:r>
      <w:proofErr w:type="gramStart"/>
      <w:r w:rsidRPr="00A60C17">
        <w:rPr>
          <w:rFonts w:ascii="Times New Roman" w:hAnsi="Times New Roman" w:cs="Times New Roman"/>
          <w:sz w:val="24"/>
          <w:szCs w:val="24"/>
        </w:rPr>
        <w:t>be suffering</w:t>
      </w:r>
      <w:proofErr w:type="gramEnd"/>
      <w:r w:rsidRPr="00A60C17">
        <w:rPr>
          <w:rFonts w:ascii="Times New Roman" w:hAnsi="Times New Roman" w:cs="Times New Roman"/>
          <w:sz w:val="24"/>
          <w:szCs w:val="24"/>
        </w:rPr>
        <w:t xml:space="preserve"> from multiple morbidity and mortality conditions, and cold homes are responsible for thousands of excess winter deaths. These include the provision of preventative healthcare, social prescribing, frailty services, vaccination and multi-morbidity management.</w:t>
      </w:r>
    </w:p>
    <w:p w14:paraId="04B8556A" w14:textId="77777777" w:rsidR="00970EDE" w:rsidRPr="00970EDE" w:rsidRDefault="00970EDE" w:rsidP="00970EDE">
      <w:pPr>
        <w:pStyle w:val="Heading2"/>
      </w:pPr>
      <w:bookmarkStart w:id="4" w:name="_Toc237996094"/>
      <w:r w:rsidRPr="00970EDE">
        <w:t>Three social determinants</w:t>
      </w:r>
      <w:bookmarkEnd w:id="4"/>
    </w:p>
    <w:p w14:paraId="2EB17869"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Fourth, social isolation and loneliness are rife: Some 270,000 people aged 65 and over do not speak to a friend or family member for a full week (Age UK, 2024b), while approximately 940,000 (7%) are often lonely. It is a true public health threat: loneliness and social isolation is a risk factor for early death on par with smoking, hypertension and asthma (Holt-</w:t>
      </w:r>
      <w:proofErr w:type="spellStart"/>
      <w:r w:rsidRPr="00970EDE">
        <w:rPr>
          <w:rFonts w:ascii="Times New Roman" w:hAnsi="Times New Roman" w:cs="Times New Roman"/>
          <w:sz w:val="24"/>
          <w:szCs w:val="24"/>
        </w:rPr>
        <w:t>Lunstad</w:t>
      </w:r>
      <w:proofErr w:type="spellEnd"/>
      <w:r w:rsidRPr="00970EDE">
        <w:rPr>
          <w:rFonts w:ascii="Times New Roman" w:hAnsi="Times New Roman" w:cs="Times New Roman"/>
          <w:sz w:val="24"/>
          <w:szCs w:val="24"/>
        </w:rPr>
        <w:t xml:space="preserve"> et al., 2015), and is linked to a 29% increased risk of coronary heart disease and a 25% increase of dementia (Age UK, 2024b). Befriending schemes and community hubs/social prescribing provide scalable responses, with some evidence pointing to challenging effectiveness.</w:t>
      </w:r>
    </w:p>
    <w:p w14:paraId="696510C2"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lastRenderedPageBreak/>
        <w:t>Fifth, poverty in old age continues: 1.9 million pensioners are living in relative poverty, with 25% of pensioners from the Asian community and 26% of pensioners from the Black community living in relative poverty (Age UK, 2024a). Older people are highly vulnerable to the prices of energy and food, as almost half said they are concerned about the cost of heating (Age UK, 2024a). Pensioner poverty has been increasing over the past few years, following a long decrease (Joseph Rowntree Foundation, 2024). The main remedies are higher take-up of Pension Credit and targeted support.</w:t>
      </w:r>
    </w:p>
    <w:p w14:paraId="2185D272"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Sixth, poor and cold housing adds to poverty and disease. Homes that are not decent and/or hard to heat are </w:t>
      </w:r>
      <w:proofErr w:type="gramStart"/>
      <w:r w:rsidRPr="00970EDE">
        <w:rPr>
          <w:rFonts w:ascii="Times New Roman" w:hAnsi="Times New Roman" w:cs="Times New Roman"/>
          <w:sz w:val="24"/>
          <w:szCs w:val="24"/>
        </w:rPr>
        <w:t>over represented</w:t>
      </w:r>
      <w:proofErr w:type="gramEnd"/>
      <w:r w:rsidRPr="00970EDE">
        <w:rPr>
          <w:rFonts w:ascii="Times New Roman" w:hAnsi="Times New Roman" w:cs="Times New Roman"/>
          <w:sz w:val="24"/>
          <w:szCs w:val="24"/>
        </w:rPr>
        <w:t xml:space="preserve"> for older people and cold indoor temperatures are a cause of respiratory and cardiovascular deaths </w:t>
      </w:r>
      <w:proofErr w:type="gramStart"/>
      <w:r w:rsidRPr="00970EDE">
        <w:rPr>
          <w:rFonts w:ascii="Times New Roman" w:hAnsi="Times New Roman" w:cs="Times New Roman"/>
          <w:sz w:val="24"/>
          <w:szCs w:val="24"/>
        </w:rPr>
        <w:t>year round</w:t>
      </w:r>
      <w:proofErr w:type="gramEnd"/>
      <w:r w:rsidRPr="00970EDE">
        <w:rPr>
          <w:rFonts w:ascii="Times New Roman" w:hAnsi="Times New Roman" w:cs="Times New Roman"/>
          <w:sz w:val="24"/>
          <w:szCs w:val="24"/>
        </w:rPr>
        <w:t>, particularly during the winter months (End Fuel Poverty Coalition, 2024). Illness and avoidable deaths are reduced in association with home energy-efficiency grants, warm home schemes and housing adaptations.</w:t>
      </w:r>
    </w:p>
    <w:p w14:paraId="6A1A345A" w14:textId="04F76261"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noProof/>
          <w:sz w:val="24"/>
          <w:szCs w:val="24"/>
        </w:rPr>
        <w:drawing>
          <wp:inline distT="0" distB="0" distL="0" distR="0" wp14:anchorId="156E04F0" wp14:editId="2DA8500E">
            <wp:extent cx="5474014" cy="2766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7765" b="6806"/>
                    <a:stretch>
                      <a:fillRect/>
                    </a:stretch>
                  </pic:blipFill>
                  <pic:spPr bwMode="auto">
                    <a:xfrm>
                      <a:off x="0" y="0"/>
                      <a:ext cx="5481762" cy="2769975"/>
                    </a:xfrm>
                    <a:prstGeom prst="rect">
                      <a:avLst/>
                    </a:prstGeom>
                    <a:ln>
                      <a:noFill/>
                    </a:ln>
                    <a:extLst>
                      <a:ext uri="{53640926-AAD7-44D8-BBD7-CCE9431645EC}">
                        <a14:shadowObscured xmlns:a14="http://schemas.microsoft.com/office/drawing/2010/main"/>
                      </a:ext>
                    </a:extLst>
                  </pic:spPr>
                </pic:pic>
              </a:graphicData>
            </a:graphic>
          </wp:inline>
        </w:drawing>
      </w:r>
    </w:p>
    <w:p w14:paraId="0A575330" w14:textId="77777777" w:rsidR="00912F26" w:rsidRPr="00970EDE" w:rsidRDefault="00000000" w:rsidP="00970EDE">
      <w:pPr>
        <w:spacing w:line="360" w:lineRule="auto"/>
        <w:jc w:val="center"/>
        <w:rPr>
          <w:rFonts w:ascii="Times New Roman" w:hAnsi="Times New Roman" w:cs="Times New Roman"/>
          <w:b/>
          <w:bCs/>
          <w:sz w:val="24"/>
          <w:szCs w:val="24"/>
        </w:rPr>
      </w:pPr>
      <w:r w:rsidRPr="00970EDE">
        <w:rPr>
          <w:rFonts w:ascii="Times New Roman" w:hAnsi="Times New Roman" w:cs="Times New Roman"/>
          <w:b/>
          <w:bCs/>
          <w:i/>
          <w:iCs/>
          <w:sz w:val="24"/>
          <w:szCs w:val="24"/>
        </w:rPr>
        <w:t>Figure 1. Healthy life expectancy at 65 by deprivation, England 2018–20 (Centre for Ageing Better, 2024).</w:t>
      </w:r>
    </w:p>
    <w:p w14:paraId="531F20E4" w14:textId="77777777" w:rsidR="00912F26" w:rsidRPr="00970EDE" w:rsidRDefault="00000000" w:rsidP="00970EDE">
      <w:pPr>
        <w:pStyle w:val="Heading2"/>
      </w:pPr>
      <w:bookmarkStart w:id="5" w:name="_Toc237996095"/>
      <w:r w:rsidRPr="00970EDE">
        <w:t>National responses to reduce health inequalities</w:t>
      </w:r>
      <w:bookmarkEnd w:id="5"/>
    </w:p>
    <w:p w14:paraId="52F986EF"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There are two national responses that demonstrate action so far. The Ageing Well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xml:space="preserve"> was introduced under the NHS Long Term Plan (NHS England, 2019) which enhanced the delivery of Enhanced Health in Care Homes, urgent community response and anticipatory care, as well as a large-scale rollout of social-prescribing link workers to tackle loneliness and the wider determinants of ill health. Second, income and warmth policies, such as Pension Credit and the Household Support Fund, focus on pensioner and fuel poverty, and the Government's loneliness strategy, A Connected Society, and the appointment of a minister for loneliness have put social isolation on the policy agenda (Campaign to End Loneliness, 2023). However, as </w:t>
      </w:r>
      <w:r w:rsidRPr="00970EDE">
        <w:rPr>
          <w:rFonts w:ascii="Times New Roman" w:hAnsi="Times New Roman" w:cs="Times New Roman"/>
          <w:sz w:val="24"/>
          <w:szCs w:val="24"/>
        </w:rPr>
        <w:lastRenderedPageBreak/>
        <w:t>critics point out, low benefit take-up and limited funding from local authorities is a key hurdle for implementation, not policy creation.</w:t>
      </w:r>
    </w:p>
    <w:p w14:paraId="49BA65B3" w14:textId="77777777" w:rsidR="00970EDE" w:rsidRPr="00970EDE" w:rsidRDefault="00970EDE" w:rsidP="00970EDE">
      <w:pPr>
        <w:pStyle w:val="Heading2"/>
      </w:pPr>
      <w:bookmarkStart w:id="6" w:name="_Toc237996096"/>
      <w:r w:rsidRPr="00970EDE">
        <w:t>Organizations that look After the Elderly.</w:t>
      </w:r>
      <w:bookmarkEnd w:id="6"/>
    </w:p>
    <w:p w14:paraId="26124A34" w14:textId="523775A0"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Age UK is the largest national charity for older people and is a good example of the voluntary sector's broader contribution to the identification and </w:t>
      </w:r>
      <w:proofErr w:type="spellStart"/>
      <w:r w:rsidRPr="00970EDE">
        <w:rPr>
          <w:rFonts w:ascii="Times New Roman" w:hAnsi="Times New Roman" w:cs="Times New Roman"/>
          <w:sz w:val="24"/>
          <w:szCs w:val="24"/>
        </w:rPr>
        <w:t>minimisation</w:t>
      </w:r>
      <w:proofErr w:type="spellEnd"/>
      <w:r w:rsidRPr="00970EDE">
        <w:rPr>
          <w:rFonts w:ascii="Times New Roman" w:hAnsi="Times New Roman" w:cs="Times New Roman"/>
          <w:sz w:val="24"/>
          <w:szCs w:val="24"/>
        </w:rPr>
        <w:t xml:space="preserve"> of health inequality. This includes direct work in the form of a national advice line, befriending and information and advice services as well as authoritative research and campaigning, such as its annual State of Health and Care of Older People reports and Age UK evidence on loneliness and poverty (2024). Its mission is to improve the experience for people as they age, by providing practical support; to fund and translate research; and to influence the policy landscape so that ageing is not synonymous with disadvantages. Age UK brings about strong data and acts as the voice of older people to hold public bodies to account and influence policies and interventions including loneliness services and Pension Credit take-up campaigns.</w:t>
      </w:r>
    </w:p>
    <w:p w14:paraId="1CA69DEE" w14:textId="394BA554"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noProof/>
          <w:sz w:val="24"/>
          <w:szCs w:val="24"/>
        </w:rPr>
        <w:drawing>
          <wp:inline distT="0" distB="0" distL="0" distR="0" wp14:anchorId="3C73BC4B" wp14:editId="3D27E73E">
            <wp:extent cx="5481239" cy="2392680"/>
            <wp:effectExtent l="0" t="0" r="5715" b="7620"/>
            <wp:docPr id="467374149" name="Picture 467374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15194" b="6977"/>
                    <a:stretch>
                      <a:fillRect/>
                    </a:stretch>
                  </pic:blipFill>
                  <pic:spPr bwMode="auto">
                    <a:xfrm>
                      <a:off x="0" y="0"/>
                      <a:ext cx="5489759" cy="2396399"/>
                    </a:xfrm>
                    <a:prstGeom prst="rect">
                      <a:avLst/>
                    </a:prstGeom>
                    <a:ln>
                      <a:noFill/>
                    </a:ln>
                    <a:extLst>
                      <a:ext uri="{53640926-AAD7-44D8-BBD7-CCE9431645EC}">
                        <a14:shadowObscured xmlns:a14="http://schemas.microsoft.com/office/drawing/2010/main"/>
                      </a:ext>
                    </a:extLst>
                  </pic:spPr>
                </pic:pic>
              </a:graphicData>
            </a:graphic>
          </wp:inline>
        </w:drawing>
      </w:r>
    </w:p>
    <w:p w14:paraId="3F056C55" w14:textId="26889D8F"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i/>
          <w:iCs/>
          <w:sz w:val="24"/>
          <w:szCs w:val="24"/>
        </w:rPr>
        <w:t>Figure</w:t>
      </w:r>
      <w:r w:rsidR="00970EDE">
        <w:rPr>
          <w:rFonts w:ascii="Times New Roman" w:hAnsi="Times New Roman" w:cs="Times New Roman"/>
          <w:i/>
          <w:iCs/>
          <w:sz w:val="24"/>
          <w:szCs w:val="24"/>
        </w:rPr>
        <w:t xml:space="preserve"> 2: </w:t>
      </w:r>
      <w:r w:rsidRPr="00970EDE">
        <w:rPr>
          <w:rFonts w:ascii="Times New Roman" w:hAnsi="Times New Roman" w:cs="Times New Roman"/>
          <w:i/>
          <w:iCs/>
          <w:sz w:val="24"/>
          <w:szCs w:val="24"/>
        </w:rPr>
        <w:t>Pensioner poverty by ethnicity, UK 2022–23 (Age UK, 2024a).</w:t>
      </w:r>
    </w:p>
    <w:p w14:paraId="4E19CD8C" w14:textId="77777777" w:rsidR="00912F26" w:rsidRPr="00970EDE" w:rsidRDefault="00000000" w:rsidP="00970EDE">
      <w:pPr>
        <w:pStyle w:val="Heading2"/>
      </w:pPr>
      <w:bookmarkStart w:id="7" w:name="_Toc237996097"/>
      <w:r w:rsidRPr="00970EDE">
        <w:t>Conclusion</w:t>
      </w:r>
      <w:bookmarkEnd w:id="7"/>
    </w:p>
    <w:p w14:paraId="4EFA4CE3" w14:textId="455C90BC" w:rsidR="00912F26"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In the UK, inequalities in health are quite specific to older citizens and inter-related. Three disease burdens (dementia and mental illness, inequality in health care access, and high levels of mortality and multimorbidity) are closely linked with three social determinants (loneliness, poverty, and poor housing). The evidence demonstrates that these differences are not biological, but rather social, as they are greatest between the most and least deprived, reflecting the social patterning of health in the later life (Marmot et al., 2020). National strategies like the NHS Long Term Plan and policies on income and loneliness offer a framework; but implementation and take-up of these policies is crucial, and </w:t>
      </w:r>
      <w:proofErr w:type="spellStart"/>
      <w:r w:rsidRPr="00970EDE">
        <w:rPr>
          <w:rFonts w:ascii="Times New Roman" w:hAnsi="Times New Roman" w:cs="Times New Roman"/>
          <w:sz w:val="24"/>
          <w:szCs w:val="24"/>
        </w:rPr>
        <w:t>organisations</w:t>
      </w:r>
      <w:proofErr w:type="spellEnd"/>
      <w:r w:rsidRPr="00970EDE">
        <w:rPr>
          <w:rFonts w:ascii="Times New Roman" w:hAnsi="Times New Roman" w:cs="Times New Roman"/>
          <w:sz w:val="24"/>
          <w:szCs w:val="24"/>
        </w:rPr>
        <w:t xml:space="preserve"> like Age UK, all in the voluntary sector, will play a key role in filling the gap.</w:t>
      </w:r>
      <w:r w:rsidRPr="00970EDE">
        <w:rPr>
          <w:rFonts w:ascii="Times New Roman" w:hAnsi="Times New Roman" w:cs="Times New Roman"/>
          <w:sz w:val="24"/>
          <w:szCs w:val="24"/>
        </w:rPr>
        <w:br w:type="page"/>
      </w:r>
    </w:p>
    <w:p w14:paraId="73647B33" w14:textId="77777777" w:rsidR="00912F26" w:rsidRPr="00970EDE" w:rsidRDefault="00000000" w:rsidP="00970EDE">
      <w:pPr>
        <w:pStyle w:val="Heading1"/>
      </w:pPr>
      <w:bookmarkStart w:id="8" w:name="_Toc237996098"/>
      <w:r w:rsidRPr="00970EDE">
        <w:lastRenderedPageBreak/>
        <w:t>Task 2 – Epidemiological Analysis</w:t>
      </w:r>
      <w:bookmarkEnd w:id="8"/>
    </w:p>
    <w:p w14:paraId="70D75274" w14:textId="77777777" w:rsidR="00912F26" w:rsidRPr="00970EDE" w:rsidRDefault="00000000" w:rsidP="00970EDE">
      <w:pPr>
        <w:spacing w:line="360" w:lineRule="auto"/>
        <w:jc w:val="both"/>
        <w:rPr>
          <w:rFonts w:ascii="Times New Roman" w:hAnsi="Times New Roman" w:cs="Times New Roman"/>
          <w:b/>
          <w:bCs/>
          <w:sz w:val="24"/>
          <w:szCs w:val="24"/>
        </w:rPr>
      </w:pPr>
      <w:r w:rsidRPr="00970EDE">
        <w:rPr>
          <w:rFonts w:ascii="Times New Roman" w:hAnsi="Times New Roman" w:cs="Times New Roman"/>
          <w:b/>
          <w:bCs/>
          <w:sz w:val="24"/>
          <w:szCs w:val="24"/>
        </w:rPr>
        <w:t>Type 2 Diabetes Mellitus in the London Borough of Newham: An Epidemiological Report for Regional Public Health Action</w:t>
      </w:r>
    </w:p>
    <w:p w14:paraId="0F8320F5" w14:textId="77777777" w:rsidR="00912F26" w:rsidRPr="00970EDE" w:rsidRDefault="00000000" w:rsidP="00970EDE">
      <w:pPr>
        <w:pStyle w:val="Heading2"/>
      </w:pPr>
      <w:bookmarkStart w:id="9" w:name="_Toc237996099"/>
      <w:r w:rsidRPr="00970EDE">
        <w:t>Introduction: defining the problem and its consequences</w:t>
      </w:r>
      <w:bookmarkEnd w:id="9"/>
    </w:p>
    <w:p w14:paraId="48778DE9" w14:textId="77777777" w:rsidR="00A60C17" w:rsidRDefault="00A60C17" w:rsidP="00970EDE">
      <w:pPr>
        <w:spacing w:line="360" w:lineRule="auto"/>
        <w:jc w:val="both"/>
        <w:rPr>
          <w:rFonts w:ascii="Times New Roman" w:hAnsi="Times New Roman" w:cs="Times New Roman"/>
          <w:sz w:val="24"/>
          <w:szCs w:val="24"/>
        </w:rPr>
      </w:pPr>
      <w:r w:rsidRPr="00A60C17">
        <w:rPr>
          <w:rFonts w:ascii="Times New Roman" w:hAnsi="Times New Roman" w:cs="Times New Roman"/>
          <w:sz w:val="24"/>
          <w:szCs w:val="24"/>
        </w:rPr>
        <w:t xml:space="preserve">Type 2 diabetes mellitus (T2DM) is a chronic condition that involves insulin resistance and gradual loss of beta-cell function leading to </w:t>
      </w:r>
      <w:proofErr w:type="spellStart"/>
      <w:r w:rsidRPr="00A60C17">
        <w:rPr>
          <w:rFonts w:ascii="Times New Roman" w:hAnsi="Times New Roman" w:cs="Times New Roman"/>
          <w:sz w:val="24"/>
          <w:szCs w:val="24"/>
        </w:rPr>
        <w:t>hyperglycaemia</w:t>
      </w:r>
      <w:proofErr w:type="spellEnd"/>
      <w:r w:rsidRPr="00A60C17">
        <w:rPr>
          <w:rFonts w:ascii="Times New Roman" w:hAnsi="Times New Roman" w:cs="Times New Roman"/>
          <w:sz w:val="24"/>
          <w:szCs w:val="24"/>
        </w:rPr>
        <w:t xml:space="preserve"> (Whicher, O’Neill and Holt, 2020). It makes up more than 90% of all diabetes cases and is associated with obesity, low levels of physical activity, and diet and socioeconomic disadvantage (WHO, 2016; Diabetes UK, 2024). T2DM, if not managed properly, can lead to cardiovascular disease, kidney disease, retinopathy, neuropathy and amputations. Worldwide, more than 830 million adults are living with diabetes and about 1.6 million people died from diabetes in 2021 (WHO, 2024). Diabetes is a prevalent condition in the UK with approximately 6 million patients diagnosed with diabetes and 7.0% of the population in England being diagnosed with T2DM in March 2024 (Diabetes UK 2024; OHID, 2025).</w:t>
      </w:r>
    </w:p>
    <w:p w14:paraId="2F6B5675" w14:textId="3DC1A22E" w:rsidR="00912F26"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These levels of burden are compared in Table 2.</w:t>
      </w: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0"/>
        <w:gridCol w:w="3200"/>
        <w:gridCol w:w="3875"/>
      </w:tblGrid>
      <w:tr w:rsidR="00912F26" w:rsidRPr="00970EDE" w14:paraId="21760845" w14:textId="77777777" w:rsidTr="00970EDE">
        <w:trPr>
          <w:tblHeader/>
        </w:trPr>
        <w:tc>
          <w:tcPr>
            <w:tcW w:w="2100"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43E0A464" w14:textId="77777777" w:rsidR="00912F26" w:rsidRPr="00970EDE" w:rsidRDefault="00000000" w:rsidP="00970EDE">
            <w:pPr>
              <w:spacing w:line="360" w:lineRule="auto"/>
              <w:jc w:val="both"/>
              <w:rPr>
                <w:rFonts w:ascii="Times New Roman" w:hAnsi="Times New Roman" w:cs="Times New Roman"/>
                <w:b/>
                <w:bCs/>
                <w:sz w:val="24"/>
                <w:szCs w:val="24"/>
              </w:rPr>
            </w:pPr>
            <w:r w:rsidRPr="00970EDE">
              <w:rPr>
                <w:rFonts w:ascii="Times New Roman" w:hAnsi="Times New Roman" w:cs="Times New Roman"/>
                <w:b/>
                <w:bCs/>
                <w:sz w:val="24"/>
                <w:szCs w:val="24"/>
              </w:rPr>
              <w:t>Level</w:t>
            </w:r>
          </w:p>
        </w:tc>
        <w:tc>
          <w:tcPr>
            <w:tcW w:w="3200"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1C0F5AA9" w14:textId="77777777" w:rsidR="00912F26" w:rsidRPr="00970EDE" w:rsidRDefault="00000000" w:rsidP="00970EDE">
            <w:pPr>
              <w:spacing w:line="360" w:lineRule="auto"/>
              <w:jc w:val="both"/>
              <w:rPr>
                <w:rFonts w:ascii="Times New Roman" w:hAnsi="Times New Roman" w:cs="Times New Roman"/>
                <w:b/>
                <w:bCs/>
                <w:sz w:val="24"/>
                <w:szCs w:val="24"/>
              </w:rPr>
            </w:pPr>
            <w:r w:rsidRPr="00970EDE">
              <w:rPr>
                <w:rFonts w:ascii="Times New Roman" w:hAnsi="Times New Roman" w:cs="Times New Roman"/>
                <w:b/>
                <w:bCs/>
                <w:sz w:val="24"/>
                <w:szCs w:val="24"/>
              </w:rPr>
              <w:t>Indicator</w:t>
            </w:r>
          </w:p>
        </w:tc>
        <w:tc>
          <w:tcPr>
            <w:tcW w:w="3875"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1415C011" w14:textId="77777777" w:rsidR="00912F26" w:rsidRPr="00970EDE" w:rsidRDefault="00000000" w:rsidP="00970EDE">
            <w:pPr>
              <w:spacing w:line="360" w:lineRule="auto"/>
              <w:jc w:val="both"/>
              <w:rPr>
                <w:rFonts w:ascii="Times New Roman" w:hAnsi="Times New Roman" w:cs="Times New Roman"/>
                <w:b/>
                <w:bCs/>
                <w:sz w:val="24"/>
                <w:szCs w:val="24"/>
              </w:rPr>
            </w:pPr>
            <w:r w:rsidRPr="00970EDE">
              <w:rPr>
                <w:rFonts w:ascii="Times New Roman" w:hAnsi="Times New Roman" w:cs="Times New Roman"/>
                <w:b/>
                <w:bCs/>
                <w:sz w:val="24"/>
                <w:szCs w:val="24"/>
              </w:rPr>
              <w:t>Figure (source)</w:t>
            </w:r>
          </w:p>
        </w:tc>
      </w:tr>
      <w:tr w:rsidR="00912F26" w:rsidRPr="00970EDE" w14:paraId="5626F679" w14:textId="77777777" w:rsidTr="00970EDE">
        <w:tc>
          <w:tcPr>
            <w:tcW w:w="21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48280C78"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Global</w:t>
            </w:r>
          </w:p>
        </w:tc>
        <w:tc>
          <w:tcPr>
            <w:tcW w:w="32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4373236C"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Adults with diabetes, 2022</w:t>
            </w:r>
          </w:p>
        </w:tc>
        <w:tc>
          <w:tcPr>
            <w:tcW w:w="387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3322B92E"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830 million; 14% of adults (WHO, 2024)</w:t>
            </w:r>
          </w:p>
        </w:tc>
      </w:tr>
      <w:tr w:rsidR="00912F26" w:rsidRPr="00970EDE" w14:paraId="14BFAF35" w14:textId="77777777" w:rsidTr="00970EDE">
        <w:tc>
          <w:tcPr>
            <w:tcW w:w="21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2FCA54DA"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Global</w:t>
            </w:r>
          </w:p>
        </w:tc>
        <w:tc>
          <w:tcPr>
            <w:tcW w:w="32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00260152"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Direct diabetes deaths, 2021</w:t>
            </w:r>
          </w:p>
        </w:tc>
        <w:tc>
          <w:tcPr>
            <w:tcW w:w="387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4D0D5D43"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~1.6 million (WHO, 2024)</w:t>
            </w:r>
          </w:p>
        </w:tc>
      </w:tr>
      <w:tr w:rsidR="00912F26" w:rsidRPr="00970EDE" w14:paraId="68711125" w14:textId="77777777" w:rsidTr="00970EDE">
        <w:tc>
          <w:tcPr>
            <w:tcW w:w="21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18B13A48"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UK</w:t>
            </w:r>
          </w:p>
        </w:tc>
        <w:tc>
          <w:tcPr>
            <w:tcW w:w="32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62158E35"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People living with diabetes</w:t>
            </w:r>
          </w:p>
        </w:tc>
        <w:tc>
          <w:tcPr>
            <w:tcW w:w="387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6FFD6DFA"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Almost 6m; over 4.7m diagnosed, ~90% type 2 (Diabetes UK, 2024)</w:t>
            </w:r>
          </w:p>
        </w:tc>
      </w:tr>
      <w:tr w:rsidR="00912F26" w:rsidRPr="00970EDE" w14:paraId="5FDA0C89" w14:textId="77777777" w:rsidTr="00970EDE">
        <w:tc>
          <w:tcPr>
            <w:tcW w:w="21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54ABA610"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UK</w:t>
            </w:r>
          </w:p>
        </w:tc>
        <w:tc>
          <w:tcPr>
            <w:tcW w:w="32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580E83AF"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At increased risk of T2DM</w:t>
            </w:r>
          </w:p>
        </w:tc>
        <w:tc>
          <w:tcPr>
            <w:tcW w:w="387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3FDEC28A"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~6.9 million adults (Diabetes UK, 2024)</w:t>
            </w:r>
          </w:p>
        </w:tc>
      </w:tr>
      <w:tr w:rsidR="00912F26" w:rsidRPr="00970EDE" w14:paraId="5251B903" w14:textId="77777777" w:rsidTr="00970EDE">
        <w:tc>
          <w:tcPr>
            <w:tcW w:w="21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4B1FCCE5"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England</w:t>
            </w:r>
          </w:p>
        </w:tc>
        <w:tc>
          <w:tcPr>
            <w:tcW w:w="32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1E0440F7"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Recorded T2DM prevalence (17+)</w:t>
            </w:r>
          </w:p>
        </w:tc>
        <w:tc>
          <w:tcPr>
            <w:tcW w:w="387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243CFA0E"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7.0%, March 2024 (OHID, 2025)</w:t>
            </w:r>
          </w:p>
        </w:tc>
      </w:tr>
      <w:tr w:rsidR="00912F26" w:rsidRPr="00970EDE" w14:paraId="698BAB83" w14:textId="77777777" w:rsidTr="00970EDE">
        <w:tc>
          <w:tcPr>
            <w:tcW w:w="21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24337E56"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Local</w:t>
            </w:r>
          </w:p>
        </w:tc>
        <w:tc>
          <w:tcPr>
            <w:tcW w:w="32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66825F57"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Newham (East London)</w:t>
            </w:r>
          </w:p>
        </w:tc>
        <w:tc>
          <w:tcPr>
            <w:tcW w:w="387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32906BFE"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GP-recorded diabetes ~8%, above England (Newham, 2023; OHID, 2025)</w:t>
            </w:r>
          </w:p>
        </w:tc>
      </w:tr>
    </w:tbl>
    <w:p w14:paraId="2E3FC24B" w14:textId="77777777"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i/>
          <w:iCs/>
          <w:sz w:val="24"/>
          <w:szCs w:val="24"/>
        </w:rPr>
        <w:t>Table 2. Global, national and local burden of type 2 diabetes.</w:t>
      </w:r>
    </w:p>
    <w:p w14:paraId="5F0D7AD4" w14:textId="77777777" w:rsidR="00912F26" w:rsidRPr="00970EDE" w:rsidRDefault="00000000" w:rsidP="00970EDE">
      <w:pPr>
        <w:pStyle w:val="Heading2"/>
      </w:pPr>
      <w:bookmarkStart w:id="10" w:name="_Toc237996100"/>
      <w:r w:rsidRPr="00970EDE">
        <w:t>Key determinants and risk factors</w:t>
      </w:r>
      <w:bookmarkEnd w:id="10"/>
    </w:p>
    <w:p w14:paraId="232E1113" w14:textId="2DCB53FD" w:rsidR="00912F26"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There is a multifactorial </w:t>
      </w:r>
      <w:proofErr w:type="spellStart"/>
      <w:r w:rsidRPr="00970EDE">
        <w:rPr>
          <w:rFonts w:ascii="Times New Roman" w:hAnsi="Times New Roman" w:cs="Times New Roman"/>
          <w:sz w:val="24"/>
          <w:szCs w:val="24"/>
        </w:rPr>
        <w:t>aetiology</w:t>
      </w:r>
      <w:proofErr w:type="spellEnd"/>
      <w:r w:rsidRPr="00970EDE">
        <w:rPr>
          <w:rFonts w:ascii="Times New Roman" w:hAnsi="Times New Roman" w:cs="Times New Roman"/>
          <w:sz w:val="24"/>
          <w:szCs w:val="24"/>
        </w:rPr>
        <w:t xml:space="preserve"> of T2DM, partly non-modifiable and partly modifiable (Table 3). Non-modifiable factors </w:t>
      </w:r>
      <w:proofErr w:type="gramStart"/>
      <w:r w:rsidRPr="00970EDE">
        <w:rPr>
          <w:rFonts w:ascii="Times New Roman" w:hAnsi="Times New Roman" w:cs="Times New Roman"/>
          <w:sz w:val="24"/>
          <w:szCs w:val="24"/>
        </w:rPr>
        <w:t>include:</w:t>
      </w:r>
      <w:proofErr w:type="gramEnd"/>
      <w:r w:rsidRPr="00970EDE">
        <w:rPr>
          <w:rFonts w:ascii="Times New Roman" w:hAnsi="Times New Roman" w:cs="Times New Roman"/>
          <w:sz w:val="24"/>
          <w:szCs w:val="24"/>
        </w:rPr>
        <w:t xml:space="preserve"> age, family history and ethnicity; individuals from </w:t>
      </w:r>
      <w:r w:rsidRPr="00970EDE">
        <w:rPr>
          <w:rFonts w:ascii="Times New Roman" w:hAnsi="Times New Roman" w:cs="Times New Roman"/>
          <w:sz w:val="24"/>
          <w:szCs w:val="24"/>
        </w:rPr>
        <w:lastRenderedPageBreak/>
        <w:t xml:space="preserve">a South Asian, Black African and Black Caribbean background are two to four times more likely to have diabetes and are likely to be younger and have a lower body-mass index than White individuals (Diabetes UK, 2024). There are factors that can be modified, including overweight and obesity, physical inactivity, energy-dense diets and smoking, which are also socially patterned, occurring more frequently in deprived areas (Marmot et al., 2020; Foresight, 2007). This clustering is central to </w:t>
      </w:r>
      <w:proofErr w:type="gramStart"/>
      <w:r w:rsidRPr="00970EDE">
        <w:rPr>
          <w:rFonts w:ascii="Times New Roman" w:hAnsi="Times New Roman" w:cs="Times New Roman"/>
          <w:sz w:val="24"/>
          <w:szCs w:val="24"/>
        </w:rPr>
        <w:t>Newham, and</w:t>
      </w:r>
      <w:proofErr w:type="gramEnd"/>
      <w:r w:rsidRPr="00970EDE">
        <w:rPr>
          <w:rFonts w:ascii="Times New Roman" w:hAnsi="Times New Roman" w:cs="Times New Roman"/>
          <w:sz w:val="24"/>
          <w:szCs w:val="24"/>
        </w:rPr>
        <w:t xml:space="preserve"> is </w:t>
      </w:r>
      <w:proofErr w:type="spellStart"/>
      <w:r w:rsidRPr="00970EDE">
        <w:rPr>
          <w:rFonts w:ascii="Times New Roman" w:hAnsi="Times New Roman" w:cs="Times New Roman"/>
          <w:sz w:val="24"/>
          <w:szCs w:val="24"/>
        </w:rPr>
        <w:t>characterised</w:t>
      </w:r>
      <w:proofErr w:type="spellEnd"/>
      <w:r w:rsidRPr="00970EDE">
        <w:rPr>
          <w:rFonts w:ascii="Times New Roman" w:hAnsi="Times New Roman" w:cs="Times New Roman"/>
          <w:sz w:val="24"/>
          <w:szCs w:val="24"/>
        </w:rPr>
        <w:t xml:space="preserve"> by a large South Asian and Black African population, and high deprivation, leading to an early onset, high prevalence pattern of disease (</w:t>
      </w:r>
      <w:proofErr w:type="spellStart"/>
      <w:r w:rsidRPr="00970EDE">
        <w:rPr>
          <w:rFonts w:ascii="Times New Roman" w:hAnsi="Times New Roman" w:cs="Times New Roman"/>
          <w:sz w:val="24"/>
          <w:szCs w:val="24"/>
        </w:rPr>
        <w:t>Balasanthiran</w:t>
      </w:r>
      <w:proofErr w:type="spellEnd"/>
      <w:r w:rsidRPr="00970EDE">
        <w:rPr>
          <w:rFonts w:ascii="Times New Roman" w:hAnsi="Times New Roman" w:cs="Times New Roman"/>
          <w:sz w:val="24"/>
          <w:szCs w:val="24"/>
        </w:rPr>
        <w:t xml:space="preserve"> et al., 2012).</w:t>
      </w: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200"/>
        <w:gridCol w:w="4975"/>
      </w:tblGrid>
      <w:tr w:rsidR="00912F26" w:rsidRPr="00970EDE" w14:paraId="3CEDBF11" w14:textId="77777777" w:rsidTr="00970EDE">
        <w:trPr>
          <w:tblHeader/>
        </w:trPr>
        <w:tc>
          <w:tcPr>
            <w:tcW w:w="4200"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3951DB9F" w14:textId="77777777" w:rsidR="00912F26" w:rsidRPr="00970EDE" w:rsidRDefault="00000000" w:rsidP="00970EDE">
            <w:pPr>
              <w:spacing w:line="360" w:lineRule="auto"/>
              <w:jc w:val="both"/>
              <w:rPr>
                <w:rFonts w:ascii="Times New Roman" w:hAnsi="Times New Roman" w:cs="Times New Roman"/>
                <w:b/>
                <w:bCs/>
                <w:sz w:val="24"/>
                <w:szCs w:val="24"/>
              </w:rPr>
            </w:pPr>
            <w:r w:rsidRPr="00970EDE">
              <w:rPr>
                <w:rFonts w:ascii="Times New Roman" w:hAnsi="Times New Roman" w:cs="Times New Roman"/>
                <w:b/>
                <w:bCs/>
                <w:sz w:val="24"/>
                <w:szCs w:val="24"/>
              </w:rPr>
              <w:t>Non-modifiable risk factors</w:t>
            </w:r>
          </w:p>
        </w:tc>
        <w:tc>
          <w:tcPr>
            <w:tcW w:w="4975" w:type="dxa"/>
            <w:tcBorders>
              <w:top w:val="single" w:sz="4" w:space="0" w:color="BBBBBB"/>
              <w:left w:val="single" w:sz="4" w:space="0" w:color="BBBBBB"/>
              <w:bottom w:val="single" w:sz="4" w:space="0" w:color="BBBBBB"/>
              <w:right w:val="single" w:sz="4" w:space="0" w:color="BBBBBB"/>
            </w:tcBorders>
            <w:shd w:val="clear" w:color="auto" w:fill="1F3B57"/>
            <w:tcMar>
              <w:top w:w="60" w:type="dxa"/>
              <w:left w:w="90" w:type="dxa"/>
              <w:bottom w:w="60" w:type="dxa"/>
              <w:right w:w="90" w:type="dxa"/>
            </w:tcMar>
          </w:tcPr>
          <w:p w14:paraId="146334D0" w14:textId="77777777" w:rsidR="00912F26" w:rsidRPr="00970EDE" w:rsidRDefault="00000000" w:rsidP="00970EDE">
            <w:pPr>
              <w:spacing w:line="360" w:lineRule="auto"/>
              <w:jc w:val="both"/>
              <w:rPr>
                <w:rFonts w:ascii="Times New Roman" w:hAnsi="Times New Roman" w:cs="Times New Roman"/>
                <w:b/>
                <w:bCs/>
                <w:sz w:val="24"/>
                <w:szCs w:val="24"/>
              </w:rPr>
            </w:pPr>
            <w:r w:rsidRPr="00970EDE">
              <w:rPr>
                <w:rFonts w:ascii="Times New Roman" w:hAnsi="Times New Roman" w:cs="Times New Roman"/>
                <w:b/>
                <w:bCs/>
                <w:sz w:val="24"/>
                <w:szCs w:val="24"/>
              </w:rPr>
              <w:t>Modifiable risk factors</w:t>
            </w:r>
          </w:p>
        </w:tc>
      </w:tr>
      <w:tr w:rsidR="00912F26" w:rsidRPr="00970EDE" w14:paraId="51A3400C" w14:textId="77777777" w:rsidTr="00970EDE">
        <w:tc>
          <w:tcPr>
            <w:tcW w:w="42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07C7CF2A"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Age (rising risk with age)</w:t>
            </w:r>
          </w:p>
        </w:tc>
        <w:tc>
          <w:tcPr>
            <w:tcW w:w="497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17632586"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Overweight and obesity</w:t>
            </w:r>
          </w:p>
        </w:tc>
      </w:tr>
      <w:tr w:rsidR="00912F26" w:rsidRPr="00970EDE" w14:paraId="1E696C1D" w14:textId="77777777" w:rsidTr="00970EDE">
        <w:tc>
          <w:tcPr>
            <w:tcW w:w="42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7EDCF94D"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South Asian / Black ethnicity</w:t>
            </w:r>
          </w:p>
        </w:tc>
        <w:tc>
          <w:tcPr>
            <w:tcW w:w="497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7E550338"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Physical inactivity</w:t>
            </w:r>
          </w:p>
        </w:tc>
      </w:tr>
      <w:tr w:rsidR="00912F26" w:rsidRPr="00970EDE" w14:paraId="0203E576" w14:textId="77777777" w:rsidTr="00970EDE">
        <w:tc>
          <w:tcPr>
            <w:tcW w:w="42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4D65563F"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Family history of diabetes</w:t>
            </w:r>
          </w:p>
        </w:tc>
        <w:tc>
          <w:tcPr>
            <w:tcW w:w="497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43AA9431"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Energy-dense, low-</w:t>
            </w:r>
            <w:proofErr w:type="spellStart"/>
            <w:r w:rsidRPr="00970EDE">
              <w:rPr>
                <w:rFonts w:ascii="Times New Roman" w:hAnsi="Times New Roman" w:cs="Times New Roman"/>
                <w:sz w:val="24"/>
                <w:szCs w:val="24"/>
              </w:rPr>
              <w:t>fibre</w:t>
            </w:r>
            <w:proofErr w:type="spellEnd"/>
            <w:r w:rsidRPr="00970EDE">
              <w:rPr>
                <w:rFonts w:ascii="Times New Roman" w:hAnsi="Times New Roman" w:cs="Times New Roman"/>
                <w:sz w:val="24"/>
                <w:szCs w:val="24"/>
              </w:rPr>
              <w:t xml:space="preserve"> diet</w:t>
            </w:r>
          </w:p>
        </w:tc>
      </w:tr>
      <w:tr w:rsidR="00912F26" w:rsidRPr="00970EDE" w14:paraId="55F19302" w14:textId="77777777" w:rsidTr="00970EDE">
        <w:tc>
          <w:tcPr>
            <w:tcW w:w="4200"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6A86822F"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History of gestational diabetes</w:t>
            </w:r>
          </w:p>
        </w:tc>
        <w:tc>
          <w:tcPr>
            <w:tcW w:w="4975" w:type="dxa"/>
            <w:tcBorders>
              <w:top w:val="single" w:sz="4" w:space="0" w:color="BBBBBB"/>
              <w:left w:val="single" w:sz="4" w:space="0" w:color="BBBBBB"/>
              <w:bottom w:val="single" w:sz="4" w:space="0" w:color="BBBBBB"/>
              <w:right w:val="single" w:sz="4" w:space="0" w:color="BBBBBB"/>
            </w:tcBorders>
            <w:shd w:val="clear" w:color="auto" w:fill="EEF3F6"/>
            <w:tcMar>
              <w:top w:w="60" w:type="dxa"/>
              <w:left w:w="90" w:type="dxa"/>
              <w:bottom w:w="60" w:type="dxa"/>
              <w:right w:w="90" w:type="dxa"/>
            </w:tcMar>
          </w:tcPr>
          <w:p w14:paraId="453D2642"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Smoking and alcohol</w:t>
            </w:r>
          </w:p>
        </w:tc>
      </w:tr>
      <w:tr w:rsidR="00912F26" w:rsidRPr="00970EDE" w14:paraId="7F015225" w14:textId="77777777" w:rsidTr="00970EDE">
        <w:tc>
          <w:tcPr>
            <w:tcW w:w="4200"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2FA1962F"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Deprivation as an upstream determinant</w:t>
            </w:r>
          </w:p>
        </w:tc>
        <w:tc>
          <w:tcPr>
            <w:tcW w:w="4975" w:type="dxa"/>
            <w:tcBorders>
              <w:top w:val="single" w:sz="4" w:space="0" w:color="BBBBBB"/>
              <w:left w:val="single" w:sz="4" w:space="0" w:color="BBBBBB"/>
              <w:bottom w:val="single" w:sz="4" w:space="0" w:color="BBBBBB"/>
              <w:right w:val="single" w:sz="4" w:space="0" w:color="BBBBBB"/>
            </w:tcBorders>
            <w:shd w:val="clear" w:color="auto" w:fill="FFFFFF"/>
            <w:tcMar>
              <w:top w:w="60" w:type="dxa"/>
              <w:left w:w="90" w:type="dxa"/>
              <w:bottom w:w="60" w:type="dxa"/>
              <w:right w:w="90" w:type="dxa"/>
            </w:tcMar>
          </w:tcPr>
          <w:p w14:paraId="650B5679" w14:textId="77777777" w:rsidR="00912F26" w:rsidRPr="00970EDE" w:rsidRDefault="00000000"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Non-diabetic </w:t>
            </w:r>
            <w:proofErr w:type="spellStart"/>
            <w:r w:rsidRPr="00970EDE">
              <w:rPr>
                <w:rFonts w:ascii="Times New Roman" w:hAnsi="Times New Roman" w:cs="Times New Roman"/>
                <w:sz w:val="24"/>
                <w:szCs w:val="24"/>
              </w:rPr>
              <w:t>hyperglycaemia</w:t>
            </w:r>
            <w:proofErr w:type="spellEnd"/>
            <w:r w:rsidRPr="00970EDE">
              <w:rPr>
                <w:rFonts w:ascii="Times New Roman" w:hAnsi="Times New Roman" w:cs="Times New Roman"/>
                <w:sz w:val="24"/>
                <w:szCs w:val="24"/>
              </w:rPr>
              <w:t xml:space="preserve"> (pre-diabetes)</w:t>
            </w:r>
          </w:p>
        </w:tc>
      </w:tr>
    </w:tbl>
    <w:p w14:paraId="70B94EBF" w14:textId="77777777"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i/>
          <w:iCs/>
          <w:sz w:val="24"/>
          <w:szCs w:val="24"/>
        </w:rPr>
        <w:t>Table 3. Non-modifiable and modifiable determinants of type 2 diabetes (Diabetes UK, 2024; Foresight, 2007).</w:t>
      </w:r>
    </w:p>
    <w:p w14:paraId="100EF897" w14:textId="77777777"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noProof/>
          <w:sz w:val="24"/>
          <w:szCs w:val="24"/>
        </w:rPr>
        <w:drawing>
          <wp:inline distT="0" distB="0" distL="0" distR="0" wp14:anchorId="32F653E4" wp14:editId="0A7306AB">
            <wp:extent cx="5312368" cy="2522220"/>
            <wp:effectExtent l="0" t="0" r="3175" b="0"/>
            <wp:docPr id="1496030506" name="Picture 1496030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7442" b="7907"/>
                    <a:stretch>
                      <a:fillRect/>
                    </a:stretch>
                  </pic:blipFill>
                  <pic:spPr bwMode="auto">
                    <a:xfrm>
                      <a:off x="0" y="0"/>
                      <a:ext cx="5319398" cy="2525558"/>
                    </a:xfrm>
                    <a:prstGeom prst="rect">
                      <a:avLst/>
                    </a:prstGeom>
                    <a:ln>
                      <a:noFill/>
                    </a:ln>
                    <a:extLst>
                      <a:ext uri="{53640926-AAD7-44D8-BBD7-CCE9431645EC}">
                        <a14:shadowObscured xmlns:a14="http://schemas.microsoft.com/office/drawing/2010/main"/>
                      </a:ext>
                    </a:extLst>
                  </pic:spPr>
                </pic:pic>
              </a:graphicData>
            </a:graphic>
          </wp:inline>
        </w:drawing>
      </w:r>
    </w:p>
    <w:p w14:paraId="29636E6E" w14:textId="41B820E9" w:rsidR="00912F26" w:rsidRPr="00970EDE" w:rsidRDefault="00000000" w:rsidP="00970EDE">
      <w:pPr>
        <w:spacing w:line="360" w:lineRule="auto"/>
        <w:jc w:val="center"/>
        <w:rPr>
          <w:rFonts w:ascii="Times New Roman" w:hAnsi="Times New Roman" w:cs="Times New Roman"/>
          <w:sz w:val="24"/>
          <w:szCs w:val="24"/>
        </w:rPr>
      </w:pPr>
      <w:r w:rsidRPr="00970EDE">
        <w:rPr>
          <w:rFonts w:ascii="Times New Roman" w:hAnsi="Times New Roman" w:cs="Times New Roman"/>
          <w:i/>
          <w:iCs/>
          <w:sz w:val="24"/>
          <w:szCs w:val="24"/>
        </w:rPr>
        <w:t xml:space="preserve">Figure </w:t>
      </w:r>
      <w:r w:rsidR="00970EDE">
        <w:rPr>
          <w:rFonts w:ascii="Times New Roman" w:hAnsi="Times New Roman" w:cs="Times New Roman"/>
          <w:i/>
          <w:iCs/>
          <w:sz w:val="24"/>
          <w:szCs w:val="24"/>
        </w:rPr>
        <w:t>3</w:t>
      </w:r>
      <w:r w:rsidRPr="00970EDE">
        <w:rPr>
          <w:rFonts w:ascii="Times New Roman" w:hAnsi="Times New Roman" w:cs="Times New Roman"/>
          <w:i/>
          <w:iCs/>
          <w:sz w:val="24"/>
          <w:szCs w:val="24"/>
        </w:rPr>
        <w:t>. Global rise in adult diabetes, 1990–2022 (World Health Organization, 2024).</w:t>
      </w:r>
    </w:p>
    <w:p w14:paraId="669046ED" w14:textId="77777777" w:rsidR="00912F26" w:rsidRPr="00970EDE" w:rsidRDefault="00000000" w:rsidP="00A60C17">
      <w:pPr>
        <w:pStyle w:val="Heading2"/>
      </w:pPr>
      <w:bookmarkStart w:id="11" w:name="_Toc237996101"/>
      <w:r w:rsidRPr="00970EDE">
        <w:t>Identifying those affected: health needs assessment in Newham</w:t>
      </w:r>
      <w:bookmarkEnd w:id="11"/>
    </w:p>
    <w:p w14:paraId="2720E86E"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A health needs assessment (HNA) combines routine surveillance, primary-care registers and risk-stratification tools to identify those who are vulnerable or affected. Diabetes prevalence, gaps in case finding and attainment of care processes can be mapped using a combination of the practice-level Quality and Outcomes Framework (QOF) registers with the National </w:t>
      </w:r>
      <w:r w:rsidRPr="00970EDE">
        <w:rPr>
          <w:rFonts w:ascii="Times New Roman" w:hAnsi="Times New Roman" w:cs="Times New Roman"/>
          <w:sz w:val="24"/>
          <w:szCs w:val="24"/>
        </w:rPr>
        <w:lastRenderedPageBreak/>
        <w:t xml:space="preserve">Diabetes Audit and OHID’s Fingertips diabetes profile, in Newham. The borough of Newham has a diabetes prevalence of around 8% (London Borough of Newham, 2023) and the prevalence of diabetes in children and young adults (CYA) is high, with more recent local data indicating that the prevalence of early-onset type 2 diabetes in CYA has not improved (London Borough of Newham, 2023), a trend that is in line with the borough's demographic </w:t>
      </w:r>
      <w:proofErr w:type="spellStart"/>
      <w:r w:rsidRPr="00970EDE">
        <w:rPr>
          <w:rFonts w:ascii="Times New Roman" w:hAnsi="Times New Roman" w:cs="Times New Roman"/>
          <w:sz w:val="24"/>
          <w:szCs w:val="24"/>
        </w:rPr>
        <w:t>profile.In</w:t>
      </w:r>
      <w:proofErr w:type="spellEnd"/>
      <w:r w:rsidRPr="00970EDE">
        <w:rPr>
          <w:rFonts w:ascii="Times New Roman" w:hAnsi="Times New Roman" w:cs="Times New Roman"/>
          <w:sz w:val="24"/>
          <w:szCs w:val="24"/>
        </w:rPr>
        <w:t xml:space="preserve"> line with the borough's demographic profile, recorded diabetes prevalence in Newham is 7.0% (March 2024) (OHID, 2025) and the prevalence of diabetes in children and young adults (CYA) is high, with more recent local data indicating that the prevalence of early-onset type 2 diabetes in CYA has not improved (London Borough of Newham, 2023). The local authority and integrated care board can use risk tools, like the Diabetes UK Know Your Risk score and NHS Health Check results to target the estimated pool of individuals with non-diabetic </w:t>
      </w:r>
      <w:proofErr w:type="spellStart"/>
      <w:r w:rsidRPr="00970EDE">
        <w:rPr>
          <w:rFonts w:ascii="Times New Roman" w:hAnsi="Times New Roman" w:cs="Times New Roman"/>
          <w:sz w:val="24"/>
          <w:szCs w:val="24"/>
        </w:rPr>
        <w:t>hyperglycaemia</w:t>
      </w:r>
      <w:proofErr w:type="spellEnd"/>
      <w:r w:rsidRPr="00970EDE">
        <w:rPr>
          <w:rFonts w:ascii="Times New Roman" w:hAnsi="Times New Roman" w:cs="Times New Roman"/>
          <w:sz w:val="24"/>
          <w:szCs w:val="24"/>
        </w:rPr>
        <w:t xml:space="preserve"> for preventative action. As can be seen from the map (Figure 3), there is high geographical variation in recorded prevalence as assessed.</w:t>
      </w:r>
    </w:p>
    <w:p w14:paraId="0C276D58" w14:textId="7C2CB4BB" w:rsidR="00A60C17" w:rsidRPr="00A60C17" w:rsidRDefault="00A60C17" w:rsidP="00A60C17">
      <w:pPr>
        <w:spacing w:line="360" w:lineRule="auto"/>
        <w:jc w:val="both"/>
        <w:rPr>
          <w:rFonts w:ascii="Times New Roman" w:hAnsi="Times New Roman" w:cs="Times New Roman"/>
          <w:sz w:val="24"/>
          <w:szCs w:val="24"/>
        </w:rPr>
      </w:pPr>
      <w:r w:rsidRPr="00A60C17">
        <w:rPr>
          <w:rFonts w:ascii="Times New Roman" w:hAnsi="Times New Roman" w:cs="Times New Roman"/>
          <w:noProof/>
          <w:sz w:val="24"/>
          <w:szCs w:val="24"/>
        </w:rPr>
        <w:drawing>
          <wp:inline distT="0" distB="0" distL="0" distR="0" wp14:anchorId="69982099" wp14:editId="106625E6">
            <wp:extent cx="5731510" cy="2849880"/>
            <wp:effectExtent l="0" t="0" r="2540" b="7620"/>
            <wp:docPr id="13507548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731510" cy="2849880"/>
                    </a:xfrm>
                    <a:prstGeom prst="rect">
                      <a:avLst/>
                    </a:prstGeom>
                    <a:noFill/>
                    <a:ln>
                      <a:noFill/>
                    </a:ln>
                    <a:extLst>
                      <a:ext uri="{53640926-AAD7-44D8-BBD7-CCE9431645EC}">
                        <a14:shadowObscured xmlns:a14="http://schemas.microsoft.com/office/drawing/2010/main"/>
                      </a:ext>
                    </a:extLst>
                  </pic:spPr>
                </pic:pic>
              </a:graphicData>
            </a:graphic>
          </wp:inline>
        </w:drawing>
      </w:r>
    </w:p>
    <w:p w14:paraId="742886EF" w14:textId="2D8BFD43" w:rsidR="00912F26" w:rsidRPr="00970EDE" w:rsidRDefault="00912F26" w:rsidP="00970EDE">
      <w:pPr>
        <w:spacing w:line="360" w:lineRule="auto"/>
        <w:jc w:val="both"/>
        <w:rPr>
          <w:rFonts w:ascii="Times New Roman" w:hAnsi="Times New Roman" w:cs="Times New Roman"/>
          <w:sz w:val="24"/>
          <w:szCs w:val="24"/>
        </w:rPr>
      </w:pPr>
    </w:p>
    <w:p w14:paraId="51CD816C" w14:textId="31746E2A" w:rsidR="00912F26" w:rsidRPr="00970EDE" w:rsidRDefault="00000000" w:rsidP="00A60C17">
      <w:pPr>
        <w:spacing w:line="360" w:lineRule="auto"/>
        <w:jc w:val="center"/>
        <w:rPr>
          <w:rFonts w:ascii="Times New Roman" w:hAnsi="Times New Roman" w:cs="Times New Roman"/>
          <w:sz w:val="24"/>
          <w:szCs w:val="24"/>
        </w:rPr>
      </w:pPr>
      <w:r w:rsidRPr="00970EDE">
        <w:rPr>
          <w:rFonts w:ascii="Times New Roman" w:hAnsi="Times New Roman" w:cs="Times New Roman"/>
          <w:i/>
          <w:iCs/>
          <w:sz w:val="24"/>
          <w:szCs w:val="24"/>
        </w:rPr>
        <w:t xml:space="preserve">Figure </w:t>
      </w:r>
      <w:r w:rsidR="00A60C17">
        <w:rPr>
          <w:rFonts w:ascii="Times New Roman" w:hAnsi="Times New Roman" w:cs="Times New Roman"/>
          <w:i/>
          <w:iCs/>
          <w:sz w:val="24"/>
          <w:szCs w:val="24"/>
        </w:rPr>
        <w:t>4</w:t>
      </w:r>
      <w:r w:rsidRPr="00970EDE">
        <w:rPr>
          <w:rFonts w:ascii="Times New Roman" w:hAnsi="Times New Roman" w:cs="Times New Roman"/>
          <w:i/>
          <w:iCs/>
          <w:sz w:val="24"/>
          <w:szCs w:val="24"/>
        </w:rPr>
        <w:t>. Geographic variation in recorded type 2 diabetes prevalence, England, March 2024 (OHID, 2025).</w:t>
      </w:r>
    </w:p>
    <w:p w14:paraId="53EAFD27" w14:textId="77777777" w:rsidR="00912F26" w:rsidRPr="00970EDE" w:rsidRDefault="00000000" w:rsidP="00A60C17">
      <w:pPr>
        <w:pStyle w:val="Heading2"/>
      </w:pPr>
      <w:bookmarkStart w:id="12" w:name="_Toc237996102"/>
      <w:r w:rsidRPr="00970EDE">
        <w:t>Surveillance and monitoring systems</w:t>
      </w:r>
      <w:bookmarkEnd w:id="12"/>
    </w:p>
    <w:p w14:paraId="0FADDC34"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There are several complementary surveillance systems for monitoring the T2DM in a defined population. Primary-care QOF registers contain up to date, near complete practice and borough level counts of diagnosed cases and care-process indicators. The National Diabetes Audit (NHS England) connects primary and secondary care to monitor treatment targets, diabetes complications and outcomes, a disease register and outcomes monitoring system (NHS England, 2023). OHID has small-area prevalence estimates and modelled undiagnosed burden </w:t>
      </w:r>
      <w:r w:rsidRPr="00970EDE">
        <w:rPr>
          <w:rFonts w:ascii="Times New Roman" w:hAnsi="Times New Roman" w:cs="Times New Roman"/>
          <w:sz w:val="24"/>
          <w:szCs w:val="24"/>
        </w:rPr>
        <w:lastRenderedPageBreak/>
        <w:t xml:space="preserve">for local comparison available in its Fingertips diabetes profile and the diabetes statistical commentary published each year (OHID, 2025). The NHS Health Check is an active case-finding and cardiovascular risk assessment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xml:space="preserve"> for adults aged 40-74 (Robson et al., 2016) and there is a monitoring layer for the at-risk population from the NHS Diabetes Prevention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xml:space="preserve"> (Barron et al., 2018). These are combined to provide a mixture of passive, active and sentinel surveillance, but completeness is dependent on registration and coding quality.</w:t>
      </w:r>
    </w:p>
    <w:p w14:paraId="1BE56ECA" w14:textId="77777777" w:rsidR="00970EDE" w:rsidRPr="00970EDE" w:rsidRDefault="00970EDE" w:rsidP="00A60C17">
      <w:pPr>
        <w:pStyle w:val="Heading2"/>
      </w:pPr>
      <w:bookmarkStart w:id="13" w:name="_Toc237996103"/>
      <w:r w:rsidRPr="00970EDE">
        <w:t>Public health measures: the three levels of prevention.</w:t>
      </w:r>
      <w:bookmarkEnd w:id="13"/>
    </w:p>
    <w:p w14:paraId="4BD80231"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The three P's of prevention are the most effective way to </w:t>
      </w:r>
      <w:proofErr w:type="spellStart"/>
      <w:r w:rsidRPr="00970EDE">
        <w:rPr>
          <w:rFonts w:ascii="Times New Roman" w:hAnsi="Times New Roman" w:cs="Times New Roman"/>
          <w:sz w:val="24"/>
          <w:szCs w:val="24"/>
        </w:rPr>
        <w:t>organise</w:t>
      </w:r>
      <w:proofErr w:type="spellEnd"/>
      <w:r w:rsidRPr="00970EDE">
        <w:rPr>
          <w:rFonts w:ascii="Times New Roman" w:hAnsi="Times New Roman" w:cs="Times New Roman"/>
          <w:sz w:val="24"/>
          <w:szCs w:val="24"/>
        </w:rPr>
        <w:t xml:space="preserve"> public-health action against T2DM. Primary prevention aims to prevent disease from occurring by reducing the exposure of the population to obesogenic environments, for example, the Soft Drinks Industry Levy, reformulation, active-travel schemes and the NHS Diabetes Prevention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xml:space="preserve"> for people with non-diabetic </w:t>
      </w:r>
      <w:proofErr w:type="spellStart"/>
      <w:r w:rsidRPr="00970EDE">
        <w:rPr>
          <w:rFonts w:ascii="Times New Roman" w:hAnsi="Times New Roman" w:cs="Times New Roman"/>
          <w:sz w:val="24"/>
          <w:szCs w:val="24"/>
        </w:rPr>
        <w:t>hyperglycaemia</w:t>
      </w:r>
      <w:proofErr w:type="spellEnd"/>
      <w:r w:rsidRPr="00970EDE">
        <w:rPr>
          <w:rFonts w:ascii="Times New Roman" w:hAnsi="Times New Roman" w:cs="Times New Roman"/>
          <w:sz w:val="24"/>
          <w:szCs w:val="24"/>
        </w:rPr>
        <w:t xml:space="preserve"> (NICE, 2017; NHS England, 2024). Secondary prevention aims to detect and control early through the NHS Health Check and structured education to prevent progression (Robson et al., 2016). Tertiary prevention seeks to reduce complications in existing disease through the recommended annual care processes, screening for retinal disease and screening for foot disease and specialist services integrated to prevent amputation, blindness and renal failure (National Institute for Health and Care Excellence, 2015). Culturally appropriate delivery – necessary at every level to ensure equitable uptake – in a deprived, diverse borough like Newham.</w:t>
      </w:r>
    </w:p>
    <w:p w14:paraId="38D8DE3A" w14:textId="77777777" w:rsidR="00970EDE" w:rsidRPr="00970EDE" w:rsidRDefault="00970EDE" w:rsidP="00A60C17">
      <w:pPr>
        <w:pStyle w:val="Heading2"/>
      </w:pPr>
      <w:bookmarkStart w:id="14" w:name="_Toc237996104"/>
      <w:r w:rsidRPr="00970EDE">
        <w:t>Public health impact and consequences</w:t>
      </w:r>
      <w:bookmarkEnd w:id="14"/>
    </w:p>
    <w:p w14:paraId="72D23B66"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The effects of T2DM on Newham's population are significant </w:t>
      </w:r>
      <w:proofErr w:type="gramStart"/>
      <w:r w:rsidRPr="00970EDE">
        <w:rPr>
          <w:rFonts w:ascii="Times New Roman" w:hAnsi="Times New Roman" w:cs="Times New Roman"/>
          <w:sz w:val="24"/>
          <w:szCs w:val="24"/>
        </w:rPr>
        <w:t>at</w:t>
      </w:r>
      <w:proofErr w:type="gramEnd"/>
      <w:r w:rsidRPr="00970EDE">
        <w:rPr>
          <w:rFonts w:ascii="Times New Roman" w:hAnsi="Times New Roman" w:cs="Times New Roman"/>
          <w:sz w:val="24"/>
          <w:szCs w:val="24"/>
        </w:rPr>
        <w:t xml:space="preserve"> both short and long-term. Undiagnosed and poorly controlled disease in the short term, results in acute presentations, avoidable admissions and loss of productivity. Long-term, it contributes to cardiovascular disease, kidney failure that requires dialysis, loss of sight and lower limb amputation, as well as early deaths – almost half of all diabetes-related deaths worldwide occur before the age of 70 (World Health Organization, 2024). The inequalities are concentrated in minority ethnic and deprived groups, and the disease actively exacerbates inequalities, passing them down through generations via gestational diabetes and childhood obesity (</w:t>
      </w:r>
      <w:proofErr w:type="spellStart"/>
      <w:r w:rsidRPr="00970EDE">
        <w:rPr>
          <w:rFonts w:ascii="Times New Roman" w:hAnsi="Times New Roman" w:cs="Times New Roman"/>
          <w:sz w:val="24"/>
          <w:szCs w:val="24"/>
        </w:rPr>
        <w:t>Balasanthiran</w:t>
      </w:r>
      <w:proofErr w:type="spellEnd"/>
      <w:r w:rsidRPr="00970EDE">
        <w:rPr>
          <w:rFonts w:ascii="Times New Roman" w:hAnsi="Times New Roman" w:cs="Times New Roman"/>
          <w:sz w:val="24"/>
          <w:szCs w:val="24"/>
        </w:rPr>
        <w:t xml:space="preserve"> et al., 2012). Thanks to this, the integrated care board can predict the future demand for dialysis, ophthalmology and podiatry services and focus on prevention.</w:t>
      </w:r>
    </w:p>
    <w:p w14:paraId="063D9A37" w14:textId="77777777" w:rsidR="00970EDE" w:rsidRPr="00970EDE" w:rsidRDefault="00970EDE" w:rsidP="00A60C17">
      <w:pPr>
        <w:pStyle w:val="Heading2"/>
      </w:pPr>
      <w:bookmarkStart w:id="15" w:name="_Toc237996105"/>
      <w:r w:rsidRPr="00970EDE">
        <w:t>Design and evaluate an intervention</w:t>
      </w:r>
      <w:bookmarkEnd w:id="15"/>
    </w:p>
    <w:p w14:paraId="0451E1A9"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A culturally tailored, community-based extension of the NHS Diabetes Prevention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xml:space="preserve"> (NHS-DPP) delivered in collaboration with local </w:t>
      </w:r>
      <w:proofErr w:type="spellStart"/>
      <w:r w:rsidRPr="00970EDE">
        <w:rPr>
          <w:rFonts w:ascii="Times New Roman" w:hAnsi="Times New Roman" w:cs="Times New Roman"/>
          <w:sz w:val="24"/>
          <w:szCs w:val="24"/>
        </w:rPr>
        <w:t>organisations</w:t>
      </w:r>
      <w:proofErr w:type="spellEnd"/>
      <w:r w:rsidRPr="00970EDE">
        <w:rPr>
          <w:rFonts w:ascii="Times New Roman" w:hAnsi="Times New Roman" w:cs="Times New Roman"/>
          <w:sz w:val="24"/>
          <w:szCs w:val="24"/>
        </w:rPr>
        <w:t xml:space="preserve"> such as faith communities and in the appropriate language, with systems of NHS Health Check case finding. A combination </w:t>
      </w:r>
      <w:r w:rsidRPr="00970EDE">
        <w:rPr>
          <w:rFonts w:ascii="Times New Roman" w:hAnsi="Times New Roman" w:cs="Times New Roman"/>
          <w:sz w:val="24"/>
          <w:szCs w:val="24"/>
        </w:rPr>
        <w:lastRenderedPageBreak/>
        <w:t>of process measures (referrals, uptake and completion) and intermediate outcomes (weight, HbA1c) and the primary outcome of progression to T2DM should be evaluated. The national evidence base is encouraging but pragmatic – the risk of developing T2DM reduced by 20% following referral to the NHS-DPP (</w:t>
      </w:r>
      <w:proofErr w:type="spellStart"/>
      <w:r w:rsidRPr="00970EDE">
        <w:rPr>
          <w:rFonts w:ascii="Times New Roman" w:hAnsi="Times New Roman" w:cs="Times New Roman"/>
          <w:sz w:val="24"/>
          <w:szCs w:val="24"/>
        </w:rPr>
        <w:t>aHR</w:t>
      </w:r>
      <w:proofErr w:type="spellEnd"/>
      <w:r w:rsidRPr="00970EDE">
        <w:rPr>
          <w:rFonts w:ascii="Times New Roman" w:hAnsi="Times New Roman" w:cs="Times New Roman"/>
          <w:sz w:val="24"/>
          <w:szCs w:val="24"/>
        </w:rPr>
        <w:t xml:space="preserve"> 0.80) compared to efficacy trials, where the risk was reduced by 40–58% due to real-world referral, uptake and completion reducing the effect (</w:t>
      </w:r>
      <w:proofErr w:type="spellStart"/>
      <w:r w:rsidRPr="00970EDE">
        <w:rPr>
          <w:rFonts w:ascii="Times New Roman" w:hAnsi="Times New Roman" w:cs="Times New Roman"/>
          <w:sz w:val="24"/>
          <w:szCs w:val="24"/>
        </w:rPr>
        <w:t>Ravindrarajah</w:t>
      </w:r>
      <w:proofErr w:type="spellEnd"/>
      <w:r w:rsidRPr="00970EDE">
        <w:rPr>
          <w:rFonts w:ascii="Times New Roman" w:hAnsi="Times New Roman" w:cs="Times New Roman"/>
          <w:sz w:val="24"/>
          <w:szCs w:val="24"/>
        </w:rPr>
        <w:t xml:space="preserve"> et al., 2023; Barron et al., 2018). Cost-effective local evaluation of the impact of the initiative would be possible using a pragmatic before and after design with a matched comparison borough, based on the use of routine QOF and audit data.</w:t>
      </w:r>
    </w:p>
    <w:p w14:paraId="544AD447" w14:textId="77777777" w:rsidR="00970EDE" w:rsidRPr="00970EDE" w:rsidRDefault="00970EDE" w:rsidP="00A60C17">
      <w:pPr>
        <w:pStyle w:val="Heading2"/>
      </w:pPr>
      <w:bookmarkStart w:id="16" w:name="_Toc237996106"/>
      <w:r w:rsidRPr="00970EDE">
        <w:t>Strengths and weaknesses of the epidemiological approach</w:t>
      </w:r>
      <w:bookmarkEnd w:id="16"/>
    </w:p>
    <w:p w14:paraId="55BE975C" w14:textId="77777777" w:rsidR="00970EDE"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There are clear strengths in the approach set out here which combines the use of large, routinely collected datasets (QOF, the National Diabetes Audit and Fingertips) which provide near complete, timely and comparable coverage, and the integration of surveillance, HNA and intervention evaluation into a coherent cycle. It also has significant restrictions. Routine data capture only identifies cases therefore resulting in a high proportion of undiagnosed and pre-diagnosed data, and variable coding measurement error. Association should not be interpreted as causation, as the NHS-DPP analysis is susceptible to selection bias and confounding, with those who are referred likely to be different systemically to those who are not (</w:t>
      </w:r>
      <w:proofErr w:type="spellStart"/>
      <w:r w:rsidRPr="00970EDE">
        <w:rPr>
          <w:rFonts w:ascii="Times New Roman" w:hAnsi="Times New Roman" w:cs="Times New Roman"/>
          <w:sz w:val="24"/>
          <w:szCs w:val="24"/>
        </w:rPr>
        <w:t>Ravindrarajah</w:t>
      </w:r>
      <w:proofErr w:type="spellEnd"/>
      <w:r w:rsidRPr="00970EDE">
        <w:rPr>
          <w:rFonts w:ascii="Times New Roman" w:hAnsi="Times New Roman" w:cs="Times New Roman"/>
          <w:sz w:val="24"/>
          <w:szCs w:val="24"/>
        </w:rPr>
        <w:t xml:space="preserve"> et al., 2023). Ecological, area-level data risk the ecological fallacy when applied to individuals, and self-reported </w:t>
      </w:r>
      <w:proofErr w:type="spellStart"/>
      <w:r w:rsidRPr="00970EDE">
        <w:rPr>
          <w:rFonts w:ascii="Times New Roman" w:hAnsi="Times New Roman" w:cs="Times New Roman"/>
          <w:sz w:val="24"/>
          <w:szCs w:val="24"/>
        </w:rPr>
        <w:t>behavioural</w:t>
      </w:r>
      <w:proofErr w:type="spellEnd"/>
      <w:r w:rsidRPr="00970EDE">
        <w:rPr>
          <w:rFonts w:ascii="Times New Roman" w:hAnsi="Times New Roman" w:cs="Times New Roman"/>
          <w:sz w:val="24"/>
          <w:szCs w:val="24"/>
        </w:rPr>
        <w:t xml:space="preserve"> risk factors are prone to bias. Recognizing these limitations is important to proper judgment when lacking full information.</w:t>
      </w:r>
    </w:p>
    <w:p w14:paraId="0BC19006" w14:textId="77777777" w:rsidR="00970EDE" w:rsidRPr="00970EDE" w:rsidRDefault="00970EDE" w:rsidP="00A60C17">
      <w:pPr>
        <w:pStyle w:val="Heading2"/>
      </w:pPr>
      <w:bookmarkStart w:id="17" w:name="_Toc237996107"/>
      <w:r w:rsidRPr="00970EDE">
        <w:t>Conclusion and recommendations</w:t>
      </w:r>
      <w:bookmarkEnd w:id="17"/>
    </w:p>
    <w:p w14:paraId="0368FFE5" w14:textId="1BBEE35D" w:rsidR="00912F26" w:rsidRPr="00970EDE" w:rsidRDefault="00970EDE" w:rsidP="00970EDE">
      <w:pPr>
        <w:spacing w:line="360" w:lineRule="auto"/>
        <w:jc w:val="both"/>
        <w:rPr>
          <w:rFonts w:ascii="Times New Roman" w:hAnsi="Times New Roman" w:cs="Times New Roman"/>
          <w:sz w:val="24"/>
          <w:szCs w:val="24"/>
        </w:rPr>
      </w:pPr>
      <w:r w:rsidRPr="00970EDE">
        <w:rPr>
          <w:rFonts w:ascii="Times New Roman" w:hAnsi="Times New Roman" w:cs="Times New Roman"/>
          <w:sz w:val="24"/>
          <w:szCs w:val="24"/>
        </w:rPr>
        <w:t xml:space="preserve">Type 2 diabetes is a significant and growing public health challenge </w:t>
      </w:r>
      <w:proofErr w:type="spellStart"/>
      <w:r w:rsidRPr="00970EDE">
        <w:rPr>
          <w:rFonts w:ascii="Times New Roman" w:hAnsi="Times New Roman" w:cs="Times New Roman"/>
          <w:sz w:val="24"/>
          <w:szCs w:val="24"/>
        </w:rPr>
        <w:t>characterised</w:t>
      </w:r>
      <w:proofErr w:type="spellEnd"/>
      <w:r w:rsidRPr="00970EDE">
        <w:rPr>
          <w:rFonts w:ascii="Times New Roman" w:hAnsi="Times New Roman" w:cs="Times New Roman"/>
          <w:sz w:val="24"/>
          <w:szCs w:val="24"/>
        </w:rPr>
        <w:t xml:space="preserve"> by inequities and a disproportionate prevalence in disadvantaged and under-represented communities like Newham. A strong monitoring and surveillance system, a comprehensive health needs assessment and prevention on all three levels is the guide to action, while the NHS-DPP gives a small but tangible preventive effect when implemented on a large scale. The integrated care board is encouraged to invest in culturally designed primary prevention, improve NHS Health Check case-finding to improve the likelihood of detecting undiagnosed disease and commission a matched before and after evaluation of the intervention based on routine data. There is a need for childhood and maternal prevention in future work to break the intergenerational transmission of risk.</w:t>
      </w:r>
      <w:r w:rsidRPr="00970EDE">
        <w:rPr>
          <w:rFonts w:ascii="Times New Roman" w:hAnsi="Times New Roman" w:cs="Times New Roman"/>
          <w:sz w:val="24"/>
          <w:szCs w:val="24"/>
        </w:rPr>
        <w:br w:type="page"/>
      </w:r>
    </w:p>
    <w:p w14:paraId="6F82B04A" w14:textId="77777777" w:rsidR="00912F26" w:rsidRPr="00970EDE" w:rsidRDefault="00000000" w:rsidP="00A60C17">
      <w:pPr>
        <w:pStyle w:val="Heading1"/>
      </w:pPr>
      <w:bookmarkStart w:id="18" w:name="_Toc237996108"/>
      <w:r w:rsidRPr="00970EDE">
        <w:lastRenderedPageBreak/>
        <w:t>Reference List</w:t>
      </w:r>
      <w:bookmarkEnd w:id="18"/>
    </w:p>
    <w:p w14:paraId="03B1EB97"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Age UK (2024a) Poverty and financial disadvantage in later life. London: Age UK. Available at: https://www.ageuk.org.uk/siteassets/documents/reports-and-publications/reports-and-briefings/money-matters/poverty-and-financial-disadvantage-in-later-life-briefing-2024.pdf (Accessed: 17 August 2026).</w:t>
      </w:r>
    </w:p>
    <w:p w14:paraId="5BA7B820" w14:textId="6B31AC14"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Age UK (2024b) ‘Age UK’s new report shows you are not alone in feeling lonely’. London: Age UK. Available at: https://www.ageuk.org.uk/latest-press/articles/age-uks-new-report-shows-you-are-not-alone-in-feeling-lonely/ (Accessed: 1</w:t>
      </w:r>
      <w:r w:rsidR="00970EDE" w:rsidRPr="00970EDE">
        <w:rPr>
          <w:rFonts w:ascii="Times New Roman" w:hAnsi="Times New Roman" w:cs="Times New Roman"/>
          <w:sz w:val="24"/>
          <w:szCs w:val="24"/>
        </w:rPr>
        <w:t xml:space="preserve">2 </w:t>
      </w:r>
      <w:r w:rsidRPr="00970EDE">
        <w:rPr>
          <w:rFonts w:ascii="Times New Roman" w:hAnsi="Times New Roman" w:cs="Times New Roman"/>
          <w:sz w:val="24"/>
          <w:szCs w:val="24"/>
        </w:rPr>
        <w:t>August 2026).</w:t>
      </w:r>
    </w:p>
    <w:p w14:paraId="4C4F8D46" w14:textId="797F7F71"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Age UK (2024c) The State of Health and Care of Older People in England 2024. London: Age UK. Available at: https://www.ageuk.org.uk/siteassets/documents/reports-and-publications/reports-and-briefings/health--wellbeing/state-of-health-and-care/state_of_health_and_social_care_24.pdf (Accessed: 1</w:t>
      </w:r>
      <w:r w:rsidR="00970EDE" w:rsidRPr="00970EDE">
        <w:rPr>
          <w:rFonts w:ascii="Times New Roman" w:hAnsi="Times New Roman" w:cs="Times New Roman"/>
          <w:sz w:val="24"/>
          <w:szCs w:val="24"/>
        </w:rPr>
        <w:t>2</w:t>
      </w:r>
      <w:r w:rsidRPr="00970EDE">
        <w:rPr>
          <w:rFonts w:ascii="Times New Roman" w:hAnsi="Times New Roman" w:cs="Times New Roman"/>
          <w:sz w:val="24"/>
          <w:szCs w:val="24"/>
        </w:rPr>
        <w:t xml:space="preserve"> August 2026).</w:t>
      </w:r>
    </w:p>
    <w:p w14:paraId="22EB949E" w14:textId="2BDE29EA"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Alzheimer’s Society (2024) How many people have dementia in the UK? London: Alzheimer’s Society. Available at: https://www.alzheimers.org.uk/blog/how-many-people-have-dementia-uk (Accessed: 1</w:t>
      </w:r>
      <w:r w:rsidR="00970EDE" w:rsidRPr="00970EDE">
        <w:rPr>
          <w:rFonts w:ascii="Times New Roman" w:hAnsi="Times New Roman" w:cs="Times New Roman"/>
          <w:sz w:val="24"/>
          <w:szCs w:val="24"/>
        </w:rPr>
        <w:t>3</w:t>
      </w:r>
      <w:r w:rsidRPr="00970EDE">
        <w:rPr>
          <w:rFonts w:ascii="Times New Roman" w:hAnsi="Times New Roman" w:cs="Times New Roman"/>
          <w:sz w:val="24"/>
          <w:szCs w:val="24"/>
        </w:rPr>
        <w:t xml:space="preserve"> August 2026).</w:t>
      </w:r>
    </w:p>
    <w:p w14:paraId="42B1313D" w14:textId="77777777" w:rsidR="00912F26" w:rsidRPr="00970EDE" w:rsidRDefault="00000000" w:rsidP="00A60C17">
      <w:pPr>
        <w:spacing w:line="360" w:lineRule="auto"/>
        <w:ind w:left="720" w:hanging="720"/>
        <w:rPr>
          <w:rFonts w:ascii="Times New Roman" w:hAnsi="Times New Roman" w:cs="Times New Roman"/>
          <w:sz w:val="24"/>
          <w:szCs w:val="24"/>
        </w:rPr>
      </w:pPr>
      <w:proofErr w:type="spellStart"/>
      <w:r w:rsidRPr="00970EDE">
        <w:rPr>
          <w:rFonts w:ascii="Times New Roman" w:hAnsi="Times New Roman" w:cs="Times New Roman"/>
          <w:sz w:val="24"/>
          <w:szCs w:val="24"/>
        </w:rPr>
        <w:t>Balasanthiran</w:t>
      </w:r>
      <w:proofErr w:type="spellEnd"/>
      <w:r w:rsidRPr="00970EDE">
        <w:rPr>
          <w:rFonts w:ascii="Times New Roman" w:hAnsi="Times New Roman" w:cs="Times New Roman"/>
          <w:sz w:val="24"/>
          <w:szCs w:val="24"/>
        </w:rPr>
        <w:t xml:space="preserve">, A., O’Shea, T., </w:t>
      </w:r>
      <w:proofErr w:type="spellStart"/>
      <w:r w:rsidRPr="00970EDE">
        <w:rPr>
          <w:rFonts w:ascii="Times New Roman" w:hAnsi="Times New Roman" w:cs="Times New Roman"/>
          <w:sz w:val="24"/>
          <w:szCs w:val="24"/>
        </w:rPr>
        <w:t>Moodambail</w:t>
      </w:r>
      <w:proofErr w:type="spellEnd"/>
      <w:r w:rsidRPr="00970EDE">
        <w:rPr>
          <w:rFonts w:ascii="Times New Roman" w:hAnsi="Times New Roman" w:cs="Times New Roman"/>
          <w:sz w:val="24"/>
          <w:szCs w:val="24"/>
        </w:rPr>
        <w:t>, A., Woodcock, T., Poots, A.J., Stacey, M. and Vijayaraghavan, S. (2012) ‘Type 2 diabetes in children and young adults in East London: an alarmingly high prevalence’, Practical Diabetes, 29(5), pp. 193–195.</w:t>
      </w:r>
    </w:p>
    <w:p w14:paraId="22BAC1B6"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 xml:space="preserve">Barron, E., Clark, R., </w:t>
      </w:r>
      <w:proofErr w:type="spellStart"/>
      <w:r w:rsidRPr="00970EDE">
        <w:rPr>
          <w:rFonts w:ascii="Times New Roman" w:hAnsi="Times New Roman" w:cs="Times New Roman"/>
          <w:sz w:val="24"/>
          <w:szCs w:val="24"/>
        </w:rPr>
        <w:t>Hewings</w:t>
      </w:r>
      <w:proofErr w:type="spellEnd"/>
      <w:r w:rsidRPr="00970EDE">
        <w:rPr>
          <w:rFonts w:ascii="Times New Roman" w:hAnsi="Times New Roman" w:cs="Times New Roman"/>
          <w:sz w:val="24"/>
          <w:szCs w:val="24"/>
        </w:rPr>
        <w:t xml:space="preserve">, R., Smith, J. and Valabhji, J. (2018) ‘Progress of the Healthier You: NHS Diabetes Prevention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referrals, uptake and participant characteristics’, Diabetic Medicine, 35(4), pp. 513–518.</w:t>
      </w:r>
    </w:p>
    <w:p w14:paraId="71A620B5" w14:textId="248EAECF"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Campaign to End Loneliness (2023) The State of Loneliness 2023: ONS data on loneliness in Britain. London: Campaign to End Loneliness. Available at: https://www.campaigntoendloneliness.org (Accessed: 1</w:t>
      </w:r>
      <w:r w:rsidR="00970EDE" w:rsidRPr="00970EDE">
        <w:rPr>
          <w:rFonts w:ascii="Times New Roman" w:hAnsi="Times New Roman" w:cs="Times New Roman"/>
          <w:sz w:val="24"/>
          <w:szCs w:val="24"/>
        </w:rPr>
        <w:t>5</w:t>
      </w:r>
      <w:r w:rsidRPr="00970EDE">
        <w:rPr>
          <w:rFonts w:ascii="Times New Roman" w:hAnsi="Times New Roman" w:cs="Times New Roman"/>
          <w:sz w:val="24"/>
          <w:szCs w:val="24"/>
        </w:rPr>
        <w:t xml:space="preserve"> August 2026).</w:t>
      </w:r>
    </w:p>
    <w:p w14:paraId="0D41A56F" w14:textId="704F05BC"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Centre for Ageing Better (2024) The State of Ageing 2023–24. London: Centre for Ageing Better. Available at: https://ageing-better.org.uk/health-and-wellbeing-state-ageing-2023-4 (Accessed: 1</w:t>
      </w:r>
      <w:r w:rsidR="00970EDE" w:rsidRPr="00970EDE">
        <w:rPr>
          <w:rFonts w:ascii="Times New Roman" w:hAnsi="Times New Roman" w:cs="Times New Roman"/>
          <w:sz w:val="24"/>
          <w:szCs w:val="24"/>
        </w:rPr>
        <w:t xml:space="preserve">3 </w:t>
      </w:r>
      <w:r w:rsidRPr="00970EDE">
        <w:rPr>
          <w:rFonts w:ascii="Times New Roman" w:hAnsi="Times New Roman" w:cs="Times New Roman"/>
          <w:sz w:val="24"/>
          <w:szCs w:val="24"/>
        </w:rPr>
        <w:t>August 2026).</w:t>
      </w:r>
    </w:p>
    <w:p w14:paraId="2A745989"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Diabetes UK (2023) Number of people living with diabetes in the UK tops 5 million for the first time. London: Diabetes UK. Available at: https://www.diabetes.org.uk/about-us/news-and-views/number-people-living-diabetes-uk-tops-5-million-first-time (Accessed: 17 August 2026).</w:t>
      </w:r>
    </w:p>
    <w:p w14:paraId="4C9B97D0" w14:textId="50A47F5C"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Diabetes UK (2024) How many people in the UK have diabetes? London: Diabetes UK. Available at: https://www.diabetes.org.uk/about-us/about-the-charity/our-strategy/statistics (Accessed: 1</w:t>
      </w:r>
      <w:r w:rsidR="00970EDE" w:rsidRPr="00970EDE">
        <w:rPr>
          <w:rFonts w:ascii="Times New Roman" w:hAnsi="Times New Roman" w:cs="Times New Roman"/>
          <w:sz w:val="24"/>
          <w:szCs w:val="24"/>
        </w:rPr>
        <w:t>6</w:t>
      </w:r>
      <w:r w:rsidRPr="00970EDE">
        <w:rPr>
          <w:rFonts w:ascii="Times New Roman" w:hAnsi="Times New Roman" w:cs="Times New Roman"/>
          <w:sz w:val="24"/>
          <w:szCs w:val="24"/>
        </w:rPr>
        <w:t xml:space="preserve"> August 2026).</w:t>
      </w:r>
    </w:p>
    <w:p w14:paraId="081BE580" w14:textId="6BDDEA23"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lastRenderedPageBreak/>
        <w:t>End Fuel Poverty Coalition (2024) 4,950 excess winter deaths caused by cold homes last winter. Available at: https://www.endfuelpoverty.org.uk/ (Accessed: 1</w:t>
      </w:r>
      <w:r w:rsidR="00970EDE" w:rsidRPr="00970EDE">
        <w:rPr>
          <w:rFonts w:ascii="Times New Roman" w:hAnsi="Times New Roman" w:cs="Times New Roman"/>
          <w:sz w:val="24"/>
          <w:szCs w:val="24"/>
        </w:rPr>
        <w:t>5</w:t>
      </w:r>
      <w:r w:rsidRPr="00970EDE">
        <w:rPr>
          <w:rFonts w:ascii="Times New Roman" w:hAnsi="Times New Roman" w:cs="Times New Roman"/>
          <w:sz w:val="24"/>
          <w:szCs w:val="24"/>
        </w:rPr>
        <w:t xml:space="preserve"> August 2026).</w:t>
      </w:r>
    </w:p>
    <w:p w14:paraId="3140184C" w14:textId="394E7220"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Foresight (2007) Tackling Obesities: Future Choices – Project Report. Butland, B., Jebb, S., Kopelman, P. et al. London: Government Office for Science. Available at: https://www.gov.uk/government/collections/tackling-obesities-future-choices (Accessed: 1</w:t>
      </w:r>
      <w:r w:rsidR="00970EDE" w:rsidRPr="00970EDE">
        <w:rPr>
          <w:rFonts w:ascii="Times New Roman" w:hAnsi="Times New Roman" w:cs="Times New Roman"/>
          <w:sz w:val="24"/>
          <w:szCs w:val="24"/>
        </w:rPr>
        <w:t xml:space="preserve">4 </w:t>
      </w:r>
      <w:r w:rsidRPr="00970EDE">
        <w:rPr>
          <w:rFonts w:ascii="Times New Roman" w:hAnsi="Times New Roman" w:cs="Times New Roman"/>
          <w:sz w:val="24"/>
          <w:szCs w:val="24"/>
        </w:rPr>
        <w:t>August 2026).</w:t>
      </w:r>
    </w:p>
    <w:p w14:paraId="02F0E950"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Holt-</w:t>
      </w:r>
      <w:proofErr w:type="spellStart"/>
      <w:r w:rsidRPr="00970EDE">
        <w:rPr>
          <w:rFonts w:ascii="Times New Roman" w:hAnsi="Times New Roman" w:cs="Times New Roman"/>
          <w:sz w:val="24"/>
          <w:szCs w:val="24"/>
        </w:rPr>
        <w:t>Lunstad</w:t>
      </w:r>
      <w:proofErr w:type="spellEnd"/>
      <w:r w:rsidRPr="00970EDE">
        <w:rPr>
          <w:rFonts w:ascii="Times New Roman" w:hAnsi="Times New Roman" w:cs="Times New Roman"/>
          <w:sz w:val="24"/>
          <w:szCs w:val="24"/>
        </w:rPr>
        <w:t>, J., Smith, T.B., Baker, M., Harris, T. and Stephenson, D. (2015) ‘Loneliness and social isolation as risk factors for mortality: a meta-analytic review’, Perspectives on Psychological Science, 10(2), pp. 227–237.</w:t>
      </w:r>
    </w:p>
    <w:p w14:paraId="6F336366"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 xml:space="preserve">International Diabetes Federation (2025) IDF Diabetes Atlas, 11th </w:t>
      </w:r>
      <w:proofErr w:type="spellStart"/>
      <w:r w:rsidRPr="00970EDE">
        <w:rPr>
          <w:rFonts w:ascii="Times New Roman" w:hAnsi="Times New Roman" w:cs="Times New Roman"/>
          <w:sz w:val="24"/>
          <w:szCs w:val="24"/>
        </w:rPr>
        <w:t>edn</w:t>
      </w:r>
      <w:proofErr w:type="spellEnd"/>
      <w:r w:rsidRPr="00970EDE">
        <w:rPr>
          <w:rFonts w:ascii="Times New Roman" w:hAnsi="Times New Roman" w:cs="Times New Roman"/>
          <w:sz w:val="24"/>
          <w:szCs w:val="24"/>
        </w:rPr>
        <w:t>. Brussels: International Diabetes Federation. Available at: https://diabetesatlas.org (Accessed: 17 August 2026).</w:t>
      </w:r>
    </w:p>
    <w:p w14:paraId="217928E2" w14:textId="068D70FC"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Joseph Rowntree Foundation (2024) UK Poverty 2024: The essential guide to understanding poverty in the UK. York: Joseph Rowntree Foundation. Available at: https://www.jrf.org.uk (Accessed: 1</w:t>
      </w:r>
      <w:r w:rsidR="00970EDE" w:rsidRPr="00970EDE">
        <w:rPr>
          <w:rFonts w:ascii="Times New Roman" w:hAnsi="Times New Roman" w:cs="Times New Roman"/>
          <w:sz w:val="24"/>
          <w:szCs w:val="24"/>
        </w:rPr>
        <w:t>5</w:t>
      </w:r>
      <w:r w:rsidRPr="00970EDE">
        <w:rPr>
          <w:rFonts w:ascii="Times New Roman" w:hAnsi="Times New Roman" w:cs="Times New Roman"/>
          <w:sz w:val="24"/>
          <w:szCs w:val="24"/>
        </w:rPr>
        <w:t xml:space="preserve"> August 2026).</w:t>
      </w:r>
    </w:p>
    <w:p w14:paraId="40223500"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Local Government Association (2021) Health inequalities: deprivation and poverty and COVID-19. London: Local Government Association. Available at: https://www.local.gov.uk/health-inequalities-deprivation-and-poverty-and-covid-19 (Accessed: 17 August 2026).</w:t>
      </w:r>
    </w:p>
    <w:p w14:paraId="7B58251A" w14:textId="22F3929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 xml:space="preserve">London Borough of Newham (2023) North PCN Profile 2023. London: London Borough of Newham. Available at: https://www.newham.gov.uk/downloads/file/6188/north-pcn-profile-2023 (Accessed: </w:t>
      </w:r>
      <w:r w:rsidR="00970EDE" w:rsidRPr="00970EDE">
        <w:rPr>
          <w:rFonts w:ascii="Times New Roman" w:hAnsi="Times New Roman" w:cs="Times New Roman"/>
          <w:sz w:val="24"/>
          <w:szCs w:val="24"/>
        </w:rPr>
        <w:t>12</w:t>
      </w:r>
      <w:r w:rsidRPr="00970EDE">
        <w:rPr>
          <w:rFonts w:ascii="Times New Roman" w:hAnsi="Times New Roman" w:cs="Times New Roman"/>
          <w:sz w:val="24"/>
          <w:szCs w:val="24"/>
        </w:rPr>
        <w:t xml:space="preserve"> August 2026).</w:t>
      </w:r>
    </w:p>
    <w:p w14:paraId="7F944A0E"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Marmot, M., Allen, J., Boyce, T., Goldblatt, P. and Morrison, J. (2020) Health Equity in England: The Marmot Review 10 Years On. London: Institute of Health Equity. Available at: https://www.instituteofhealthequity.org/resources-reports/marmot-review-10-years-on (Accessed: 17 August 2026).</w:t>
      </w:r>
    </w:p>
    <w:p w14:paraId="76EA05C6"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Mental Health Foundation (2021) Older people: statistics. London: Mental Health Foundation. Available at: https://www.mentalhealth.org.uk/explore-mental-health/statistics/older-people-statistics (Accessed: 17 August 2026).</w:t>
      </w:r>
    </w:p>
    <w:p w14:paraId="0AEC8587" w14:textId="69FE1710"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National Institute for Health and Care Excellence (NICE) (2015) Type 2 diabetes in adults: management (NG28). London: NICE. Available at: https://www.nice.org.uk/guidance/ng28 (Accessed: 1</w:t>
      </w:r>
      <w:r w:rsidR="00970EDE" w:rsidRPr="00970EDE">
        <w:rPr>
          <w:rFonts w:ascii="Times New Roman" w:hAnsi="Times New Roman" w:cs="Times New Roman"/>
          <w:sz w:val="24"/>
          <w:szCs w:val="24"/>
        </w:rPr>
        <w:t>6</w:t>
      </w:r>
      <w:r w:rsidRPr="00970EDE">
        <w:rPr>
          <w:rFonts w:ascii="Times New Roman" w:hAnsi="Times New Roman" w:cs="Times New Roman"/>
          <w:sz w:val="24"/>
          <w:szCs w:val="24"/>
        </w:rPr>
        <w:t xml:space="preserve"> August 2026).</w:t>
      </w:r>
    </w:p>
    <w:p w14:paraId="2ECB449D" w14:textId="2E64A93C"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lastRenderedPageBreak/>
        <w:t>National Institute for Health and Care Excellence (NICE) (2017) Type 2 diabetes: prevention in people at high risk (PH38). London: NICE. Available at: https://www.nice.org.uk/guidance/ph38 (Accessed: 1</w:t>
      </w:r>
      <w:r w:rsidR="00970EDE" w:rsidRPr="00970EDE">
        <w:rPr>
          <w:rFonts w:ascii="Times New Roman" w:hAnsi="Times New Roman" w:cs="Times New Roman"/>
          <w:sz w:val="24"/>
          <w:szCs w:val="24"/>
        </w:rPr>
        <w:t>5</w:t>
      </w:r>
      <w:r w:rsidRPr="00970EDE">
        <w:rPr>
          <w:rFonts w:ascii="Times New Roman" w:hAnsi="Times New Roman" w:cs="Times New Roman"/>
          <w:sz w:val="24"/>
          <w:szCs w:val="24"/>
        </w:rPr>
        <w:t xml:space="preserve"> August 2026).</w:t>
      </w:r>
    </w:p>
    <w:p w14:paraId="47141A32" w14:textId="01DAECC6"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NHS England (2019) The NHS Long Term Plan. London: NHS England. Available at: https://www.longtermplan.nhs.uk (Accessed: 1</w:t>
      </w:r>
      <w:r w:rsidR="00970EDE" w:rsidRPr="00970EDE">
        <w:rPr>
          <w:rFonts w:ascii="Times New Roman" w:hAnsi="Times New Roman" w:cs="Times New Roman"/>
          <w:sz w:val="24"/>
          <w:szCs w:val="24"/>
        </w:rPr>
        <w:t>4</w:t>
      </w:r>
      <w:r w:rsidRPr="00970EDE">
        <w:rPr>
          <w:rFonts w:ascii="Times New Roman" w:hAnsi="Times New Roman" w:cs="Times New Roman"/>
          <w:sz w:val="24"/>
          <w:szCs w:val="24"/>
        </w:rPr>
        <w:t xml:space="preserve"> August 2026).</w:t>
      </w:r>
    </w:p>
    <w:p w14:paraId="693DBDDD" w14:textId="6D7DADA9"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NHS England (2023) National Diabetes Audit 2021–22, Core Report. Leeds: NHS England. Available at: https://digital.nhs.uk/data-and-information/publications/statistical/national-diabetes-audit/core-1-2021-22-overview (Accessed: 1</w:t>
      </w:r>
      <w:r w:rsidR="00970EDE" w:rsidRPr="00970EDE">
        <w:rPr>
          <w:rFonts w:ascii="Times New Roman" w:hAnsi="Times New Roman" w:cs="Times New Roman"/>
          <w:sz w:val="24"/>
          <w:szCs w:val="24"/>
        </w:rPr>
        <w:t>3</w:t>
      </w:r>
      <w:r w:rsidRPr="00970EDE">
        <w:rPr>
          <w:rFonts w:ascii="Times New Roman" w:hAnsi="Times New Roman" w:cs="Times New Roman"/>
          <w:sz w:val="24"/>
          <w:szCs w:val="24"/>
        </w:rPr>
        <w:t xml:space="preserve"> August 2026).</w:t>
      </w:r>
    </w:p>
    <w:p w14:paraId="00A9AEFD" w14:textId="069D5138"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NHS England (2024) NHS identifies over half a million more people at risk of type 2 diabetes in a year. London: NHS England. Available at: https://www.england.nhs.uk/2024/06/ (Accessed: 1</w:t>
      </w:r>
      <w:r w:rsidR="00970EDE" w:rsidRPr="00970EDE">
        <w:rPr>
          <w:rFonts w:ascii="Times New Roman" w:hAnsi="Times New Roman" w:cs="Times New Roman"/>
          <w:sz w:val="24"/>
          <w:szCs w:val="24"/>
        </w:rPr>
        <w:t xml:space="preserve">2 </w:t>
      </w:r>
      <w:r w:rsidRPr="00970EDE">
        <w:rPr>
          <w:rFonts w:ascii="Times New Roman" w:hAnsi="Times New Roman" w:cs="Times New Roman"/>
          <w:sz w:val="24"/>
          <w:szCs w:val="24"/>
        </w:rPr>
        <w:t>August 2026).</w:t>
      </w:r>
    </w:p>
    <w:p w14:paraId="08AAE260" w14:textId="5A6B889F"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Office for Health Improvement and Disparities (OHID) (2025) Diabetes profile: statistical commentary, March 2025. London: OHID. Available at: https://www.gov.uk/government/statistics/diabetes-profile-update-march-2025 (Accessed: 1</w:t>
      </w:r>
      <w:r w:rsidR="00970EDE" w:rsidRPr="00970EDE">
        <w:rPr>
          <w:rFonts w:ascii="Times New Roman" w:hAnsi="Times New Roman" w:cs="Times New Roman"/>
          <w:sz w:val="24"/>
          <w:szCs w:val="24"/>
        </w:rPr>
        <w:t>1</w:t>
      </w:r>
      <w:r w:rsidRPr="00970EDE">
        <w:rPr>
          <w:rFonts w:ascii="Times New Roman" w:hAnsi="Times New Roman" w:cs="Times New Roman"/>
          <w:sz w:val="24"/>
          <w:szCs w:val="24"/>
        </w:rPr>
        <w:t xml:space="preserve"> August 2026).</w:t>
      </w:r>
    </w:p>
    <w:p w14:paraId="1EBB34C6" w14:textId="263342FC"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Office for National Statistics (2023) Population and household estimates, England and Wales: Census 2021. Newport: ONS. Available at: https://www.ons.gov.uk/peoplepopulationandcommunity/populationandmigration/populationestimates/bulletins/populationandhouseholdestimatesenglandandwales/census2021 (Accessed: 1</w:t>
      </w:r>
      <w:r w:rsidR="00970EDE" w:rsidRPr="00970EDE">
        <w:rPr>
          <w:rFonts w:ascii="Times New Roman" w:hAnsi="Times New Roman" w:cs="Times New Roman"/>
          <w:sz w:val="24"/>
          <w:szCs w:val="24"/>
        </w:rPr>
        <w:t xml:space="preserve">0 </w:t>
      </w:r>
      <w:r w:rsidRPr="00970EDE">
        <w:rPr>
          <w:rFonts w:ascii="Times New Roman" w:hAnsi="Times New Roman" w:cs="Times New Roman"/>
          <w:sz w:val="24"/>
          <w:szCs w:val="24"/>
        </w:rPr>
        <w:t>August 2026).</w:t>
      </w:r>
    </w:p>
    <w:p w14:paraId="0EE4623E" w14:textId="77777777" w:rsidR="00912F26" w:rsidRPr="00970EDE" w:rsidRDefault="00000000" w:rsidP="00A60C17">
      <w:pPr>
        <w:spacing w:line="360" w:lineRule="auto"/>
        <w:ind w:left="720" w:hanging="720"/>
        <w:rPr>
          <w:rFonts w:ascii="Times New Roman" w:hAnsi="Times New Roman" w:cs="Times New Roman"/>
          <w:sz w:val="24"/>
          <w:szCs w:val="24"/>
        </w:rPr>
      </w:pPr>
      <w:proofErr w:type="spellStart"/>
      <w:r w:rsidRPr="00970EDE">
        <w:rPr>
          <w:rFonts w:ascii="Times New Roman" w:hAnsi="Times New Roman" w:cs="Times New Roman"/>
          <w:sz w:val="24"/>
          <w:szCs w:val="24"/>
        </w:rPr>
        <w:t>Ravindrarajah</w:t>
      </w:r>
      <w:proofErr w:type="spellEnd"/>
      <w:r w:rsidRPr="00970EDE">
        <w:rPr>
          <w:rFonts w:ascii="Times New Roman" w:hAnsi="Times New Roman" w:cs="Times New Roman"/>
          <w:sz w:val="24"/>
          <w:szCs w:val="24"/>
        </w:rPr>
        <w:t xml:space="preserve">, R., Sutton, M., Reeves, D., Cotterill, S., McManus, E., Meacock, R., Whittaker, W., </w:t>
      </w:r>
      <w:proofErr w:type="spellStart"/>
      <w:r w:rsidRPr="00970EDE">
        <w:rPr>
          <w:rFonts w:ascii="Times New Roman" w:hAnsi="Times New Roman" w:cs="Times New Roman"/>
          <w:sz w:val="24"/>
          <w:szCs w:val="24"/>
        </w:rPr>
        <w:t>Soiland</w:t>
      </w:r>
      <w:proofErr w:type="spellEnd"/>
      <w:r w:rsidRPr="00970EDE">
        <w:rPr>
          <w:rFonts w:ascii="Times New Roman" w:hAnsi="Times New Roman" w:cs="Times New Roman"/>
          <w:sz w:val="24"/>
          <w:szCs w:val="24"/>
        </w:rPr>
        <w:t xml:space="preserve">-Reyes, C., Heller, S., Bower, P. and </w:t>
      </w:r>
      <w:proofErr w:type="spellStart"/>
      <w:r w:rsidRPr="00970EDE">
        <w:rPr>
          <w:rFonts w:ascii="Times New Roman" w:hAnsi="Times New Roman" w:cs="Times New Roman"/>
          <w:sz w:val="24"/>
          <w:szCs w:val="24"/>
        </w:rPr>
        <w:t>Kontopantelis</w:t>
      </w:r>
      <w:proofErr w:type="spellEnd"/>
      <w:r w:rsidRPr="00970EDE">
        <w:rPr>
          <w:rFonts w:ascii="Times New Roman" w:hAnsi="Times New Roman" w:cs="Times New Roman"/>
          <w:sz w:val="24"/>
          <w:szCs w:val="24"/>
        </w:rPr>
        <w:t xml:space="preserve">, E. (2023) ‘Referral to the NHS Diabetes Prevention </w:t>
      </w:r>
      <w:proofErr w:type="spellStart"/>
      <w:r w:rsidRPr="00970EDE">
        <w:rPr>
          <w:rFonts w:ascii="Times New Roman" w:hAnsi="Times New Roman" w:cs="Times New Roman"/>
          <w:sz w:val="24"/>
          <w:szCs w:val="24"/>
        </w:rPr>
        <w:t>Programme</w:t>
      </w:r>
      <w:proofErr w:type="spellEnd"/>
      <w:r w:rsidRPr="00970EDE">
        <w:rPr>
          <w:rFonts w:ascii="Times New Roman" w:hAnsi="Times New Roman" w:cs="Times New Roman"/>
          <w:sz w:val="24"/>
          <w:szCs w:val="24"/>
        </w:rPr>
        <w:t xml:space="preserve"> and conversion from nondiabetic </w:t>
      </w:r>
      <w:proofErr w:type="spellStart"/>
      <w:r w:rsidRPr="00970EDE">
        <w:rPr>
          <w:rFonts w:ascii="Times New Roman" w:hAnsi="Times New Roman" w:cs="Times New Roman"/>
          <w:sz w:val="24"/>
          <w:szCs w:val="24"/>
        </w:rPr>
        <w:t>hyperglycaemia</w:t>
      </w:r>
      <w:proofErr w:type="spellEnd"/>
      <w:r w:rsidRPr="00970EDE">
        <w:rPr>
          <w:rFonts w:ascii="Times New Roman" w:hAnsi="Times New Roman" w:cs="Times New Roman"/>
          <w:sz w:val="24"/>
          <w:szCs w:val="24"/>
        </w:rPr>
        <w:t xml:space="preserve"> to type 2 diabetes mellitus in England: a matched cohort analysis’, PLOS Medicine, 20(2), e1004177.</w:t>
      </w:r>
    </w:p>
    <w:p w14:paraId="6A99993C"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 xml:space="preserve">Robson, J., Dostal, I., Sheikh, A., Eldridge, S., </w:t>
      </w:r>
      <w:proofErr w:type="spellStart"/>
      <w:r w:rsidRPr="00970EDE">
        <w:rPr>
          <w:rFonts w:ascii="Times New Roman" w:hAnsi="Times New Roman" w:cs="Times New Roman"/>
          <w:sz w:val="24"/>
          <w:szCs w:val="24"/>
        </w:rPr>
        <w:t>Madurasinghe</w:t>
      </w:r>
      <w:proofErr w:type="spellEnd"/>
      <w:r w:rsidRPr="00970EDE">
        <w:rPr>
          <w:rFonts w:ascii="Times New Roman" w:hAnsi="Times New Roman" w:cs="Times New Roman"/>
          <w:sz w:val="24"/>
          <w:szCs w:val="24"/>
        </w:rPr>
        <w:t>, V., Griffiths, C., Coupland, C. and Hippisley-Cox, J. (</w:t>
      </w:r>
      <w:proofErr w:type="gramStart"/>
      <w:r w:rsidRPr="00970EDE">
        <w:rPr>
          <w:rFonts w:ascii="Times New Roman" w:hAnsi="Times New Roman" w:cs="Times New Roman"/>
          <w:sz w:val="24"/>
          <w:szCs w:val="24"/>
        </w:rPr>
        <w:t>2016) ‘</w:t>
      </w:r>
      <w:proofErr w:type="gramEnd"/>
      <w:r w:rsidRPr="00970EDE">
        <w:rPr>
          <w:rFonts w:ascii="Times New Roman" w:hAnsi="Times New Roman" w:cs="Times New Roman"/>
          <w:sz w:val="24"/>
          <w:szCs w:val="24"/>
        </w:rPr>
        <w:t>The NHS Health Check in England: an evaluation of the first 4 years’, BMJ Open, 6(1), e008840.</w:t>
      </w:r>
    </w:p>
    <w:p w14:paraId="2198778A"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Whicher, C.A., O’Neill, S. and Holt, R.I.G. (2020) ‘Diabetes in the UK: 2019’, Diabetic Medicine, 37(2), pp. 242–247.</w:t>
      </w:r>
    </w:p>
    <w:p w14:paraId="712EB81B" w14:textId="77777777"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World Health Organization (2016) Global report on diabetes. Geneva: WHO. Available at: https://www.who.int/publications/i/item/9789241565257 (Accessed: 17 August 2026).</w:t>
      </w:r>
    </w:p>
    <w:p w14:paraId="2859CEE2" w14:textId="0F6754F3"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lastRenderedPageBreak/>
        <w:t>World Health Organization (2022) Ageing and health. Geneva: WHO. Available at: https://www.who.int/news-room/fact-sheets/detail/ageing-and-health (Accessed: 1</w:t>
      </w:r>
      <w:r w:rsidR="00970EDE" w:rsidRPr="00970EDE">
        <w:rPr>
          <w:rFonts w:ascii="Times New Roman" w:hAnsi="Times New Roman" w:cs="Times New Roman"/>
          <w:sz w:val="24"/>
          <w:szCs w:val="24"/>
        </w:rPr>
        <w:t>4</w:t>
      </w:r>
      <w:r w:rsidRPr="00970EDE">
        <w:rPr>
          <w:rFonts w:ascii="Times New Roman" w:hAnsi="Times New Roman" w:cs="Times New Roman"/>
          <w:sz w:val="24"/>
          <w:szCs w:val="24"/>
        </w:rPr>
        <w:t xml:space="preserve"> August 2026).</w:t>
      </w:r>
    </w:p>
    <w:p w14:paraId="18627D4F" w14:textId="5229A9A8" w:rsidR="00912F26" w:rsidRPr="00970EDE" w:rsidRDefault="00000000" w:rsidP="00A60C17">
      <w:pPr>
        <w:spacing w:line="360" w:lineRule="auto"/>
        <w:ind w:left="720" w:hanging="720"/>
        <w:rPr>
          <w:rFonts w:ascii="Times New Roman" w:hAnsi="Times New Roman" w:cs="Times New Roman"/>
          <w:sz w:val="24"/>
          <w:szCs w:val="24"/>
        </w:rPr>
      </w:pPr>
      <w:r w:rsidRPr="00970EDE">
        <w:rPr>
          <w:rFonts w:ascii="Times New Roman" w:hAnsi="Times New Roman" w:cs="Times New Roman"/>
          <w:sz w:val="24"/>
          <w:szCs w:val="24"/>
        </w:rPr>
        <w:t>World Health Organization (2024) Diabetes. Geneva: WHO. Available at: https://www.who.int/news-room/fact-sheets/detail/diabetes (Accessed: 1</w:t>
      </w:r>
      <w:r w:rsidR="00970EDE" w:rsidRPr="00970EDE">
        <w:rPr>
          <w:rFonts w:ascii="Times New Roman" w:hAnsi="Times New Roman" w:cs="Times New Roman"/>
          <w:sz w:val="24"/>
          <w:szCs w:val="24"/>
        </w:rPr>
        <w:t>3</w:t>
      </w:r>
      <w:r w:rsidRPr="00970EDE">
        <w:rPr>
          <w:rFonts w:ascii="Times New Roman" w:hAnsi="Times New Roman" w:cs="Times New Roman"/>
          <w:sz w:val="24"/>
          <w:szCs w:val="24"/>
        </w:rPr>
        <w:t xml:space="preserve"> August 2026).</w:t>
      </w:r>
    </w:p>
    <w:sectPr w:rsidR="00912F26" w:rsidRPr="00970EDE" w:rsidSect="00A60C17">
      <w:footerReference w:type="defaul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99677" w14:textId="77777777" w:rsidR="00B07552" w:rsidRDefault="00B07552">
      <w:r>
        <w:separator/>
      </w:r>
    </w:p>
  </w:endnote>
  <w:endnote w:type="continuationSeparator" w:id="0">
    <w:p w14:paraId="4310A03F" w14:textId="77777777" w:rsidR="00B07552" w:rsidRDefault="00B075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8045B2" w14:textId="1D7B592D" w:rsidR="00912F26" w:rsidRDefault="00000000">
    <w:pPr>
      <w:jc w:val="center"/>
    </w:pPr>
    <w:r>
      <w:rPr>
        <w:color w:val="888888"/>
        <w:sz w:val="16"/>
        <w:szCs w:val="16"/>
      </w:rPr>
      <w:t xml:space="preserve">Page </w:t>
    </w:r>
    <w:r>
      <w:rPr>
        <w:color w:val="888888"/>
        <w:sz w:val="16"/>
        <w:szCs w:val="16"/>
      </w:rPr>
      <w:fldChar w:fldCharType="begin"/>
    </w:r>
    <w:r>
      <w:rPr>
        <w:color w:val="888888"/>
        <w:sz w:val="16"/>
        <w:szCs w:val="16"/>
      </w:rPr>
      <w:instrText>PAGE</w:instrText>
    </w:r>
    <w:r>
      <w:rPr>
        <w:color w:val="888888"/>
        <w:sz w:val="16"/>
        <w:szCs w:val="16"/>
      </w:rPr>
      <w:fldChar w:fldCharType="separate"/>
    </w:r>
    <w:r w:rsidR="00AC718A">
      <w:rPr>
        <w:noProof/>
        <w:color w:val="888888"/>
        <w:sz w:val="16"/>
        <w:szCs w:val="16"/>
      </w:rPr>
      <w:t>1</w:t>
    </w:r>
    <w:r>
      <w:rPr>
        <w:color w:val="888888"/>
        <w:sz w:val="16"/>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4F7EE2" w14:textId="77777777" w:rsidR="00B07552" w:rsidRDefault="00B07552">
      <w:r>
        <w:separator/>
      </w:r>
    </w:p>
  </w:footnote>
  <w:footnote w:type="continuationSeparator" w:id="0">
    <w:p w14:paraId="419B1A09" w14:textId="77777777" w:rsidR="00B07552" w:rsidRDefault="00B075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F03BC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96D6955"/>
    <w:multiLevelType w:val="hybridMultilevel"/>
    <w:tmpl w:val="F0AA295E"/>
    <w:lvl w:ilvl="0" w:tplc="7E9C8B6E">
      <w:start w:val="1"/>
      <w:numFmt w:val="bullet"/>
      <w:lvlText w:val="●"/>
      <w:lvlJc w:val="left"/>
      <w:pPr>
        <w:ind w:left="720" w:hanging="360"/>
      </w:pPr>
    </w:lvl>
    <w:lvl w:ilvl="1" w:tplc="918AD814">
      <w:start w:val="1"/>
      <w:numFmt w:val="bullet"/>
      <w:lvlText w:val="○"/>
      <w:lvlJc w:val="left"/>
      <w:pPr>
        <w:ind w:left="1440" w:hanging="360"/>
      </w:pPr>
    </w:lvl>
    <w:lvl w:ilvl="2" w:tplc="F6780422">
      <w:start w:val="1"/>
      <w:numFmt w:val="bullet"/>
      <w:lvlText w:val="■"/>
      <w:lvlJc w:val="left"/>
      <w:pPr>
        <w:ind w:left="2160" w:hanging="360"/>
      </w:pPr>
    </w:lvl>
    <w:lvl w:ilvl="3" w:tplc="041861AE">
      <w:start w:val="1"/>
      <w:numFmt w:val="bullet"/>
      <w:lvlText w:val="●"/>
      <w:lvlJc w:val="left"/>
      <w:pPr>
        <w:ind w:left="2880" w:hanging="360"/>
      </w:pPr>
    </w:lvl>
    <w:lvl w:ilvl="4" w:tplc="DB26FC36">
      <w:start w:val="1"/>
      <w:numFmt w:val="bullet"/>
      <w:lvlText w:val="○"/>
      <w:lvlJc w:val="left"/>
      <w:pPr>
        <w:ind w:left="3600" w:hanging="360"/>
      </w:pPr>
    </w:lvl>
    <w:lvl w:ilvl="5" w:tplc="37C87D4E">
      <w:start w:val="1"/>
      <w:numFmt w:val="bullet"/>
      <w:lvlText w:val="■"/>
      <w:lvlJc w:val="left"/>
      <w:pPr>
        <w:ind w:left="4320" w:hanging="360"/>
      </w:pPr>
    </w:lvl>
    <w:lvl w:ilvl="6" w:tplc="75CCA5BA">
      <w:start w:val="1"/>
      <w:numFmt w:val="bullet"/>
      <w:lvlText w:val="●"/>
      <w:lvlJc w:val="left"/>
      <w:pPr>
        <w:ind w:left="5040" w:hanging="360"/>
      </w:pPr>
    </w:lvl>
    <w:lvl w:ilvl="7" w:tplc="41B669A0">
      <w:start w:val="1"/>
      <w:numFmt w:val="bullet"/>
      <w:lvlText w:val="●"/>
      <w:lvlJc w:val="left"/>
      <w:pPr>
        <w:ind w:left="5760" w:hanging="360"/>
      </w:pPr>
    </w:lvl>
    <w:lvl w:ilvl="8" w:tplc="A8429912">
      <w:start w:val="1"/>
      <w:numFmt w:val="bullet"/>
      <w:lvlText w:val="●"/>
      <w:lvlJc w:val="left"/>
      <w:pPr>
        <w:ind w:left="6480" w:hanging="360"/>
      </w:pPr>
    </w:lvl>
  </w:abstractNum>
  <w:num w:numId="1" w16cid:durableId="359627102">
    <w:abstractNumId w:val="1"/>
    <w:lvlOverride w:ilvl="0">
      <w:startOverride w:val="1"/>
    </w:lvlOverride>
  </w:num>
  <w:num w:numId="2" w16cid:durableId="1149638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2F26"/>
    <w:rsid w:val="00164053"/>
    <w:rsid w:val="001C72BD"/>
    <w:rsid w:val="001D7F9D"/>
    <w:rsid w:val="003A6AA0"/>
    <w:rsid w:val="006813A4"/>
    <w:rsid w:val="007A3EC4"/>
    <w:rsid w:val="008F60F5"/>
    <w:rsid w:val="00912F26"/>
    <w:rsid w:val="00970EDE"/>
    <w:rsid w:val="00A60C17"/>
    <w:rsid w:val="00AB52EE"/>
    <w:rsid w:val="00AC718A"/>
    <w:rsid w:val="00B075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58C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970EDE"/>
    <w:pPr>
      <w:numPr>
        <w:numId w:val="2"/>
      </w:numPr>
      <w:outlineLvl w:val="0"/>
    </w:pPr>
    <w:rPr>
      <w:rFonts w:ascii="Times New Roman" w:hAnsi="Times New Roman"/>
      <w:b/>
      <w:sz w:val="28"/>
      <w:szCs w:val="32"/>
    </w:rPr>
  </w:style>
  <w:style w:type="paragraph" w:styleId="Heading2">
    <w:name w:val="heading 2"/>
    <w:uiPriority w:val="9"/>
    <w:unhideWhenUsed/>
    <w:qFormat/>
    <w:rsid w:val="00970EDE"/>
    <w:pPr>
      <w:numPr>
        <w:ilvl w:val="1"/>
        <w:numId w:val="2"/>
      </w:numPr>
      <w:outlineLvl w:val="1"/>
    </w:pPr>
    <w:rPr>
      <w:rFonts w:ascii="Times New Roman" w:hAnsi="Times New Roman"/>
      <w:b/>
      <w:sz w:val="24"/>
      <w:szCs w:val="26"/>
    </w:rPr>
  </w:style>
  <w:style w:type="paragraph" w:styleId="Heading3">
    <w:name w:val="heading 3"/>
    <w:uiPriority w:val="9"/>
    <w:unhideWhenUsed/>
    <w:qFormat/>
    <w:pPr>
      <w:numPr>
        <w:ilvl w:val="2"/>
        <w:numId w:val="2"/>
      </w:numPr>
      <w:outlineLvl w:val="2"/>
    </w:pPr>
    <w:rPr>
      <w:color w:val="1F4D78"/>
      <w:sz w:val="24"/>
      <w:szCs w:val="24"/>
    </w:rPr>
  </w:style>
  <w:style w:type="paragraph" w:styleId="Heading4">
    <w:name w:val="heading 4"/>
    <w:uiPriority w:val="9"/>
    <w:semiHidden/>
    <w:unhideWhenUsed/>
    <w:qFormat/>
    <w:pPr>
      <w:numPr>
        <w:ilvl w:val="3"/>
        <w:numId w:val="2"/>
      </w:numPr>
      <w:outlineLvl w:val="3"/>
    </w:pPr>
    <w:rPr>
      <w:i/>
      <w:iCs/>
      <w:color w:val="2E74B5"/>
    </w:rPr>
  </w:style>
  <w:style w:type="paragraph" w:styleId="Heading5">
    <w:name w:val="heading 5"/>
    <w:uiPriority w:val="9"/>
    <w:semiHidden/>
    <w:unhideWhenUsed/>
    <w:qFormat/>
    <w:pPr>
      <w:numPr>
        <w:ilvl w:val="4"/>
        <w:numId w:val="2"/>
      </w:numPr>
      <w:outlineLvl w:val="4"/>
    </w:pPr>
    <w:rPr>
      <w:color w:val="2E74B5"/>
    </w:rPr>
  </w:style>
  <w:style w:type="paragraph" w:styleId="Heading6">
    <w:name w:val="heading 6"/>
    <w:uiPriority w:val="9"/>
    <w:semiHidden/>
    <w:unhideWhenUsed/>
    <w:qFormat/>
    <w:pPr>
      <w:numPr>
        <w:ilvl w:val="5"/>
        <w:numId w:val="2"/>
      </w:numPr>
      <w:outlineLvl w:val="5"/>
    </w:pPr>
    <w:rPr>
      <w:color w:val="1F4D78"/>
    </w:rPr>
  </w:style>
  <w:style w:type="paragraph" w:styleId="Heading7">
    <w:name w:val="heading 7"/>
    <w:basedOn w:val="Normal"/>
    <w:next w:val="Normal"/>
    <w:link w:val="Heading7Char"/>
    <w:uiPriority w:val="9"/>
    <w:semiHidden/>
    <w:unhideWhenUsed/>
    <w:qFormat/>
    <w:rsid w:val="00A60C17"/>
    <w:pPr>
      <w:keepNext/>
      <w:keepLines/>
      <w:numPr>
        <w:ilvl w:val="6"/>
        <w:numId w:val="2"/>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A60C17"/>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60C17"/>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AC718A"/>
    <w:pPr>
      <w:tabs>
        <w:tab w:val="center" w:pos="4680"/>
        <w:tab w:val="right" w:pos="9360"/>
      </w:tabs>
    </w:pPr>
  </w:style>
  <w:style w:type="character" w:customStyle="1" w:styleId="HeaderChar">
    <w:name w:val="Header Char"/>
    <w:basedOn w:val="DefaultParagraphFont"/>
    <w:link w:val="Header"/>
    <w:uiPriority w:val="99"/>
    <w:rsid w:val="00AC718A"/>
  </w:style>
  <w:style w:type="paragraph" w:styleId="Footer">
    <w:name w:val="footer"/>
    <w:basedOn w:val="Normal"/>
    <w:link w:val="FooterChar"/>
    <w:uiPriority w:val="99"/>
    <w:unhideWhenUsed/>
    <w:rsid w:val="00AC718A"/>
    <w:pPr>
      <w:tabs>
        <w:tab w:val="center" w:pos="4680"/>
        <w:tab w:val="right" w:pos="9360"/>
      </w:tabs>
    </w:pPr>
  </w:style>
  <w:style w:type="character" w:customStyle="1" w:styleId="FooterChar">
    <w:name w:val="Footer Char"/>
    <w:basedOn w:val="DefaultParagraphFont"/>
    <w:link w:val="Footer"/>
    <w:uiPriority w:val="99"/>
    <w:rsid w:val="00AC718A"/>
  </w:style>
  <w:style w:type="character" w:customStyle="1" w:styleId="Heading7Char">
    <w:name w:val="Heading 7 Char"/>
    <w:basedOn w:val="DefaultParagraphFont"/>
    <w:link w:val="Heading7"/>
    <w:uiPriority w:val="9"/>
    <w:semiHidden/>
    <w:rsid w:val="00A60C17"/>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A60C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60C1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A60C17"/>
    <w:pPr>
      <w:keepNext/>
      <w:keepLines/>
      <w:numPr>
        <w:numId w:val="0"/>
      </w:numPr>
      <w:spacing w:before="240" w:line="259" w:lineRule="auto"/>
      <w:outlineLvl w:val="9"/>
    </w:pPr>
    <w:rPr>
      <w:rFonts w:asciiTheme="majorHAnsi" w:eastAsiaTheme="majorEastAsia" w:hAnsiTheme="majorHAnsi" w:cstheme="majorBidi"/>
      <w:b w:val="0"/>
      <w:color w:val="0F4761" w:themeColor="accent1" w:themeShade="BF"/>
      <w:sz w:val="32"/>
    </w:rPr>
  </w:style>
  <w:style w:type="paragraph" w:styleId="TOC1">
    <w:name w:val="toc 1"/>
    <w:basedOn w:val="Normal"/>
    <w:next w:val="Normal"/>
    <w:autoRedefine/>
    <w:uiPriority w:val="39"/>
    <w:unhideWhenUsed/>
    <w:rsid w:val="00A60C17"/>
    <w:pPr>
      <w:spacing w:after="100"/>
    </w:pPr>
  </w:style>
  <w:style w:type="paragraph" w:styleId="TOC2">
    <w:name w:val="toc 2"/>
    <w:basedOn w:val="Normal"/>
    <w:next w:val="Normal"/>
    <w:autoRedefine/>
    <w:uiPriority w:val="39"/>
    <w:unhideWhenUsed/>
    <w:rsid w:val="00A60C17"/>
    <w:pPr>
      <w:spacing w:after="100"/>
      <w:ind w:left="220"/>
    </w:pPr>
  </w:style>
  <w:style w:type="table" w:styleId="TableGrid">
    <w:name w:val="Table Grid"/>
    <w:basedOn w:val="TableNormal"/>
    <w:uiPriority w:val="39"/>
    <w:rsid w:val="00A60C1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39B4E-7B77-400E-AA90-A760F5E15F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4395</Words>
  <Characters>25052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2026-08-18T19:24:00Z</dcterms:created>
  <dcterms:modified xsi:type="dcterms:W3CDTF">2026-08-18T19:24:00Z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a6bdc1bd-20b7-4666-b6bc-cd5b42677e56</vt:lpwstr>
  </property>
</Properties>
</file>