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1718BD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b/>
          <w:bCs/>
          <w:spacing w:val="-10"/>
          <w:kern w:val="28"/>
          <w:sz w:val="44"/>
          <w:szCs w:val="44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  <w:t>International Meetings Management for the Hotel Industry</w:t>
      </w:r>
    </w:p>
    <w:p w14:paraId="4C1D0338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  <w:t xml:space="preserve">Assignment </w:t>
      </w:r>
      <w:r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  <w:t xml:space="preserve">1 </w:t>
      </w:r>
      <w:r w:rsidRPr="00B303FF"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  <w:t>Presentation</w:t>
      </w:r>
    </w:p>
    <w:p w14:paraId="10115F3A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</w:pPr>
      <w:r w:rsidRPr="00B303FF">
        <w:rPr>
          <w:rFonts w:ascii="Times New Roman" w:hAnsi="Times New Roman" w:cs="Times New Roman"/>
          <w:sz w:val="44"/>
          <w:szCs w:val="44"/>
        </w:rPr>
        <w:t>Feasibility Study – Sustainability Event</w:t>
      </w:r>
    </w:p>
    <w:p w14:paraId="057EEC6C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</w:p>
    <w:p w14:paraId="71408F1F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</w:p>
    <w:p w14:paraId="54BF98B0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</w:p>
    <w:p w14:paraId="55517EAA" w14:textId="77777777" w:rsidR="00C37DC9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</w:p>
    <w:p w14:paraId="32751AB9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 xml:space="preserve">Name: </w:t>
      </w:r>
      <w:r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Ana</w:t>
      </w:r>
      <w:r w:rsidRPr="00B303FF"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 xml:space="preserve"> Cimpoes</w:t>
      </w:r>
    </w:p>
    <w:p w14:paraId="518EF250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Student ID: 212010</w:t>
      </w:r>
      <w:r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4</w:t>
      </w:r>
    </w:p>
    <w:p w14:paraId="73F2CF5C" w14:textId="77777777" w:rsidR="00C37DC9" w:rsidRPr="00B303FF" w:rsidRDefault="00C37DC9" w:rsidP="00C37DC9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Module code: BMIH</w:t>
      </w:r>
      <w:r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6007</w:t>
      </w:r>
    </w:p>
    <w:p w14:paraId="4509F6A1" w14:textId="77777777" w:rsidR="00C37DC9" w:rsidRDefault="00C37DC9" w:rsidP="00C37DC9">
      <w:pPr>
        <w:jc w:val="center"/>
        <w:rPr>
          <w:rFonts w:ascii="Times New Roman" w:hAnsi="Times New Roman" w:cs="Times New Roman"/>
          <w:sz w:val="36"/>
          <w:szCs w:val="36"/>
        </w:rPr>
      </w:pPr>
      <w:r w:rsidRPr="00B303FF">
        <w:rPr>
          <w:rFonts w:ascii="Times New Roman" w:hAnsi="Times New Roman" w:cs="Times New Roman"/>
          <w:sz w:val="36"/>
          <w:szCs w:val="36"/>
        </w:rPr>
        <w:t xml:space="preserve">Lecturer: </w:t>
      </w:r>
      <w:r>
        <w:rPr>
          <w:rFonts w:ascii="Times New Roman" w:hAnsi="Times New Roman" w:cs="Times New Roman"/>
          <w:sz w:val="36"/>
          <w:szCs w:val="36"/>
        </w:rPr>
        <w:t>Philippa Fitzgerald</w:t>
      </w:r>
    </w:p>
    <w:p w14:paraId="4E3327FC" w14:textId="77777777" w:rsidR="00DF1099" w:rsidRDefault="00DF1099"/>
    <w:p w14:paraId="5728F001" w14:textId="77777777" w:rsidR="00C37DC9" w:rsidRDefault="00C37DC9"/>
    <w:p w14:paraId="1818EA6C" w14:textId="77777777" w:rsidR="00C37DC9" w:rsidRDefault="00C37DC9"/>
    <w:p w14:paraId="28218226" w14:textId="77777777" w:rsidR="00C37DC9" w:rsidRDefault="00C37DC9"/>
    <w:p w14:paraId="6B57C471" w14:textId="77777777" w:rsidR="00C37DC9" w:rsidRDefault="00C37DC9"/>
    <w:p w14:paraId="367A8172" w14:textId="77777777" w:rsidR="00C37DC9" w:rsidRDefault="00C37DC9"/>
    <w:p w14:paraId="5D5E0577" w14:textId="77777777" w:rsidR="00C37DC9" w:rsidRDefault="00C37DC9"/>
    <w:p w14:paraId="779519FE" w14:textId="77777777" w:rsidR="00C37DC9" w:rsidRDefault="00C37DC9"/>
    <w:p w14:paraId="2CB76BEB" w14:textId="0D8E3DBA" w:rsidR="00C37DC9" w:rsidRDefault="00C37DC9" w:rsidP="00C37DC9">
      <w:pPr>
        <w:spacing w:after="0" w:line="480" w:lineRule="auto"/>
        <w:contextualSpacing/>
        <w:jc w:val="center"/>
      </w:pPr>
      <w:r>
        <w:rPr>
          <w:noProof/>
        </w:rPr>
        <w:lastRenderedPageBreak/>
        <w:drawing>
          <wp:inline distT="0" distB="0" distL="0" distR="0" wp14:anchorId="24E2B90D" wp14:editId="3B621B50">
            <wp:extent cx="5731510" cy="3867150"/>
            <wp:effectExtent l="0" t="0" r="2540" b="0"/>
            <wp:docPr id="3107941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794109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FF1D3" w14:textId="70B972AE" w:rsidR="00C37DC9" w:rsidRDefault="0054396B" w:rsidP="00C37DC9">
      <w:pPr>
        <w:spacing w:after="0" w:line="480" w:lineRule="auto"/>
        <w:contextualSpacing/>
        <w:jc w:val="center"/>
      </w:pPr>
      <w:r>
        <w:rPr>
          <w:noProof/>
        </w:rPr>
        <w:drawing>
          <wp:inline distT="0" distB="0" distL="0" distR="0" wp14:anchorId="157167D6" wp14:editId="2C0B5E2C">
            <wp:extent cx="5731510" cy="4298950"/>
            <wp:effectExtent l="0" t="0" r="2540" b="6350"/>
            <wp:docPr id="16876505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650538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A5324" w14:textId="77777777" w:rsidR="00C37DC9" w:rsidRDefault="00C37DC9" w:rsidP="00C37DC9">
      <w:pPr>
        <w:spacing w:after="0" w:line="480" w:lineRule="auto"/>
        <w:contextualSpacing/>
        <w:jc w:val="center"/>
      </w:pPr>
    </w:p>
    <w:p w14:paraId="64E88633" w14:textId="584C7AA5" w:rsidR="00C37DC9" w:rsidRDefault="00C37DC9" w:rsidP="00C37DC9">
      <w:pPr>
        <w:spacing w:after="0" w:line="480" w:lineRule="auto"/>
        <w:contextualSpacing/>
        <w:jc w:val="center"/>
      </w:pPr>
      <w:r>
        <w:rPr>
          <w:noProof/>
        </w:rPr>
        <w:lastRenderedPageBreak/>
        <w:drawing>
          <wp:inline distT="0" distB="0" distL="0" distR="0" wp14:anchorId="0909F37F" wp14:editId="16D65382">
            <wp:extent cx="5731510" cy="4298950"/>
            <wp:effectExtent l="0" t="0" r="2540" b="6350"/>
            <wp:docPr id="20110730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107301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A550B" w14:textId="09324AD3" w:rsidR="00C37DC9" w:rsidRDefault="003A3296" w:rsidP="00C37DC9">
      <w:pPr>
        <w:spacing w:after="0" w:line="480" w:lineRule="auto"/>
        <w:contextualSpacing/>
        <w:jc w:val="center"/>
      </w:pPr>
      <w:r>
        <w:rPr>
          <w:noProof/>
        </w:rPr>
        <w:drawing>
          <wp:inline distT="0" distB="0" distL="0" distR="0" wp14:anchorId="696D31A7" wp14:editId="74596176">
            <wp:extent cx="5731510" cy="4298950"/>
            <wp:effectExtent l="0" t="0" r="2540" b="6350"/>
            <wp:docPr id="3423590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35900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6E711" w14:textId="1A2EE7D3" w:rsidR="00C37DC9" w:rsidRDefault="00C37DC9" w:rsidP="00C37DC9">
      <w:pPr>
        <w:spacing w:after="0" w:line="480" w:lineRule="auto"/>
        <w:contextualSpacing/>
        <w:jc w:val="center"/>
      </w:pPr>
      <w:r>
        <w:rPr>
          <w:noProof/>
        </w:rPr>
        <w:lastRenderedPageBreak/>
        <w:drawing>
          <wp:inline distT="0" distB="0" distL="0" distR="0" wp14:anchorId="14803D81" wp14:editId="6362B27B">
            <wp:extent cx="5731510" cy="4298950"/>
            <wp:effectExtent l="0" t="0" r="2540" b="6350"/>
            <wp:docPr id="10701651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165160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0913D" w14:textId="0B1AA0CC" w:rsidR="00C37DC9" w:rsidRDefault="00C37DC9" w:rsidP="00C37DC9">
      <w:pPr>
        <w:spacing w:after="0" w:line="480" w:lineRule="auto"/>
        <w:contextualSpacing/>
        <w:jc w:val="center"/>
      </w:pPr>
      <w:r>
        <w:rPr>
          <w:noProof/>
        </w:rPr>
        <w:drawing>
          <wp:inline distT="0" distB="0" distL="0" distR="0" wp14:anchorId="1797758C" wp14:editId="5E60C9C1">
            <wp:extent cx="5731510" cy="4298950"/>
            <wp:effectExtent l="0" t="0" r="2540" b="6350"/>
            <wp:docPr id="10904202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042025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7B4CB" w14:textId="2DF8DA7F" w:rsidR="00C37DC9" w:rsidRDefault="00791286" w:rsidP="00C37DC9">
      <w:pPr>
        <w:spacing w:after="0" w:line="480" w:lineRule="auto"/>
        <w:contextualSpacing/>
        <w:jc w:val="center"/>
      </w:pPr>
      <w:r>
        <w:rPr>
          <w:noProof/>
        </w:rPr>
        <w:lastRenderedPageBreak/>
        <w:drawing>
          <wp:inline distT="0" distB="0" distL="0" distR="0" wp14:anchorId="3EE2F315" wp14:editId="632FE0CF">
            <wp:extent cx="5731510" cy="4298950"/>
            <wp:effectExtent l="0" t="0" r="2540" b="6350"/>
            <wp:docPr id="3153093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30930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6C1BB" w14:textId="248EF730" w:rsidR="00C37DC9" w:rsidRDefault="00C37DC9" w:rsidP="00C37DC9">
      <w:pPr>
        <w:spacing w:after="0" w:line="480" w:lineRule="auto"/>
        <w:contextualSpacing/>
        <w:jc w:val="center"/>
      </w:pPr>
      <w:r>
        <w:rPr>
          <w:noProof/>
        </w:rPr>
        <w:drawing>
          <wp:inline distT="0" distB="0" distL="0" distR="0" wp14:anchorId="1BADA5E9" wp14:editId="08F13022">
            <wp:extent cx="5731510" cy="4298950"/>
            <wp:effectExtent l="0" t="0" r="2540" b="6350"/>
            <wp:docPr id="8616375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63758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022A7" w14:textId="69D7DC56" w:rsidR="00C37DC9" w:rsidRDefault="00C37DC9" w:rsidP="00C37DC9">
      <w:pPr>
        <w:spacing w:after="0" w:line="480" w:lineRule="auto"/>
        <w:contextualSpacing/>
        <w:jc w:val="center"/>
      </w:pPr>
      <w:r>
        <w:rPr>
          <w:noProof/>
        </w:rPr>
        <w:lastRenderedPageBreak/>
        <w:drawing>
          <wp:inline distT="0" distB="0" distL="0" distR="0" wp14:anchorId="192CB3BA" wp14:editId="6CAD707D">
            <wp:extent cx="5731510" cy="4298950"/>
            <wp:effectExtent l="0" t="0" r="2540" b="6350"/>
            <wp:docPr id="19159927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992795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E6D96" w14:textId="77777777" w:rsidR="00C37DC9" w:rsidRDefault="00C37DC9" w:rsidP="00C37DC9">
      <w:pPr>
        <w:spacing w:after="0" w:line="480" w:lineRule="auto"/>
        <w:contextualSpacing/>
        <w:jc w:val="center"/>
      </w:pPr>
    </w:p>
    <w:p w14:paraId="3AB21335" w14:textId="77777777" w:rsidR="00C37DC9" w:rsidRDefault="00C37DC9" w:rsidP="00C37DC9">
      <w:pPr>
        <w:spacing w:after="0" w:line="480" w:lineRule="auto"/>
        <w:contextualSpacing/>
        <w:jc w:val="center"/>
      </w:pPr>
    </w:p>
    <w:p w14:paraId="419DFFA4" w14:textId="77777777" w:rsidR="00C37DC9" w:rsidRDefault="00C37DC9" w:rsidP="00C37DC9">
      <w:pPr>
        <w:spacing w:after="0" w:line="480" w:lineRule="auto"/>
        <w:contextualSpacing/>
        <w:jc w:val="center"/>
      </w:pPr>
    </w:p>
    <w:p w14:paraId="731F346D" w14:textId="77777777" w:rsidR="00C37DC9" w:rsidRDefault="00C37DC9" w:rsidP="00C37DC9">
      <w:pPr>
        <w:spacing w:after="0" w:line="480" w:lineRule="auto"/>
        <w:contextualSpacing/>
        <w:jc w:val="center"/>
      </w:pPr>
    </w:p>
    <w:p w14:paraId="0624B85E" w14:textId="77777777" w:rsidR="00C37DC9" w:rsidRDefault="00C37DC9" w:rsidP="00C37DC9">
      <w:pPr>
        <w:spacing w:after="0" w:line="480" w:lineRule="auto"/>
        <w:contextualSpacing/>
        <w:jc w:val="center"/>
      </w:pPr>
    </w:p>
    <w:p w14:paraId="24036D11" w14:textId="77777777" w:rsidR="00C37DC9" w:rsidRDefault="00C37DC9" w:rsidP="00C37DC9">
      <w:pPr>
        <w:spacing w:after="0" w:line="480" w:lineRule="auto"/>
        <w:contextualSpacing/>
        <w:jc w:val="center"/>
      </w:pPr>
    </w:p>
    <w:p w14:paraId="57440D08" w14:textId="77777777" w:rsidR="00C37DC9" w:rsidRDefault="00C37DC9" w:rsidP="00C37DC9">
      <w:pPr>
        <w:spacing w:after="0" w:line="480" w:lineRule="auto"/>
        <w:contextualSpacing/>
        <w:jc w:val="center"/>
      </w:pPr>
    </w:p>
    <w:p w14:paraId="7DE17637" w14:textId="77777777" w:rsidR="00C37DC9" w:rsidRDefault="00C37DC9" w:rsidP="00C37DC9">
      <w:pPr>
        <w:spacing w:after="0" w:line="480" w:lineRule="auto"/>
        <w:contextualSpacing/>
        <w:jc w:val="center"/>
      </w:pPr>
    </w:p>
    <w:p w14:paraId="6AAD8511" w14:textId="77777777" w:rsidR="00C37DC9" w:rsidRDefault="00C37DC9" w:rsidP="00C37DC9">
      <w:pPr>
        <w:spacing w:after="0" w:line="480" w:lineRule="auto"/>
        <w:contextualSpacing/>
        <w:jc w:val="center"/>
      </w:pPr>
    </w:p>
    <w:p w14:paraId="542BE41D" w14:textId="77777777" w:rsidR="00C37DC9" w:rsidRDefault="00C37DC9" w:rsidP="00C37DC9">
      <w:pPr>
        <w:spacing w:after="0" w:line="480" w:lineRule="auto"/>
        <w:contextualSpacing/>
        <w:jc w:val="center"/>
      </w:pPr>
    </w:p>
    <w:p w14:paraId="160C5402" w14:textId="77777777" w:rsidR="00C37DC9" w:rsidRDefault="00C37DC9" w:rsidP="00C37DC9">
      <w:pPr>
        <w:spacing w:after="0" w:line="480" w:lineRule="auto"/>
        <w:contextualSpacing/>
        <w:jc w:val="center"/>
      </w:pPr>
    </w:p>
    <w:p w14:paraId="75511019" w14:textId="77777777" w:rsidR="00C37DC9" w:rsidRDefault="00C37DC9" w:rsidP="00C37DC9">
      <w:pPr>
        <w:spacing w:after="0" w:line="480" w:lineRule="auto"/>
        <w:contextualSpacing/>
        <w:jc w:val="center"/>
      </w:pPr>
    </w:p>
    <w:p w14:paraId="3D7B43E3" w14:textId="77777777" w:rsidR="00C37DC9" w:rsidRDefault="00C37DC9" w:rsidP="00C37DC9">
      <w:pPr>
        <w:spacing w:after="0" w:line="480" w:lineRule="auto"/>
        <w:contextualSpacing/>
        <w:jc w:val="center"/>
      </w:pPr>
    </w:p>
    <w:p w14:paraId="2FD3CB3B" w14:textId="3DD5C49E" w:rsidR="00C37DC9" w:rsidRPr="00C37DC9" w:rsidRDefault="00C37DC9" w:rsidP="00C37DC9">
      <w:pPr>
        <w:spacing w:after="0" w:line="480" w:lineRule="auto"/>
        <w:contextualSpacing/>
        <w:rPr>
          <w:sz w:val="28"/>
          <w:szCs w:val="28"/>
        </w:rPr>
      </w:pPr>
      <w:r w:rsidRPr="00C37DC9">
        <w:rPr>
          <w:sz w:val="28"/>
          <w:szCs w:val="28"/>
        </w:rPr>
        <w:lastRenderedPageBreak/>
        <w:t>References:</w:t>
      </w:r>
    </w:p>
    <w:p w14:paraId="68496DED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 xml:space="preserve">Ali, S.E.A., Lai, F.W., Hassan, </w:t>
      </w:r>
      <w:proofErr w:type="gramStart"/>
      <w:r w:rsidRPr="00051F0F">
        <w:rPr>
          <w:sz w:val="24"/>
          <w:szCs w:val="24"/>
          <w:lang w:val="en-GB"/>
        </w:rPr>
        <w:t>R.</w:t>
      </w:r>
      <w:proofErr w:type="gramEnd"/>
      <w:r w:rsidRPr="00051F0F">
        <w:rPr>
          <w:sz w:val="24"/>
          <w:szCs w:val="24"/>
          <w:lang w:val="en-GB"/>
        </w:rPr>
        <w:t xml:space="preserve"> and Shad, M.K., 2021. The long-run impact of information security breach announcements on investors’ confidence: The context of efficient market hypothesis. </w:t>
      </w:r>
      <w:r w:rsidRPr="00051F0F">
        <w:rPr>
          <w:i/>
          <w:iCs/>
          <w:sz w:val="24"/>
          <w:szCs w:val="24"/>
          <w:lang w:val="en-GB"/>
        </w:rPr>
        <w:t>Sustainability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13</w:t>
      </w:r>
      <w:r w:rsidRPr="00051F0F">
        <w:rPr>
          <w:sz w:val="24"/>
          <w:szCs w:val="24"/>
          <w:lang w:val="en-GB"/>
        </w:rPr>
        <w:t>(3), p.1066.</w:t>
      </w:r>
    </w:p>
    <w:p w14:paraId="640B05EC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 xml:space="preserve">Armand, M., Axmann, P., Bresser, D., Copley, M., Edström, K., Ekberg, C., </w:t>
      </w:r>
      <w:proofErr w:type="spellStart"/>
      <w:r w:rsidRPr="00051F0F">
        <w:rPr>
          <w:sz w:val="24"/>
          <w:szCs w:val="24"/>
          <w:lang w:val="en-GB"/>
        </w:rPr>
        <w:t>Guyomard</w:t>
      </w:r>
      <w:proofErr w:type="spellEnd"/>
      <w:r w:rsidRPr="00051F0F">
        <w:rPr>
          <w:sz w:val="24"/>
          <w:szCs w:val="24"/>
          <w:lang w:val="en-GB"/>
        </w:rPr>
        <w:t xml:space="preserve">, D., </w:t>
      </w:r>
      <w:proofErr w:type="spellStart"/>
      <w:r w:rsidRPr="00051F0F">
        <w:rPr>
          <w:sz w:val="24"/>
          <w:szCs w:val="24"/>
          <w:lang w:val="en-GB"/>
        </w:rPr>
        <w:t>Lestriez</w:t>
      </w:r>
      <w:proofErr w:type="spellEnd"/>
      <w:r w:rsidRPr="00051F0F">
        <w:rPr>
          <w:sz w:val="24"/>
          <w:szCs w:val="24"/>
          <w:lang w:val="en-GB"/>
        </w:rPr>
        <w:t xml:space="preserve">, B., Novák, P., </w:t>
      </w:r>
      <w:proofErr w:type="spellStart"/>
      <w:r w:rsidRPr="00051F0F">
        <w:rPr>
          <w:sz w:val="24"/>
          <w:szCs w:val="24"/>
          <w:lang w:val="en-GB"/>
        </w:rPr>
        <w:t>Petranikova</w:t>
      </w:r>
      <w:proofErr w:type="spellEnd"/>
      <w:r w:rsidRPr="00051F0F">
        <w:rPr>
          <w:sz w:val="24"/>
          <w:szCs w:val="24"/>
          <w:lang w:val="en-GB"/>
        </w:rPr>
        <w:t>, M. and Porcher, W., 2020. Lithium-ion batteries–Current state of the art and anticipated developments. </w:t>
      </w:r>
      <w:r w:rsidRPr="00051F0F">
        <w:rPr>
          <w:i/>
          <w:iCs/>
          <w:sz w:val="24"/>
          <w:szCs w:val="24"/>
        </w:rPr>
        <w:t>Journal of Power Sources</w:t>
      </w:r>
      <w:r w:rsidRPr="00051F0F">
        <w:rPr>
          <w:sz w:val="24"/>
          <w:szCs w:val="24"/>
        </w:rPr>
        <w:t>, </w:t>
      </w:r>
      <w:r w:rsidRPr="00051F0F">
        <w:rPr>
          <w:i/>
          <w:iCs/>
          <w:sz w:val="24"/>
          <w:szCs w:val="24"/>
        </w:rPr>
        <w:t>479</w:t>
      </w:r>
      <w:r w:rsidRPr="00051F0F">
        <w:rPr>
          <w:sz w:val="24"/>
          <w:szCs w:val="24"/>
        </w:rPr>
        <w:t>, p.228708.</w:t>
      </w:r>
    </w:p>
    <w:p w14:paraId="15EF0CFF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>Bishop, P.C., Gibbs, T.M. and Lantz, J., 2020. Crowd Management and Special Event Planning. In </w:t>
      </w:r>
      <w:r w:rsidRPr="00051F0F">
        <w:rPr>
          <w:i/>
          <w:iCs/>
          <w:sz w:val="24"/>
          <w:szCs w:val="24"/>
        </w:rPr>
        <w:t>The Professional Protection Officer</w:t>
      </w:r>
      <w:r w:rsidRPr="00051F0F">
        <w:rPr>
          <w:sz w:val="24"/>
          <w:szCs w:val="24"/>
        </w:rPr>
        <w:t> (pp. 283-293). Butterworth-Heinemann.</w:t>
      </w:r>
    </w:p>
    <w:p w14:paraId="0ED25973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>Bladen, C., Kennell, J., Abson, E. and Wilde, N., 2022. </w:t>
      </w:r>
      <w:r w:rsidRPr="00051F0F">
        <w:rPr>
          <w:i/>
          <w:iCs/>
          <w:sz w:val="24"/>
          <w:szCs w:val="24"/>
          <w:lang w:val="en-GB"/>
        </w:rPr>
        <w:t>Events management: An introduction</w:t>
      </w:r>
      <w:r w:rsidRPr="00051F0F">
        <w:rPr>
          <w:sz w:val="24"/>
          <w:szCs w:val="24"/>
          <w:lang w:val="en-GB"/>
        </w:rPr>
        <w:t>. Taylor &amp; Francis.</w:t>
      </w:r>
    </w:p>
    <w:p w14:paraId="36BE36D8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proofErr w:type="spellStart"/>
      <w:r w:rsidRPr="00051F0F">
        <w:rPr>
          <w:sz w:val="24"/>
          <w:szCs w:val="24"/>
          <w:lang w:val="en-GB"/>
        </w:rPr>
        <w:t>Chersulich</w:t>
      </w:r>
      <w:proofErr w:type="spellEnd"/>
      <w:r w:rsidRPr="00051F0F">
        <w:rPr>
          <w:sz w:val="24"/>
          <w:szCs w:val="24"/>
          <w:lang w:val="en-GB"/>
        </w:rPr>
        <w:t xml:space="preserve"> Tomino, A., </w:t>
      </w:r>
      <w:proofErr w:type="spellStart"/>
      <w:r w:rsidRPr="00051F0F">
        <w:rPr>
          <w:sz w:val="24"/>
          <w:szCs w:val="24"/>
          <w:lang w:val="en-GB"/>
        </w:rPr>
        <w:t>Perić</w:t>
      </w:r>
      <w:proofErr w:type="spellEnd"/>
      <w:r w:rsidRPr="00051F0F">
        <w:rPr>
          <w:sz w:val="24"/>
          <w:szCs w:val="24"/>
          <w:lang w:val="en-GB"/>
        </w:rPr>
        <w:t>, M. and Wise, N., 2020. Assessing and considering the wider impacts of sport-tourism events: A research agenda review of sustainability and strategic planning elements. </w:t>
      </w:r>
      <w:r w:rsidRPr="00051F0F">
        <w:rPr>
          <w:i/>
          <w:iCs/>
          <w:sz w:val="24"/>
          <w:szCs w:val="24"/>
          <w:lang w:val="en-GB"/>
        </w:rPr>
        <w:t>Sustainability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12</w:t>
      </w:r>
      <w:r w:rsidRPr="00051F0F">
        <w:rPr>
          <w:sz w:val="24"/>
          <w:szCs w:val="24"/>
          <w:lang w:val="en-GB"/>
        </w:rPr>
        <w:t>(11), p.4473.</w:t>
      </w:r>
    </w:p>
    <w:p w14:paraId="3A4ABA6F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>Chowdhury, E.K., Khan, I.I. and Dhar, B.K., 2022. Catastrophic impact of Covid‐19 on the global stock markets and economic activities. </w:t>
      </w:r>
      <w:r w:rsidRPr="00051F0F">
        <w:rPr>
          <w:i/>
          <w:iCs/>
          <w:sz w:val="24"/>
          <w:szCs w:val="24"/>
          <w:lang w:val="en-GB"/>
        </w:rPr>
        <w:t>Business and Society Review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127</w:t>
      </w:r>
      <w:r w:rsidRPr="00051F0F">
        <w:rPr>
          <w:sz w:val="24"/>
          <w:szCs w:val="24"/>
          <w:lang w:val="en-GB"/>
        </w:rPr>
        <w:t>(2), pp.437-460.</w:t>
      </w:r>
    </w:p>
    <w:p w14:paraId="5FDF167B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>Jones, Z.M., 2020. </w:t>
      </w:r>
      <w:r w:rsidRPr="00051F0F">
        <w:rPr>
          <w:i/>
          <w:iCs/>
          <w:sz w:val="24"/>
          <w:szCs w:val="24"/>
          <w:lang w:val="en-GB"/>
        </w:rPr>
        <w:t>Cultural mega-events: Opportunities and risks for heritage cities</w:t>
      </w:r>
      <w:r w:rsidRPr="00051F0F">
        <w:rPr>
          <w:sz w:val="24"/>
          <w:szCs w:val="24"/>
          <w:lang w:val="en-GB"/>
        </w:rPr>
        <w:t>. Routledge.</w:t>
      </w:r>
    </w:p>
    <w:p w14:paraId="0C6E4494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 xml:space="preserve">Kaushik, M. and </w:t>
      </w:r>
      <w:proofErr w:type="spellStart"/>
      <w:r w:rsidRPr="00051F0F">
        <w:rPr>
          <w:sz w:val="24"/>
          <w:szCs w:val="24"/>
          <w:lang w:val="en-GB"/>
        </w:rPr>
        <w:t>Guleria</w:t>
      </w:r>
      <w:proofErr w:type="spellEnd"/>
      <w:r w:rsidRPr="00051F0F">
        <w:rPr>
          <w:sz w:val="24"/>
          <w:szCs w:val="24"/>
          <w:lang w:val="en-GB"/>
        </w:rPr>
        <w:t>, N., 2020. The impact of pandemic COVID-19 in workplace. </w:t>
      </w:r>
      <w:r w:rsidRPr="00051F0F">
        <w:rPr>
          <w:i/>
          <w:iCs/>
          <w:sz w:val="24"/>
          <w:szCs w:val="24"/>
          <w:lang w:val="en-GB"/>
        </w:rPr>
        <w:t>European Journal of Business and Management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12</w:t>
      </w:r>
      <w:r w:rsidRPr="00051F0F">
        <w:rPr>
          <w:sz w:val="24"/>
          <w:szCs w:val="24"/>
          <w:lang w:val="en-GB"/>
        </w:rPr>
        <w:t>(15), pp.1-10.</w:t>
      </w:r>
    </w:p>
    <w:p w14:paraId="7D4997B6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 xml:space="preserve">Kiss, B., </w:t>
      </w:r>
      <w:proofErr w:type="spellStart"/>
      <w:r w:rsidRPr="00051F0F">
        <w:rPr>
          <w:sz w:val="24"/>
          <w:szCs w:val="24"/>
          <w:lang w:val="en-GB"/>
        </w:rPr>
        <w:t>Sekulova</w:t>
      </w:r>
      <w:proofErr w:type="spellEnd"/>
      <w:r w:rsidRPr="00051F0F">
        <w:rPr>
          <w:sz w:val="24"/>
          <w:szCs w:val="24"/>
          <w:lang w:val="en-GB"/>
        </w:rPr>
        <w:t>, F., Hörschelmann, K., Salk, C.F., Takahashi, W. and Wamsler, C., 2022. Citizen participation in the governance of nature‐based solutions. </w:t>
      </w:r>
      <w:r w:rsidRPr="00051F0F">
        <w:rPr>
          <w:i/>
          <w:iCs/>
          <w:sz w:val="24"/>
          <w:szCs w:val="24"/>
        </w:rPr>
        <w:t>Environmental Policy and Governance</w:t>
      </w:r>
      <w:r w:rsidRPr="00051F0F">
        <w:rPr>
          <w:sz w:val="24"/>
          <w:szCs w:val="24"/>
        </w:rPr>
        <w:t>, </w:t>
      </w:r>
      <w:r w:rsidRPr="00051F0F">
        <w:rPr>
          <w:i/>
          <w:iCs/>
          <w:sz w:val="24"/>
          <w:szCs w:val="24"/>
        </w:rPr>
        <w:t>32</w:t>
      </w:r>
      <w:r w:rsidRPr="00051F0F">
        <w:rPr>
          <w:sz w:val="24"/>
          <w:szCs w:val="24"/>
        </w:rPr>
        <w:t>(3), pp.247-272.</w:t>
      </w:r>
    </w:p>
    <w:p w14:paraId="0B4E18EE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lastRenderedPageBreak/>
        <w:t>Lachance, E.L. and Parent, M.M., 2020. The volunteer experience in a para-sport event: An autoethnography. </w:t>
      </w:r>
      <w:r w:rsidRPr="00051F0F">
        <w:rPr>
          <w:i/>
          <w:iCs/>
          <w:sz w:val="24"/>
          <w:szCs w:val="24"/>
          <w:lang w:val="en-GB"/>
        </w:rPr>
        <w:t>Journal of Sport Management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34</w:t>
      </w:r>
      <w:r w:rsidRPr="00051F0F">
        <w:rPr>
          <w:sz w:val="24"/>
          <w:szCs w:val="24"/>
          <w:lang w:val="en-GB"/>
        </w:rPr>
        <w:t>(2), pp.93-102.</w:t>
      </w:r>
    </w:p>
    <w:p w14:paraId="4E1F2705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 xml:space="preserve">McStay, A., 2020. Emotional AI and EdTech: serving the public </w:t>
      </w:r>
      <w:proofErr w:type="gramStart"/>
      <w:r w:rsidRPr="00051F0F">
        <w:rPr>
          <w:sz w:val="24"/>
          <w:szCs w:val="24"/>
          <w:lang w:val="en-GB"/>
        </w:rPr>
        <w:t>good?.</w:t>
      </w:r>
      <w:proofErr w:type="gramEnd"/>
      <w:r w:rsidRPr="00051F0F">
        <w:rPr>
          <w:sz w:val="24"/>
          <w:szCs w:val="24"/>
          <w:lang w:val="en-GB"/>
        </w:rPr>
        <w:t> </w:t>
      </w:r>
      <w:r w:rsidRPr="00051F0F">
        <w:rPr>
          <w:i/>
          <w:iCs/>
          <w:sz w:val="24"/>
          <w:szCs w:val="24"/>
          <w:lang w:val="en-GB"/>
        </w:rPr>
        <w:t xml:space="preserve">Learning, </w:t>
      </w:r>
      <w:proofErr w:type="gramStart"/>
      <w:r w:rsidRPr="00051F0F">
        <w:rPr>
          <w:i/>
          <w:iCs/>
          <w:sz w:val="24"/>
          <w:szCs w:val="24"/>
          <w:lang w:val="en-GB"/>
        </w:rPr>
        <w:t>Media</w:t>
      </w:r>
      <w:proofErr w:type="gramEnd"/>
      <w:r w:rsidRPr="00051F0F">
        <w:rPr>
          <w:i/>
          <w:iCs/>
          <w:sz w:val="24"/>
          <w:szCs w:val="24"/>
          <w:lang w:val="en-GB"/>
        </w:rPr>
        <w:t xml:space="preserve"> and Technology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45</w:t>
      </w:r>
      <w:r w:rsidRPr="00051F0F">
        <w:rPr>
          <w:sz w:val="24"/>
          <w:szCs w:val="24"/>
          <w:lang w:val="en-GB"/>
        </w:rPr>
        <w:t>(3), pp.270-283.</w:t>
      </w:r>
    </w:p>
    <w:p w14:paraId="1C28CC60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>Ozer, M. and Perc, M., 2020. Dreams and realities of school tracking and vocational education. </w:t>
      </w:r>
      <w:r w:rsidRPr="00051F0F">
        <w:rPr>
          <w:i/>
          <w:iCs/>
          <w:sz w:val="24"/>
          <w:szCs w:val="24"/>
          <w:lang w:val="en-GB"/>
        </w:rPr>
        <w:t>Palgrave Communications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6</w:t>
      </w:r>
      <w:r w:rsidRPr="00051F0F">
        <w:rPr>
          <w:sz w:val="24"/>
          <w:szCs w:val="24"/>
          <w:lang w:val="en-GB"/>
        </w:rPr>
        <w:t>(1), pp.1-7.</w:t>
      </w:r>
    </w:p>
    <w:p w14:paraId="64354561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 xml:space="preserve">Politis, A., </w:t>
      </w:r>
      <w:proofErr w:type="spellStart"/>
      <w:r w:rsidRPr="00051F0F">
        <w:rPr>
          <w:sz w:val="24"/>
          <w:szCs w:val="24"/>
          <w:lang w:val="en-GB"/>
        </w:rPr>
        <w:t>Adavanne</w:t>
      </w:r>
      <w:proofErr w:type="spellEnd"/>
      <w:r w:rsidRPr="00051F0F">
        <w:rPr>
          <w:sz w:val="24"/>
          <w:szCs w:val="24"/>
          <w:lang w:val="en-GB"/>
        </w:rPr>
        <w:t>, S. and Virtanen, T., 2020. A dataset of reverberant spatial sound scenes with moving sources for sound event localization and detection. </w:t>
      </w:r>
      <w:proofErr w:type="spellStart"/>
      <w:r w:rsidRPr="00051F0F">
        <w:rPr>
          <w:i/>
          <w:iCs/>
          <w:sz w:val="24"/>
          <w:szCs w:val="24"/>
          <w:lang w:val="en-GB"/>
        </w:rPr>
        <w:t>arXiv</w:t>
      </w:r>
      <w:proofErr w:type="spellEnd"/>
      <w:r w:rsidRPr="00051F0F">
        <w:rPr>
          <w:i/>
          <w:iCs/>
          <w:sz w:val="24"/>
          <w:szCs w:val="24"/>
          <w:lang w:val="en-GB"/>
        </w:rPr>
        <w:t xml:space="preserve"> preprint arXiv:2006.01919</w:t>
      </w:r>
      <w:r w:rsidRPr="00051F0F">
        <w:rPr>
          <w:sz w:val="24"/>
          <w:szCs w:val="24"/>
          <w:lang w:val="en-GB"/>
        </w:rPr>
        <w:t>.</w:t>
      </w:r>
    </w:p>
    <w:p w14:paraId="6AB39784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>Power, M., 2022. </w:t>
      </w:r>
      <w:r w:rsidRPr="00051F0F">
        <w:rPr>
          <w:i/>
          <w:iCs/>
          <w:sz w:val="24"/>
          <w:szCs w:val="24"/>
          <w:lang w:val="en-GB"/>
        </w:rPr>
        <w:t>Hunger, Whiteness and Religion in Neoliberal Britain: An Inequality of Power</w:t>
      </w:r>
      <w:r w:rsidRPr="00051F0F">
        <w:rPr>
          <w:sz w:val="24"/>
          <w:szCs w:val="24"/>
          <w:lang w:val="en-GB"/>
        </w:rPr>
        <w:t>. Policy Press.</w:t>
      </w:r>
    </w:p>
    <w:p w14:paraId="06C897C5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 xml:space="preserve">Skorka, K., McBryde, C., Copley, J., Meredith, P.J. and Reid, N., 2020. Experiences of children with </w:t>
      </w:r>
      <w:proofErr w:type="spellStart"/>
      <w:r w:rsidRPr="00051F0F">
        <w:rPr>
          <w:sz w:val="24"/>
          <w:szCs w:val="24"/>
          <w:lang w:val="en-GB"/>
        </w:rPr>
        <w:t>fetal</w:t>
      </w:r>
      <w:proofErr w:type="spellEnd"/>
      <w:r w:rsidRPr="00051F0F">
        <w:rPr>
          <w:sz w:val="24"/>
          <w:szCs w:val="24"/>
          <w:lang w:val="en-GB"/>
        </w:rPr>
        <w:t xml:space="preserve"> alcohol spectrum disorder and their families: a critical review. </w:t>
      </w:r>
      <w:r w:rsidRPr="00051F0F">
        <w:rPr>
          <w:i/>
          <w:iCs/>
          <w:sz w:val="24"/>
          <w:szCs w:val="24"/>
          <w:lang w:val="en-GB"/>
        </w:rPr>
        <w:t>Alcoholism: Clinical and Experimental Research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44</w:t>
      </w:r>
      <w:r w:rsidRPr="00051F0F">
        <w:rPr>
          <w:sz w:val="24"/>
          <w:szCs w:val="24"/>
          <w:lang w:val="en-GB"/>
        </w:rPr>
        <w:t>(6), pp.1175-1188.</w:t>
      </w:r>
    </w:p>
    <w:p w14:paraId="58731ADC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proofErr w:type="spellStart"/>
      <w:r w:rsidRPr="00051F0F">
        <w:rPr>
          <w:sz w:val="24"/>
          <w:szCs w:val="24"/>
          <w:lang w:val="en-GB"/>
        </w:rPr>
        <w:t>Frenneaux</w:t>
      </w:r>
      <w:proofErr w:type="spellEnd"/>
      <w:r w:rsidRPr="00051F0F">
        <w:rPr>
          <w:sz w:val="24"/>
          <w:szCs w:val="24"/>
          <w:lang w:val="en-GB"/>
        </w:rPr>
        <w:t>, R. and Bennett, A., 2021. A new paradigm of engagement for the socially distanced artist. </w:t>
      </w:r>
      <w:r w:rsidRPr="00051F0F">
        <w:rPr>
          <w:i/>
          <w:iCs/>
          <w:sz w:val="24"/>
          <w:szCs w:val="24"/>
        </w:rPr>
        <w:t>Rock Music Studies</w:t>
      </w:r>
      <w:r w:rsidRPr="00051F0F">
        <w:rPr>
          <w:sz w:val="24"/>
          <w:szCs w:val="24"/>
        </w:rPr>
        <w:t>, </w:t>
      </w:r>
      <w:r w:rsidRPr="00051F0F">
        <w:rPr>
          <w:i/>
          <w:iCs/>
          <w:sz w:val="24"/>
          <w:szCs w:val="24"/>
        </w:rPr>
        <w:t>8</w:t>
      </w:r>
      <w:r w:rsidRPr="00051F0F">
        <w:rPr>
          <w:sz w:val="24"/>
          <w:szCs w:val="24"/>
        </w:rPr>
        <w:t>(1), pp.65-75.</w:t>
      </w:r>
    </w:p>
    <w:p w14:paraId="52DA4FE6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proofErr w:type="spellStart"/>
      <w:r w:rsidRPr="00051F0F">
        <w:rPr>
          <w:sz w:val="24"/>
          <w:szCs w:val="24"/>
          <w:lang w:val="en-GB"/>
        </w:rPr>
        <w:t>Tzenios</w:t>
      </w:r>
      <w:proofErr w:type="spellEnd"/>
      <w:r w:rsidRPr="00051F0F">
        <w:rPr>
          <w:sz w:val="24"/>
          <w:szCs w:val="24"/>
          <w:lang w:val="en-GB"/>
        </w:rPr>
        <w:t>, N., FRSPH, F. and FWAMS, F., 2022. BUDGET MANAGEMENT FOR THE NON-PROFIT ORGANIZATION. </w:t>
      </w:r>
      <w:r w:rsidRPr="00051F0F">
        <w:rPr>
          <w:i/>
          <w:iCs/>
          <w:sz w:val="24"/>
          <w:szCs w:val="24"/>
          <w:lang w:val="en-GB"/>
        </w:rPr>
        <w:t>International Journal of Global Economic Light</w:t>
      </w:r>
      <w:r w:rsidRPr="00051F0F">
        <w:rPr>
          <w:sz w:val="24"/>
          <w:szCs w:val="24"/>
          <w:lang w:val="en-GB"/>
        </w:rPr>
        <w:t>, </w:t>
      </w:r>
      <w:r w:rsidRPr="00051F0F">
        <w:rPr>
          <w:i/>
          <w:iCs/>
          <w:sz w:val="24"/>
          <w:szCs w:val="24"/>
          <w:lang w:val="en-GB"/>
        </w:rPr>
        <w:t>8</w:t>
      </w:r>
      <w:r w:rsidRPr="00051F0F">
        <w:rPr>
          <w:sz w:val="24"/>
          <w:szCs w:val="24"/>
          <w:lang w:val="en-GB"/>
        </w:rPr>
        <w:t>(6), pp.9-13.</w:t>
      </w:r>
    </w:p>
    <w:p w14:paraId="1C380C90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>Daigo, E. and Filo, K., 2020. Using a sport event to create a sense of community: Charity sport event manager perspectives. </w:t>
      </w:r>
      <w:r w:rsidRPr="00051F0F">
        <w:rPr>
          <w:i/>
          <w:iCs/>
          <w:sz w:val="24"/>
          <w:szCs w:val="24"/>
        </w:rPr>
        <w:t>Event Management</w:t>
      </w:r>
      <w:r w:rsidRPr="00051F0F">
        <w:rPr>
          <w:sz w:val="24"/>
          <w:szCs w:val="24"/>
        </w:rPr>
        <w:t>, </w:t>
      </w:r>
      <w:r w:rsidRPr="00051F0F">
        <w:rPr>
          <w:i/>
          <w:iCs/>
          <w:sz w:val="24"/>
          <w:szCs w:val="24"/>
        </w:rPr>
        <w:t>24</w:t>
      </w:r>
      <w:r w:rsidRPr="00051F0F">
        <w:rPr>
          <w:sz w:val="24"/>
          <w:szCs w:val="24"/>
        </w:rPr>
        <w:t>(1), pp.57-74.</w:t>
      </w:r>
    </w:p>
    <w:p w14:paraId="2D46BA45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r w:rsidRPr="00051F0F">
        <w:rPr>
          <w:sz w:val="24"/>
          <w:szCs w:val="24"/>
          <w:lang w:val="en-GB"/>
        </w:rPr>
        <w:t xml:space="preserve">Taberner, I. and </w:t>
      </w:r>
      <w:proofErr w:type="spellStart"/>
      <w:r w:rsidRPr="00051F0F">
        <w:rPr>
          <w:sz w:val="24"/>
          <w:szCs w:val="24"/>
          <w:lang w:val="en-GB"/>
        </w:rPr>
        <w:t>Juncà</w:t>
      </w:r>
      <w:proofErr w:type="spellEnd"/>
      <w:r w:rsidRPr="00051F0F">
        <w:rPr>
          <w:sz w:val="24"/>
          <w:szCs w:val="24"/>
          <w:lang w:val="en-GB"/>
        </w:rPr>
        <w:t xml:space="preserve">, A., 2021. Small-scale sport events as place branding platforms: A content analysis of </w:t>
      </w:r>
      <w:proofErr w:type="spellStart"/>
      <w:r w:rsidRPr="00051F0F">
        <w:rPr>
          <w:sz w:val="24"/>
          <w:szCs w:val="24"/>
          <w:lang w:val="en-GB"/>
        </w:rPr>
        <w:t>Osona’s</w:t>
      </w:r>
      <w:proofErr w:type="spellEnd"/>
      <w:r w:rsidRPr="00051F0F">
        <w:rPr>
          <w:sz w:val="24"/>
          <w:szCs w:val="24"/>
          <w:lang w:val="en-GB"/>
        </w:rPr>
        <w:t xml:space="preserve"> projected destination image through event-related pictures on Instagram. </w:t>
      </w:r>
      <w:r w:rsidRPr="00051F0F">
        <w:rPr>
          <w:i/>
          <w:iCs/>
          <w:sz w:val="24"/>
          <w:szCs w:val="24"/>
        </w:rPr>
        <w:t>Sustainability</w:t>
      </w:r>
      <w:r w:rsidRPr="00051F0F">
        <w:rPr>
          <w:sz w:val="24"/>
          <w:szCs w:val="24"/>
        </w:rPr>
        <w:t>, </w:t>
      </w:r>
      <w:r w:rsidRPr="00051F0F">
        <w:rPr>
          <w:i/>
          <w:iCs/>
          <w:sz w:val="24"/>
          <w:szCs w:val="24"/>
        </w:rPr>
        <w:t>13</w:t>
      </w:r>
      <w:r w:rsidRPr="00051F0F">
        <w:rPr>
          <w:sz w:val="24"/>
          <w:szCs w:val="24"/>
        </w:rPr>
        <w:t>(21), p.12255.</w:t>
      </w:r>
    </w:p>
    <w:p w14:paraId="0D64A743" w14:textId="77777777" w:rsidR="00051F0F" w:rsidRPr="00051F0F" w:rsidRDefault="00051F0F" w:rsidP="00051F0F">
      <w:pPr>
        <w:spacing w:after="0" w:line="480" w:lineRule="auto"/>
        <w:contextualSpacing/>
        <w:rPr>
          <w:sz w:val="24"/>
          <w:szCs w:val="24"/>
          <w:lang w:val="en-GB"/>
        </w:rPr>
      </w:pPr>
      <w:proofErr w:type="spellStart"/>
      <w:r w:rsidRPr="00051F0F">
        <w:rPr>
          <w:sz w:val="24"/>
          <w:szCs w:val="24"/>
          <w:lang w:val="en-GB"/>
        </w:rPr>
        <w:lastRenderedPageBreak/>
        <w:t>Mehrnezhad</w:t>
      </w:r>
      <w:proofErr w:type="spellEnd"/>
      <w:r w:rsidRPr="00051F0F">
        <w:rPr>
          <w:sz w:val="24"/>
          <w:szCs w:val="24"/>
          <w:lang w:val="en-GB"/>
        </w:rPr>
        <w:t>, M. and Almeida, T., 2021, May. Caring for intimate data in fertility technologies. In </w:t>
      </w:r>
      <w:r w:rsidRPr="00051F0F">
        <w:rPr>
          <w:i/>
          <w:iCs/>
          <w:sz w:val="24"/>
          <w:szCs w:val="24"/>
        </w:rPr>
        <w:t>Proceedings of the 2021 CHI conference on human factors in computing systems</w:t>
      </w:r>
      <w:r w:rsidRPr="00051F0F">
        <w:rPr>
          <w:sz w:val="24"/>
          <w:szCs w:val="24"/>
        </w:rPr>
        <w:t> (pp. 1-11).</w:t>
      </w:r>
    </w:p>
    <w:p w14:paraId="5F528C97" w14:textId="69715FAC" w:rsidR="00C37DC9" w:rsidRDefault="00051F0F" w:rsidP="00051F0F">
      <w:pPr>
        <w:spacing w:after="0" w:line="480" w:lineRule="auto"/>
        <w:contextualSpacing/>
        <w:rPr>
          <w:sz w:val="24"/>
          <w:szCs w:val="24"/>
        </w:rPr>
      </w:pPr>
      <w:r w:rsidRPr="00051F0F">
        <w:rPr>
          <w:sz w:val="24"/>
          <w:szCs w:val="24"/>
          <w:lang w:val="en-GB"/>
        </w:rPr>
        <w:t> </w:t>
      </w:r>
    </w:p>
    <w:p w14:paraId="7B43DA73" w14:textId="77777777" w:rsidR="00C37DC9" w:rsidRDefault="00C37DC9" w:rsidP="00C37DC9">
      <w:pPr>
        <w:spacing w:after="0" w:line="480" w:lineRule="auto"/>
        <w:contextualSpacing/>
        <w:rPr>
          <w:sz w:val="24"/>
          <w:szCs w:val="24"/>
        </w:rPr>
      </w:pPr>
    </w:p>
    <w:p w14:paraId="77421246" w14:textId="77777777" w:rsidR="00C37DC9" w:rsidRDefault="00C37DC9" w:rsidP="00C37DC9">
      <w:pPr>
        <w:spacing w:after="0" w:line="480" w:lineRule="auto"/>
        <w:contextualSpacing/>
        <w:rPr>
          <w:sz w:val="24"/>
          <w:szCs w:val="24"/>
        </w:rPr>
      </w:pPr>
    </w:p>
    <w:p w14:paraId="460CB31E" w14:textId="77777777" w:rsidR="00C37DC9" w:rsidRDefault="00C37DC9" w:rsidP="00C37DC9">
      <w:pPr>
        <w:spacing w:after="0" w:line="480" w:lineRule="auto"/>
        <w:contextualSpacing/>
        <w:rPr>
          <w:sz w:val="24"/>
          <w:szCs w:val="24"/>
        </w:rPr>
      </w:pPr>
    </w:p>
    <w:p w14:paraId="70FEC352" w14:textId="77777777" w:rsidR="00C37DC9" w:rsidRDefault="00C37DC9" w:rsidP="00C37DC9">
      <w:pPr>
        <w:spacing w:after="0" w:line="480" w:lineRule="auto"/>
        <w:contextualSpacing/>
        <w:rPr>
          <w:sz w:val="24"/>
          <w:szCs w:val="24"/>
        </w:rPr>
      </w:pPr>
    </w:p>
    <w:p w14:paraId="5090317B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5FDEF859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44E7AEBD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0CE39B36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5403A67A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18F60E41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7F135A84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0B770973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02AD6F35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783C5150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0415C4BB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07BB4039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2C32E0FE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6E562F70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322E8119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6120350F" w14:textId="77777777" w:rsidR="0091719E" w:rsidRDefault="0091719E" w:rsidP="00C37DC9">
      <w:pPr>
        <w:spacing w:after="0" w:line="480" w:lineRule="auto"/>
        <w:contextualSpacing/>
        <w:rPr>
          <w:sz w:val="24"/>
          <w:szCs w:val="24"/>
        </w:rPr>
      </w:pPr>
    </w:p>
    <w:p w14:paraId="469FA1E9" w14:textId="59323283" w:rsidR="0091719E" w:rsidRPr="00C37DC9" w:rsidRDefault="0091719E" w:rsidP="00C37DC9">
      <w:pPr>
        <w:spacing w:after="0" w:line="480" w:lineRule="auto"/>
        <w:contextualSpacing/>
        <w:rPr>
          <w:sz w:val="24"/>
          <w:szCs w:val="24"/>
        </w:rPr>
      </w:pPr>
      <w:hyperlink r:id="rId22" w:history="1">
        <w:r w:rsidRPr="00A73191">
          <w:rPr>
            <w:rStyle w:val="Hyperlink"/>
            <w:sz w:val="24"/>
            <w:szCs w:val="24"/>
          </w:rPr>
          <w:t>https://uowtsd-my.sharepoint.com/:v:/g/personal/2120104_student_uwtsd_ac_uk/EbRqLz43B7JKrJI3XXmlqIkBxV3WauYSqg22QdGwpmHuBQ?referrer=Teams.TEAMS-ELECTRON&amp;referrerScenario=MeetingChicletGetLink.view.view</w:t>
        </w:r>
      </w:hyperlink>
      <w:r>
        <w:rPr>
          <w:sz w:val="24"/>
          <w:szCs w:val="24"/>
        </w:rPr>
        <w:t xml:space="preserve"> </w:t>
      </w:r>
    </w:p>
    <w:sectPr w:rsidR="0091719E" w:rsidRPr="00C37D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DC9"/>
    <w:rsid w:val="00051F0F"/>
    <w:rsid w:val="0033244B"/>
    <w:rsid w:val="003A3296"/>
    <w:rsid w:val="003B25A5"/>
    <w:rsid w:val="0054396B"/>
    <w:rsid w:val="00791286"/>
    <w:rsid w:val="0091719E"/>
    <w:rsid w:val="00C37DC9"/>
    <w:rsid w:val="00DF1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0AF1B"/>
  <w15:chartTrackingRefBased/>
  <w15:docId w15:val="{DE6BDDA9-E2A3-4FB6-9E02-A3E54A1DF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7DC9"/>
    <w:rPr>
      <w:kern w:val="0"/>
      <w:szCs w:val="20"/>
      <w:lang w:val="en-US" w:bidi="hi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71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719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718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3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theme" Target="theme/theme1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hyperlink" Target="https://uowtsd-my.sharepoint.com/:v:/g/personal/2120104_student_uwtsd_ac_uk/EbRqLz43B7JKrJI3XXmlqIkBxV3WauYSqg22QdGwpmHuBQ?referrer=Teams.TEAMS-ELECTRON&amp;referrerScenario=MeetingChicletGetLink.view.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10</Pages>
  <Words>621</Words>
  <Characters>3546</Characters>
  <Application>Microsoft Office Word</Application>
  <DocSecurity>0</DocSecurity>
  <Lines>29</Lines>
  <Paragraphs>8</Paragraphs>
  <ScaleCrop>false</ScaleCrop>
  <Company/>
  <LinksUpToDate>false</LinksUpToDate>
  <CharactersWithSpaces>4159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Cimpoes</dc:creator>
  <cp:keywords/>
  <dc:description/>
  <cp:lastModifiedBy>Radu Cimpoes</cp:lastModifiedBy>
  <cp:revision>8</cp:revision>
  <dcterms:created xsi:type="dcterms:W3CDTF">2024-02-05T12:49:00Z</dcterms:created>
  <dcterms:modified xsi:type="dcterms:W3CDTF">2024-02-09T23:21:00Z</dcterms:modified>
</cp:coreProperties>
</file>