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8"/>
          <w:szCs w:val="22"/>
        </w:rPr>
      </w:sdtEndPr>
      <w:sdtContent>
        <w:p w14:paraId="13A64A92" w14:textId="37F96657"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p w14:paraId="1E743C04" w14:textId="27184345" w:rsidR="005860BE" w:rsidRPr="005860BE" w:rsidRDefault="00CB1B27" w:rsidP="005860BE">
          <w:pPr>
            <w:spacing w:after="165" w:line="360" w:lineRule="auto"/>
            <w:jc w:val="center"/>
            <w:rPr>
              <w:rFonts w:ascii="Tahoma" w:hAnsi="Tahoma" w:cs="Tahoma"/>
              <w:sz w:val="36"/>
              <w:szCs w:val="36"/>
            </w:rPr>
          </w:pPr>
          <w:r>
            <w:rPr>
              <w:rFonts w:ascii="Tahoma" w:hAnsi="Tahoma" w:cs="Tahoma"/>
              <w:sz w:val="36"/>
              <w:szCs w:val="36"/>
            </w:rPr>
            <w:t>MBA</w:t>
          </w:r>
        </w:p>
        <w:p w14:paraId="6D878F9D" w14:textId="6F1547E6" w:rsidR="00A930CB" w:rsidRPr="005860BE" w:rsidRDefault="003A310D" w:rsidP="005860BE">
          <w:pPr>
            <w:spacing w:after="165" w:line="360" w:lineRule="auto"/>
            <w:jc w:val="center"/>
            <w:rPr>
              <w:rFonts w:ascii="Tahoma" w:hAnsi="Tahoma" w:cs="Tahoma"/>
              <w:color w:val="333333"/>
              <w:sz w:val="36"/>
              <w:szCs w:val="36"/>
            </w:rPr>
          </w:pPr>
          <w:r w:rsidRPr="003A310D">
            <w:rPr>
              <w:rFonts w:ascii="Tahoma" w:hAnsi="Tahoma" w:cs="Tahoma"/>
              <w:color w:val="000000"/>
              <w:sz w:val="36"/>
              <w:szCs w:val="36"/>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DAFAEC3" w:rsidR="00A930CB" w:rsidRPr="00CB1B27" w:rsidRDefault="00CB1B27" w:rsidP="00A930CB">
                <w:pPr>
                  <w:spacing w:before="120" w:after="120" w:line="360" w:lineRule="auto"/>
                  <w:rPr>
                    <w:rFonts w:ascii="Tahoma" w:hAnsi="Tahoma" w:cs="Tahoma"/>
                    <w:sz w:val="32"/>
                    <w:szCs w:val="32"/>
                  </w:rPr>
                </w:pPr>
                <w:r w:rsidRPr="00CB1B27">
                  <w:rPr>
                    <w:rFonts w:ascii="Tahoma" w:hAnsi="Tahoma" w:cs="Tahoma"/>
                    <w:sz w:val="32"/>
                    <w:szCs w:val="32"/>
                  </w:rPr>
                  <w:t>LCMB7002</w:t>
                </w:r>
              </w:p>
            </w:tc>
          </w:tr>
          <w:tr w:rsidR="00A930CB" w:rsidRPr="00A930CB" w14:paraId="485DA616" w14:textId="77777777" w:rsidTr="0030173B">
            <w:trPr>
              <w:trHeight w:val="413"/>
            </w:trPr>
            <w:tc>
              <w:tcPr>
                <w:tcW w:w="3438" w:type="dxa"/>
                <w:shd w:val="clear" w:color="auto" w:fill="D9D9D9"/>
              </w:tcPr>
              <w:p w14:paraId="4606D4BD" w14:textId="1A0F60DE"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1C3659" w14:textId="4560A759" w:rsidR="003A310D" w:rsidRPr="00CB1B27" w:rsidRDefault="00CB1B27" w:rsidP="00A930CB">
                <w:pPr>
                  <w:spacing w:before="120" w:after="120" w:line="360" w:lineRule="auto"/>
                  <w:rPr>
                    <w:rFonts w:ascii="Tahoma" w:hAnsi="Tahoma" w:cs="Tahoma"/>
                    <w:sz w:val="32"/>
                    <w:szCs w:val="32"/>
                  </w:rPr>
                </w:pPr>
                <w:r w:rsidRPr="00CB1B27">
                  <w:rPr>
                    <w:rFonts w:ascii="Tahoma" w:hAnsi="Tahoma" w:cs="Tahoma"/>
                    <w:sz w:val="32"/>
                    <w:szCs w:val="32"/>
                  </w:rPr>
                  <w:t>Jia Miao</w:t>
                </w:r>
              </w:p>
            </w:tc>
          </w:tr>
          <w:tr w:rsidR="003A310D" w:rsidRPr="00A930CB" w14:paraId="65A08038" w14:textId="77777777" w:rsidTr="0030173B">
            <w:trPr>
              <w:trHeight w:val="413"/>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5A27CF5" w14:textId="78E70743" w:rsidR="005860BE" w:rsidRPr="00CB1B27" w:rsidRDefault="00CB1B27" w:rsidP="00A930CB">
                <w:pPr>
                  <w:spacing w:before="120" w:after="120" w:line="360" w:lineRule="auto"/>
                  <w:rPr>
                    <w:rFonts w:ascii="Tahoma" w:hAnsi="Tahoma" w:cs="Tahoma"/>
                    <w:sz w:val="32"/>
                    <w:szCs w:val="32"/>
                  </w:rPr>
                </w:pPr>
                <w:r w:rsidRPr="00CB1B27">
                  <w:rPr>
                    <w:rFonts w:ascii="Tahoma" w:hAnsi="Tahoma" w:cs="Tahoma"/>
                    <w:sz w:val="32"/>
                    <w:szCs w:val="32"/>
                  </w:rPr>
                  <w:t>Financial Management</w:t>
                </w:r>
              </w:p>
            </w:tc>
          </w:tr>
          <w:tr w:rsidR="005860BE" w:rsidRPr="00A930CB" w14:paraId="461C057F" w14:textId="77777777" w:rsidTr="0030173B">
            <w:trPr>
              <w:trHeight w:val="413"/>
            </w:trPr>
            <w:tc>
              <w:tcPr>
                <w:tcW w:w="3438" w:type="dxa"/>
                <w:shd w:val="clear" w:color="auto" w:fill="D9D9D9"/>
              </w:tcPr>
              <w:p w14:paraId="3DF52178" w14:textId="25E20F98" w:rsidR="005860BE" w:rsidRPr="00A930CB" w:rsidRDefault="005860BE" w:rsidP="00A930CB">
                <w:pPr>
                  <w:spacing w:before="120" w:after="120" w:line="360" w:lineRule="auto"/>
                  <w:rPr>
                    <w:rFonts w:ascii="Tahoma" w:hAnsi="Tahoma" w:cs="Tahoma"/>
                    <w:sz w:val="32"/>
                    <w:szCs w:val="32"/>
                  </w:rPr>
                </w:pPr>
                <w:r>
                  <w:rPr>
                    <w:rFonts w:ascii="Tahoma" w:hAnsi="Tahoma" w:cs="Tahoma"/>
                    <w:sz w:val="32"/>
                    <w:szCs w:val="32"/>
                  </w:rPr>
                  <w:t>Number of words:</w:t>
                </w:r>
              </w:p>
            </w:tc>
            <w:tc>
              <w:tcPr>
                <w:tcW w:w="6055" w:type="dxa"/>
              </w:tcPr>
              <w:p w14:paraId="0011CE17" w14:textId="77777777" w:rsidR="005860BE" w:rsidRPr="005860BE" w:rsidRDefault="005860BE" w:rsidP="00A930CB">
                <w:pPr>
                  <w:spacing w:before="120" w:after="120" w:line="360" w:lineRule="auto"/>
                  <w:rPr>
                    <w:rFonts w:ascii="Tahoma" w:hAnsi="Tahoma" w:cs="Tahoma"/>
                    <w:sz w:val="32"/>
                    <w:szCs w:val="32"/>
                  </w:rPr>
                </w:pPr>
              </w:p>
            </w:tc>
          </w:tr>
        </w:tbl>
        <w:p w14:paraId="285E1223" w14:textId="77777777" w:rsidR="00642758" w:rsidRDefault="00642758" w:rsidP="0075273F">
          <w:pPr>
            <w:pStyle w:val="Heading2"/>
          </w:pPr>
        </w:p>
        <w:p w14:paraId="225E9DEB" w14:textId="44CDDB2C" w:rsidR="00A930CB" w:rsidRPr="00A930CB" w:rsidRDefault="00A930CB" w:rsidP="0075273F">
          <w:pPr>
            <w:pStyle w:val="Heading2"/>
          </w:pPr>
          <w:r w:rsidRPr="00A930CB">
            <w:t>Statement of Confirmation of Authenticity</w:t>
          </w:r>
        </w:p>
        <w:p w14:paraId="22DD05FB" w14:textId="679FF544" w:rsidR="00A930CB" w:rsidRPr="00A930CB" w:rsidRDefault="00A930CB" w:rsidP="0075273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 xml:space="preserve">By the act of making this submission, </w:t>
          </w:r>
          <w:r w:rsidR="005860BE">
            <w:rPr>
              <w:rFonts w:ascii="Tahoma" w:hAnsi="Tahoma" w:cs="Tahoma"/>
              <w:color w:val="000000"/>
              <w:sz w:val="24"/>
              <w:szCs w:val="24"/>
            </w:rPr>
            <w:t xml:space="preserve">I </w:t>
          </w:r>
          <w:r w:rsidRPr="00A930CB">
            <w:rPr>
              <w:rFonts w:ascii="Tahoma" w:hAnsi="Tahoma" w:cs="Tahoma"/>
              <w:color w:val="000000"/>
              <w:sz w:val="24"/>
              <w:szCs w:val="24"/>
            </w:rPr>
            <w:t xml:space="preserve">declare that this is </w:t>
          </w:r>
          <w:r w:rsidR="005860BE">
            <w:rPr>
              <w:rFonts w:ascii="Tahoma" w:hAnsi="Tahoma" w:cs="Tahoma"/>
              <w:color w:val="000000"/>
              <w:sz w:val="24"/>
              <w:szCs w:val="24"/>
            </w:rPr>
            <w:t>my own</w:t>
          </w:r>
          <w:r w:rsidRPr="00A930CB">
            <w:rPr>
              <w:rFonts w:ascii="Tahoma" w:hAnsi="Tahoma" w:cs="Tahoma"/>
              <w:color w:val="000000"/>
              <w:sz w:val="24"/>
              <w:szCs w:val="24"/>
            </w:rPr>
            <w:t xml:space="preserve"> w</w:t>
          </w:r>
          <w:r w:rsidR="005860BE">
            <w:rPr>
              <w:rFonts w:ascii="Tahoma" w:hAnsi="Tahoma" w:cs="Tahoma"/>
              <w:color w:val="000000"/>
              <w:sz w:val="24"/>
              <w:szCs w:val="24"/>
            </w:rPr>
            <w:t>ork.</w:t>
          </w:r>
          <w:r w:rsidRPr="00A930CB">
            <w:rPr>
              <w:rFonts w:ascii="Tahoma" w:hAnsi="Tahoma" w:cs="Tahoma"/>
              <w:color w:val="000000"/>
              <w:sz w:val="24"/>
              <w:szCs w:val="24"/>
            </w:rPr>
            <w:t xml:space="preserve"> The work has not, in whole or in part, been knowingly presented elsewhere for assessment, or where </w:t>
          </w:r>
          <w:r w:rsidR="00642758">
            <w:rPr>
              <w:rFonts w:ascii="Tahoma" w:hAnsi="Tahoma" w:cs="Tahoma"/>
              <w:color w:val="000000"/>
              <w:sz w:val="24"/>
              <w:szCs w:val="24"/>
            </w:rPr>
            <w:t xml:space="preserve">the </w:t>
          </w:r>
          <w:r w:rsidRPr="00A930CB">
            <w:rPr>
              <w:rFonts w:ascii="Tahoma" w:hAnsi="Tahoma" w:cs="Tahoma"/>
              <w:color w:val="000000"/>
              <w:sz w:val="24"/>
              <w:szCs w:val="24"/>
            </w:rPr>
            <w:t>assessment has been built on a previous assessment, this has been identified. Where materials have been used from other sources</w:t>
          </w:r>
          <w:r w:rsidR="00974DA7">
            <w:rPr>
              <w:rFonts w:ascii="Tahoma" w:hAnsi="Tahoma" w:cs="Tahoma"/>
              <w:color w:val="000000"/>
              <w:sz w:val="24"/>
              <w:szCs w:val="24"/>
            </w:rPr>
            <w:t>,</w:t>
          </w:r>
          <w:r w:rsidRPr="00A930CB">
            <w:rPr>
              <w:rFonts w:ascii="Tahoma" w:hAnsi="Tahoma" w:cs="Tahoma"/>
              <w:color w:val="000000"/>
              <w:sz w:val="24"/>
              <w:szCs w:val="24"/>
            </w:rPr>
            <w:t xml:space="preserve"> it has been properly acknowledged. If this statement is untrue, </w:t>
          </w:r>
          <w:r w:rsidR="005860BE">
            <w:rPr>
              <w:rFonts w:ascii="Tahoma" w:hAnsi="Tahoma" w:cs="Tahoma"/>
              <w:color w:val="000000"/>
              <w:sz w:val="24"/>
              <w:szCs w:val="24"/>
            </w:rPr>
            <w:t>I</w:t>
          </w:r>
          <w:r w:rsidRPr="00A930CB">
            <w:rPr>
              <w:rFonts w:ascii="Tahoma" w:hAnsi="Tahoma" w:cs="Tahoma"/>
              <w:color w:val="000000"/>
              <w:sz w:val="24"/>
              <w:szCs w:val="24"/>
            </w:rPr>
            <w:t xml:space="preserve"> acknowledge that an assessment offence has been committed.</w:t>
          </w:r>
        </w:p>
        <w:p w14:paraId="143B3E36" w14:textId="77777777" w:rsidR="007A0F0B" w:rsidRDefault="00A930CB" w:rsidP="0075273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5EC6DA77" w:rsidR="007A0F0B" w:rsidRDefault="007A0F0B">
          <w:pPr>
            <w:rPr>
              <w:rFonts w:ascii="Tahoma" w:hAnsi="Tahoma" w:cs="Tahoma"/>
              <w:color w:val="000000"/>
              <w:sz w:val="24"/>
              <w:szCs w:val="24"/>
            </w:rPr>
          </w:pP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8"/>
            </w:rPr>
          </w:sdtEndPr>
          <w:sdtContent>
            <w:p w14:paraId="1E6C77B6" w14:textId="6A56EC90" w:rsidR="00885114" w:rsidRDefault="00885114">
              <w:pPr>
                <w:pStyle w:val="TOCHeading"/>
              </w:pPr>
              <w:r>
                <w:t>Table of Contents</w:t>
              </w:r>
            </w:p>
            <w:p w14:paraId="307E5BCC" w14:textId="120ACE40" w:rsidR="0051305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56977339" w:history="1">
                <w:r w:rsidR="00513050" w:rsidRPr="00B43077">
                  <w:rPr>
                    <w:rStyle w:val="Hyperlink"/>
                    <w:noProof/>
                  </w:rPr>
                  <w:t>Introduction</w:t>
                </w:r>
                <w:r w:rsidR="00513050">
                  <w:rPr>
                    <w:noProof/>
                    <w:webHidden/>
                  </w:rPr>
                  <w:tab/>
                </w:r>
                <w:r w:rsidR="00513050">
                  <w:rPr>
                    <w:noProof/>
                    <w:webHidden/>
                  </w:rPr>
                  <w:fldChar w:fldCharType="begin"/>
                </w:r>
                <w:r w:rsidR="00513050">
                  <w:rPr>
                    <w:noProof/>
                    <w:webHidden/>
                  </w:rPr>
                  <w:instrText xml:space="preserve"> PAGEREF _Toc456977339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7A945C73" w14:textId="75EF31DF" w:rsidR="00513050" w:rsidRDefault="00EA0CA8">
              <w:pPr>
                <w:pStyle w:val="TOC2"/>
                <w:tabs>
                  <w:tab w:val="right" w:leader="dot" w:pos="9350"/>
                </w:tabs>
                <w:rPr>
                  <w:rFonts w:eastAsiaTheme="minorEastAsia"/>
                  <w:noProof/>
                  <w:lang w:eastAsia="en-GB"/>
                </w:rPr>
              </w:pPr>
              <w:hyperlink w:anchor="_Toc456977340" w:history="1">
                <w:r w:rsidR="00513050" w:rsidRPr="00B43077">
                  <w:rPr>
                    <w:rStyle w:val="Hyperlink"/>
                    <w:noProof/>
                  </w:rPr>
                  <w:t>Section 1</w:t>
                </w:r>
                <w:r w:rsidR="00513050">
                  <w:rPr>
                    <w:noProof/>
                    <w:webHidden/>
                  </w:rPr>
                  <w:tab/>
                </w:r>
                <w:r w:rsidR="00513050">
                  <w:rPr>
                    <w:noProof/>
                    <w:webHidden/>
                  </w:rPr>
                  <w:fldChar w:fldCharType="begin"/>
                </w:r>
                <w:r w:rsidR="00513050">
                  <w:rPr>
                    <w:noProof/>
                    <w:webHidden/>
                  </w:rPr>
                  <w:instrText xml:space="preserve"> PAGEREF _Toc456977340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28ABA296" w14:textId="141346B8" w:rsidR="00513050" w:rsidRDefault="00EA0CA8">
              <w:pPr>
                <w:pStyle w:val="TOC2"/>
                <w:tabs>
                  <w:tab w:val="right" w:leader="dot" w:pos="9350"/>
                </w:tabs>
                <w:rPr>
                  <w:rFonts w:eastAsiaTheme="minorEastAsia"/>
                  <w:noProof/>
                  <w:lang w:eastAsia="en-GB"/>
                </w:rPr>
              </w:pPr>
              <w:hyperlink w:anchor="_Toc456977341" w:history="1">
                <w:r w:rsidR="00513050" w:rsidRPr="00B43077">
                  <w:rPr>
                    <w:rStyle w:val="Hyperlink"/>
                    <w:noProof/>
                  </w:rPr>
                  <w:t>Section 2</w:t>
                </w:r>
                <w:r w:rsidR="00513050">
                  <w:rPr>
                    <w:noProof/>
                    <w:webHidden/>
                  </w:rPr>
                  <w:tab/>
                </w:r>
                <w:r w:rsidR="00513050">
                  <w:rPr>
                    <w:noProof/>
                    <w:webHidden/>
                  </w:rPr>
                  <w:fldChar w:fldCharType="begin"/>
                </w:r>
                <w:r w:rsidR="00513050">
                  <w:rPr>
                    <w:noProof/>
                    <w:webHidden/>
                  </w:rPr>
                  <w:instrText xml:space="preserve"> PAGEREF _Toc456977341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5B89233E" w14:textId="6A3FA44B" w:rsidR="00513050" w:rsidRDefault="00EA0CA8">
              <w:pPr>
                <w:pStyle w:val="TOC2"/>
                <w:tabs>
                  <w:tab w:val="right" w:leader="dot" w:pos="9350"/>
                </w:tabs>
                <w:rPr>
                  <w:rFonts w:eastAsiaTheme="minorEastAsia"/>
                  <w:noProof/>
                  <w:lang w:eastAsia="en-GB"/>
                </w:rPr>
              </w:pPr>
              <w:hyperlink w:anchor="_Toc456977342" w:history="1">
                <w:r w:rsidR="00513050" w:rsidRPr="00B43077">
                  <w:rPr>
                    <w:rStyle w:val="Hyperlink"/>
                    <w:noProof/>
                  </w:rPr>
                  <w:t>Section 3</w:t>
                </w:r>
                <w:r w:rsidR="00513050">
                  <w:rPr>
                    <w:noProof/>
                    <w:webHidden/>
                  </w:rPr>
                  <w:tab/>
                </w:r>
                <w:r w:rsidR="00513050">
                  <w:rPr>
                    <w:noProof/>
                    <w:webHidden/>
                  </w:rPr>
                  <w:fldChar w:fldCharType="begin"/>
                </w:r>
                <w:r w:rsidR="00513050">
                  <w:rPr>
                    <w:noProof/>
                    <w:webHidden/>
                  </w:rPr>
                  <w:instrText xml:space="preserve"> PAGEREF _Toc456977342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3719D7B1" w14:textId="1E498D55" w:rsidR="00513050" w:rsidRDefault="00EA0CA8">
              <w:pPr>
                <w:pStyle w:val="TOC2"/>
                <w:tabs>
                  <w:tab w:val="right" w:leader="dot" w:pos="9350"/>
                </w:tabs>
                <w:rPr>
                  <w:rFonts w:eastAsiaTheme="minorEastAsia"/>
                  <w:noProof/>
                  <w:lang w:eastAsia="en-GB"/>
                </w:rPr>
              </w:pPr>
              <w:hyperlink w:anchor="_Toc456977343" w:history="1">
                <w:r w:rsidR="00513050" w:rsidRPr="00B43077">
                  <w:rPr>
                    <w:rStyle w:val="Hyperlink"/>
                    <w:noProof/>
                  </w:rPr>
                  <w:t>Section 4</w:t>
                </w:r>
                <w:r w:rsidR="00513050">
                  <w:rPr>
                    <w:noProof/>
                    <w:webHidden/>
                  </w:rPr>
                  <w:tab/>
                </w:r>
                <w:r w:rsidR="00513050">
                  <w:rPr>
                    <w:noProof/>
                    <w:webHidden/>
                  </w:rPr>
                  <w:fldChar w:fldCharType="begin"/>
                </w:r>
                <w:r w:rsidR="00513050">
                  <w:rPr>
                    <w:noProof/>
                    <w:webHidden/>
                  </w:rPr>
                  <w:instrText xml:space="preserve"> PAGEREF _Toc456977343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757476CB" w14:textId="3FE576DA" w:rsidR="00513050" w:rsidRDefault="00EA0CA8">
              <w:pPr>
                <w:pStyle w:val="TOC2"/>
                <w:tabs>
                  <w:tab w:val="right" w:leader="dot" w:pos="9350"/>
                </w:tabs>
                <w:rPr>
                  <w:rFonts w:eastAsiaTheme="minorEastAsia"/>
                  <w:noProof/>
                  <w:lang w:eastAsia="en-GB"/>
                </w:rPr>
              </w:pPr>
              <w:hyperlink w:anchor="_Toc456977344" w:history="1">
                <w:r w:rsidR="00513050" w:rsidRPr="00B43077">
                  <w:rPr>
                    <w:rStyle w:val="Hyperlink"/>
                    <w:noProof/>
                  </w:rPr>
                  <w:t>Section 5</w:t>
                </w:r>
                <w:r w:rsidR="00513050">
                  <w:rPr>
                    <w:noProof/>
                    <w:webHidden/>
                  </w:rPr>
                  <w:tab/>
                </w:r>
                <w:r w:rsidR="00513050">
                  <w:rPr>
                    <w:noProof/>
                    <w:webHidden/>
                  </w:rPr>
                  <w:fldChar w:fldCharType="begin"/>
                </w:r>
                <w:r w:rsidR="00513050">
                  <w:rPr>
                    <w:noProof/>
                    <w:webHidden/>
                  </w:rPr>
                  <w:instrText xml:space="preserve"> PAGEREF _Toc456977344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0FFE2D41" w14:textId="03A875CD" w:rsidR="00513050" w:rsidRDefault="00EA0CA8">
              <w:pPr>
                <w:pStyle w:val="TOC2"/>
                <w:tabs>
                  <w:tab w:val="right" w:leader="dot" w:pos="9350"/>
                </w:tabs>
                <w:rPr>
                  <w:rFonts w:eastAsiaTheme="minorEastAsia"/>
                  <w:noProof/>
                  <w:lang w:eastAsia="en-GB"/>
                </w:rPr>
              </w:pPr>
              <w:hyperlink w:anchor="_Toc456977345" w:history="1">
                <w:r w:rsidR="00513050" w:rsidRPr="00B43077">
                  <w:rPr>
                    <w:rStyle w:val="Hyperlink"/>
                    <w:noProof/>
                  </w:rPr>
                  <w:t>Section 6</w:t>
                </w:r>
                <w:r w:rsidR="00513050">
                  <w:rPr>
                    <w:noProof/>
                    <w:webHidden/>
                  </w:rPr>
                  <w:tab/>
                </w:r>
                <w:r w:rsidR="00513050">
                  <w:rPr>
                    <w:noProof/>
                    <w:webHidden/>
                  </w:rPr>
                  <w:fldChar w:fldCharType="begin"/>
                </w:r>
                <w:r w:rsidR="00513050">
                  <w:rPr>
                    <w:noProof/>
                    <w:webHidden/>
                  </w:rPr>
                  <w:instrText xml:space="preserve"> PAGEREF _Toc456977345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251AD27C" w14:textId="773BA2FA" w:rsidR="00513050" w:rsidRDefault="00EA0CA8">
              <w:pPr>
                <w:pStyle w:val="TOC2"/>
                <w:tabs>
                  <w:tab w:val="right" w:leader="dot" w:pos="9350"/>
                </w:tabs>
                <w:rPr>
                  <w:rFonts w:eastAsiaTheme="minorEastAsia"/>
                  <w:noProof/>
                  <w:lang w:eastAsia="en-GB"/>
                </w:rPr>
              </w:pPr>
              <w:hyperlink w:anchor="_Toc456977346" w:history="1">
                <w:r w:rsidR="00513050" w:rsidRPr="00B43077">
                  <w:rPr>
                    <w:rStyle w:val="Hyperlink"/>
                    <w:noProof/>
                  </w:rPr>
                  <w:t>Conclusion</w:t>
                </w:r>
                <w:r w:rsidR="00513050">
                  <w:rPr>
                    <w:noProof/>
                    <w:webHidden/>
                  </w:rPr>
                  <w:tab/>
                </w:r>
                <w:r w:rsidR="00513050">
                  <w:rPr>
                    <w:noProof/>
                    <w:webHidden/>
                  </w:rPr>
                  <w:fldChar w:fldCharType="begin"/>
                </w:r>
                <w:r w:rsidR="00513050">
                  <w:rPr>
                    <w:noProof/>
                    <w:webHidden/>
                  </w:rPr>
                  <w:instrText xml:space="preserve"> PAGEREF _Toc456977346 \h </w:instrText>
                </w:r>
                <w:r w:rsidR="00513050">
                  <w:rPr>
                    <w:noProof/>
                    <w:webHidden/>
                  </w:rPr>
                </w:r>
                <w:r w:rsidR="00513050">
                  <w:rPr>
                    <w:noProof/>
                    <w:webHidden/>
                  </w:rPr>
                  <w:fldChar w:fldCharType="separate"/>
                </w:r>
                <w:r w:rsidR="00513050">
                  <w:rPr>
                    <w:noProof/>
                    <w:webHidden/>
                  </w:rPr>
                  <w:t>5</w:t>
                </w:r>
                <w:r w:rsidR="00513050">
                  <w:rPr>
                    <w:noProof/>
                    <w:webHidden/>
                  </w:rPr>
                  <w:fldChar w:fldCharType="end"/>
                </w:r>
              </w:hyperlink>
            </w:p>
            <w:p w14:paraId="1109978C" w14:textId="1F0F22A6" w:rsidR="00513050" w:rsidRDefault="00EA0CA8">
              <w:pPr>
                <w:pStyle w:val="TOC2"/>
                <w:tabs>
                  <w:tab w:val="right" w:leader="dot" w:pos="9350"/>
                </w:tabs>
                <w:rPr>
                  <w:rFonts w:eastAsiaTheme="minorEastAsia"/>
                  <w:noProof/>
                  <w:lang w:eastAsia="en-GB"/>
                </w:rPr>
              </w:pPr>
              <w:hyperlink w:anchor="_Toc456977347" w:history="1">
                <w:r w:rsidR="00513050" w:rsidRPr="00B43077">
                  <w:rPr>
                    <w:rStyle w:val="Hyperlink"/>
                    <w:noProof/>
                  </w:rPr>
                  <w:t>Bibliography</w:t>
                </w:r>
                <w:r w:rsidR="00513050">
                  <w:rPr>
                    <w:noProof/>
                    <w:webHidden/>
                  </w:rPr>
                  <w:tab/>
                </w:r>
                <w:r w:rsidR="00513050">
                  <w:rPr>
                    <w:noProof/>
                    <w:webHidden/>
                  </w:rPr>
                  <w:fldChar w:fldCharType="begin"/>
                </w:r>
                <w:r w:rsidR="00513050">
                  <w:rPr>
                    <w:noProof/>
                    <w:webHidden/>
                  </w:rPr>
                  <w:instrText xml:space="preserve"> PAGEREF _Toc456977347 \h </w:instrText>
                </w:r>
                <w:r w:rsidR="00513050">
                  <w:rPr>
                    <w:noProof/>
                    <w:webHidden/>
                  </w:rPr>
                </w:r>
                <w:r w:rsidR="00513050">
                  <w:rPr>
                    <w:noProof/>
                    <w:webHidden/>
                  </w:rPr>
                  <w:fldChar w:fldCharType="separate"/>
                </w:r>
                <w:r w:rsidR="00513050">
                  <w:rPr>
                    <w:noProof/>
                    <w:webHidden/>
                  </w:rPr>
                  <w:t>6</w:t>
                </w:r>
                <w:r w:rsidR="00513050">
                  <w:rPr>
                    <w:noProof/>
                    <w:webHidden/>
                  </w:rPr>
                  <w:fldChar w:fldCharType="end"/>
                </w:r>
              </w:hyperlink>
            </w:p>
            <w:p w14:paraId="380787B0" w14:textId="1EF9C31C" w:rsidR="00513050" w:rsidRDefault="00EA0CA8">
              <w:pPr>
                <w:pStyle w:val="TOC2"/>
                <w:tabs>
                  <w:tab w:val="right" w:leader="dot" w:pos="9350"/>
                </w:tabs>
                <w:rPr>
                  <w:rFonts w:eastAsiaTheme="minorEastAsia"/>
                  <w:noProof/>
                  <w:lang w:eastAsia="en-GB"/>
                </w:rPr>
              </w:pPr>
              <w:hyperlink w:anchor="_Toc456977348" w:history="1">
                <w:r w:rsidR="00513050" w:rsidRPr="00B43077">
                  <w:rPr>
                    <w:rStyle w:val="Hyperlink"/>
                    <w:noProof/>
                  </w:rPr>
                  <w:t>Appendix 1</w:t>
                </w:r>
                <w:r w:rsidR="00513050">
                  <w:rPr>
                    <w:noProof/>
                    <w:webHidden/>
                  </w:rPr>
                  <w:tab/>
                </w:r>
                <w:r w:rsidR="00513050">
                  <w:rPr>
                    <w:noProof/>
                    <w:webHidden/>
                  </w:rPr>
                  <w:fldChar w:fldCharType="begin"/>
                </w:r>
                <w:r w:rsidR="00513050">
                  <w:rPr>
                    <w:noProof/>
                    <w:webHidden/>
                  </w:rPr>
                  <w:instrText xml:space="preserve"> PAGEREF _Toc456977348 \h </w:instrText>
                </w:r>
                <w:r w:rsidR="00513050">
                  <w:rPr>
                    <w:noProof/>
                    <w:webHidden/>
                  </w:rPr>
                </w:r>
                <w:r w:rsidR="00513050">
                  <w:rPr>
                    <w:noProof/>
                    <w:webHidden/>
                  </w:rPr>
                  <w:fldChar w:fldCharType="separate"/>
                </w:r>
                <w:r w:rsidR="00513050">
                  <w:rPr>
                    <w:noProof/>
                    <w:webHidden/>
                  </w:rPr>
                  <w:t>7</w:t>
                </w:r>
                <w:r w:rsidR="00513050">
                  <w:rPr>
                    <w:noProof/>
                    <w:webHidden/>
                  </w:rPr>
                  <w:fldChar w:fldCharType="end"/>
                </w:r>
              </w:hyperlink>
            </w:p>
            <w:p w14:paraId="13ED3CC3" w14:textId="38C56E79" w:rsidR="00513050" w:rsidRDefault="00EA0CA8">
              <w:pPr>
                <w:pStyle w:val="TOC2"/>
                <w:tabs>
                  <w:tab w:val="right" w:leader="dot" w:pos="9350"/>
                </w:tabs>
                <w:rPr>
                  <w:rFonts w:eastAsiaTheme="minorEastAsia"/>
                  <w:noProof/>
                  <w:lang w:eastAsia="en-GB"/>
                </w:rPr>
              </w:pPr>
              <w:hyperlink w:anchor="_Toc456977349" w:history="1">
                <w:r w:rsidR="00513050" w:rsidRPr="00B43077">
                  <w:rPr>
                    <w:rStyle w:val="Hyperlink"/>
                    <w:noProof/>
                  </w:rPr>
                  <w:t>Appendix 2</w:t>
                </w:r>
                <w:r w:rsidR="00513050">
                  <w:rPr>
                    <w:noProof/>
                    <w:webHidden/>
                  </w:rPr>
                  <w:tab/>
                </w:r>
                <w:r w:rsidR="00513050">
                  <w:rPr>
                    <w:noProof/>
                    <w:webHidden/>
                  </w:rPr>
                  <w:fldChar w:fldCharType="begin"/>
                </w:r>
                <w:r w:rsidR="00513050">
                  <w:rPr>
                    <w:noProof/>
                    <w:webHidden/>
                  </w:rPr>
                  <w:instrText xml:space="preserve"> PAGEREF _Toc456977349 \h </w:instrText>
                </w:r>
                <w:r w:rsidR="00513050">
                  <w:rPr>
                    <w:noProof/>
                    <w:webHidden/>
                  </w:rPr>
                </w:r>
                <w:r w:rsidR="00513050">
                  <w:rPr>
                    <w:noProof/>
                    <w:webHidden/>
                  </w:rPr>
                  <w:fldChar w:fldCharType="separate"/>
                </w:r>
                <w:r w:rsidR="00513050">
                  <w:rPr>
                    <w:noProof/>
                    <w:webHidden/>
                  </w:rPr>
                  <w:t>8</w:t>
                </w:r>
                <w:r w:rsidR="00513050">
                  <w:rPr>
                    <w:noProof/>
                    <w:webHidden/>
                  </w:rPr>
                  <w:fldChar w:fldCharType="end"/>
                </w:r>
              </w:hyperlink>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A0CA8" w:rsidP="00885114">
          <w:pPr>
            <w:spacing w:before="120" w:after="120" w:line="360" w:lineRule="auto"/>
            <w:rPr>
              <w:rFonts w:ascii="Tahoma" w:hAnsi="Tahoma" w:cs="Tahoma"/>
              <w:color w:val="000000"/>
              <w:sz w:val="24"/>
              <w:szCs w:val="24"/>
            </w:rPr>
          </w:pPr>
        </w:p>
      </w:sdtContent>
    </w:sdt>
    <w:p w14:paraId="37F4C18A" w14:textId="77777777" w:rsidR="0050363D" w:rsidRDefault="0050363D" w:rsidP="00885114"/>
    <w:p w14:paraId="0D69A04B" w14:textId="77777777" w:rsidR="0050363D" w:rsidRDefault="0050363D" w:rsidP="00885114"/>
    <w:p w14:paraId="6394DA5C" w14:textId="77777777" w:rsidR="0050363D" w:rsidRDefault="0050363D" w:rsidP="00885114"/>
    <w:p w14:paraId="25FD5807" w14:textId="77777777" w:rsidR="0050363D" w:rsidRDefault="0050363D" w:rsidP="00885114"/>
    <w:p w14:paraId="1A7CBFC3" w14:textId="6089EAB0" w:rsidR="00F53EF8" w:rsidRPr="00885114" w:rsidRDefault="007A0F0B" w:rsidP="00885114">
      <w:r>
        <w:br w:type="page"/>
      </w:r>
    </w:p>
    <w:p w14:paraId="00F557E7" w14:textId="4BCAD708" w:rsidR="0050363D" w:rsidRDefault="0050363D" w:rsidP="00DA2F53">
      <w:pPr>
        <w:pStyle w:val="Heading1"/>
        <w:jc w:val="both"/>
      </w:pPr>
      <w:bookmarkStart w:id="0" w:name="_Toc456901515"/>
      <w:bookmarkStart w:id="1" w:name="_Toc456977339"/>
      <w:r>
        <w:lastRenderedPageBreak/>
        <w:t>Executive Summary</w:t>
      </w:r>
    </w:p>
    <w:p w14:paraId="3FA82C77" w14:textId="77777777" w:rsidR="00895BBD" w:rsidRPr="00895BBD" w:rsidRDefault="00895BBD" w:rsidP="00895BBD"/>
    <w:p w14:paraId="5758C8A9" w14:textId="329C6398" w:rsidR="0050363D" w:rsidRPr="00895BBD" w:rsidRDefault="0050363D" w:rsidP="00895BBD">
      <w:pPr>
        <w:jc w:val="both"/>
        <w:rPr>
          <w:rFonts w:cs="Arial"/>
          <w:color w:val="111111"/>
          <w:szCs w:val="28"/>
          <w:shd w:val="clear" w:color="auto" w:fill="FFFFFF"/>
        </w:rPr>
      </w:pPr>
      <w:r w:rsidRPr="00895BBD">
        <w:rPr>
          <w:rFonts w:cs="Arial"/>
          <w:color w:val="111111"/>
          <w:szCs w:val="28"/>
          <w:shd w:val="clear" w:color="auto" w:fill="FFFFFF"/>
        </w:rPr>
        <w:t>The main objective of this study is to present the Dixons Carphone financial performance, making a clear corporate assessment. The report utilised quantitative approach of official sources</w:t>
      </w:r>
      <w:r w:rsidR="00895BBD">
        <w:rPr>
          <w:rFonts w:cs="Arial"/>
          <w:color w:val="111111"/>
          <w:szCs w:val="28"/>
          <w:shd w:val="clear" w:color="auto" w:fill="FFFFFF"/>
        </w:rPr>
        <w:t xml:space="preserve">. </w:t>
      </w:r>
      <w:r w:rsidR="00FF4853" w:rsidRPr="00895BBD">
        <w:rPr>
          <w:rFonts w:cs="Arial"/>
          <w:szCs w:val="28"/>
        </w:rPr>
        <w:t xml:space="preserve">These ratios will be compared to one of Dixons Carphone’s competitor </w:t>
      </w:r>
      <w:proofErr w:type="spellStart"/>
      <w:r w:rsidR="00FF4853" w:rsidRPr="00895BBD">
        <w:rPr>
          <w:rFonts w:cs="Arial"/>
          <w:szCs w:val="28"/>
        </w:rPr>
        <w:t>Mediamarkt</w:t>
      </w:r>
      <w:proofErr w:type="spellEnd"/>
      <w:r w:rsidR="00895BBD">
        <w:rPr>
          <w:rFonts w:cs="Arial"/>
          <w:szCs w:val="28"/>
        </w:rPr>
        <w:t>.</w:t>
      </w:r>
    </w:p>
    <w:p w14:paraId="7011D676" w14:textId="34A57D76" w:rsidR="0050363D" w:rsidRPr="00895BBD" w:rsidRDefault="00895BBD" w:rsidP="00895BBD">
      <w:pPr>
        <w:jc w:val="both"/>
        <w:rPr>
          <w:szCs w:val="28"/>
        </w:rPr>
      </w:pPr>
      <w:r w:rsidRPr="00895BBD">
        <w:rPr>
          <w:rFonts w:cs="Arial"/>
          <w:szCs w:val="28"/>
          <w:shd w:val="clear" w:color="auto" w:fill="FFFFFF"/>
        </w:rPr>
        <w:t>Financial ratios can help reveal how efficiently a retail company sells products, markets its goods and runs its entire business.</w:t>
      </w:r>
    </w:p>
    <w:p w14:paraId="79D15E0B" w14:textId="346E9522" w:rsidR="0050363D" w:rsidRPr="00895BBD" w:rsidRDefault="00FF4853" w:rsidP="00895BBD">
      <w:pPr>
        <w:jc w:val="both"/>
        <w:rPr>
          <w:szCs w:val="28"/>
        </w:rPr>
      </w:pPr>
      <w:r w:rsidRPr="00895BBD">
        <w:rPr>
          <w:rFonts w:cs="Arial"/>
          <w:szCs w:val="28"/>
        </w:rPr>
        <w:t>The Payback Period (PBP), Accounting Rate of Return (ARR), Internal Rate of Return and the Net Present Value (NPV) for the two projects will be calculated in order to determine the most suitable project for the organisation.</w:t>
      </w:r>
    </w:p>
    <w:p w14:paraId="4E5C6E45" w14:textId="77777777" w:rsidR="0050363D" w:rsidRDefault="0050363D" w:rsidP="00DA2F53">
      <w:pPr>
        <w:pStyle w:val="Heading1"/>
        <w:jc w:val="both"/>
      </w:pPr>
    </w:p>
    <w:p w14:paraId="0E9BEB1B" w14:textId="5F39FAEE" w:rsidR="0065558B" w:rsidRDefault="0006008A" w:rsidP="00DA2F53">
      <w:pPr>
        <w:pStyle w:val="Heading1"/>
        <w:jc w:val="both"/>
      </w:pPr>
      <w:r w:rsidRPr="0030173B">
        <w:t>Introduction</w:t>
      </w:r>
      <w:bookmarkEnd w:id="0"/>
      <w:bookmarkEnd w:id="1"/>
    </w:p>
    <w:p w14:paraId="2849D138" w14:textId="77777777" w:rsidR="00DA4DB4" w:rsidRPr="00DA4DB4" w:rsidRDefault="00DA4DB4" w:rsidP="00DA2F53">
      <w:pPr>
        <w:jc w:val="both"/>
      </w:pPr>
    </w:p>
    <w:p w14:paraId="12B8F32A" w14:textId="2E83E9E0" w:rsidR="0065558B" w:rsidRPr="00895BBD" w:rsidRDefault="00DA4DB4" w:rsidP="00DA2F53">
      <w:pPr>
        <w:jc w:val="both"/>
        <w:rPr>
          <w:szCs w:val="28"/>
        </w:rPr>
      </w:pPr>
      <w:r w:rsidRPr="00895BBD">
        <w:rPr>
          <w:rFonts w:cs="Arial"/>
          <w:color w:val="111111"/>
          <w:szCs w:val="28"/>
          <w:shd w:val="clear" w:color="auto" w:fill="FFFFFF"/>
        </w:rPr>
        <w:t xml:space="preserve">The main objective of this study is to present the Dixons Carphone financial performance, </w:t>
      </w:r>
      <w:r w:rsidR="00BD6D9A" w:rsidRPr="00895BBD">
        <w:rPr>
          <w:rFonts w:cs="Arial"/>
          <w:color w:val="111111"/>
          <w:szCs w:val="28"/>
          <w:shd w:val="clear" w:color="auto" w:fill="FFFFFF"/>
        </w:rPr>
        <w:t>making a clear corporate assessment</w:t>
      </w:r>
      <w:r w:rsidRPr="00895BBD">
        <w:rPr>
          <w:rFonts w:cs="Arial"/>
          <w:color w:val="111111"/>
          <w:szCs w:val="28"/>
          <w:shd w:val="clear" w:color="auto" w:fill="FFFFFF"/>
        </w:rPr>
        <w:t xml:space="preserve">. </w:t>
      </w:r>
      <w:r w:rsidR="00BD6D9A" w:rsidRPr="00895BBD">
        <w:rPr>
          <w:rFonts w:cs="Arial"/>
          <w:color w:val="111111"/>
          <w:szCs w:val="28"/>
          <w:shd w:val="clear" w:color="auto" w:fill="FFFFFF"/>
        </w:rPr>
        <w:t>The report utilised quantitative approach of official sources</w:t>
      </w:r>
      <w:r w:rsidRPr="00895BBD">
        <w:rPr>
          <w:rFonts w:cs="Arial"/>
          <w:color w:val="111111"/>
          <w:szCs w:val="28"/>
          <w:shd w:val="clear" w:color="auto" w:fill="FFFFFF"/>
        </w:rPr>
        <w:t>.</w:t>
      </w:r>
    </w:p>
    <w:p w14:paraId="3ED55503" w14:textId="3E794BBB" w:rsidR="00D2291D" w:rsidRPr="00895BBD" w:rsidRDefault="0065558B" w:rsidP="00DA2F53">
      <w:pPr>
        <w:jc w:val="both"/>
        <w:rPr>
          <w:rFonts w:cs="Arial"/>
          <w:szCs w:val="28"/>
        </w:rPr>
      </w:pPr>
      <w:r w:rsidRPr="00895BBD">
        <w:rPr>
          <w:szCs w:val="28"/>
        </w:rPr>
        <w:t xml:space="preserve">This report </w:t>
      </w:r>
      <w:r w:rsidR="00DA4DB4" w:rsidRPr="00895BBD">
        <w:rPr>
          <w:szCs w:val="28"/>
        </w:rPr>
        <w:t>will show</w:t>
      </w:r>
      <w:r w:rsidRPr="00895BBD">
        <w:rPr>
          <w:szCs w:val="28"/>
        </w:rPr>
        <w:t xml:space="preserve"> </w:t>
      </w:r>
      <w:r w:rsidRPr="00895BBD">
        <w:rPr>
          <w:rFonts w:cs="Arial"/>
          <w:szCs w:val="28"/>
        </w:rPr>
        <w:t>financial ratios which assist management with their selling operations.</w:t>
      </w:r>
      <w:r w:rsidR="0006008A" w:rsidRPr="00895BBD">
        <w:rPr>
          <w:szCs w:val="28"/>
        </w:rPr>
        <w:t xml:space="preserve"> </w:t>
      </w:r>
      <w:r w:rsidR="00F96C1E" w:rsidRPr="00895BBD">
        <w:rPr>
          <w:rFonts w:cs="Arial"/>
          <w:szCs w:val="28"/>
        </w:rPr>
        <w:t>The idea is for investor analyst to use the financial ratios to decide if a business is profitable, efficiency, stability and liquidit</w:t>
      </w:r>
      <w:r w:rsidR="00833365" w:rsidRPr="00895BBD">
        <w:rPr>
          <w:rFonts w:cs="Arial"/>
          <w:szCs w:val="28"/>
        </w:rPr>
        <w:t xml:space="preserve">y </w:t>
      </w:r>
      <w:r w:rsidR="00F96C1E" w:rsidRPr="00895BBD">
        <w:rPr>
          <w:rFonts w:cs="Arial"/>
          <w:szCs w:val="28"/>
        </w:rPr>
        <w:t>of the company.</w:t>
      </w:r>
      <w:r w:rsidR="007C0105" w:rsidRPr="00895BBD">
        <w:rPr>
          <w:rFonts w:cs="Arial"/>
          <w:szCs w:val="28"/>
        </w:rPr>
        <w:t xml:space="preserve"> </w:t>
      </w:r>
      <w:r w:rsidR="00833365" w:rsidRPr="00895BBD">
        <w:rPr>
          <w:szCs w:val="28"/>
        </w:rPr>
        <w:t xml:space="preserve">Additionally, ratios can be used to help </w:t>
      </w:r>
      <w:r w:rsidR="007C0105" w:rsidRPr="00895BBD">
        <w:rPr>
          <w:szCs w:val="28"/>
        </w:rPr>
        <w:t>reveal</w:t>
      </w:r>
      <w:r w:rsidR="00833365" w:rsidRPr="00895BBD">
        <w:rPr>
          <w:szCs w:val="28"/>
        </w:rPr>
        <w:t xml:space="preserve"> how well the company sells </w:t>
      </w:r>
      <w:r w:rsidR="007C0105" w:rsidRPr="00895BBD">
        <w:rPr>
          <w:szCs w:val="28"/>
        </w:rPr>
        <w:t xml:space="preserve">its </w:t>
      </w:r>
      <w:r w:rsidR="00833365" w:rsidRPr="00895BBD">
        <w:rPr>
          <w:szCs w:val="28"/>
        </w:rPr>
        <w:t xml:space="preserve">products, purchases its product and runs its </w:t>
      </w:r>
      <w:r w:rsidR="003064A0" w:rsidRPr="00895BBD">
        <w:rPr>
          <w:szCs w:val="28"/>
        </w:rPr>
        <w:t>business</w:t>
      </w:r>
      <w:r w:rsidR="00833365" w:rsidRPr="00895BBD">
        <w:rPr>
          <w:szCs w:val="28"/>
        </w:rPr>
        <w:t xml:space="preserve"> as a whole.</w:t>
      </w:r>
    </w:p>
    <w:p w14:paraId="2432AB24" w14:textId="6BA2E38D" w:rsidR="00F746A3" w:rsidRPr="00895BBD" w:rsidRDefault="003064A0" w:rsidP="00DA2F53">
      <w:pPr>
        <w:jc w:val="both"/>
        <w:rPr>
          <w:rStyle w:val="Emphasis"/>
          <w:i w:val="0"/>
          <w:iCs w:val="0"/>
          <w:szCs w:val="28"/>
        </w:rPr>
      </w:pPr>
      <w:r w:rsidRPr="00895BBD">
        <w:rPr>
          <w:rFonts w:cs="Arial"/>
          <w:szCs w:val="28"/>
        </w:rPr>
        <w:t xml:space="preserve">For this report the </w:t>
      </w:r>
      <w:r w:rsidR="006600F1" w:rsidRPr="00895BBD">
        <w:rPr>
          <w:rFonts w:cs="Arial"/>
          <w:szCs w:val="28"/>
        </w:rPr>
        <w:t xml:space="preserve">use of four </w:t>
      </w:r>
      <w:r w:rsidR="00CF5C8A" w:rsidRPr="00895BBD">
        <w:rPr>
          <w:rFonts w:cs="Arial"/>
          <w:szCs w:val="28"/>
        </w:rPr>
        <w:t xml:space="preserve">ratios </w:t>
      </w:r>
      <w:r w:rsidR="006600F1" w:rsidRPr="00895BBD">
        <w:rPr>
          <w:rFonts w:cs="Arial"/>
          <w:szCs w:val="28"/>
        </w:rPr>
        <w:t xml:space="preserve">to determine </w:t>
      </w:r>
      <w:r w:rsidRPr="00895BBD">
        <w:rPr>
          <w:rFonts w:cs="Arial"/>
          <w:szCs w:val="28"/>
        </w:rPr>
        <w:t xml:space="preserve">Dixon Carphone </w:t>
      </w:r>
      <w:r w:rsidR="006600F1" w:rsidRPr="00895BBD">
        <w:rPr>
          <w:rFonts w:cs="Arial"/>
          <w:szCs w:val="28"/>
        </w:rPr>
        <w:t xml:space="preserve">standing </w:t>
      </w:r>
      <w:r w:rsidRPr="00895BBD">
        <w:rPr>
          <w:rFonts w:cs="Arial"/>
          <w:szCs w:val="28"/>
        </w:rPr>
        <w:t>over a five-year period.</w:t>
      </w:r>
      <w:r w:rsidR="006600F1" w:rsidRPr="00895BBD">
        <w:rPr>
          <w:szCs w:val="28"/>
        </w:rPr>
        <w:t xml:space="preserve"> </w:t>
      </w:r>
      <w:r w:rsidR="006600F1" w:rsidRPr="00895BBD">
        <w:rPr>
          <w:rFonts w:cs="Arial"/>
          <w:szCs w:val="28"/>
        </w:rPr>
        <w:t xml:space="preserve">Ratio analysis is a quantitative way of obtaining a perspective into the liquidity, operational efficiency and profitability of a company by making comparisons of information gathered from financial statements. </w:t>
      </w:r>
      <w:r w:rsidR="006600F1" w:rsidRPr="00895BBD">
        <w:rPr>
          <w:szCs w:val="28"/>
        </w:rPr>
        <w:t>The study of the ratio is a foundation of basic analysis.</w:t>
      </w:r>
    </w:p>
    <w:p w14:paraId="1558201B" w14:textId="756F70F8" w:rsidR="00E83773" w:rsidRPr="00895BBD" w:rsidRDefault="00E83773" w:rsidP="00DA2F53">
      <w:pPr>
        <w:jc w:val="both"/>
        <w:rPr>
          <w:szCs w:val="28"/>
        </w:rPr>
      </w:pPr>
      <w:r w:rsidRPr="00895BBD">
        <w:rPr>
          <w:szCs w:val="28"/>
        </w:rPr>
        <w:t xml:space="preserve">Profitability ratios </w:t>
      </w:r>
      <w:r w:rsidR="008A0568" w:rsidRPr="00895BBD">
        <w:rPr>
          <w:szCs w:val="28"/>
        </w:rPr>
        <w:t>will be</w:t>
      </w:r>
      <w:r w:rsidRPr="00895BBD">
        <w:rPr>
          <w:szCs w:val="28"/>
        </w:rPr>
        <w:t xml:space="preserve"> used to calculate and demonstrate how well </w:t>
      </w:r>
      <w:r w:rsidR="008A0568" w:rsidRPr="00895BBD">
        <w:rPr>
          <w:szCs w:val="28"/>
        </w:rPr>
        <w:t>the</w:t>
      </w:r>
      <w:r w:rsidRPr="00895BBD">
        <w:rPr>
          <w:szCs w:val="28"/>
        </w:rPr>
        <w:t xml:space="preserve"> corporation can get income from its activities. Examples of profit ratios are </w:t>
      </w:r>
      <w:r w:rsidRPr="00895BBD">
        <w:rPr>
          <w:szCs w:val="28"/>
        </w:rPr>
        <w:lastRenderedPageBreak/>
        <w:t>profit margin, return on assets, return on equity, return on capital employed and gross margin ratio.</w:t>
      </w:r>
    </w:p>
    <w:p w14:paraId="41D3FB5B" w14:textId="77777777" w:rsidR="008A0568" w:rsidRPr="00895BBD" w:rsidRDefault="00E83773" w:rsidP="00DA2F53">
      <w:pPr>
        <w:pStyle w:val="NormalWeb"/>
        <w:spacing w:before="0" w:beforeAutospacing="0"/>
        <w:jc w:val="both"/>
        <w:rPr>
          <w:rFonts w:ascii="Arial" w:hAnsi="Arial" w:cs="Arial"/>
          <w:sz w:val="28"/>
          <w:szCs w:val="28"/>
        </w:rPr>
      </w:pPr>
      <w:r w:rsidRPr="00895BBD">
        <w:rPr>
          <w:rFonts w:ascii="Arial" w:hAnsi="Arial" w:cs="Arial"/>
          <w:sz w:val="28"/>
          <w:szCs w:val="28"/>
        </w:rPr>
        <w:t xml:space="preserve">Efficiency ratios also called activity ratios </w:t>
      </w:r>
      <w:r w:rsidR="008A0568" w:rsidRPr="00895BBD">
        <w:rPr>
          <w:rFonts w:ascii="Arial" w:hAnsi="Arial" w:cs="Arial"/>
          <w:sz w:val="28"/>
          <w:szCs w:val="28"/>
        </w:rPr>
        <w:t xml:space="preserve">will be used to </w:t>
      </w:r>
      <w:r w:rsidRPr="00895BBD">
        <w:rPr>
          <w:rFonts w:ascii="Arial" w:hAnsi="Arial" w:cs="Arial"/>
          <w:sz w:val="28"/>
          <w:szCs w:val="28"/>
        </w:rPr>
        <w:t>evaluate how well a business manages its assets and liabilities to drive sales and increase profits.</w:t>
      </w:r>
      <w:r w:rsidR="006E51F1" w:rsidRPr="00895BBD">
        <w:rPr>
          <w:sz w:val="28"/>
          <w:szCs w:val="28"/>
        </w:rPr>
        <w:t xml:space="preserve"> </w:t>
      </w:r>
      <w:r w:rsidR="006E51F1" w:rsidRPr="00895BBD">
        <w:rPr>
          <w:rFonts w:ascii="Arial" w:hAnsi="Arial" w:cs="Arial"/>
          <w:sz w:val="28"/>
          <w:szCs w:val="28"/>
        </w:rPr>
        <w:t>Primary efficiency ratios are the calculation of asset turnover, product turnover and inventory days revenue.</w:t>
      </w:r>
      <w:r w:rsidR="008A0568" w:rsidRPr="00895BBD">
        <w:rPr>
          <w:rFonts w:ascii="Arial" w:hAnsi="Arial" w:cs="Arial"/>
          <w:sz w:val="28"/>
          <w:szCs w:val="28"/>
        </w:rPr>
        <w:t xml:space="preserve"> </w:t>
      </w:r>
    </w:p>
    <w:p w14:paraId="5676EDEA" w14:textId="77777777" w:rsidR="008A0568" w:rsidRPr="00895BBD" w:rsidRDefault="006E51F1" w:rsidP="00DA2F53">
      <w:pPr>
        <w:pStyle w:val="NormalWeb"/>
        <w:spacing w:before="0" w:beforeAutospacing="0"/>
        <w:jc w:val="both"/>
        <w:rPr>
          <w:rFonts w:ascii="Arial" w:hAnsi="Arial" w:cs="Arial"/>
          <w:sz w:val="28"/>
          <w:szCs w:val="28"/>
        </w:rPr>
      </w:pPr>
      <w:r w:rsidRPr="00895BBD">
        <w:rPr>
          <w:rFonts w:ascii="Arial" w:hAnsi="Arial" w:cs="Arial"/>
          <w:sz w:val="28"/>
          <w:szCs w:val="28"/>
        </w:rPr>
        <w:t>Gearing ratios also known as financial leverage ratio</w:t>
      </w:r>
      <w:r w:rsidR="008A0568" w:rsidRPr="00895BBD">
        <w:rPr>
          <w:rFonts w:ascii="Arial" w:hAnsi="Arial" w:cs="Arial"/>
          <w:sz w:val="28"/>
          <w:szCs w:val="28"/>
        </w:rPr>
        <w:t xml:space="preserve"> and </w:t>
      </w:r>
      <w:r w:rsidRPr="00895BBD">
        <w:rPr>
          <w:rFonts w:ascii="Arial" w:hAnsi="Arial" w:cs="Arial"/>
          <w:sz w:val="28"/>
          <w:szCs w:val="28"/>
        </w:rPr>
        <w:t xml:space="preserve">solvency ratios </w:t>
      </w:r>
      <w:r w:rsidR="008A0568" w:rsidRPr="00895BBD">
        <w:rPr>
          <w:rFonts w:ascii="Arial" w:hAnsi="Arial" w:cs="Arial"/>
          <w:sz w:val="28"/>
          <w:szCs w:val="28"/>
        </w:rPr>
        <w:t xml:space="preserve">will be used to </w:t>
      </w:r>
      <w:r w:rsidRPr="00895BBD">
        <w:rPr>
          <w:rFonts w:ascii="Arial" w:hAnsi="Arial" w:cs="Arial"/>
          <w:sz w:val="28"/>
          <w:szCs w:val="28"/>
        </w:rPr>
        <w:t xml:space="preserve">compare the borrowing rates of a company with their assets, equity, and earnings to measure </w:t>
      </w:r>
      <w:r w:rsidR="008A0568" w:rsidRPr="00895BBD">
        <w:rPr>
          <w:rFonts w:ascii="Arial" w:hAnsi="Arial" w:cs="Arial"/>
          <w:sz w:val="28"/>
          <w:szCs w:val="28"/>
        </w:rPr>
        <w:t xml:space="preserve">to figure out </w:t>
      </w:r>
      <w:r w:rsidRPr="00895BBD">
        <w:rPr>
          <w:rFonts w:ascii="Arial" w:hAnsi="Arial" w:cs="Arial"/>
          <w:sz w:val="28"/>
          <w:szCs w:val="28"/>
        </w:rPr>
        <w:t xml:space="preserve">whether  </w:t>
      </w:r>
      <w:r w:rsidR="008A0568" w:rsidRPr="00895BBD">
        <w:rPr>
          <w:rFonts w:ascii="Arial" w:hAnsi="Arial" w:cs="Arial"/>
          <w:sz w:val="28"/>
          <w:szCs w:val="28"/>
        </w:rPr>
        <w:t xml:space="preserve">they </w:t>
      </w:r>
      <w:r w:rsidRPr="00895BBD">
        <w:rPr>
          <w:rFonts w:ascii="Arial" w:hAnsi="Arial" w:cs="Arial"/>
          <w:sz w:val="28"/>
          <w:szCs w:val="28"/>
        </w:rPr>
        <w:t>can stay in business in the long run by paying</w:t>
      </w:r>
      <w:r w:rsidR="008A0568" w:rsidRPr="00895BBD">
        <w:rPr>
          <w:rFonts w:ascii="Arial" w:hAnsi="Arial" w:cs="Arial"/>
          <w:sz w:val="28"/>
          <w:szCs w:val="28"/>
        </w:rPr>
        <w:t xml:space="preserve"> their </w:t>
      </w:r>
      <w:r w:rsidRPr="00895BBD">
        <w:rPr>
          <w:rFonts w:ascii="Arial" w:hAnsi="Arial" w:cs="Arial"/>
          <w:sz w:val="28"/>
          <w:szCs w:val="28"/>
        </w:rPr>
        <w:t>long-term debt and interest on the debt.</w:t>
      </w:r>
      <w:r w:rsidR="00215281" w:rsidRPr="00895BBD">
        <w:rPr>
          <w:rStyle w:val="word"/>
          <w:rFonts w:ascii="Arial" w:hAnsi="Arial" w:cs="Arial"/>
          <w:color w:val="EA7D13"/>
          <w:sz w:val="28"/>
          <w:szCs w:val="28"/>
          <w:shd w:val="clear" w:color="auto" w:fill="FFFFFF"/>
        </w:rPr>
        <w:t xml:space="preserve"> </w:t>
      </w:r>
      <w:r w:rsidR="00215281" w:rsidRPr="00895BBD">
        <w:rPr>
          <w:rStyle w:val="word"/>
          <w:rFonts w:ascii="Arial" w:hAnsi="Arial" w:cs="Arial"/>
          <w:sz w:val="28"/>
          <w:szCs w:val="28"/>
          <w:shd w:val="clear" w:color="auto" w:fill="FFFFFF"/>
        </w:rPr>
        <w:t>Measures of solvency ratios include</w:t>
      </w:r>
      <w:r w:rsidR="00215281" w:rsidRPr="00895BBD">
        <w:rPr>
          <w:rFonts w:ascii="Arial" w:hAnsi="Arial" w:cs="Arial"/>
          <w:sz w:val="28"/>
          <w:szCs w:val="28"/>
        </w:rPr>
        <w:t xml:space="preserve"> debt-equity ratio, debt-assets ratio, and interest coverage ratio.</w:t>
      </w:r>
      <w:r w:rsidR="008A0568" w:rsidRPr="00895BBD">
        <w:rPr>
          <w:rFonts w:ascii="Arial" w:hAnsi="Arial" w:cs="Arial"/>
          <w:sz w:val="28"/>
          <w:szCs w:val="28"/>
        </w:rPr>
        <w:t xml:space="preserve"> </w:t>
      </w:r>
    </w:p>
    <w:p w14:paraId="5F55829A" w14:textId="7C5EA899" w:rsidR="00F746A3" w:rsidRPr="00895BBD" w:rsidRDefault="00215281" w:rsidP="00DA2F53">
      <w:pPr>
        <w:pStyle w:val="NormalWeb"/>
        <w:spacing w:before="0" w:beforeAutospacing="0"/>
        <w:jc w:val="both"/>
        <w:rPr>
          <w:rFonts w:ascii="Arial" w:hAnsi="Arial" w:cs="Arial"/>
          <w:sz w:val="28"/>
          <w:szCs w:val="28"/>
        </w:rPr>
      </w:pPr>
      <w:r w:rsidRPr="00895BBD">
        <w:rPr>
          <w:rFonts w:ascii="Arial" w:hAnsi="Arial" w:cs="Arial"/>
          <w:sz w:val="28"/>
          <w:szCs w:val="28"/>
        </w:rPr>
        <w:t>Liquidity ratios</w:t>
      </w:r>
      <w:r w:rsidR="008A0568" w:rsidRPr="00895BBD">
        <w:rPr>
          <w:rFonts w:ascii="Arial" w:hAnsi="Arial" w:cs="Arial"/>
          <w:sz w:val="28"/>
          <w:szCs w:val="28"/>
        </w:rPr>
        <w:t xml:space="preserve"> will be used to</w:t>
      </w:r>
      <w:r w:rsidRPr="00895BBD">
        <w:rPr>
          <w:rFonts w:ascii="Arial" w:hAnsi="Arial" w:cs="Arial"/>
          <w:sz w:val="28"/>
          <w:szCs w:val="28"/>
        </w:rPr>
        <w:t xml:space="preserve"> calculate the potential of a company to settle its short-term </w:t>
      </w:r>
      <w:r w:rsidRPr="00895BBD">
        <w:rPr>
          <w:rFonts w:ascii="Arial" w:hAnsi="Arial" w:cs="Arial"/>
          <w:sz w:val="28"/>
          <w:szCs w:val="28"/>
          <w:shd w:val="clear" w:color="auto" w:fill="FFFFFF"/>
        </w:rPr>
        <w:t xml:space="preserve">obligations </w:t>
      </w:r>
      <w:r w:rsidRPr="00895BBD">
        <w:rPr>
          <w:rFonts w:ascii="Arial" w:hAnsi="Arial" w:cs="Arial"/>
          <w:sz w:val="28"/>
          <w:szCs w:val="28"/>
        </w:rPr>
        <w:t xml:space="preserve">when they come due through the available or quick assets of the company. Liquidity ratios include the current ratio, the quick ratio and </w:t>
      </w:r>
      <w:r w:rsidR="00A65C2E" w:rsidRPr="00895BBD">
        <w:rPr>
          <w:rFonts w:ascii="Arial" w:hAnsi="Arial" w:cs="Arial"/>
          <w:sz w:val="28"/>
          <w:szCs w:val="28"/>
        </w:rPr>
        <w:t>working capital ratio</w:t>
      </w:r>
      <w:r w:rsidRPr="00895BBD">
        <w:rPr>
          <w:rFonts w:ascii="Arial" w:hAnsi="Arial" w:cs="Arial"/>
          <w:sz w:val="28"/>
          <w:szCs w:val="28"/>
        </w:rPr>
        <w:t>.</w:t>
      </w:r>
    </w:p>
    <w:p w14:paraId="2EAD1458" w14:textId="4DFE1D32" w:rsidR="008A0568" w:rsidRPr="00895BBD" w:rsidRDefault="00A65C2E" w:rsidP="00DA2F53">
      <w:pPr>
        <w:pStyle w:val="NormalWeb"/>
        <w:spacing w:before="0" w:beforeAutospacing="0"/>
        <w:jc w:val="both"/>
        <w:rPr>
          <w:rFonts w:ascii="Arial" w:hAnsi="Arial" w:cs="Arial"/>
          <w:sz w:val="28"/>
          <w:szCs w:val="28"/>
        </w:rPr>
      </w:pPr>
      <w:r w:rsidRPr="00895BBD">
        <w:rPr>
          <w:rFonts w:ascii="Arial" w:hAnsi="Arial" w:cs="Arial"/>
          <w:sz w:val="28"/>
          <w:szCs w:val="28"/>
        </w:rPr>
        <w:t xml:space="preserve">These ratios will be compared to one of Dixons Carphone’s competitor </w:t>
      </w:r>
      <w:proofErr w:type="spellStart"/>
      <w:r w:rsidR="00086BB1" w:rsidRPr="00895BBD">
        <w:rPr>
          <w:rFonts w:ascii="Arial" w:hAnsi="Arial" w:cs="Arial"/>
          <w:sz w:val="28"/>
          <w:szCs w:val="28"/>
        </w:rPr>
        <w:t>Mediamarkt</w:t>
      </w:r>
      <w:proofErr w:type="spellEnd"/>
      <w:r w:rsidR="00E05CFA" w:rsidRPr="00895BBD">
        <w:rPr>
          <w:rFonts w:ascii="Arial" w:hAnsi="Arial" w:cs="Arial"/>
          <w:sz w:val="28"/>
          <w:szCs w:val="28"/>
        </w:rPr>
        <w:t xml:space="preserve"> who,</w:t>
      </w:r>
      <w:r w:rsidR="002F448B" w:rsidRPr="00895BBD">
        <w:rPr>
          <w:rFonts w:ascii="Arial" w:hAnsi="Arial" w:cs="Arial"/>
          <w:sz w:val="28"/>
          <w:szCs w:val="28"/>
        </w:rPr>
        <w:t xml:space="preserve"> have </w:t>
      </w:r>
      <w:r w:rsidR="00067670" w:rsidRPr="00895BBD">
        <w:rPr>
          <w:rFonts w:ascii="Arial" w:hAnsi="Arial" w:cs="Arial"/>
          <w:sz w:val="28"/>
          <w:szCs w:val="28"/>
        </w:rPr>
        <w:t>over</w:t>
      </w:r>
      <w:r w:rsidR="00086BB1" w:rsidRPr="00895BBD">
        <w:rPr>
          <w:rFonts w:ascii="Arial" w:hAnsi="Arial" w:cs="Arial"/>
          <w:sz w:val="28"/>
          <w:szCs w:val="28"/>
          <w:shd w:val="clear" w:color="auto" w:fill="FFFFFF"/>
        </w:rPr>
        <w:t xml:space="preserve"> 800 stores </w:t>
      </w:r>
      <w:r w:rsidR="002F448B" w:rsidRPr="00895BBD">
        <w:rPr>
          <w:rFonts w:ascii="Arial" w:hAnsi="Arial" w:cs="Arial"/>
          <w:sz w:val="28"/>
          <w:szCs w:val="28"/>
          <w:shd w:val="clear" w:color="auto" w:fill="FFFFFF"/>
        </w:rPr>
        <w:t xml:space="preserve">and </w:t>
      </w:r>
      <w:r w:rsidR="00067670" w:rsidRPr="00895BBD">
        <w:rPr>
          <w:rFonts w:ascii="Arial" w:hAnsi="Arial" w:cs="Arial"/>
          <w:sz w:val="28"/>
          <w:szCs w:val="28"/>
          <w:shd w:val="clear" w:color="auto" w:fill="FFFFFF"/>
        </w:rPr>
        <w:t>are</w:t>
      </w:r>
      <w:r w:rsidR="002F448B" w:rsidRPr="00895BBD">
        <w:rPr>
          <w:rFonts w:ascii="Arial" w:hAnsi="Arial" w:cs="Arial"/>
          <w:sz w:val="28"/>
          <w:szCs w:val="28"/>
          <w:shd w:val="clear" w:color="auto" w:fill="FFFFFF"/>
        </w:rPr>
        <w:t xml:space="preserve"> located </w:t>
      </w:r>
      <w:r w:rsidR="00086BB1" w:rsidRPr="00895BBD">
        <w:rPr>
          <w:rFonts w:ascii="Arial" w:hAnsi="Arial" w:cs="Arial"/>
          <w:sz w:val="28"/>
          <w:szCs w:val="28"/>
          <w:shd w:val="clear" w:color="auto" w:fill="FFFFFF"/>
        </w:rPr>
        <w:t xml:space="preserve">in </w:t>
      </w:r>
      <w:r w:rsidR="002F448B" w:rsidRPr="00895BBD">
        <w:rPr>
          <w:rFonts w:ascii="Arial" w:hAnsi="Arial" w:cs="Arial"/>
          <w:sz w:val="28"/>
          <w:szCs w:val="28"/>
          <w:shd w:val="clear" w:color="auto" w:fill="FFFFFF"/>
        </w:rPr>
        <w:t>thirteen</w:t>
      </w:r>
      <w:r w:rsidR="00086BB1" w:rsidRPr="00895BBD">
        <w:rPr>
          <w:rFonts w:ascii="Arial" w:hAnsi="Arial" w:cs="Arial"/>
          <w:sz w:val="28"/>
          <w:szCs w:val="28"/>
          <w:shd w:val="clear" w:color="auto" w:fill="FFFFFF"/>
        </w:rPr>
        <w:t xml:space="preserve"> countries around the globe </w:t>
      </w:r>
      <w:r w:rsidR="00067670" w:rsidRPr="00895BBD">
        <w:rPr>
          <w:rFonts w:ascii="Arial" w:hAnsi="Arial" w:cs="Arial"/>
          <w:sz w:val="28"/>
          <w:szCs w:val="28"/>
          <w:shd w:val="clear" w:color="auto" w:fill="FFFFFF"/>
        </w:rPr>
        <w:t>they have been place as</w:t>
      </w:r>
      <w:r w:rsidR="00086BB1" w:rsidRPr="00895BBD">
        <w:rPr>
          <w:rFonts w:ascii="Arial" w:hAnsi="Arial" w:cs="Arial"/>
          <w:sz w:val="28"/>
          <w:szCs w:val="28"/>
          <w:shd w:val="clear" w:color="auto" w:fill="FFFFFF"/>
        </w:rPr>
        <w:t xml:space="preserve"> Europe’s Number One consumer electronics retailer.</w:t>
      </w:r>
      <w:r w:rsidR="00067670" w:rsidRPr="00895BBD">
        <w:rPr>
          <w:rFonts w:ascii="Arial" w:hAnsi="Arial" w:cs="Arial"/>
          <w:sz w:val="28"/>
          <w:szCs w:val="28"/>
          <w:shd w:val="clear" w:color="auto" w:fill="FFFFFF"/>
        </w:rPr>
        <w:t xml:space="preserve"> It including an array of electrical goods from flat-screen TVs smart phones, from action cams to game console, from laptops to fully automated coffee making facilities. </w:t>
      </w:r>
      <w:proofErr w:type="spellStart"/>
      <w:r w:rsidR="00067670" w:rsidRPr="00895BBD">
        <w:rPr>
          <w:rFonts w:ascii="Arial" w:hAnsi="Arial" w:cs="Arial"/>
          <w:sz w:val="28"/>
          <w:szCs w:val="28"/>
          <w:shd w:val="clear" w:color="auto" w:fill="FFFFFF"/>
        </w:rPr>
        <w:t>MediaMarkt</w:t>
      </w:r>
      <w:proofErr w:type="spellEnd"/>
      <w:r w:rsidR="00067670" w:rsidRPr="00895BBD">
        <w:rPr>
          <w:rFonts w:ascii="Arial" w:hAnsi="Arial" w:cs="Arial"/>
          <w:sz w:val="28"/>
          <w:szCs w:val="28"/>
          <w:shd w:val="clear" w:color="auto" w:fill="FFFFFF"/>
        </w:rPr>
        <w:t xml:space="preserve"> offers its customers provides their services both online and offline</w:t>
      </w:r>
      <w:sdt>
        <w:sdtPr>
          <w:rPr>
            <w:rFonts w:ascii="Arial" w:hAnsi="Arial" w:cs="Arial"/>
            <w:sz w:val="28"/>
            <w:szCs w:val="28"/>
            <w:shd w:val="clear" w:color="auto" w:fill="FFFFFF"/>
          </w:rPr>
          <w:id w:val="-1372068778"/>
          <w:citation/>
        </w:sdtPr>
        <w:sdtEndPr/>
        <w:sdtContent>
          <w:r w:rsidR="00E05CFA" w:rsidRPr="00895BBD">
            <w:rPr>
              <w:rFonts w:ascii="Arial" w:hAnsi="Arial" w:cs="Arial"/>
              <w:sz w:val="28"/>
              <w:szCs w:val="28"/>
              <w:shd w:val="clear" w:color="auto" w:fill="FFFFFF"/>
            </w:rPr>
            <w:fldChar w:fldCharType="begin"/>
          </w:r>
          <w:r w:rsidR="00E05CFA" w:rsidRPr="00895BBD">
            <w:rPr>
              <w:rFonts w:ascii="Arial" w:hAnsi="Arial" w:cs="Arial"/>
              <w:sz w:val="28"/>
              <w:szCs w:val="28"/>
              <w:shd w:val="clear" w:color="auto" w:fill="FFFFFF"/>
            </w:rPr>
            <w:instrText xml:space="preserve"> CITATION Ret18 \l 2057 </w:instrText>
          </w:r>
          <w:r w:rsidR="00E05CFA" w:rsidRPr="00895BBD">
            <w:rPr>
              <w:rFonts w:ascii="Arial" w:hAnsi="Arial" w:cs="Arial"/>
              <w:sz w:val="28"/>
              <w:szCs w:val="28"/>
              <w:shd w:val="clear" w:color="auto" w:fill="FFFFFF"/>
            </w:rPr>
            <w:fldChar w:fldCharType="separate"/>
          </w:r>
          <w:r w:rsidR="00E05CFA" w:rsidRPr="00895BBD">
            <w:rPr>
              <w:rFonts w:ascii="Arial" w:hAnsi="Arial" w:cs="Arial"/>
              <w:noProof/>
              <w:sz w:val="28"/>
              <w:szCs w:val="28"/>
              <w:shd w:val="clear" w:color="auto" w:fill="FFFFFF"/>
            </w:rPr>
            <w:t xml:space="preserve"> (Retail-Index, 2018)</w:t>
          </w:r>
          <w:r w:rsidR="00E05CFA" w:rsidRPr="00895BBD">
            <w:rPr>
              <w:rFonts w:ascii="Arial" w:hAnsi="Arial" w:cs="Arial"/>
              <w:sz w:val="28"/>
              <w:szCs w:val="28"/>
              <w:shd w:val="clear" w:color="auto" w:fill="FFFFFF"/>
            </w:rPr>
            <w:fldChar w:fldCharType="end"/>
          </w:r>
        </w:sdtContent>
      </w:sdt>
      <w:r w:rsidR="00067670" w:rsidRPr="00895BBD">
        <w:rPr>
          <w:rFonts w:ascii="Arial" w:hAnsi="Arial" w:cs="Arial"/>
          <w:sz w:val="28"/>
          <w:szCs w:val="28"/>
          <w:shd w:val="clear" w:color="auto" w:fill="FFFFFF"/>
        </w:rPr>
        <w:t>.</w:t>
      </w:r>
      <w:r w:rsidR="00E05CFA" w:rsidRPr="00895BBD">
        <w:rPr>
          <w:rFonts w:ascii="Arial" w:hAnsi="Arial" w:cs="Arial"/>
          <w:sz w:val="28"/>
          <w:szCs w:val="28"/>
          <w:shd w:val="clear" w:color="auto" w:fill="FFFFFF"/>
        </w:rPr>
        <w:t xml:space="preserve"> </w:t>
      </w:r>
      <w:r w:rsidR="00086BB1" w:rsidRPr="00895BBD">
        <w:rPr>
          <w:rFonts w:ascii="Arial" w:hAnsi="Arial" w:cs="Arial"/>
          <w:sz w:val="28"/>
          <w:szCs w:val="28"/>
        </w:rPr>
        <w:t>R</w:t>
      </w:r>
      <w:r w:rsidRPr="00895BBD">
        <w:rPr>
          <w:rFonts w:ascii="Arial" w:hAnsi="Arial" w:cs="Arial"/>
          <w:sz w:val="28"/>
          <w:szCs w:val="28"/>
        </w:rPr>
        <w:t xml:space="preserve">eferences </w:t>
      </w:r>
      <w:r w:rsidR="00086BB1" w:rsidRPr="00895BBD">
        <w:rPr>
          <w:rFonts w:ascii="Arial" w:hAnsi="Arial" w:cs="Arial"/>
          <w:sz w:val="28"/>
          <w:szCs w:val="28"/>
        </w:rPr>
        <w:t xml:space="preserve">will also be </w:t>
      </w:r>
      <w:r w:rsidRPr="00895BBD">
        <w:rPr>
          <w:rFonts w:ascii="Arial" w:hAnsi="Arial" w:cs="Arial"/>
          <w:sz w:val="28"/>
          <w:szCs w:val="28"/>
        </w:rPr>
        <w:t>made to the retail industry to give a clearer view to the organisations overall position.</w:t>
      </w:r>
      <w:r w:rsidR="008A0568" w:rsidRPr="00895BBD">
        <w:rPr>
          <w:rFonts w:ascii="Arial" w:hAnsi="Arial" w:cs="Arial"/>
          <w:sz w:val="28"/>
          <w:szCs w:val="28"/>
        </w:rPr>
        <w:t xml:space="preserve"> </w:t>
      </w:r>
      <w:r w:rsidR="00086BB1" w:rsidRPr="00895BBD">
        <w:rPr>
          <w:rFonts w:ascii="Arial" w:hAnsi="Arial" w:cs="Arial"/>
          <w:sz w:val="28"/>
          <w:szCs w:val="28"/>
        </w:rPr>
        <w:t>Also, s</w:t>
      </w:r>
      <w:r w:rsidR="008A0568" w:rsidRPr="00895BBD">
        <w:rPr>
          <w:rFonts w:ascii="Arial" w:hAnsi="Arial" w:cs="Arial"/>
          <w:sz w:val="28"/>
          <w:szCs w:val="28"/>
        </w:rPr>
        <w:t>uggestions of away forward on improving their financial standing.</w:t>
      </w:r>
    </w:p>
    <w:p w14:paraId="1FCC3DEA" w14:textId="212CBD3F" w:rsidR="008A0568" w:rsidRPr="00895BBD" w:rsidRDefault="004156AC" w:rsidP="00DA2F53">
      <w:pPr>
        <w:pStyle w:val="NormalWeb"/>
        <w:spacing w:before="0" w:beforeAutospacing="0"/>
        <w:jc w:val="both"/>
        <w:rPr>
          <w:rFonts w:ascii="Arial" w:hAnsi="Arial" w:cs="Arial"/>
          <w:sz w:val="28"/>
          <w:szCs w:val="28"/>
        </w:rPr>
      </w:pPr>
      <w:r w:rsidRPr="00895BBD">
        <w:rPr>
          <w:rFonts w:ascii="Arial" w:hAnsi="Arial" w:cs="Arial"/>
          <w:sz w:val="28"/>
          <w:szCs w:val="28"/>
        </w:rPr>
        <w:t xml:space="preserve">As a further exercise an investment evaluation on two projects will be made for new investment opportunities using cash flow detail given. The Payback Period (PBP), Accounting Rate of Return (ARR), Internal Rate of Return and the Net Present Value (NPV) for the two </w:t>
      </w:r>
      <w:r w:rsidR="00EF0BDD" w:rsidRPr="00895BBD">
        <w:rPr>
          <w:rFonts w:ascii="Arial" w:hAnsi="Arial" w:cs="Arial"/>
          <w:sz w:val="28"/>
          <w:szCs w:val="28"/>
        </w:rPr>
        <w:t>projects</w:t>
      </w:r>
      <w:r w:rsidRPr="00895BBD">
        <w:rPr>
          <w:rFonts w:ascii="Arial" w:hAnsi="Arial" w:cs="Arial"/>
          <w:sz w:val="28"/>
          <w:szCs w:val="28"/>
        </w:rPr>
        <w:t xml:space="preserve"> will be calculated in order to determine the most suitable project for the organisation.</w:t>
      </w:r>
      <w:r w:rsidR="00EF0BDD" w:rsidRPr="00895BBD">
        <w:rPr>
          <w:rFonts w:ascii="Arial" w:hAnsi="Arial" w:cs="Arial"/>
          <w:sz w:val="28"/>
          <w:szCs w:val="28"/>
        </w:rPr>
        <w:t xml:space="preserve"> The prose and cons of each method of each evaluation technique, to give a</w:t>
      </w:r>
      <w:r w:rsidR="00BD6D9A" w:rsidRPr="00895BBD">
        <w:rPr>
          <w:rFonts w:ascii="Arial" w:hAnsi="Arial" w:cs="Arial"/>
          <w:sz w:val="28"/>
          <w:szCs w:val="28"/>
        </w:rPr>
        <w:t>n</w:t>
      </w:r>
      <w:r w:rsidR="00EF0BDD" w:rsidRPr="00895BBD">
        <w:rPr>
          <w:rFonts w:ascii="Arial" w:hAnsi="Arial" w:cs="Arial"/>
          <w:sz w:val="28"/>
          <w:szCs w:val="28"/>
        </w:rPr>
        <w:t xml:space="preserve"> understanding to how the decision of one project over the other was made, taking financial and non-financials into consideration. </w:t>
      </w:r>
    </w:p>
    <w:p w14:paraId="47219298" w14:textId="0B5726AF" w:rsidR="0030173B" w:rsidRDefault="00CF5C8A" w:rsidP="00DA2F53">
      <w:pPr>
        <w:pStyle w:val="Heading1"/>
        <w:jc w:val="both"/>
      </w:pPr>
      <w:r>
        <w:lastRenderedPageBreak/>
        <w:t>Company Over</w:t>
      </w:r>
      <w:r w:rsidR="00EF0BDD">
        <w:t>-view</w:t>
      </w:r>
    </w:p>
    <w:p w14:paraId="2DA320B5" w14:textId="77777777" w:rsidR="00915848" w:rsidRPr="00895BBD" w:rsidRDefault="00915848" w:rsidP="00DA2F53">
      <w:pPr>
        <w:jc w:val="both"/>
        <w:rPr>
          <w:rFonts w:cs="Arial"/>
          <w:szCs w:val="28"/>
        </w:rPr>
      </w:pPr>
      <w:r w:rsidRPr="00895BBD">
        <w:rPr>
          <w:rFonts w:cs="Arial"/>
          <w:noProof/>
          <w:szCs w:val="28"/>
        </w:rPr>
        <w:t xml:space="preserve">Dixons Carphone plc (Dixons Carphone) is the result of </w:t>
      </w:r>
      <w:r w:rsidRPr="00895BBD">
        <w:rPr>
          <w:rFonts w:eastAsia="Times New Roman" w:cs="Arial"/>
          <w:szCs w:val="28"/>
          <w:lang w:eastAsia="en-GB"/>
        </w:rPr>
        <w:t>two companies’ Dixons Retail and Carphone Warehouse £3.7bn merger. In an effort to take a swipe at rival Amazon back in 2014. Carphone with smartphone and tablet experience, and Dixons with electrical appliances</w:t>
      </w:r>
      <w:r w:rsidRPr="00895BBD">
        <w:rPr>
          <w:rFonts w:eastAsia="Times New Roman" w:cs="Arial"/>
          <w:color w:val="33302E"/>
          <w:szCs w:val="28"/>
          <w:lang w:eastAsia="en-GB"/>
        </w:rPr>
        <w:t xml:space="preserve">. </w:t>
      </w:r>
      <w:r w:rsidRPr="00895BBD">
        <w:rPr>
          <w:rFonts w:eastAsia="Times New Roman" w:cs="Arial"/>
          <w:szCs w:val="28"/>
          <w:lang w:eastAsia="en-GB"/>
        </w:rPr>
        <w:t>The combined of the two groups had eleven billion in annual sales.</w:t>
      </w:r>
      <w:r w:rsidRPr="00895BBD">
        <w:rPr>
          <w:rFonts w:cs="Arial"/>
          <w:szCs w:val="28"/>
        </w:rPr>
        <w:t xml:space="preserve"> </w:t>
      </w:r>
      <w:r w:rsidRPr="00895BBD">
        <w:rPr>
          <w:rFonts w:eastAsia="Times New Roman" w:cs="Arial"/>
          <w:szCs w:val="28"/>
          <w:lang w:eastAsia="en-GB"/>
        </w:rPr>
        <w:t>The biggest concern of the time is that the two companies come together from a weak position, not one of strength.</w:t>
      </w:r>
    </w:p>
    <w:p w14:paraId="662A8B21" w14:textId="77777777" w:rsidR="00915848" w:rsidRPr="00895BBD" w:rsidRDefault="00915848" w:rsidP="00DA2F53">
      <w:pPr>
        <w:spacing w:line="300" w:lineRule="atLeast"/>
        <w:jc w:val="both"/>
        <w:rPr>
          <w:rFonts w:eastAsia="Times New Roman" w:cs="Arial"/>
          <w:szCs w:val="28"/>
          <w:lang w:eastAsia="en-GB"/>
        </w:rPr>
      </w:pPr>
      <w:r w:rsidRPr="00895BBD">
        <w:rPr>
          <w:rFonts w:eastAsia="Times New Roman" w:cs="Arial"/>
          <w:szCs w:val="28"/>
          <w:lang w:eastAsia="en-GB"/>
        </w:rPr>
        <w:t xml:space="preserve">According to some analysts and executives at mobile operators, the partnership is at least to some extent defensive. Carphone tackles the threat of operators withdrawing from third-party retailers will gradually rely more on their own stores and online sales forces. Dixons, meanwhile, faces increasingly aggressive competition from online retailers, such as recently floated AO World, which plans to move into selling televisions </w:t>
      </w:r>
      <w:sdt>
        <w:sdtPr>
          <w:rPr>
            <w:rFonts w:eastAsia="Times New Roman" w:cs="Arial"/>
            <w:szCs w:val="28"/>
            <w:lang w:eastAsia="en-GB"/>
          </w:rPr>
          <w:id w:val="1225343475"/>
          <w:citation/>
        </w:sdtPr>
        <w:sdtEndPr/>
        <w:sdtContent>
          <w:r w:rsidRPr="00895BBD">
            <w:rPr>
              <w:rFonts w:eastAsia="Times New Roman" w:cs="Arial"/>
              <w:szCs w:val="28"/>
              <w:lang w:eastAsia="en-GB"/>
            </w:rPr>
            <w:fldChar w:fldCharType="begin"/>
          </w:r>
          <w:r w:rsidRPr="00895BBD">
            <w:rPr>
              <w:rFonts w:eastAsia="Times New Roman" w:cs="Arial"/>
              <w:szCs w:val="28"/>
              <w:lang w:eastAsia="en-GB"/>
            </w:rPr>
            <w:instrText xml:space="preserve"> CITATION htt1 \l 2057 </w:instrText>
          </w:r>
          <w:r w:rsidRPr="00895BBD">
            <w:rPr>
              <w:rFonts w:eastAsia="Times New Roman" w:cs="Arial"/>
              <w:szCs w:val="28"/>
              <w:lang w:eastAsia="en-GB"/>
            </w:rPr>
            <w:fldChar w:fldCharType="separate"/>
          </w:r>
          <w:r w:rsidRPr="00895BBD">
            <w:rPr>
              <w:rFonts w:eastAsia="Times New Roman" w:cs="Arial"/>
              <w:noProof/>
              <w:szCs w:val="28"/>
              <w:lang w:eastAsia="en-GB"/>
            </w:rPr>
            <w:t>(Felsted &amp; Thomas, 2014)</w:t>
          </w:r>
          <w:r w:rsidRPr="00895BBD">
            <w:rPr>
              <w:rFonts w:eastAsia="Times New Roman" w:cs="Arial"/>
              <w:szCs w:val="28"/>
              <w:lang w:eastAsia="en-GB"/>
            </w:rPr>
            <w:fldChar w:fldCharType="end"/>
          </w:r>
        </w:sdtContent>
      </w:sdt>
      <w:r w:rsidRPr="00895BBD">
        <w:rPr>
          <w:rFonts w:eastAsia="Times New Roman" w:cs="Arial"/>
          <w:szCs w:val="28"/>
          <w:lang w:eastAsia="en-GB"/>
        </w:rPr>
        <w:t>. Neither organisation wants to follow in the footsteps of companies like Tandy, Comet Phones 4U and Maplin.</w:t>
      </w:r>
    </w:p>
    <w:p w14:paraId="092866DB" w14:textId="77777777" w:rsidR="00915848" w:rsidRPr="00895BBD" w:rsidRDefault="00915848" w:rsidP="00DA2F53">
      <w:pPr>
        <w:pStyle w:val="DMVMFrPgTableBodyARF"/>
        <w:tabs>
          <w:tab w:val="left" w:pos="1644"/>
        </w:tabs>
        <w:spacing w:before="160" w:after="100"/>
        <w:jc w:val="both"/>
        <w:rPr>
          <w:noProof/>
          <w:sz w:val="28"/>
          <w:szCs w:val="28"/>
        </w:rPr>
      </w:pPr>
      <w:r w:rsidRPr="00895BBD">
        <w:rPr>
          <w:noProof/>
          <w:sz w:val="28"/>
          <w:szCs w:val="28"/>
        </w:rPr>
        <w:t>Dixons Carphone is an electronic and telephone company of multi-channel experts in Europe.It markets and sells a range of electronic products, smart phones through its UK, Ireland, Greece, and Nordic retail stores. A few of the brands the company sells and markets under are, Carphone Warehouse, Dixons Travel, Currys PC World, iD, Elgiganten, Gigantti and Elkjop.</w:t>
      </w:r>
    </w:p>
    <w:p w14:paraId="6E4F6EEA" w14:textId="37945995" w:rsidR="00B36C8A" w:rsidRPr="00895BBD" w:rsidRDefault="00915848" w:rsidP="00DA2F53">
      <w:pPr>
        <w:pStyle w:val="DMVMFrPgTableBodyARF"/>
        <w:tabs>
          <w:tab w:val="left" w:pos="1644"/>
        </w:tabs>
        <w:spacing w:before="160" w:after="100"/>
        <w:jc w:val="both"/>
        <w:rPr>
          <w:noProof/>
          <w:sz w:val="28"/>
          <w:szCs w:val="28"/>
        </w:rPr>
      </w:pPr>
      <w:r w:rsidRPr="00895BBD">
        <w:rPr>
          <w:noProof/>
          <w:sz w:val="28"/>
          <w:szCs w:val="28"/>
        </w:rPr>
        <w:t>Dixons Carphone offers additional services such as repair, installation and maintenance, technical assistance and product consulting services, computer and telecommunications services, repairing and protecting and financing and protection, and reserving and collecting and click and collect related services for its customers.Dixons Carphone is headquartered in London, the UK.</w:t>
      </w:r>
    </w:p>
    <w:p w14:paraId="1E52FA13" w14:textId="77777777" w:rsidR="009F2384" w:rsidRPr="00895BBD" w:rsidRDefault="009F2384" w:rsidP="00DA2F53">
      <w:pPr>
        <w:pStyle w:val="DMVMFrPgTableBodyARF"/>
        <w:tabs>
          <w:tab w:val="left" w:pos="1644"/>
        </w:tabs>
        <w:spacing w:before="160" w:after="100"/>
        <w:jc w:val="both"/>
        <w:rPr>
          <w:sz w:val="28"/>
          <w:szCs w:val="28"/>
          <w:shd w:val="clear" w:color="auto" w:fill="FFFFFF"/>
        </w:rPr>
      </w:pPr>
      <w:r w:rsidRPr="00895BBD">
        <w:rPr>
          <w:noProof/>
          <w:sz w:val="28"/>
          <w:szCs w:val="28"/>
        </w:rPr>
        <w:t>There have been a few changes in the business they may have had an effect to the busieness in 2015 iD Mobile was launched a virtual mobile network "piggybacking" off Three's network</w:t>
      </w:r>
      <w:r w:rsidRPr="00895BBD">
        <w:rPr>
          <w:color w:val="585858"/>
          <w:sz w:val="28"/>
          <w:szCs w:val="28"/>
          <w:shd w:val="clear" w:color="auto" w:fill="FFFFFF"/>
        </w:rPr>
        <w:t xml:space="preserve"> </w:t>
      </w:r>
      <w:r w:rsidRPr="00895BBD">
        <w:rPr>
          <w:sz w:val="28"/>
          <w:szCs w:val="28"/>
          <w:shd w:val="clear" w:color="auto" w:fill="FFFFFF"/>
        </w:rPr>
        <w:t xml:space="preserve">with a number of 4 G services intended to protect clients from “billing surprises" </w:t>
      </w:r>
      <w:sdt>
        <w:sdtPr>
          <w:rPr>
            <w:sz w:val="28"/>
            <w:szCs w:val="28"/>
            <w:shd w:val="clear" w:color="auto" w:fill="FFFFFF"/>
          </w:rPr>
          <w:id w:val="-1307854595"/>
          <w:citation/>
        </w:sdtPr>
        <w:sdtEndPr/>
        <w:sdtContent>
          <w:r w:rsidRPr="00895BBD">
            <w:rPr>
              <w:sz w:val="28"/>
              <w:szCs w:val="28"/>
              <w:shd w:val="clear" w:color="auto" w:fill="FFFFFF"/>
            </w:rPr>
            <w:fldChar w:fldCharType="begin"/>
          </w:r>
          <w:r w:rsidRPr="00895BBD">
            <w:rPr>
              <w:sz w:val="28"/>
              <w:szCs w:val="28"/>
              <w:shd w:val="clear" w:color="auto" w:fill="FFFFFF"/>
            </w:rPr>
            <w:instrText xml:space="preserve"> CITATION Sop15 \l 2057 </w:instrText>
          </w:r>
          <w:r w:rsidRPr="00895BBD">
            <w:rPr>
              <w:sz w:val="28"/>
              <w:szCs w:val="28"/>
              <w:shd w:val="clear" w:color="auto" w:fill="FFFFFF"/>
            </w:rPr>
            <w:fldChar w:fldCharType="separate"/>
          </w:r>
          <w:r w:rsidRPr="00895BBD">
            <w:rPr>
              <w:noProof/>
              <w:sz w:val="28"/>
              <w:szCs w:val="28"/>
              <w:shd w:val="clear" w:color="auto" w:fill="FFFFFF"/>
            </w:rPr>
            <w:t xml:space="preserve"> (Curtis, 2015)</w:t>
          </w:r>
          <w:r w:rsidRPr="00895BBD">
            <w:rPr>
              <w:sz w:val="28"/>
              <w:szCs w:val="28"/>
              <w:shd w:val="clear" w:color="auto" w:fill="FFFFFF"/>
            </w:rPr>
            <w:fldChar w:fldCharType="end"/>
          </w:r>
        </w:sdtContent>
      </w:sdt>
      <w:r w:rsidRPr="00895BBD">
        <w:rPr>
          <w:sz w:val="28"/>
          <w:szCs w:val="28"/>
          <w:shd w:val="clear" w:color="auto" w:fill="FFFFFF"/>
        </w:rPr>
        <w:t>. In the same year the first PC World and Curry’s shops to incorporate Carphone Warehouse branches have opened what they call their 3-in1 stores</w:t>
      </w:r>
      <w:sdt>
        <w:sdtPr>
          <w:rPr>
            <w:sz w:val="28"/>
            <w:szCs w:val="28"/>
            <w:shd w:val="clear" w:color="auto" w:fill="FFFFFF"/>
          </w:rPr>
          <w:id w:val="197437233"/>
          <w:citation/>
        </w:sdtPr>
        <w:sdtEndPr/>
        <w:sdtContent>
          <w:r w:rsidRPr="00895BBD">
            <w:rPr>
              <w:sz w:val="28"/>
              <w:szCs w:val="28"/>
              <w:shd w:val="clear" w:color="auto" w:fill="FFFFFF"/>
            </w:rPr>
            <w:fldChar w:fldCharType="begin"/>
          </w:r>
          <w:r w:rsidRPr="00895BBD">
            <w:rPr>
              <w:sz w:val="28"/>
              <w:szCs w:val="28"/>
              <w:shd w:val="clear" w:color="auto" w:fill="FFFFFF"/>
            </w:rPr>
            <w:instrText xml:space="preserve"> CITATION BBC14 \l 2057 </w:instrText>
          </w:r>
          <w:r w:rsidRPr="00895BBD">
            <w:rPr>
              <w:sz w:val="28"/>
              <w:szCs w:val="28"/>
              <w:shd w:val="clear" w:color="auto" w:fill="FFFFFF"/>
            </w:rPr>
            <w:fldChar w:fldCharType="separate"/>
          </w:r>
          <w:r w:rsidRPr="00895BBD">
            <w:rPr>
              <w:noProof/>
              <w:sz w:val="28"/>
              <w:szCs w:val="28"/>
              <w:shd w:val="clear" w:color="auto" w:fill="FFFFFF"/>
            </w:rPr>
            <w:t xml:space="preserve"> (BBC, 2014)</w:t>
          </w:r>
          <w:r w:rsidRPr="00895BBD">
            <w:rPr>
              <w:sz w:val="28"/>
              <w:szCs w:val="28"/>
              <w:shd w:val="clear" w:color="auto" w:fill="FFFFFF"/>
            </w:rPr>
            <w:fldChar w:fldCharType="end"/>
          </w:r>
        </w:sdtContent>
      </w:sdt>
      <w:r w:rsidRPr="00895BBD">
        <w:rPr>
          <w:sz w:val="28"/>
          <w:szCs w:val="28"/>
          <w:shd w:val="clear" w:color="auto" w:fill="FFFFFF"/>
        </w:rPr>
        <w:t>.</w:t>
      </w:r>
    </w:p>
    <w:p w14:paraId="70505D54" w14:textId="47DFEE8A" w:rsidR="009F2384" w:rsidRPr="00895BBD" w:rsidRDefault="009F2384" w:rsidP="00DA2F53">
      <w:pPr>
        <w:pStyle w:val="DMVMFrPgTableBodyARF"/>
        <w:tabs>
          <w:tab w:val="left" w:pos="1644"/>
        </w:tabs>
        <w:spacing w:before="160" w:after="100"/>
        <w:jc w:val="both"/>
        <w:rPr>
          <w:sz w:val="28"/>
          <w:szCs w:val="28"/>
          <w:shd w:val="clear" w:color="auto" w:fill="FFFFFF"/>
        </w:rPr>
      </w:pPr>
      <w:r w:rsidRPr="00895BBD">
        <w:rPr>
          <w:sz w:val="28"/>
          <w:szCs w:val="28"/>
          <w:shd w:val="clear" w:color="auto" w:fill="FFFFFF"/>
        </w:rPr>
        <w:t xml:space="preserve">At the end of 2018 Sebastian James resigned his role as chief executive after six years to take become the President and Managing Director of Boots. </w:t>
      </w:r>
      <w:r w:rsidRPr="00895BBD">
        <w:rPr>
          <w:sz w:val="28"/>
          <w:szCs w:val="28"/>
          <w:shd w:val="clear" w:color="auto" w:fill="FFFFFF"/>
        </w:rPr>
        <w:lastRenderedPageBreak/>
        <w:t xml:space="preserve">The new Chief Executive for Dixons Carphone Alex Baldock came from Shop </w:t>
      </w:r>
      <w:proofErr w:type="spellStart"/>
      <w:r w:rsidRPr="00895BBD">
        <w:rPr>
          <w:sz w:val="28"/>
          <w:szCs w:val="28"/>
          <w:shd w:val="clear" w:color="auto" w:fill="FFFFFF"/>
        </w:rPr>
        <w:t>Direct's</w:t>
      </w:r>
      <w:proofErr w:type="spellEnd"/>
      <w:sdt>
        <w:sdtPr>
          <w:rPr>
            <w:sz w:val="28"/>
            <w:szCs w:val="28"/>
            <w:shd w:val="clear" w:color="auto" w:fill="FFFFFF"/>
          </w:rPr>
          <w:id w:val="1863160556"/>
          <w:citation/>
        </w:sdtPr>
        <w:sdtEndPr/>
        <w:sdtContent>
          <w:r w:rsidRPr="00895BBD">
            <w:rPr>
              <w:sz w:val="28"/>
              <w:szCs w:val="28"/>
              <w:shd w:val="clear" w:color="auto" w:fill="FFFFFF"/>
            </w:rPr>
            <w:fldChar w:fldCharType="begin"/>
          </w:r>
          <w:r w:rsidRPr="00895BBD">
            <w:rPr>
              <w:sz w:val="28"/>
              <w:szCs w:val="28"/>
              <w:shd w:val="clear" w:color="auto" w:fill="FFFFFF"/>
            </w:rPr>
            <w:instrText xml:space="preserve"> CITATION Han18 \l 2057 </w:instrText>
          </w:r>
          <w:r w:rsidRPr="00895BBD">
            <w:rPr>
              <w:sz w:val="28"/>
              <w:szCs w:val="28"/>
              <w:shd w:val="clear" w:color="auto" w:fill="FFFFFF"/>
            </w:rPr>
            <w:fldChar w:fldCharType="separate"/>
          </w:r>
          <w:r w:rsidRPr="00895BBD">
            <w:rPr>
              <w:noProof/>
              <w:sz w:val="28"/>
              <w:szCs w:val="28"/>
              <w:shd w:val="clear" w:color="auto" w:fill="FFFFFF"/>
            </w:rPr>
            <w:t xml:space="preserve"> (Boland, 2018)</w:t>
          </w:r>
          <w:r w:rsidRPr="00895BBD">
            <w:rPr>
              <w:sz w:val="28"/>
              <w:szCs w:val="28"/>
              <w:shd w:val="clear" w:color="auto" w:fill="FFFFFF"/>
            </w:rPr>
            <w:fldChar w:fldCharType="end"/>
          </w:r>
        </w:sdtContent>
      </w:sdt>
      <w:r w:rsidRPr="00895BBD">
        <w:rPr>
          <w:sz w:val="28"/>
          <w:szCs w:val="28"/>
          <w:shd w:val="clear" w:color="auto" w:fill="FFFFFF"/>
        </w:rPr>
        <w:t>.</w:t>
      </w:r>
    </w:p>
    <w:p w14:paraId="42FAED41" w14:textId="77777777" w:rsidR="00960811" w:rsidRPr="00895BBD" w:rsidRDefault="00960811" w:rsidP="00DA2F53">
      <w:pPr>
        <w:pStyle w:val="DMVMFrPgTableBodyARF"/>
        <w:tabs>
          <w:tab w:val="left" w:pos="1644"/>
        </w:tabs>
        <w:spacing w:before="160" w:after="100"/>
        <w:jc w:val="both"/>
        <w:rPr>
          <w:sz w:val="28"/>
          <w:szCs w:val="28"/>
          <w:shd w:val="clear" w:color="auto" w:fill="FFFFFF"/>
        </w:rPr>
      </w:pPr>
      <w:r w:rsidRPr="00895BBD">
        <w:rPr>
          <w:sz w:val="28"/>
          <w:szCs w:val="28"/>
          <w:shd w:val="clear" w:color="auto" w:fill="FFFFFF"/>
        </w:rPr>
        <w:t>2018 Group Chief Executive, Alex Baldock, launches a new strategy around the vision: We Help Everyone Enjoy Amazing Technology together with a colleague share scheme that gives 30,000 colleagues more than £1,000 company shares to ensure they are engaged and vested in the success of the strategy</w:t>
      </w:r>
      <w:sdt>
        <w:sdtPr>
          <w:rPr>
            <w:sz w:val="28"/>
            <w:szCs w:val="28"/>
            <w:shd w:val="clear" w:color="auto" w:fill="FFFFFF"/>
          </w:rPr>
          <w:id w:val="1029148564"/>
          <w:citation/>
        </w:sdtPr>
        <w:sdtEndPr/>
        <w:sdtContent>
          <w:r w:rsidRPr="00895BBD">
            <w:rPr>
              <w:sz w:val="28"/>
              <w:szCs w:val="28"/>
              <w:shd w:val="clear" w:color="auto" w:fill="FFFFFF"/>
            </w:rPr>
            <w:fldChar w:fldCharType="begin"/>
          </w:r>
          <w:r w:rsidRPr="00895BBD">
            <w:rPr>
              <w:sz w:val="28"/>
              <w:szCs w:val="28"/>
              <w:shd w:val="clear" w:color="auto" w:fill="FFFFFF"/>
            </w:rPr>
            <w:instrText xml:space="preserve"> CITATION Dix18 \l 2057 </w:instrText>
          </w:r>
          <w:r w:rsidRPr="00895BBD">
            <w:rPr>
              <w:sz w:val="28"/>
              <w:szCs w:val="28"/>
              <w:shd w:val="clear" w:color="auto" w:fill="FFFFFF"/>
            </w:rPr>
            <w:fldChar w:fldCharType="separate"/>
          </w:r>
          <w:r w:rsidRPr="00895BBD">
            <w:rPr>
              <w:noProof/>
              <w:sz w:val="28"/>
              <w:szCs w:val="28"/>
              <w:shd w:val="clear" w:color="auto" w:fill="FFFFFF"/>
            </w:rPr>
            <w:t xml:space="preserve"> (PLC, 2018)</w:t>
          </w:r>
          <w:r w:rsidRPr="00895BBD">
            <w:rPr>
              <w:sz w:val="28"/>
              <w:szCs w:val="28"/>
              <w:shd w:val="clear" w:color="auto" w:fill="FFFFFF"/>
            </w:rPr>
            <w:fldChar w:fldCharType="end"/>
          </w:r>
        </w:sdtContent>
      </w:sdt>
      <w:r w:rsidRPr="00895BBD">
        <w:rPr>
          <w:sz w:val="28"/>
          <w:szCs w:val="28"/>
          <w:shd w:val="clear" w:color="auto" w:fill="FFFFFF"/>
        </w:rPr>
        <w:t>.</w:t>
      </w:r>
    </w:p>
    <w:p w14:paraId="74CEF787" w14:textId="77777777" w:rsidR="00960811" w:rsidRPr="00895BBD" w:rsidRDefault="00960811" w:rsidP="00DA2F53">
      <w:pPr>
        <w:pStyle w:val="DMVMFrPgTableBodyARF"/>
        <w:tabs>
          <w:tab w:val="left" w:pos="1644"/>
        </w:tabs>
        <w:spacing w:before="160" w:after="100"/>
        <w:jc w:val="both"/>
        <w:rPr>
          <w:sz w:val="28"/>
          <w:szCs w:val="28"/>
        </w:rPr>
      </w:pPr>
    </w:p>
    <w:p w14:paraId="561942B8" w14:textId="7DEDFC27" w:rsidR="009F2384" w:rsidRPr="00895BBD" w:rsidRDefault="009F2384" w:rsidP="00DA2F53">
      <w:pPr>
        <w:pStyle w:val="DMVMFrPgTableBodyARF"/>
        <w:tabs>
          <w:tab w:val="left" w:pos="1644"/>
        </w:tabs>
        <w:spacing w:before="160" w:after="100"/>
        <w:jc w:val="both"/>
        <w:rPr>
          <w:sz w:val="28"/>
          <w:szCs w:val="28"/>
          <w:bdr w:val="none" w:sz="0" w:space="0" w:color="auto" w:frame="1"/>
        </w:rPr>
      </w:pPr>
      <w:r w:rsidRPr="00895BBD">
        <w:rPr>
          <w:sz w:val="28"/>
          <w:szCs w:val="28"/>
          <w:shd w:val="clear" w:color="auto" w:fill="FFFFFF"/>
        </w:rPr>
        <w:t xml:space="preserve">In 2019 the Financial Conduct Authority imposed a twenty-nine point </w:t>
      </w:r>
      <w:r w:rsidR="00895BBD" w:rsidRPr="00895BBD">
        <w:rPr>
          <w:sz w:val="28"/>
          <w:szCs w:val="28"/>
          <w:shd w:val="clear" w:color="auto" w:fill="FFFFFF"/>
        </w:rPr>
        <w:t>one-million-pound</w:t>
      </w:r>
      <w:r w:rsidRPr="00895BBD">
        <w:rPr>
          <w:sz w:val="28"/>
          <w:szCs w:val="28"/>
          <w:shd w:val="clear" w:color="auto" w:fill="FFFFFF"/>
        </w:rPr>
        <w:t xml:space="preserve"> fine on Dixons Carphone for the mis-selling of its Geek Squad service. It was found that employees of the company had been trained to sell the service to customers who had no need for or already had insurance cover</w:t>
      </w:r>
      <w:sdt>
        <w:sdtPr>
          <w:rPr>
            <w:sz w:val="28"/>
            <w:szCs w:val="28"/>
            <w:bdr w:val="none" w:sz="0" w:space="0" w:color="auto" w:frame="1"/>
          </w:rPr>
          <w:id w:val="-1203178474"/>
          <w:citation/>
        </w:sdtPr>
        <w:sdtEndPr/>
        <w:sdtContent>
          <w:r w:rsidRPr="00895BBD">
            <w:rPr>
              <w:sz w:val="28"/>
              <w:szCs w:val="28"/>
              <w:bdr w:val="none" w:sz="0" w:space="0" w:color="auto" w:frame="1"/>
            </w:rPr>
            <w:fldChar w:fldCharType="begin"/>
          </w:r>
          <w:r w:rsidRPr="00895BBD">
            <w:rPr>
              <w:sz w:val="28"/>
              <w:szCs w:val="28"/>
              <w:bdr w:val="none" w:sz="0" w:space="0" w:color="auto" w:frame="1"/>
            </w:rPr>
            <w:instrText xml:space="preserve"> CITATION Ben19 \l 2057 </w:instrText>
          </w:r>
          <w:r w:rsidRPr="00895BBD">
            <w:rPr>
              <w:sz w:val="28"/>
              <w:szCs w:val="28"/>
              <w:bdr w:val="none" w:sz="0" w:space="0" w:color="auto" w:frame="1"/>
            </w:rPr>
            <w:fldChar w:fldCharType="separate"/>
          </w:r>
          <w:r w:rsidRPr="00895BBD">
            <w:rPr>
              <w:noProof/>
              <w:sz w:val="28"/>
              <w:szCs w:val="28"/>
              <w:bdr w:val="none" w:sz="0" w:space="0" w:color="auto" w:frame="1"/>
            </w:rPr>
            <w:t xml:space="preserve"> (Chapman, 2019)</w:t>
          </w:r>
          <w:r w:rsidRPr="00895BBD">
            <w:rPr>
              <w:sz w:val="28"/>
              <w:szCs w:val="28"/>
              <w:bdr w:val="none" w:sz="0" w:space="0" w:color="auto" w:frame="1"/>
            </w:rPr>
            <w:fldChar w:fldCharType="end"/>
          </w:r>
        </w:sdtContent>
      </w:sdt>
      <w:r w:rsidRPr="00895BBD">
        <w:rPr>
          <w:sz w:val="28"/>
          <w:szCs w:val="28"/>
          <w:bdr w:val="none" w:sz="0" w:space="0" w:color="auto" w:frame="1"/>
        </w:rPr>
        <w:t>.</w:t>
      </w:r>
    </w:p>
    <w:p w14:paraId="22217991" w14:textId="77777777" w:rsidR="009F2384" w:rsidRPr="00895BBD" w:rsidRDefault="009F2384" w:rsidP="00DA2F53">
      <w:pPr>
        <w:pStyle w:val="DMVMFrPgTableBodyARF"/>
        <w:tabs>
          <w:tab w:val="left" w:pos="1644"/>
        </w:tabs>
        <w:spacing w:before="160" w:after="100"/>
        <w:jc w:val="both"/>
        <w:rPr>
          <w:rFonts w:eastAsiaTheme="minorHAnsi"/>
          <w:noProof/>
          <w:sz w:val="28"/>
          <w:szCs w:val="28"/>
          <w:lang w:eastAsia="en-US"/>
        </w:rPr>
      </w:pPr>
      <w:r w:rsidRPr="00895BBD">
        <w:rPr>
          <w:sz w:val="28"/>
          <w:szCs w:val="28"/>
          <w:shd w:val="clear" w:color="auto" w:fill="FFFFFF"/>
        </w:rPr>
        <w:t xml:space="preserve">In June 2019, Dixons Carphone's shares fell almost 20 percent after a sharp decline in full-year revenue, largely due to the growing hesitation of customers in changing their mobile phones </w:t>
      </w:r>
      <w:sdt>
        <w:sdtPr>
          <w:rPr>
            <w:sz w:val="28"/>
            <w:szCs w:val="28"/>
            <w:shd w:val="clear" w:color="auto" w:fill="FFFFFF"/>
          </w:rPr>
          <w:id w:val="1755863734"/>
          <w:citation/>
        </w:sdtPr>
        <w:sdtEndPr/>
        <w:sdtContent>
          <w:r w:rsidRPr="00895BBD">
            <w:rPr>
              <w:sz w:val="28"/>
              <w:szCs w:val="28"/>
              <w:shd w:val="clear" w:color="auto" w:fill="FFFFFF"/>
            </w:rPr>
            <w:fldChar w:fldCharType="begin"/>
          </w:r>
          <w:r w:rsidRPr="00895BBD">
            <w:rPr>
              <w:sz w:val="28"/>
              <w:szCs w:val="28"/>
              <w:shd w:val="clear" w:color="auto" w:fill="FFFFFF"/>
            </w:rPr>
            <w:instrText xml:space="preserve"> CITATION Jul19 \l 2057 </w:instrText>
          </w:r>
          <w:r w:rsidRPr="00895BBD">
            <w:rPr>
              <w:sz w:val="28"/>
              <w:szCs w:val="28"/>
              <w:shd w:val="clear" w:color="auto" w:fill="FFFFFF"/>
            </w:rPr>
            <w:fldChar w:fldCharType="separate"/>
          </w:r>
          <w:r w:rsidRPr="00895BBD">
            <w:rPr>
              <w:noProof/>
              <w:sz w:val="28"/>
              <w:szCs w:val="28"/>
              <w:shd w:val="clear" w:color="auto" w:fill="FFFFFF"/>
            </w:rPr>
            <w:t xml:space="preserve"> (Kollewe, 2019)</w:t>
          </w:r>
          <w:r w:rsidRPr="00895BBD">
            <w:rPr>
              <w:sz w:val="28"/>
              <w:szCs w:val="28"/>
              <w:shd w:val="clear" w:color="auto" w:fill="FFFFFF"/>
            </w:rPr>
            <w:fldChar w:fldCharType="end"/>
          </w:r>
        </w:sdtContent>
      </w:sdt>
      <w:r w:rsidRPr="00895BBD">
        <w:rPr>
          <w:sz w:val="28"/>
          <w:szCs w:val="28"/>
          <w:shd w:val="clear" w:color="auto" w:fill="FFFFFF"/>
        </w:rPr>
        <w:t>.</w:t>
      </w:r>
      <w:r w:rsidRPr="00895BBD">
        <w:rPr>
          <w:rFonts w:eastAsiaTheme="minorHAnsi"/>
          <w:noProof/>
          <w:sz w:val="28"/>
          <w:szCs w:val="28"/>
          <w:lang w:eastAsia="en-US"/>
        </w:rPr>
        <w:t xml:space="preserve"> </w:t>
      </w:r>
    </w:p>
    <w:p w14:paraId="794178A7" w14:textId="4FCF6A6C" w:rsidR="009F2384" w:rsidRPr="00895BBD" w:rsidRDefault="009F2384" w:rsidP="00DA2F53">
      <w:pPr>
        <w:jc w:val="both"/>
        <w:rPr>
          <w:rFonts w:cs="Arial"/>
          <w:noProof/>
          <w:szCs w:val="28"/>
        </w:rPr>
      </w:pPr>
      <w:r w:rsidRPr="00895BBD">
        <w:rPr>
          <w:rFonts w:cs="Arial"/>
          <w:noProof/>
          <w:szCs w:val="28"/>
        </w:rPr>
        <w:t>For the fiscal year ending April 2019, the company reported revenues of £10.433 million, a decrease of 0.9 percent over the pervious financial year.</w:t>
      </w:r>
      <w:r w:rsidRPr="00895BBD">
        <w:rPr>
          <w:rFonts w:cs="Arial"/>
          <w:szCs w:val="28"/>
        </w:rPr>
        <w:t xml:space="preserve"> </w:t>
      </w:r>
      <w:r w:rsidRPr="00895BBD">
        <w:rPr>
          <w:rFonts w:cs="Arial"/>
          <w:noProof/>
          <w:szCs w:val="28"/>
        </w:rPr>
        <w:t>The company's operating made a  loss of  £223 million for the fiscal year 2019 compared to a £321 million operating income in fiscal year 2018. By the end of the fiscal year 2019, the company's net loss was £ 320 million, compared to a net profit of £ 166 million in 2018.</w:t>
      </w:r>
    </w:p>
    <w:p w14:paraId="5BD6C454" w14:textId="0DA428DC" w:rsidR="009556EE" w:rsidRDefault="00276E32" w:rsidP="00DA2F53">
      <w:pPr>
        <w:pStyle w:val="Heading1"/>
        <w:jc w:val="both"/>
      </w:pPr>
      <w:r>
        <w:t>Ratio Analysis</w:t>
      </w:r>
    </w:p>
    <w:p w14:paraId="6DC02708" w14:textId="77777777" w:rsidR="00276E32" w:rsidRPr="00276E32" w:rsidRDefault="00276E32" w:rsidP="00DA2F53">
      <w:pPr>
        <w:jc w:val="both"/>
      </w:pPr>
    </w:p>
    <w:p w14:paraId="5A83CD56" w14:textId="40438944" w:rsidR="003371F5" w:rsidRPr="00895BBD" w:rsidRDefault="003371F5" w:rsidP="00DA2F53">
      <w:pPr>
        <w:jc w:val="both"/>
        <w:rPr>
          <w:szCs w:val="28"/>
        </w:rPr>
      </w:pPr>
      <w:r w:rsidRPr="00895BBD">
        <w:rPr>
          <w:szCs w:val="28"/>
        </w:rPr>
        <w:t>In order to understand Dixons Carphone financial standing using information from their financial statements over the past five year. Using the information from their balance sheet and income statements will be used.</w:t>
      </w:r>
    </w:p>
    <w:p w14:paraId="289C4B3E" w14:textId="5C116F3F" w:rsidR="004770F5" w:rsidRPr="00895BBD" w:rsidRDefault="004770F5" w:rsidP="00DA2F53">
      <w:pPr>
        <w:jc w:val="both"/>
        <w:rPr>
          <w:szCs w:val="28"/>
        </w:rPr>
      </w:pPr>
      <w:r w:rsidRPr="00895BBD">
        <w:rPr>
          <w:szCs w:val="28"/>
        </w:rPr>
        <w:t>Financial statements reflect on the status of an organisation at a given period of time and on its performance within a certain period of time</w:t>
      </w:r>
      <w:r w:rsidR="00CD71D6" w:rsidRPr="00895BBD">
        <w:rPr>
          <w:szCs w:val="28"/>
        </w:rPr>
        <w:t>. A</w:t>
      </w:r>
      <w:r w:rsidRPr="00895BBD">
        <w:rPr>
          <w:szCs w:val="28"/>
        </w:rPr>
        <w:t>s it is used to help determine profit and dividends for an organisation financial statements hold great value</w:t>
      </w:r>
      <w:r w:rsidR="00CD71D6" w:rsidRPr="00895BBD">
        <w:rPr>
          <w:szCs w:val="28"/>
        </w:rPr>
        <w:t>.</w:t>
      </w:r>
      <w:r w:rsidRPr="00895BBD">
        <w:rPr>
          <w:szCs w:val="28"/>
        </w:rPr>
        <w:t xml:space="preserve">  </w:t>
      </w:r>
    </w:p>
    <w:p w14:paraId="29294530" w14:textId="6E7D0E44" w:rsidR="000D135D" w:rsidRPr="00895BBD" w:rsidRDefault="00276E32" w:rsidP="00DA2F53">
      <w:pPr>
        <w:jc w:val="both"/>
        <w:rPr>
          <w:szCs w:val="28"/>
        </w:rPr>
      </w:pPr>
      <w:r w:rsidRPr="00895BBD">
        <w:rPr>
          <w:szCs w:val="28"/>
        </w:rPr>
        <w:t>Considering</w:t>
      </w:r>
      <w:r w:rsidR="00CD71D6" w:rsidRPr="00895BBD">
        <w:rPr>
          <w:szCs w:val="28"/>
        </w:rPr>
        <w:t xml:space="preserve"> form an investor's perspective, forecasting the possible future of a project is what the analysis of financial statements really is all about</w:t>
      </w:r>
      <w:r w:rsidR="00071224" w:rsidRPr="00895BBD">
        <w:rPr>
          <w:szCs w:val="28"/>
        </w:rPr>
        <w:t xml:space="preserve">; </w:t>
      </w:r>
      <w:r w:rsidR="00CD71D6" w:rsidRPr="00895BBD">
        <w:rPr>
          <w:szCs w:val="28"/>
        </w:rPr>
        <w:t xml:space="preserve">the evaluation of the financial statements is both </w:t>
      </w:r>
      <w:r w:rsidRPr="00895BBD">
        <w:rPr>
          <w:szCs w:val="28"/>
        </w:rPr>
        <w:t xml:space="preserve">a </w:t>
      </w:r>
      <w:r w:rsidR="00CD71D6" w:rsidRPr="00895BBD">
        <w:rPr>
          <w:szCs w:val="28"/>
        </w:rPr>
        <w:t xml:space="preserve">useful way of forecasting </w:t>
      </w:r>
      <w:r w:rsidR="00CD71D6" w:rsidRPr="00895BBD">
        <w:rPr>
          <w:szCs w:val="28"/>
        </w:rPr>
        <w:lastRenderedPageBreak/>
        <w:t xml:space="preserve">developments and, more specifically, </w:t>
      </w:r>
      <w:r w:rsidRPr="00895BBD">
        <w:rPr>
          <w:szCs w:val="28"/>
        </w:rPr>
        <w:t xml:space="preserve">used </w:t>
      </w:r>
      <w:r w:rsidR="00CD71D6" w:rsidRPr="00895BBD">
        <w:rPr>
          <w:szCs w:val="28"/>
        </w:rPr>
        <w:t>as a point of reference for taking actions that will affect the course of events</w:t>
      </w:r>
      <w:sdt>
        <w:sdtPr>
          <w:rPr>
            <w:szCs w:val="28"/>
          </w:rPr>
          <w:id w:val="-381950985"/>
          <w:citation/>
        </w:sdtPr>
        <w:sdtEndPr/>
        <w:sdtContent>
          <w:r w:rsidR="004770F5" w:rsidRPr="00895BBD">
            <w:rPr>
              <w:szCs w:val="28"/>
            </w:rPr>
            <w:fldChar w:fldCharType="begin"/>
          </w:r>
          <w:r w:rsidR="004770F5" w:rsidRPr="00895BBD">
            <w:rPr>
              <w:szCs w:val="28"/>
            </w:rPr>
            <w:instrText xml:space="preserve"> CITATION Kur \l 2057 </w:instrText>
          </w:r>
          <w:r w:rsidR="004770F5" w:rsidRPr="00895BBD">
            <w:rPr>
              <w:szCs w:val="28"/>
            </w:rPr>
            <w:fldChar w:fldCharType="separate"/>
          </w:r>
          <w:r w:rsidR="004770F5" w:rsidRPr="00895BBD">
            <w:rPr>
              <w:noProof/>
              <w:szCs w:val="28"/>
            </w:rPr>
            <w:t xml:space="preserve"> (Kuratko, 2017)</w:t>
          </w:r>
          <w:r w:rsidR="004770F5" w:rsidRPr="00895BBD">
            <w:rPr>
              <w:szCs w:val="28"/>
            </w:rPr>
            <w:fldChar w:fldCharType="end"/>
          </w:r>
        </w:sdtContent>
      </w:sdt>
      <w:r w:rsidR="00071224" w:rsidRPr="00895BBD">
        <w:rPr>
          <w:szCs w:val="28"/>
        </w:rPr>
        <w:t>.</w:t>
      </w:r>
    </w:p>
    <w:p w14:paraId="28912602" w14:textId="3144A5DC" w:rsidR="008B2490" w:rsidRPr="00895BBD" w:rsidRDefault="008B4205" w:rsidP="00DA2F53">
      <w:pPr>
        <w:jc w:val="both"/>
        <w:rPr>
          <w:szCs w:val="28"/>
        </w:rPr>
      </w:pPr>
      <w:r w:rsidRPr="00895BBD">
        <w:rPr>
          <w:szCs w:val="28"/>
        </w:rPr>
        <w:t xml:space="preserve">Each business stockholder holds the importance of the ratios in a different way for differing reasons. Ratios are used </w:t>
      </w:r>
      <w:r w:rsidR="0050363D" w:rsidRPr="00895BBD">
        <w:rPr>
          <w:szCs w:val="28"/>
        </w:rPr>
        <w:t>in</w:t>
      </w:r>
      <w:r w:rsidRPr="00895BBD">
        <w:rPr>
          <w:szCs w:val="28"/>
        </w:rPr>
        <w:t xml:space="preserve"> advising and assisting </w:t>
      </w:r>
      <w:r w:rsidR="0050363D" w:rsidRPr="00895BBD">
        <w:rPr>
          <w:szCs w:val="28"/>
        </w:rPr>
        <w:t>for</w:t>
      </w:r>
      <w:r w:rsidRPr="00895BBD">
        <w:rPr>
          <w:szCs w:val="28"/>
        </w:rPr>
        <w:t xml:space="preserve"> decision</w:t>
      </w:r>
      <w:r w:rsidR="0050363D" w:rsidRPr="00895BBD">
        <w:rPr>
          <w:szCs w:val="28"/>
        </w:rPr>
        <w:t>s</w:t>
      </w:r>
      <w:r w:rsidRPr="00895BBD">
        <w:rPr>
          <w:szCs w:val="28"/>
        </w:rPr>
        <w:t xml:space="preserve"> such as when to barrow </w:t>
      </w:r>
      <w:r w:rsidR="0050363D" w:rsidRPr="00895BBD">
        <w:rPr>
          <w:szCs w:val="28"/>
        </w:rPr>
        <w:t xml:space="preserve">or </w:t>
      </w:r>
      <w:r w:rsidRPr="00895BBD">
        <w:rPr>
          <w:rStyle w:val="word"/>
          <w:rFonts w:cs="Arial"/>
          <w:szCs w:val="28"/>
        </w:rPr>
        <w:t xml:space="preserve">whether </w:t>
      </w:r>
      <w:r w:rsidR="0050363D" w:rsidRPr="00895BBD">
        <w:rPr>
          <w:rStyle w:val="word"/>
          <w:rFonts w:cs="Arial"/>
          <w:szCs w:val="28"/>
        </w:rPr>
        <w:t>business</w:t>
      </w:r>
      <w:r w:rsidRPr="00895BBD">
        <w:rPr>
          <w:rStyle w:val="word"/>
          <w:rFonts w:cs="Arial"/>
          <w:szCs w:val="28"/>
        </w:rPr>
        <w:t xml:space="preserve"> ha</w:t>
      </w:r>
      <w:r w:rsidR="0050363D" w:rsidRPr="00895BBD">
        <w:rPr>
          <w:rStyle w:val="word"/>
          <w:rFonts w:cs="Arial"/>
          <w:szCs w:val="28"/>
        </w:rPr>
        <w:t>s</w:t>
      </w:r>
      <w:r w:rsidRPr="00895BBD">
        <w:rPr>
          <w:rStyle w:val="word"/>
          <w:rFonts w:cs="Arial"/>
          <w:szCs w:val="28"/>
        </w:rPr>
        <w:t xml:space="preserve"> the ability to deliver on short-term liabilities</w:t>
      </w:r>
      <w:sdt>
        <w:sdtPr>
          <w:rPr>
            <w:rStyle w:val="word"/>
            <w:rFonts w:cs="Arial"/>
            <w:szCs w:val="28"/>
          </w:rPr>
          <w:id w:val="-1088537728"/>
          <w:citation/>
        </w:sdtPr>
        <w:sdtEndPr>
          <w:rPr>
            <w:rStyle w:val="word"/>
          </w:rPr>
        </w:sdtEndPr>
        <w:sdtContent>
          <w:r w:rsidRPr="00895BBD">
            <w:rPr>
              <w:rStyle w:val="word"/>
              <w:rFonts w:cs="Arial"/>
              <w:szCs w:val="28"/>
            </w:rPr>
            <w:fldChar w:fldCharType="begin"/>
          </w:r>
          <w:r w:rsidRPr="00895BBD">
            <w:rPr>
              <w:rStyle w:val="word"/>
              <w:rFonts w:cs="Arial"/>
              <w:szCs w:val="28"/>
            </w:rPr>
            <w:instrText xml:space="preserve"> CITATION Kur \l 2057 </w:instrText>
          </w:r>
          <w:r w:rsidRPr="00895BBD">
            <w:rPr>
              <w:rStyle w:val="word"/>
              <w:rFonts w:cs="Arial"/>
              <w:szCs w:val="28"/>
            </w:rPr>
            <w:fldChar w:fldCharType="separate"/>
          </w:r>
          <w:r w:rsidRPr="00895BBD">
            <w:rPr>
              <w:rStyle w:val="word"/>
              <w:rFonts w:cs="Arial"/>
              <w:noProof/>
              <w:szCs w:val="28"/>
            </w:rPr>
            <w:t xml:space="preserve"> </w:t>
          </w:r>
          <w:r w:rsidRPr="00895BBD">
            <w:rPr>
              <w:rFonts w:cs="Arial"/>
              <w:noProof/>
              <w:szCs w:val="28"/>
            </w:rPr>
            <w:t>(Kuratko, 2017)</w:t>
          </w:r>
          <w:r w:rsidRPr="00895BBD">
            <w:rPr>
              <w:rStyle w:val="word"/>
              <w:rFonts w:cs="Arial"/>
              <w:szCs w:val="28"/>
            </w:rPr>
            <w:fldChar w:fldCharType="end"/>
          </w:r>
        </w:sdtContent>
      </w:sdt>
      <w:r w:rsidRPr="00895BBD">
        <w:rPr>
          <w:rStyle w:val="word"/>
          <w:rFonts w:cs="Arial"/>
          <w:szCs w:val="28"/>
        </w:rPr>
        <w:t>.</w:t>
      </w:r>
    </w:p>
    <w:p w14:paraId="329075B2" w14:textId="77777777" w:rsidR="00252F8C" w:rsidRPr="00895BBD" w:rsidRDefault="005322AC" w:rsidP="00DA2F53">
      <w:pPr>
        <w:jc w:val="both"/>
        <w:rPr>
          <w:szCs w:val="28"/>
        </w:rPr>
      </w:pPr>
      <w:r w:rsidRPr="00895BBD">
        <w:rPr>
          <w:rStyle w:val="word"/>
          <w:rFonts w:cs="Arial"/>
          <w:szCs w:val="28"/>
        </w:rPr>
        <w:t>To calculate liquidity and stability problems and awareness ratios based on the balance sheet are used, here profitability margins can be properly assessed.</w:t>
      </w:r>
      <w:r w:rsidR="00252F8C" w:rsidRPr="00895BBD">
        <w:rPr>
          <w:rStyle w:val="word"/>
          <w:rFonts w:cs="Arial"/>
          <w:szCs w:val="28"/>
        </w:rPr>
        <w:t xml:space="preserve"> </w:t>
      </w:r>
      <w:r w:rsidR="00252F8C" w:rsidRPr="00895BBD">
        <w:rPr>
          <w:szCs w:val="28"/>
        </w:rPr>
        <w:t>In addition, efficiency ratios are used at specific points such as inventory or accounts receivable turnover, there are also productivity measures that measure general returns on assets and acquisitions.</w:t>
      </w:r>
    </w:p>
    <w:p w14:paraId="5054BC1E" w14:textId="300000E1" w:rsidR="003D2D49" w:rsidRPr="00895BBD" w:rsidRDefault="003D2D49" w:rsidP="00DA2F53">
      <w:pPr>
        <w:jc w:val="both"/>
        <w:rPr>
          <w:szCs w:val="28"/>
        </w:rPr>
      </w:pPr>
      <w:r w:rsidRPr="00895BBD">
        <w:rPr>
          <w:szCs w:val="28"/>
        </w:rPr>
        <w:t xml:space="preserve">Using ratios provide the most </w:t>
      </w:r>
      <w:r w:rsidRPr="00895BBD">
        <w:rPr>
          <w:rStyle w:val="word"/>
          <w:rFonts w:cs="Arial"/>
          <w:szCs w:val="28"/>
        </w:rPr>
        <w:t xml:space="preserve">powerful methods </w:t>
      </w:r>
      <w:r w:rsidRPr="00895BBD">
        <w:rPr>
          <w:szCs w:val="28"/>
        </w:rPr>
        <w:t>to track the efficiency of an organisation over time; it should be noted, however, that successful ratio analysis must be conducted in relation with businesses within the same market in order to achieve the greatest possible perspective</w:t>
      </w:r>
      <w:sdt>
        <w:sdtPr>
          <w:rPr>
            <w:szCs w:val="28"/>
          </w:rPr>
          <w:id w:val="-1551367851"/>
          <w:citation/>
        </w:sdtPr>
        <w:sdtEndPr/>
        <w:sdtContent>
          <w:r w:rsidRPr="00895BBD">
            <w:rPr>
              <w:szCs w:val="28"/>
            </w:rPr>
            <w:fldChar w:fldCharType="begin"/>
          </w:r>
          <w:r w:rsidRPr="00895BBD">
            <w:rPr>
              <w:szCs w:val="28"/>
            </w:rPr>
            <w:instrText xml:space="preserve"> CITATION Kur \l 2057 </w:instrText>
          </w:r>
          <w:r w:rsidRPr="00895BBD">
            <w:rPr>
              <w:szCs w:val="28"/>
            </w:rPr>
            <w:fldChar w:fldCharType="separate"/>
          </w:r>
          <w:r w:rsidRPr="00895BBD">
            <w:rPr>
              <w:noProof/>
              <w:szCs w:val="28"/>
            </w:rPr>
            <w:t xml:space="preserve"> (Kuratko, 2017)</w:t>
          </w:r>
          <w:r w:rsidRPr="00895BBD">
            <w:rPr>
              <w:szCs w:val="28"/>
            </w:rPr>
            <w:fldChar w:fldCharType="end"/>
          </w:r>
        </w:sdtContent>
      </w:sdt>
      <w:r w:rsidRPr="00895BBD">
        <w:rPr>
          <w:szCs w:val="28"/>
        </w:rPr>
        <w:t>.</w:t>
      </w:r>
    </w:p>
    <w:p w14:paraId="243DDF38" w14:textId="0D39C661" w:rsidR="00E4147D" w:rsidRPr="00895BBD" w:rsidRDefault="00FF4853" w:rsidP="00DA2F53">
      <w:pPr>
        <w:jc w:val="both"/>
        <w:rPr>
          <w:rFonts w:cs="Arial"/>
          <w:szCs w:val="28"/>
          <w:shd w:val="clear" w:color="auto" w:fill="FFFFFF"/>
        </w:rPr>
      </w:pPr>
      <w:r w:rsidRPr="00895BBD">
        <w:rPr>
          <w:szCs w:val="28"/>
        </w:rPr>
        <w:t xml:space="preserve">Financial ratios used in the retail business are there to support leaders in their sales activities. Investors are able to analyse the financial ratios </w:t>
      </w:r>
      <w:r w:rsidR="008428EF" w:rsidRPr="00895BBD">
        <w:rPr>
          <w:szCs w:val="28"/>
        </w:rPr>
        <w:t>establish the long-term security and short-term efficiency as well as the total profitability of a retail business.</w:t>
      </w:r>
      <w:r w:rsidR="004C1A26" w:rsidRPr="00895BBD">
        <w:rPr>
          <w:szCs w:val="28"/>
        </w:rPr>
        <w:t xml:space="preserve"> </w:t>
      </w:r>
      <w:r w:rsidR="0050363D" w:rsidRPr="00895BBD">
        <w:rPr>
          <w:rFonts w:cs="Arial"/>
          <w:szCs w:val="28"/>
          <w:shd w:val="clear" w:color="auto" w:fill="FFFFFF"/>
        </w:rPr>
        <w:t>Financial ratios also help to reveal how successfully a retail company is selling inventory, pricing its goods, and operating its business as a whole</w:t>
      </w:r>
      <w:sdt>
        <w:sdtPr>
          <w:rPr>
            <w:rFonts w:cs="Arial"/>
            <w:szCs w:val="28"/>
            <w:shd w:val="clear" w:color="auto" w:fill="FFFFFF"/>
          </w:rPr>
          <w:id w:val="-539663966"/>
          <w:citation/>
        </w:sdtPr>
        <w:sdtEndPr/>
        <w:sdtContent>
          <w:r w:rsidR="004C1A26" w:rsidRPr="00895BBD">
            <w:rPr>
              <w:rFonts w:cs="Arial"/>
              <w:szCs w:val="28"/>
              <w:shd w:val="clear" w:color="auto" w:fill="FFFFFF"/>
            </w:rPr>
            <w:fldChar w:fldCharType="begin"/>
          </w:r>
          <w:r w:rsidR="004C1A26" w:rsidRPr="00895BBD">
            <w:rPr>
              <w:rFonts w:cs="Arial"/>
              <w:szCs w:val="28"/>
              <w:shd w:val="clear" w:color="auto" w:fill="FFFFFF"/>
            </w:rPr>
            <w:instrText xml:space="preserve"> CITATION Key19 \l 2057 </w:instrText>
          </w:r>
          <w:r w:rsidR="004C1A26" w:rsidRPr="00895BBD">
            <w:rPr>
              <w:rFonts w:cs="Arial"/>
              <w:szCs w:val="28"/>
              <w:shd w:val="clear" w:color="auto" w:fill="FFFFFF"/>
            </w:rPr>
            <w:fldChar w:fldCharType="separate"/>
          </w:r>
          <w:r w:rsidR="004C1A26" w:rsidRPr="00895BBD">
            <w:rPr>
              <w:rFonts w:cs="Arial"/>
              <w:noProof/>
              <w:szCs w:val="28"/>
              <w:shd w:val="clear" w:color="auto" w:fill="FFFFFF"/>
            </w:rPr>
            <w:t xml:space="preserve"> (Gorton, 2019)</w:t>
          </w:r>
          <w:r w:rsidR="004C1A26" w:rsidRPr="00895BBD">
            <w:rPr>
              <w:rFonts w:cs="Arial"/>
              <w:szCs w:val="28"/>
              <w:shd w:val="clear" w:color="auto" w:fill="FFFFFF"/>
            </w:rPr>
            <w:fldChar w:fldCharType="end"/>
          </w:r>
        </w:sdtContent>
      </w:sdt>
      <w:r w:rsidR="0050363D" w:rsidRPr="00895BBD">
        <w:rPr>
          <w:rFonts w:cs="Arial"/>
          <w:szCs w:val="28"/>
          <w:shd w:val="clear" w:color="auto" w:fill="FFFFFF"/>
        </w:rPr>
        <w:t xml:space="preserve">. </w:t>
      </w:r>
      <w:r w:rsidR="008428EF" w:rsidRPr="00895BBD">
        <w:rPr>
          <w:rFonts w:cs="Arial"/>
          <w:szCs w:val="28"/>
          <w:shd w:val="clear" w:color="auto" w:fill="FFFFFF"/>
        </w:rPr>
        <w:t>T</w:t>
      </w:r>
      <w:r w:rsidR="0050363D" w:rsidRPr="00895BBD">
        <w:rPr>
          <w:rFonts w:cs="Arial"/>
          <w:szCs w:val="28"/>
          <w:shd w:val="clear" w:color="auto" w:fill="FFFFFF"/>
        </w:rPr>
        <w:t xml:space="preserve">he key ratios </w:t>
      </w:r>
      <w:r w:rsidR="008428EF" w:rsidRPr="00895BBD">
        <w:rPr>
          <w:rFonts w:cs="Arial"/>
          <w:szCs w:val="28"/>
          <w:shd w:val="clear" w:color="auto" w:fill="FFFFFF"/>
        </w:rPr>
        <w:t xml:space="preserve">used for this repot are Operating income, Quick Ratio, Asset Turnover, and Debt-Equity-Ratio. Gross margin would normally be used for the retail sector however, Dixon Carphone do not report on </w:t>
      </w:r>
      <w:r w:rsidR="00895BBD" w:rsidRPr="00895BBD">
        <w:rPr>
          <w:rFonts w:cs="Arial"/>
          <w:szCs w:val="28"/>
          <w:shd w:val="clear" w:color="auto" w:fill="FFFFFF"/>
        </w:rPr>
        <w:t>it,</w:t>
      </w:r>
      <w:r w:rsidR="008428EF" w:rsidRPr="00895BBD">
        <w:rPr>
          <w:rFonts w:cs="Arial"/>
          <w:szCs w:val="28"/>
          <w:shd w:val="clear" w:color="auto" w:fill="FFFFFF"/>
        </w:rPr>
        <w:t xml:space="preserve"> so the operating income is used </w:t>
      </w:r>
      <w:r w:rsidR="00091B2C" w:rsidRPr="00895BBD">
        <w:rPr>
          <w:rFonts w:cs="Arial"/>
          <w:szCs w:val="28"/>
          <w:shd w:val="clear" w:color="auto" w:fill="FFFFFF"/>
        </w:rPr>
        <w:t>instead.</w:t>
      </w:r>
    </w:p>
    <w:p w14:paraId="19BB3654" w14:textId="77777777" w:rsidR="00E4147D" w:rsidRPr="008428EF" w:rsidRDefault="00E4147D" w:rsidP="00DA2F53">
      <w:pPr>
        <w:jc w:val="both"/>
        <w:rPr>
          <w:rFonts w:cs="Arial"/>
          <w:sz w:val="24"/>
          <w:szCs w:val="24"/>
          <w:shd w:val="clear" w:color="auto" w:fill="FFFFFF"/>
        </w:rPr>
      </w:pPr>
    </w:p>
    <w:p w14:paraId="3BFE91BD" w14:textId="5DD96158" w:rsidR="00EA708F" w:rsidRDefault="003B25E1" w:rsidP="00DA2F53">
      <w:pPr>
        <w:pStyle w:val="Heading2"/>
        <w:jc w:val="both"/>
      </w:pPr>
      <w:r w:rsidRPr="00EA708F">
        <w:rPr>
          <w:lang w:val="en-US"/>
        </w:rPr>
        <w:t>Profitability Ratios</w:t>
      </w:r>
    </w:p>
    <w:p w14:paraId="20079FFE" w14:textId="77777777" w:rsidR="00124CDE" w:rsidRDefault="00124CDE" w:rsidP="00124CDE">
      <w:pPr>
        <w:rPr>
          <w:sz w:val="24"/>
          <w:szCs w:val="24"/>
        </w:rPr>
      </w:pPr>
    </w:p>
    <w:p w14:paraId="1073A4AA" w14:textId="710D2314" w:rsidR="00124CDE" w:rsidRPr="00124CDE" w:rsidRDefault="00110418" w:rsidP="00124CDE">
      <w:pPr>
        <w:rPr>
          <w:sz w:val="24"/>
          <w:szCs w:val="24"/>
        </w:rPr>
      </w:pPr>
      <w:r w:rsidRPr="00895BBD">
        <w:rPr>
          <w:szCs w:val="28"/>
        </w:rPr>
        <w:t>Ratios of profitability compare the amount of revenue received with the tools used to produce it.</w:t>
      </w:r>
      <w:r w:rsidR="0023449F" w:rsidRPr="00895BBD">
        <w:rPr>
          <w:szCs w:val="28"/>
        </w:rPr>
        <w:t xml:space="preserve"> </w:t>
      </w:r>
      <w:r w:rsidRPr="00895BBD">
        <w:rPr>
          <w:szCs w:val="28"/>
        </w:rPr>
        <w:t>Optimally, with the resource given the organisation should maximise their income.</w:t>
      </w:r>
      <w:r w:rsidR="00124CDE" w:rsidRPr="00895BBD">
        <w:rPr>
          <w:szCs w:val="28"/>
        </w:rPr>
        <w:t xml:space="preserve"> Management can use the profitability ratio to focus on areas where output is impaired, so that preventive measures can be made. Investors also use profitability ratios to assess the potential earning power of a company</w:t>
      </w:r>
      <w:r w:rsidRPr="00895BBD">
        <w:rPr>
          <w:szCs w:val="28"/>
        </w:rPr>
        <w:t xml:space="preserve"> </w:t>
      </w:r>
      <w:sdt>
        <w:sdtPr>
          <w:rPr>
            <w:szCs w:val="28"/>
          </w:rPr>
          <w:id w:val="429479696"/>
          <w:citation/>
        </w:sdtPr>
        <w:sdtEndPr/>
        <w:sdtContent>
          <w:r w:rsidR="00124CDE" w:rsidRPr="00895BBD">
            <w:rPr>
              <w:szCs w:val="28"/>
            </w:rPr>
            <w:fldChar w:fldCharType="begin"/>
          </w:r>
          <w:r w:rsidR="00124CDE" w:rsidRPr="00895BBD">
            <w:rPr>
              <w:szCs w:val="28"/>
            </w:rPr>
            <w:instrText xml:space="preserve"> CITATION Fin05 \l 2057 </w:instrText>
          </w:r>
          <w:r w:rsidR="00124CDE" w:rsidRPr="00895BBD">
            <w:rPr>
              <w:szCs w:val="28"/>
            </w:rPr>
            <w:fldChar w:fldCharType="separate"/>
          </w:r>
          <w:r w:rsidR="00124CDE" w:rsidRPr="00895BBD">
            <w:rPr>
              <w:noProof/>
              <w:szCs w:val="28"/>
            </w:rPr>
            <w:t xml:space="preserve"> (Press &amp; management, 2005)</w:t>
          </w:r>
          <w:r w:rsidR="00124CDE" w:rsidRPr="00895BBD">
            <w:rPr>
              <w:szCs w:val="28"/>
            </w:rPr>
            <w:fldChar w:fldCharType="end"/>
          </w:r>
        </w:sdtContent>
      </w:sdt>
      <w:r w:rsidR="00124CDE" w:rsidRPr="00124CDE">
        <w:rPr>
          <w:sz w:val="24"/>
          <w:szCs w:val="24"/>
        </w:rPr>
        <w:t>.</w:t>
      </w:r>
    </w:p>
    <w:p w14:paraId="4977FFCA" w14:textId="3029E39E" w:rsidR="00305535" w:rsidRDefault="00305535" w:rsidP="00B20992">
      <w:pPr>
        <w:pStyle w:val="Heading3"/>
      </w:pPr>
      <w:r w:rsidRPr="00305535">
        <w:lastRenderedPageBreak/>
        <w:t xml:space="preserve">Operating </w:t>
      </w:r>
      <w:r w:rsidR="003756CE">
        <w:t>Margin</w:t>
      </w:r>
    </w:p>
    <w:p w14:paraId="1AEB82C0" w14:textId="77777777" w:rsidR="00E4147D" w:rsidRDefault="00E4147D" w:rsidP="00091B2C">
      <w:pPr>
        <w:jc w:val="both"/>
        <w:rPr>
          <w:sz w:val="24"/>
          <w:szCs w:val="24"/>
        </w:rPr>
      </w:pPr>
    </w:p>
    <w:p w14:paraId="79C9C33C" w14:textId="07AAFCDE" w:rsidR="00091B2C" w:rsidRPr="00895BBD" w:rsidRDefault="00091B2C" w:rsidP="00EA65EE">
      <w:pPr>
        <w:jc w:val="both"/>
        <w:rPr>
          <w:szCs w:val="28"/>
        </w:rPr>
      </w:pPr>
      <w:r w:rsidRPr="00895BBD">
        <w:rPr>
          <w:szCs w:val="28"/>
        </w:rPr>
        <w:t xml:space="preserve">The operating income measure the profit accomplished via the organisation’s operations, before the deduction of overheads such as cost of products, wages and devaluation. </w:t>
      </w:r>
      <w:r w:rsidR="009B06C8" w:rsidRPr="00895BBD">
        <w:rPr>
          <w:szCs w:val="28"/>
        </w:rPr>
        <w:t xml:space="preserve">It is also known as the Earnings Before Interest and Taxes (EBIT) margin and is often used by shareholders to measure the profitability of the operating activities of a company. This ratio </w:t>
      </w:r>
      <w:r w:rsidR="00973072" w:rsidRPr="00895BBD">
        <w:rPr>
          <w:rStyle w:val="word"/>
          <w:rFonts w:cs="Arial"/>
          <w:szCs w:val="28"/>
        </w:rPr>
        <w:t xml:space="preserve">excludes </w:t>
      </w:r>
      <w:r w:rsidR="009B06C8" w:rsidRPr="00895BBD">
        <w:rPr>
          <w:szCs w:val="28"/>
        </w:rPr>
        <w:t>from the calculation the interest expenses and taxes that are not regulated by management</w:t>
      </w:r>
      <w:r w:rsidR="00973072" w:rsidRPr="00895BBD">
        <w:rPr>
          <w:szCs w:val="28"/>
        </w:rPr>
        <w:t xml:space="preserve"> and have no </w:t>
      </w:r>
      <w:r w:rsidR="00973072" w:rsidRPr="00895BBD">
        <w:rPr>
          <w:rStyle w:val="word"/>
          <w:rFonts w:cs="Arial"/>
          <w:szCs w:val="28"/>
        </w:rPr>
        <w:t>influence over.</w:t>
      </w:r>
      <w:r w:rsidR="00EA65EE" w:rsidRPr="00895BBD">
        <w:rPr>
          <w:szCs w:val="28"/>
        </w:rPr>
        <w:t xml:space="preserve"> </w:t>
      </w:r>
      <w:r w:rsidR="00EA65EE" w:rsidRPr="00895BBD">
        <w:rPr>
          <w:rStyle w:val="word"/>
          <w:rFonts w:cs="Arial"/>
          <w:szCs w:val="28"/>
        </w:rPr>
        <w:t>Therefore, the operating margin provides a clear success measure for the organisation</w:t>
      </w:r>
      <w:sdt>
        <w:sdtPr>
          <w:rPr>
            <w:rStyle w:val="word"/>
            <w:rFonts w:cs="Arial"/>
            <w:szCs w:val="28"/>
          </w:rPr>
          <w:id w:val="1202511093"/>
          <w:citation/>
        </w:sdtPr>
        <w:sdtEndPr>
          <w:rPr>
            <w:rStyle w:val="word"/>
          </w:rPr>
        </w:sdtEndPr>
        <w:sdtContent>
          <w:r w:rsidR="00DA7637" w:rsidRPr="00895BBD">
            <w:rPr>
              <w:rStyle w:val="word"/>
              <w:rFonts w:cs="Arial"/>
              <w:szCs w:val="28"/>
            </w:rPr>
            <w:fldChar w:fldCharType="begin"/>
          </w:r>
          <w:r w:rsidR="00DA7637" w:rsidRPr="00895BBD">
            <w:rPr>
              <w:rStyle w:val="word"/>
              <w:rFonts w:cs="Arial"/>
              <w:szCs w:val="28"/>
            </w:rPr>
            <w:instrText xml:space="preserve"> CITATION Fin05 \l 2057 </w:instrText>
          </w:r>
          <w:r w:rsidR="00DA7637" w:rsidRPr="00895BBD">
            <w:rPr>
              <w:rStyle w:val="word"/>
              <w:rFonts w:cs="Arial"/>
              <w:szCs w:val="28"/>
            </w:rPr>
            <w:fldChar w:fldCharType="separate"/>
          </w:r>
          <w:r w:rsidR="00DA7637" w:rsidRPr="00895BBD">
            <w:rPr>
              <w:rStyle w:val="word"/>
              <w:rFonts w:cs="Arial"/>
              <w:noProof/>
              <w:szCs w:val="28"/>
            </w:rPr>
            <w:t xml:space="preserve"> </w:t>
          </w:r>
          <w:r w:rsidR="00DA7637" w:rsidRPr="00895BBD">
            <w:rPr>
              <w:rFonts w:cs="Arial"/>
              <w:noProof/>
              <w:szCs w:val="28"/>
            </w:rPr>
            <w:t>(Press &amp; management, 2005)</w:t>
          </w:r>
          <w:r w:rsidR="00DA7637" w:rsidRPr="00895BBD">
            <w:rPr>
              <w:rStyle w:val="word"/>
              <w:rFonts w:cs="Arial"/>
              <w:szCs w:val="28"/>
            </w:rPr>
            <w:fldChar w:fldCharType="end"/>
          </w:r>
        </w:sdtContent>
      </w:sdt>
      <w:r w:rsidR="00EA65EE" w:rsidRPr="00895BBD">
        <w:rPr>
          <w:rStyle w:val="word"/>
          <w:rFonts w:cs="Arial"/>
          <w:szCs w:val="28"/>
        </w:rPr>
        <w:t xml:space="preserve">. </w:t>
      </w:r>
      <w:r w:rsidR="00EA65EE" w:rsidRPr="00895BBD">
        <w:rPr>
          <w:szCs w:val="28"/>
        </w:rPr>
        <w:t>In order to</w:t>
      </w:r>
      <w:r w:rsidR="000760AB" w:rsidRPr="00895BBD">
        <w:rPr>
          <w:szCs w:val="28"/>
        </w:rPr>
        <w:t xml:space="preserve"> calculate the operating </w:t>
      </w:r>
      <w:r w:rsidR="00D331E3" w:rsidRPr="00895BBD">
        <w:rPr>
          <w:szCs w:val="28"/>
        </w:rPr>
        <w:t xml:space="preserve">margin, for Dixons Carphone over the past 5 years </w:t>
      </w:r>
      <w:r w:rsidR="00EA65EE" w:rsidRPr="00895BBD">
        <w:rPr>
          <w:szCs w:val="28"/>
        </w:rPr>
        <w:t xml:space="preserve">the below </w:t>
      </w:r>
      <w:r w:rsidR="000760AB" w:rsidRPr="00895BBD">
        <w:rPr>
          <w:szCs w:val="28"/>
        </w:rPr>
        <w:t xml:space="preserve">use the formula </w:t>
      </w:r>
      <w:r w:rsidR="00EA65EE" w:rsidRPr="00895BBD">
        <w:rPr>
          <w:szCs w:val="28"/>
        </w:rPr>
        <w:t>is used.</w:t>
      </w:r>
      <w:r w:rsidR="000760AB" w:rsidRPr="00895BBD">
        <w:rPr>
          <w:szCs w:val="28"/>
        </w:rPr>
        <w:t xml:space="preserve"> </w:t>
      </w:r>
    </w:p>
    <w:p w14:paraId="783AFF88" w14:textId="1C6B008A" w:rsidR="00D331E3" w:rsidRDefault="00C93AD2" w:rsidP="00D331E3">
      <w:pPr>
        <w:jc w:val="center"/>
        <w:rPr>
          <w:sz w:val="24"/>
          <w:szCs w:val="24"/>
        </w:rPr>
      </w:pPr>
      <w:r w:rsidRPr="00D331E3">
        <w:rPr>
          <w:sz w:val="24"/>
          <w:szCs w:val="24"/>
        </w:rPr>
        <w:object w:dxaOrig="8265" w:dyaOrig="1425" w14:anchorId="2D7CA6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3.25pt;height:52.5pt" o:ole="">
            <v:imagedata r:id="rId10" o:title=""/>
          </v:shape>
          <o:OLEObject Type="Embed" ProgID="Unknown" ShapeID="_x0000_i1025" DrawAspect="Content" ObjectID="_1641059585" r:id="rId11"/>
        </w:object>
      </w:r>
    </w:p>
    <w:p w14:paraId="7526EF28" w14:textId="77777777" w:rsidR="00D331E3" w:rsidRPr="00EA65EE" w:rsidRDefault="00D331E3" w:rsidP="00EA65EE">
      <w:pPr>
        <w:jc w:val="both"/>
        <w:rPr>
          <w:sz w:val="24"/>
          <w:szCs w:val="24"/>
        </w:rPr>
      </w:pPr>
    </w:p>
    <w:tbl>
      <w:tblPr>
        <w:tblW w:w="7561" w:type="dxa"/>
        <w:jc w:val="center"/>
        <w:tblLook w:val="04A0" w:firstRow="1" w:lastRow="0" w:firstColumn="1" w:lastColumn="0" w:noHBand="0" w:noVBand="1"/>
      </w:tblPr>
      <w:tblGrid>
        <w:gridCol w:w="722"/>
        <w:gridCol w:w="2533"/>
        <w:gridCol w:w="890"/>
        <w:gridCol w:w="1817"/>
        <w:gridCol w:w="1599"/>
      </w:tblGrid>
      <w:tr w:rsidR="002F0639" w:rsidRPr="002F0639" w14:paraId="282E0B0D" w14:textId="77777777" w:rsidTr="00D331E3">
        <w:trPr>
          <w:trHeight w:val="300"/>
          <w:jc w:val="center"/>
        </w:trPr>
        <w:tc>
          <w:tcPr>
            <w:tcW w:w="7561" w:type="dxa"/>
            <w:gridSpan w:val="5"/>
            <w:tcBorders>
              <w:top w:val="single" w:sz="4" w:space="0" w:color="auto"/>
              <w:left w:val="single" w:sz="4" w:space="0" w:color="auto"/>
              <w:bottom w:val="single" w:sz="4" w:space="0" w:color="auto"/>
              <w:right w:val="single" w:sz="4" w:space="0" w:color="000000"/>
            </w:tcBorders>
            <w:shd w:val="clear" w:color="000000" w:fill="BFBFBF"/>
            <w:noWrap/>
            <w:vAlign w:val="bottom"/>
            <w:hideMark/>
          </w:tcPr>
          <w:p w14:paraId="551BD7AE" w14:textId="77777777" w:rsidR="002F0639" w:rsidRPr="002F0639" w:rsidRDefault="002F0639" w:rsidP="002F0639">
            <w:pPr>
              <w:spacing w:after="0" w:line="240" w:lineRule="auto"/>
              <w:jc w:val="center"/>
              <w:rPr>
                <w:rFonts w:ascii="Calibri" w:eastAsia="Times New Roman" w:hAnsi="Calibri" w:cs="Calibri"/>
                <w:b/>
                <w:bCs/>
                <w:color w:val="000000"/>
                <w:sz w:val="22"/>
                <w:lang w:eastAsia="en-GB"/>
              </w:rPr>
            </w:pPr>
            <w:r w:rsidRPr="002F0639">
              <w:rPr>
                <w:rFonts w:ascii="Calibri" w:eastAsia="Times New Roman" w:hAnsi="Calibri" w:cs="Calibri"/>
                <w:b/>
                <w:bCs/>
                <w:color w:val="000000"/>
                <w:sz w:val="22"/>
                <w:lang w:eastAsia="en-GB"/>
              </w:rPr>
              <w:t>Operating Income</w:t>
            </w:r>
          </w:p>
        </w:tc>
      </w:tr>
      <w:tr w:rsidR="002F0639" w:rsidRPr="002F0639" w14:paraId="44DB67B2" w14:textId="77777777" w:rsidTr="00D331E3">
        <w:trPr>
          <w:trHeight w:val="300"/>
          <w:jc w:val="center"/>
        </w:trPr>
        <w:tc>
          <w:tcPr>
            <w:tcW w:w="722" w:type="dxa"/>
            <w:tcBorders>
              <w:top w:val="nil"/>
              <w:left w:val="single" w:sz="4" w:space="0" w:color="auto"/>
              <w:bottom w:val="single" w:sz="4" w:space="0" w:color="auto"/>
              <w:right w:val="single" w:sz="4" w:space="0" w:color="auto"/>
            </w:tcBorders>
            <w:shd w:val="clear" w:color="auto" w:fill="auto"/>
            <w:noWrap/>
            <w:vAlign w:val="bottom"/>
            <w:hideMark/>
          </w:tcPr>
          <w:p w14:paraId="096AA73A" w14:textId="77777777" w:rsidR="002F0639" w:rsidRPr="002F0639" w:rsidRDefault="002F0639" w:rsidP="002F0639">
            <w:pPr>
              <w:spacing w:after="0" w:line="240" w:lineRule="auto"/>
              <w:jc w:val="center"/>
              <w:rPr>
                <w:rFonts w:ascii="Calibri" w:eastAsia="Times New Roman" w:hAnsi="Calibri" w:cs="Calibri"/>
                <w:b/>
                <w:bCs/>
                <w:color w:val="000000"/>
                <w:sz w:val="22"/>
                <w:lang w:eastAsia="en-GB"/>
              </w:rPr>
            </w:pPr>
            <w:r w:rsidRPr="002F0639">
              <w:rPr>
                <w:rFonts w:ascii="Calibri" w:eastAsia="Times New Roman" w:hAnsi="Calibri" w:cs="Calibri"/>
                <w:b/>
                <w:bCs/>
                <w:color w:val="000000"/>
                <w:sz w:val="22"/>
                <w:lang w:eastAsia="en-GB"/>
              </w:rPr>
              <w:t>Year</w:t>
            </w:r>
          </w:p>
        </w:tc>
        <w:tc>
          <w:tcPr>
            <w:tcW w:w="2533" w:type="dxa"/>
            <w:tcBorders>
              <w:top w:val="nil"/>
              <w:left w:val="nil"/>
              <w:bottom w:val="single" w:sz="4" w:space="0" w:color="auto"/>
              <w:right w:val="single" w:sz="4" w:space="0" w:color="auto"/>
            </w:tcBorders>
            <w:shd w:val="clear" w:color="auto" w:fill="auto"/>
            <w:noWrap/>
            <w:vAlign w:val="bottom"/>
            <w:hideMark/>
          </w:tcPr>
          <w:p w14:paraId="5B9E03B5" w14:textId="77777777" w:rsidR="002F0639" w:rsidRPr="002F0639" w:rsidRDefault="002F0639" w:rsidP="002F0639">
            <w:pPr>
              <w:spacing w:after="0" w:line="240" w:lineRule="auto"/>
              <w:jc w:val="center"/>
              <w:rPr>
                <w:rFonts w:ascii="Calibri" w:eastAsia="Times New Roman" w:hAnsi="Calibri" w:cs="Calibri"/>
                <w:b/>
                <w:bCs/>
                <w:color w:val="000000"/>
                <w:sz w:val="22"/>
                <w:lang w:eastAsia="en-GB"/>
              </w:rPr>
            </w:pPr>
            <w:r w:rsidRPr="002F0639">
              <w:rPr>
                <w:rFonts w:ascii="Calibri" w:eastAsia="Times New Roman" w:hAnsi="Calibri" w:cs="Calibri"/>
                <w:b/>
                <w:bCs/>
                <w:color w:val="000000"/>
                <w:sz w:val="22"/>
                <w:lang w:eastAsia="en-GB"/>
              </w:rPr>
              <w:t>Operating Income</w:t>
            </w:r>
          </w:p>
        </w:tc>
        <w:tc>
          <w:tcPr>
            <w:tcW w:w="890" w:type="dxa"/>
            <w:tcBorders>
              <w:top w:val="nil"/>
              <w:left w:val="nil"/>
              <w:bottom w:val="single" w:sz="4" w:space="0" w:color="auto"/>
              <w:right w:val="single" w:sz="4" w:space="0" w:color="auto"/>
            </w:tcBorders>
            <w:shd w:val="clear" w:color="auto" w:fill="auto"/>
            <w:noWrap/>
            <w:vAlign w:val="bottom"/>
            <w:hideMark/>
          </w:tcPr>
          <w:p w14:paraId="580113F7" w14:textId="77777777" w:rsidR="002F0639" w:rsidRPr="002F0639" w:rsidRDefault="002F0639" w:rsidP="002F0639">
            <w:pPr>
              <w:spacing w:after="0" w:line="240" w:lineRule="auto"/>
              <w:jc w:val="center"/>
              <w:rPr>
                <w:rFonts w:ascii="Calibri" w:eastAsia="Times New Roman" w:hAnsi="Calibri" w:cs="Calibri"/>
                <w:b/>
                <w:bCs/>
                <w:color w:val="000000"/>
                <w:sz w:val="22"/>
                <w:lang w:eastAsia="en-GB"/>
              </w:rPr>
            </w:pPr>
            <w:r w:rsidRPr="002F0639">
              <w:rPr>
                <w:rFonts w:ascii="Calibri" w:eastAsia="Times New Roman" w:hAnsi="Calibri" w:cs="Calibri"/>
                <w:b/>
                <w:bCs/>
                <w:color w:val="000000"/>
                <w:sz w:val="22"/>
                <w:lang w:eastAsia="en-GB"/>
              </w:rPr>
              <w:t xml:space="preserve">Sales </w:t>
            </w:r>
          </w:p>
        </w:tc>
        <w:tc>
          <w:tcPr>
            <w:tcW w:w="1817" w:type="dxa"/>
            <w:tcBorders>
              <w:top w:val="nil"/>
              <w:left w:val="nil"/>
              <w:bottom w:val="single" w:sz="4" w:space="0" w:color="auto"/>
              <w:right w:val="single" w:sz="4" w:space="0" w:color="auto"/>
            </w:tcBorders>
            <w:shd w:val="clear" w:color="auto" w:fill="auto"/>
            <w:noWrap/>
            <w:vAlign w:val="bottom"/>
            <w:hideMark/>
          </w:tcPr>
          <w:p w14:paraId="3C67C312" w14:textId="77777777" w:rsidR="002F0639" w:rsidRPr="002F0639" w:rsidRDefault="002F0639" w:rsidP="002F0639">
            <w:pPr>
              <w:spacing w:after="0" w:line="240" w:lineRule="auto"/>
              <w:jc w:val="center"/>
              <w:rPr>
                <w:rFonts w:ascii="Calibri" w:eastAsia="Times New Roman" w:hAnsi="Calibri" w:cs="Calibri"/>
                <w:b/>
                <w:bCs/>
                <w:color w:val="000000"/>
                <w:sz w:val="22"/>
                <w:lang w:eastAsia="en-GB"/>
              </w:rPr>
            </w:pPr>
            <w:r w:rsidRPr="002F0639">
              <w:rPr>
                <w:rFonts w:ascii="Calibri" w:eastAsia="Times New Roman" w:hAnsi="Calibri" w:cs="Calibri"/>
                <w:b/>
                <w:bCs/>
                <w:color w:val="000000"/>
                <w:sz w:val="22"/>
                <w:lang w:eastAsia="en-GB"/>
              </w:rPr>
              <w:t>Decimal</w:t>
            </w:r>
          </w:p>
        </w:tc>
        <w:tc>
          <w:tcPr>
            <w:tcW w:w="1599" w:type="dxa"/>
            <w:tcBorders>
              <w:top w:val="nil"/>
              <w:left w:val="nil"/>
              <w:bottom w:val="single" w:sz="4" w:space="0" w:color="auto"/>
              <w:right w:val="single" w:sz="4" w:space="0" w:color="auto"/>
            </w:tcBorders>
            <w:shd w:val="clear" w:color="auto" w:fill="auto"/>
            <w:noWrap/>
            <w:vAlign w:val="bottom"/>
            <w:hideMark/>
          </w:tcPr>
          <w:p w14:paraId="73B3694B" w14:textId="77777777" w:rsidR="002F0639" w:rsidRPr="002F0639" w:rsidRDefault="002F0639" w:rsidP="002F0639">
            <w:pPr>
              <w:spacing w:after="0" w:line="240" w:lineRule="auto"/>
              <w:jc w:val="center"/>
              <w:rPr>
                <w:rFonts w:ascii="Calibri" w:eastAsia="Times New Roman" w:hAnsi="Calibri" w:cs="Calibri"/>
                <w:b/>
                <w:bCs/>
                <w:color w:val="000000"/>
                <w:sz w:val="22"/>
                <w:lang w:eastAsia="en-GB"/>
              </w:rPr>
            </w:pPr>
            <w:r w:rsidRPr="002F0639">
              <w:rPr>
                <w:rFonts w:ascii="Calibri" w:eastAsia="Times New Roman" w:hAnsi="Calibri" w:cs="Calibri"/>
                <w:b/>
                <w:bCs/>
                <w:color w:val="000000"/>
                <w:sz w:val="22"/>
                <w:lang w:eastAsia="en-GB"/>
              </w:rPr>
              <w:t>Percentage</w:t>
            </w:r>
          </w:p>
        </w:tc>
      </w:tr>
      <w:tr w:rsidR="002F0639" w:rsidRPr="002F0639" w14:paraId="5F14A2EF" w14:textId="77777777" w:rsidTr="00D331E3">
        <w:trPr>
          <w:trHeight w:val="300"/>
          <w:jc w:val="center"/>
        </w:trPr>
        <w:tc>
          <w:tcPr>
            <w:tcW w:w="722" w:type="dxa"/>
            <w:tcBorders>
              <w:top w:val="nil"/>
              <w:left w:val="single" w:sz="4" w:space="0" w:color="auto"/>
              <w:bottom w:val="single" w:sz="4" w:space="0" w:color="auto"/>
              <w:right w:val="single" w:sz="4" w:space="0" w:color="auto"/>
            </w:tcBorders>
            <w:shd w:val="clear" w:color="auto" w:fill="auto"/>
            <w:noWrap/>
            <w:vAlign w:val="bottom"/>
            <w:hideMark/>
          </w:tcPr>
          <w:p w14:paraId="3025DE79"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2015</w:t>
            </w:r>
          </w:p>
        </w:tc>
        <w:tc>
          <w:tcPr>
            <w:tcW w:w="2533" w:type="dxa"/>
            <w:tcBorders>
              <w:top w:val="nil"/>
              <w:left w:val="nil"/>
              <w:bottom w:val="single" w:sz="4" w:space="0" w:color="auto"/>
              <w:right w:val="single" w:sz="4" w:space="0" w:color="auto"/>
            </w:tcBorders>
            <w:shd w:val="clear" w:color="auto" w:fill="auto"/>
            <w:noWrap/>
            <w:vAlign w:val="bottom"/>
            <w:hideMark/>
          </w:tcPr>
          <w:p w14:paraId="37D49462"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324</w:t>
            </w:r>
          </w:p>
        </w:tc>
        <w:tc>
          <w:tcPr>
            <w:tcW w:w="890" w:type="dxa"/>
            <w:tcBorders>
              <w:top w:val="nil"/>
              <w:left w:val="nil"/>
              <w:bottom w:val="single" w:sz="4" w:space="0" w:color="auto"/>
              <w:right w:val="single" w:sz="4" w:space="0" w:color="auto"/>
            </w:tcBorders>
            <w:shd w:val="clear" w:color="auto" w:fill="auto"/>
            <w:noWrap/>
            <w:vAlign w:val="bottom"/>
            <w:hideMark/>
          </w:tcPr>
          <w:p w14:paraId="714D57EE"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8255</w:t>
            </w:r>
          </w:p>
        </w:tc>
        <w:tc>
          <w:tcPr>
            <w:tcW w:w="1817" w:type="dxa"/>
            <w:tcBorders>
              <w:top w:val="nil"/>
              <w:left w:val="nil"/>
              <w:bottom w:val="single" w:sz="4" w:space="0" w:color="auto"/>
              <w:right w:val="single" w:sz="4" w:space="0" w:color="auto"/>
            </w:tcBorders>
            <w:shd w:val="clear" w:color="auto" w:fill="auto"/>
            <w:noWrap/>
            <w:vAlign w:val="bottom"/>
            <w:hideMark/>
          </w:tcPr>
          <w:p w14:paraId="3F33279E"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0.03924894</w:t>
            </w:r>
          </w:p>
        </w:tc>
        <w:tc>
          <w:tcPr>
            <w:tcW w:w="1599" w:type="dxa"/>
            <w:tcBorders>
              <w:top w:val="nil"/>
              <w:left w:val="nil"/>
              <w:bottom w:val="single" w:sz="4" w:space="0" w:color="auto"/>
              <w:right w:val="single" w:sz="4" w:space="0" w:color="auto"/>
            </w:tcBorders>
            <w:shd w:val="clear" w:color="auto" w:fill="auto"/>
            <w:noWrap/>
            <w:vAlign w:val="bottom"/>
            <w:hideMark/>
          </w:tcPr>
          <w:p w14:paraId="2883B071"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3.92%</w:t>
            </w:r>
          </w:p>
        </w:tc>
      </w:tr>
      <w:tr w:rsidR="002F0639" w:rsidRPr="002F0639" w14:paraId="190CD34C" w14:textId="77777777" w:rsidTr="00D331E3">
        <w:trPr>
          <w:trHeight w:val="300"/>
          <w:jc w:val="center"/>
        </w:trPr>
        <w:tc>
          <w:tcPr>
            <w:tcW w:w="722" w:type="dxa"/>
            <w:tcBorders>
              <w:top w:val="nil"/>
              <w:left w:val="single" w:sz="4" w:space="0" w:color="auto"/>
              <w:bottom w:val="single" w:sz="4" w:space="0" w:color="auto"/>
              <w:right w:val="single" w:sz="4" w:space="0" w:color="auto"/>
            </w:tcBorders>
            <w:shd w:val="clear" w:color="auto" w:fill="auto"/>
            <w:noWrap/>
            <w:vAlign w:val="bottom"/>
            <w:hideMark/>
          </w:tcPr>
          <w:p w14:paraId="35BB9A65"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2016</w:t>
            </w:r>
          </w:p>
        </w:tc>
        <w:tc>
          <w:tcPr>
            <w:tcW w:w="2533" w:type="dxa"/>
            <w:tcBorders>
              <w:top w:val="nil"/>
              <w:left w:val="nil"/>
              <w:bottom w:val="single" w:sz="4" w:space="0" w:color="auto"/>
              <w:right w:val="single" w:sz="4" w:space="0" w:color="auto"/>
            </w:tcBorders>
            <w:shd w:val="clear" w:color="auto" w:fill="auto"/>
            <w:noWrap/>
            <w:vAlign w:val="bottom"/>
            <w:hideMark/>
          </w:tcPr>
          <w:p w14:paraId="791ED9EC"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263</w:t>
            </w:r>
          </w:p>
        </w:tc>
        <w:tc>
          <w:tcPr>
            <w:tcW w:w="890" w:type="dxa"/>
            <w:tcBorders>
              <w:top w:val="nil"/>
              <w:left w:val="nil"/>
              <w:bottom w:val="single" w:sz="4" w:space="0" w:color="auto"/>
              <w:right w:val="single" w:sz="4" w:space="0" w:color="auto"/>
            </w:tcBorders>
            <w:shd w:val="clear" w:color="auto" w:fill="auto"/>
            <w:noWrap/>
            <w:vAlign w:val="bottom"/>
            <w:hideMark/>
          </w:tcPr>
          <w:p w14:paraId="2F9B2CA5"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9738</w:t>
            </w:r>
          </w:p>
        </w:tc>
        <w:tc>
          <w:tcPr>
            <w:tcW w:w="1817" w:type="dxa"/>
            <w:tcBorders>
              <w:top w:val="nil"/>
              <w:left w:val="nil"/>
              <w:bottom w:val="single" w:sz="4" w:space="0" w:color="auto"/>
              <w:right w:val="single" w:sz="4" w:space="0" w:color="auto"/>
            </w:tcBorders>
            <w:shd w:val="clear" w:color="auto" w:fill="auto"/>
            <w:noWrap/>
            <w:vAlign w:val="bottom"/>
            <w:hideMark/>
          </w:tcPr>
          <w:p w14:paraId="6F0C7DCC"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0.027007599</w:t>
            </w:r>
          </w:p>
        </w:tc>
        <w:tc>
          <w:tcPr>
            <w:tcW w:w="1599" w:type="dxa"/>
            <w:tcBorders>
              <w:top w:val="nil"/>
              <w:left w:val="nil"/>
              <w:bottom w:val="single" w:sz="4" w:space="0" w:color="auto"/>
              <w:right w:val="single" w:sz="4" w:space="0" w:color="auto"/>
            </w:tcBorders>
            <w:shd w:val="clear" w:color="auto" w:fill="auto"/>
            <w:noWrap/>
            <w:vAlign w:val="bottom"/>
            <w:hideMark/>
          </w:tcPr>
          <w:p w14:paraId="4D42DC5E"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2.70%</w:t>
            </w:r>
          </w:p>
        </w:tc>
      </w:tr>
      <w:tr w:rsidR="002F0639" w:rsidRPr="002F0639" w14:paraId="31DC0230" w14:textId="77777777" w:rsidTr="00D331E3">
        <w:trPr>
          <w:trHeight w:val="300"/>
          <w:jc w:val="center"/>
        </w:trPr>
        <w:tc>
          <w:tcPr>
            <w:tcW w:w="722" w:type="dxa"/>
            <w:tcBorders>
              <w:top w:val="nil"/>
              <w:left w:val="single" w:sz="4" w:space="0" w:color="auto"/>
              <w:bottom w:val="single" w:sz="4" w:space="0" w:color="auto"/>
              <w:right w:val="single" w:sz="4" w:space="0" w:color="auto"/>
            </w:tcBorders>
            <w:shd w:val="clear" w:color="auto" w:fill="auto"/>
            <w:noWrap/>
            <w:vAlign w:val="bottom"/>
            <w:hideMark/>
          </w:tcPr>
          <w:p w14:paraId="1C12D996"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2017</w:t>
            </w:r>
          </w:p>
        </w:tc>
        <w:tc>
          <w:tcPr>
            <w:tcW w:w="2533" w:type="dxa"/>
            <w:tcBorders>
              <w:top w:val="nil"/>
              <w:left w:val="nil"/>
              <w:bottom w:val="single" w:sz="4" w:space="0" w:color="auto"/>
              <w:right w:val="single" w:sz="4" w:space="0" w:color="auto"/>
            </w:tcBorders>
            <w:shd w:val="clear" w:color="auto" w:fill="auto"/>
            <w:noWrap/>
            <w:vAlign w:val="bottom"/>
            <w:hideMark/>
          </w:tcPr>
          <w:p w14:paraId="1A321434"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386</w:t>
            </w:r>
          </w:p>
        </w:tc>
        <w:tc>
          <w:tcPr>
            <w:tcW w:w="890" w:type="dxa"/>
            <w:tcBorders>
              <w:top w:val="nil"/>
              <w:left w:val="nil"/>
              <w:bottom w:val="single" w:sz="4" w:space="0" w:color="auto"/>
              <w:right w:val="single" w:sz="4" w:space="0" w:color="auto"/>
            </w:tcBorders>
            <w:shd w:val="clear" w:color="auto" w:fill="auto"/>
            <w:noWrap/>
            <w:vAlign w:val="bottom"/>
            <w:hideMark/>
          </w:tcPr>
          <w:p w14:paraId="0E3DD806"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10585</w:t>
            </w:r>
          </w:p>
        </w:tc>
        <w:tc>
          <w:tcPr>
            <w:tcW w:w="1817" w:type="dxa"/>
            <w:tcBorders>
              <w:top w:val="nil"/>
              <w:left w:val="nil"/>
              <w:bottom w:val="single" w:sz="4" w:space="0" w:color="auto"/>
              <w:right w:val="single" w:sz="4" w:space="0" w:color="auto"/>
            </w:tcBorders>
            <w:shd w:val="clear" w:color="auto" w:fill="auto"/>
            <w:noWrap/>
            <w:vAlign w:val="bottom"/>
            <w:hideMark/>
          </w:tcPr>
          <w:p w14:paraId="75951C71"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0.036466698</w:t>
            </w:r>
          </w:p>
        </w:tc>
        <w:tc>
          <w:tcPr>
            <w:tcW w:w="1599" w:type="dxa"/>
            <w:tcBorders>
              <w:top w:val="nil"/>
              <w:left w:val="nil"/>
              <w:bottom w:val="single" w:sz="4" w:space="0" w:color="auto"/>
              <w:right w:val="single" w:sz="4" w:space="0" w:color="auto"/>
            </w:tcBorders>
            <w:shd w:val="clear" w:color="auto" w:fill="auto"/>
            <w:noWrap/>
            <w:vAlign w:val="bottom"/>
            <w:hideMark/>
          </w:tcPr>
          <w:p w14:paraId="74711914"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3.65%</w:t>
            </w:r>
          </w:p>
        </w:tc>
      </w:tr>
      <w:tr w:rsidR="002F0639" w:rsidRPr="002F0639" w14:paraId="04300F14" w14:textId="77777777" w:rsidTr="00D331E3">
        <w:trPr>
          <w:trHeight w:val="300"/>
          <w:jc w:val="center"/>
        </w:trPr>
        <w:tc>
          <w:tcPr>
            <w:tcW w:w="722" w:type="dxa"/>
            <w:tcBorders>
              <w:top w:val="nil"/>
              <w:left w:val="single" w:sz="4" w:space="0" w:color="auto"/>
              <w:bottom w:val="single" w:sz="4" w:space="0" w:color="auto"/>
              <w:right w:val="single" w:sz="4" w:space="0" w:color="auto"/>
            </w:tcBorders>
            <w:shd w:val="clear" w:color="auto" w:fill="auto"/>
            <w:noWrap/>
            <w:vAlign w:val="bottom"/>
            <w:hideMark/>
          </w:tcPr>
          <w:p w14:paraId="604CB0E5"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2018</w:t>
            </w:r>
          </w:p>
        </w:tc>
        <w:tc>
          <w:tcPr>
            <w:tcW w:w="2533" w:type="dxa"/>
            <w:tcBorders>
              <w:top w:val="nil"/>
              <w:left w:val="nil"/>
              <w:bottom w:val="single" w:sz="4" w:space="0" w:color="auto"/>
              <w:right w:val="single" w:sz="4" w:space="0" w:color="auto"/>
            </w:tcBorders>
            <w:shd w:val="clear" w:color="auto" w:fill="auto"/>
            <w:noWrap/>
            <w:vAlign w:val="bottom"/>
            <w:hideMark/>
          </w:tcPr>
          <w:p w14:paraId="792B29A3"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289</w:t>
            </w:r>
          </w:p>
        </w:tc>
        <w:tc>
          <w:tcPr>
            <w:tcW w:w="890" w:type="dxa"/>
            <w:tcBorders>
              <w:top w:val="nil"/>
              <w:left w:val="nil"/>
              <w:bottom w:val="single" w:sz="4" w:space="0" w:color="auto"/>
              <w:right w:val="single" w:sz="4" w:space="0" w:color="auto"/>
            </w:tcBorders>
            <w:shd w:val="clear" w:color="auto" w:fill="auto"/>
            <w:noWrap/>
            <w:vAlign w:val="bottom"/>
            <w:hideMark/>
          </w:tcPr>
          <w:p w14:paraId="07E95A5D"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10531</w:t>
            </w:r>
          </w:p>
        </w:tc>
        <w:tc>
          <w:tcPr>
            <w:tcW w:w="1817" w:type="dxa"/>
            <w:tcBorders>
              <w:top w:val="nil"/>
              <w:left w:val="nil"/>
              <w:bottom w:val="single" w:sz="4" w:space="0" w:color="auto"/>
              <w:right w:val="single" w:sz="4" w:space="0" w:color="auto"/>
            </w:tcBorders>
            <w:shd w:val="clear" w:color="auto" w:fill="auto"/>
            <w:noWrap/>
            <w:vAlign w:val="bottom"/>
            <w:hideMark/>
          </w:tcPr>
          <w:p w14:paraId="1E3C56E9"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0.027442788</w:t>
            </w:r>
          </w:p>
        </w:tc>
        <w:tc>
          <w:tcPr>
            <w:tcW w:w="1599" w:type="dxa"/>
            <w:tcBorders>
              <w:top w:val="nil"/>
              <w:left w:val="nil"/>
              <w:bottom w:val="single" w:sz="4" w:space="0" w:color="auto"/>
              <w:right w:val="single" w:sz="4" w:space="0" w:color="auto"/>
            </w:tcBorders>
            <w:shd w:val="clear" w:color="auto" w:fill="auto"/>
            <w:noWrap/>
            <w:vAlign w:val="bottom"/>
            <w:hideMark/>
          </w:tcPr>
          <w:p w14:paraId="0BDEFA2C"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2.74%</w:t>
            </w:r>
          </w:p>
        </w:tc>
      </w:tr>
      <w:tr w:rsidR="002F0639" w:rsidRPr="002F0639" w14:paraId="3333AB1D" w14:textId="77777777" w:rsidTr="00D331E3">
        <w:trPr>
          <w:trHeight w:val="300"/>
          <w:jc w:val="center"/>
        </w:trPr>
        <w:tc>
          <w:tcPr>
            <w:tcW w:w="722" w:type="dxa"/>
            <w:tcBorders>
              <w:top w:val="nil"/>
              <w:left w:val="single" w:sz="4" w:space="0" w:color="auto"/>
              <w:bottom w:val="single" w:sz="4" w:space="0" w:color="auto"/>
              <w:right w:val="single" w:sz="4" w:space="0" w:color="auto"/>
            </w:tcBorders>
            <w:shd w:val="clear" w:color="auto" w:fill="auto"/>
            <w:noWrap/>
            <w:vAlign w:val="bottom"/>
            <w:hideMark/>
          </w:tcPr>
          <w:p w14:paraId="42BF225F"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2019</w:t>
            </w:r>
          </w:p>
        </w:tc>
        <w:tc>
          <w:tcPr>
            <w:tcW w:w="2533" w:type="dxa"/>
            <w:tcBorders>
              <w:top w:val="nil"/>
              <w:left w:val="nil"/>
              <w:bottom w:val="single" w:sz="4" w:space="0" w:color="auto"/>
              <w:right w:val="single" w:sz="4" w:space="0" w:color="auto"/>
            </w:tcBorders>
            <w:shd w:val="clear" w:color="auto" w:fill="auto"/>
            <w:noWrap/>
            <w:vAlign w:val="bottom"/>
            <w:hideMark/>
          </w:tcPr>
          <w:p w14:paraId="39966184"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259</w:t>
            </w:r>
          </w:p>
        </w:tc>
        <w:tc>
          <w:tcPr>
            <w:tcW w:w="890" w:type="dxa"/>
            <w:tcBorders>
              <w:top w:val="nil"/>
              <w:left w:val="nil"/>
              <w:bottom w:val="single" w:sz="4" w:space="0" w:color="auto"/>
              <w:right w:val="single" w:sz="4" w:space="0" w:color="auto"/>
            </w:tcBorders>
            <w:shd w:val="clear" w:color="auto" w:fill="auto"/>
            <w:noWrap/>
            <w:vAlign w:val="bottom"/>
            <w:hideMark/>
          </w:tcPr>
          <w:p w14:paraId="5927D7F9"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10433</w:t>
            </w:r>
          </w:p>
        </w:tc>
        <w:tc>
          <w:tcPr>
            <w:tcW w:w="1817" w:type="dxa"/>
            <w:tcBorders>
              <w:top w:val="nil"/>
              <w:left w:val="nil"/>
              <w:bottom w:val="single" w:sz="4" w:space="0" w:color="auto"/>
              <w:right w:val="single" w:sz="4" w:space="0" w:color="auto"/>
            </w:tcBorders>
            <w:shd w:val="clear" w:color="auto" w:fill="auto"/>
            <w:noWrap/>
            <w:vAlign w:val="bottom"/>
            <w:hideMark/>
          </w:tcPr>
          <w:p w14:paraId="68954F2F"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0.024825074</w:t>
            </w:r>
          </w:p>
        </w:tc>
        <w:tc>
          <w:tcPr>
            <w:tcW w:w="1599" w:type="dxa"/>
            <w:tcBorders>
              <w:top w:val="nil"/>
              <w:left w:val="nil"/>
              <w:bottom w:val="single" w:sz="4" w:space="0" w:color="auto"/>
              <w:right w:val="single" w:sz="4" w:space="0" w:color="auto"/>
            </w:tcBorders>
            <w:shd w:val="clear" w:color="auto" w:fill="auto"/>
            <w:noWrap/>
            <w:vAlign w:val="bottom"/>
            <w:hideMark/>
          </w:tcPr>
          <w:p w14:paraId="430BB536" w14:textId="77777777" w:rsidR="002F0639" w:rsidRPr="002F0639" w:rsidRDefault="002F0639" w:rsidP="002F0639">
            <w:pPr>
              <w:spacing w:after="0" w:line="240" w:lineRule="auto"/>
              <w:jc w:val="center"/>
              <w:rPr>
                <w:rFonts w:ascii="Calibri" w:eastAsia="Times New Roman" w:hAnsi="Calibri" w:cs="Calibri"/>
                <w:color w:val="000000"/>
                <w:sz w:val="22"/>
                <w:lang w:eastAsia="en-GB"/>
              </w:rPr>
            </w:pPr>
            <w:r w:rsidRPr="002F0639">
              <w:rPr>
                <w:rFonts w:ascii="Calibri" w:eastAsia="Times New Roman" w:hAnsi="Calibri" w:cs="Calibri"/>
                <w:color w:val="000000"/>
                <w:sz w:val="22"/>
                <w:lang w:eastAsia="en-GB"/>
              </w:rPr>
              <w:t>2.48%</w:t>
            </w:r>
          </w:p>
        </w:tc>
      </w:tr>
    </w:tbl>
    <w:p w14:paraId="32FC556A" w14:textId="77777777" w:rsidR="00C93AD2" w:rsidRDefault="00C93AD2" w:rsidP="00EA708F">
      <w:pPr>
        <w:jc w:val="both"/>
        <w:rPr>
          <w:rFonts w:cs="Arial"/>
          <w:color w:val="FF0000"/>
          <w:sz w:val="26"/>
          <w:szCs w:val="26"/>
          <w:shd w:val="clear" w:color="auto" w:fill="FFFFFF"/>
        </w:rPr>
      </w:pPr>
      <w:r>
        <w:rPr>
          <w:rFonts w:cs="Arial"/>
          <w:color w:val="FF0000"/>
          <w:sz w:val="26"/>
          <w:szCs w:val="26"/>
          <w:shd w:val="clear" w:color="auto" w:fill="FFFFFF"/>
        </w:rPr>
        <w:t xml:space="preserve"> </w:t>
      </w:r>
    </w:p>
    <w:tbl>
      <w:tblPr>
        <w:tblW w:w="3860" w:type="dxa"/>
        <w:jc w:val="center"/>
        <w:tblLook w:val="04A0" w:firstRow="1" w:lastRow="0" w:firstColumn="1" w:lastColumn="0" w:noHBand="0" w:noVBand="1"/>
      </w:tblPr>
      <w:tblGrid>
        <w:gridCol w:w="2050"/>
        <w:gridCol w:w="1810"/>
      </w:tblGrid>
      <w:tr w:rsidR="00C93AD2" w:rsidRPr="00C93AD2" w14:paraId="746F46BA" w14:textId="77777777" w:rsidTr="00C93AD2">
        <w:trPr>
          <w:trHeight w:val="315"/>
          <w:jc w:val="center"/>
        </w:trPr>
        <w:tc>
          <w:tcPr>
            <w:tcW w:w="3860" w:type="dxa"/>
            <w:gridSpan w:val="2"/>
            <w:tcBorders>
              <w:top w:val="single" w:sz="8" w:space="0" w:color="auto"/>
              <w:left w:val="single" w:sz="8" w:space="0" w:color="auto"/>
              <w:bottom w:val="single" w:sz="8" w:space="0" w:color="auto"/>
              <w:right w:val="single" w:sz="8" w:space="0" w:color="000000"/>
            </w:tcBorders>
            <w:shd w:val="clear" w:color="000000" w:fill="BFBFBF"/>
            <w:noWrap/>
            <w:vAlign w:val="bottom"/>
            <w:hideMark/>
          </w:tcPr>
          <w:p w14:paraId="156590C3" w14:textId="77777777" w:rsidR="00C93AD2" w:rsidRPr="00C93AD2" w:rsidRDefault="00C93AD2" w:rsidP="00C93AD2">
            <w:pPr>
              <w:spacing w:after="0" w:line="240" w:lineRule="auto"/>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 xml:space="preserve">Operating Margin For the retail Industry </w:t>
            </w:r>
          </w:p>
        </w:tc>
      </w:tr>
      <w:tr w:rsidR="00C93AD2" w:rsidRPr="00C93AD2" w14:paraId="50AE1D50" w14:textId="77777777" w:rsidTr="00C93AD2">
        <w:trPr>
          <w:trHeight w:val="300"/>
          <w:jc w:val="center"/>
        </w:trPr>
        <w:tc>
          <w:tcPr>
            <w:tcW w:w="2050" w:type="dxa"/>
            <w:tcBorders>
              <w:top w:val="nil"/>
              <w:left w:val="single" w:sz="8" w:space="0" w:color="auto"/>
              <w:bottom w:val="single" w:sz="4" w:space="0" w:color="auto"/>
              <w:right w:val="single" w:sz="4" w:space="0" w:color="auto"/>
            </w:tcBorders>
            <w:shd w:val="clear" w:color="auto" w:fill="auto"/>
            <w:noWrap/>
            <w:vAlign w:val="bottom"/>
            <w:hideMark/>
          </w:tcPr>
          <w:p w14:paraId="6BF94F1E"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2015</w:t>
            </w:r>
          </w:p>
        </w:tc>
        <w:tc>
          <w:tcPr>
            <w:tcW w:w="1810" w:type="dxa"/>
            <w:tcBorders>
              <w:top w:val="nil"/>
              <w:left w:val="nil"/>
              <w:bottom w:val="single" w:sz="4" w:space="0" w:color="auto"/>
              <w:right w:val="single" w:sz="8" w:space="0" w:color="auto"/>
            </w:tcBorders>
            <w:shd w:val="clear" w:color="auto" w:fill="auto"/>
            <w:noWrap/>
            <w:vAlign w:val="bottom"/>
            <w:hideMark/>
          </w:tcPr>
          <w:p w14:paraId="565D3459"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1.57</w:t>
            </w:r>
          </w:p>
        </w:tc>
      </w:tr>
      <w:tr w:rsidR="00C93AD2" w:rsidRPr="00C93AD2" w14:paraId="2BF83933" w14:textId="77777777" w:rsidTr="00C93AD2">
        <w:trPr>
          <w:trHeight w:val="300"/>
          <w:jc w:val="center"/>
        </w:trPr>
        <w:tc>
          <w:tcPr>
            <w:tcW w:w="2050" w:type="dxa"/>
            <w:tcBorders>
              <w:top w:val="nil"/>
              <w:left w:val="single" w:sz="8" w:space="0" w:color="auto"/>
              <w:bottom w:val="single" w:sz="4" w:space="0" w:color="auto"/>
              <w:right w:val="single" w:sz="4" w:space="0" w:color="auto"/>
            </w:tcBorders>
            <w:shd w:val="clear" w:color="auto" w:fill="auto"/>
            <w:noWrap/>
            <w:vAlign w:val="bottom"/>
            <w:hideMark/>
          </w:tcPr>
          <w:p w14:paraId="42A75DE1"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2016</w:t>
            </w:r>
          </w:p>
        </w:tc>
        <w:tc>
          <w:tcPr>
            <w:tcW w:w="1810" w:type="dxa"/>
            <w:tcBorders>
              <w:top w:val="nil"/>
              <w:left w:val="nil"/>
              <w:bottom w:val="single" w:sz="4" w:space="0" w:color="auto"/>
              <w:right w:val="single" w:sz="8" w:space="0" w:color="auto"/>
            </w:tcBorders>
            <w:shd w:val="clear" w:color="auto" w:fill="auto"/>
            <w:noWrap/>
            <w:vAlign w:val="bottom"/>
            <w:hideMark/>
          </w:tcPr>
          <w:p w14:paraId="29C95615"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2.66</w:t>
            </w:r>
          </w:p>
        </w:tc>
      </w:tr>
      <w:tr w:rsidR="00C93AD2" w:rsidRPr="00C93AD2" w14:paraId="2FF65363" w14:textId="77777777" w:rsidTr="00C93AD2">
        <w:trPr>
          <w:trHeight w:val="300"/>
          <w:jc w:val="center"/>
        </w:trPr>
        <w:tc>
          <w:tcPr>
            <w:tcW w:w="2050" w:type="dxa"/>
            <w:tcBorders>
              <w:top w:val="nil"/>
              <w:left w:val="single" w:sz="8" w:space="0" w:color="auto"/>
              <w:bottom w:val="single" w:sz="4" w:space="0" w:color="auto"/>
              <w:right w:val="single" w:sz="4" w:space="0" w:color="auto"/>
            </w:tcBorders>
            <w:shd w:val="clear" w:color="auto" w:fill="auto"/>
            <w:noWrap/>
            <w:vAlign w:val="bottom"/>
            <w:hideMark/>
          </w:tcPr>
          <w:p w14:paraId="6CB71DA2"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2017</w:t>
            </w:r>
          </w:p>
        </w:tc>
        <w:tc>
          <w:tcPr>
            <w:tcW w:w="1810" w:type="dxa"/>
            <w:tcBorders>
              <w:top w:val="nil"/>
              <w:left w:val="nil"/>
              <w:bottom w:val="single" w:sz="4" w:space="0" w:color="auto"/>
              <w:right w:val="single" w:sz="8" w:space="0" w:color="auto"/>
            </w:tcBorders>
            <w:shd w:val="clear" w:color="auto" w:fill="auto"/>
            <w:noWrap/>
            <w:vAlign w:val="bottom"/>
            <w:hideMark/>
          </w:tcPr>
          <w:p w14:paraId="47F8D453"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3.02</w:t>
            </w:r>
          </w:p>
        </w:tc>
      </w:tr>
      <w:tr w:rsidR="00C93AD2" w:rsidRPr="00C93AD2" w14:paraId="50BBC029" w14:textId="77777777" w:rsidTr="00C93AD2">
        <w:trPr>
          <w:trHeight w:val="300"/>
          <w:jc w:val="center"/>
        </w:trPr>
        <w:tc>
          <w:tcPr>
            <w:tcW w:w="2050" w:type="dxa"/>
            <w:tcBorders>
              <w:top w:val="nil"/>
              <w:left w:val="single" w:sz="8" w:space="0" w:color="auto"/>
              <w:bottom w:val="single" w:sz="4" w:space="0" w:color="auto"/>
              <w:right w:val="single" w:sz="4" w:space="0" w:color="auto"/>
            </w:tcBorders>
            <w:shd w:val="clear" w:color="auto" w:fill="auto"/>
            <w:noWrap/>
            <w:vAlign w:val="bottom"/>
            <w:hideMark/>
          </w:tcPr>
          <w:p w14:paraId="17E9D1A3"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2018</w:t>
            </w:r>
          </w:p>
        </w:tc>
        <w:tc>
          <w:tcPr>
            <w:tcW w:w="1810" w:type="dxa"/>
            <w:tcBorders>
              <w:top w:val="nil"/>
              <w:left w:val="nil"/>
              <w:bottom w:val="single" w:sz="4" w:space="0" w:color="auto"/>
              <w:right w:val="single" w:sz="8" w:space="0" w:color="auto"/>
            </w:tcBorders>
            <w:shd w:val="clear" w:color="auto" w:fill="auto"/>
            <w:noWrap/>
            <w:vAlign w:val="bottom"/>
            <w:hideMark/>
          </w:tcPr>
          <w:p w14:paraId="001C176F"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2.09</w:t>
            </w:r>
          </w:p>
        </w:tc>
      </w:tr>
      <w:tr w:rsidR="00C93AD2" w:rsidRPr="00C93AD2" w14:paraId="0732F858" w14:textId="77777777" w:rsidTr="00C93AD2">
        <w:trPr>
          <w:trHeight w:val="315"/>
          <w:jc w:val="center"/>
        </w:trPr>
        <w:tc>
          <w:tcPr>
            <w:tcW w:w="2050" w:type="dxa"/>
            <w:tcBorders>
              <w:top w:val="nil"/>
              <w:left w:val="single" w:sz="8" w:space="0" w:color="auto"/>
              <w:bottom w:val="single" w:sz="8" w:space="0" w:color="auto"/>
              <w:right w:val="single" w:sz="4" w:space="0" w:color="auto"/>
            </w:tcBorders>
            <w:shd w:val="clear" w:color="auto" w:fill="auto"/>
            <w:noWrap/>
            <w:vAlign w:val="bottom"/>
            <w:hideMark/>
          </w:tcPr>
          <w:p w14:paraId="4DC7BFA2"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2019</w:t>
            </w:r>
          </w:p>
        </w:tc>
        <w:tc>
          <w:tcPr>
            <w:tcW w:w="1810" w:type="dxa"/>
            <w:tcBorders>
              <w:top w:val="nil"/>
              <w:left w:val="nil"/>
              <w:bottom w:val="single" w:sz="8" w:space="0" w:color="auto"/>
              <w:right w:val="single" w:sz="8" w:space="0" w:color="auto"/>
            </w:tcBorders>
            <w:shd w:val="clear" w:color="auto" w:fill="auto"/>
            <w:noWrap/>
            <w:vAlign w:val="bottom"/>
            <w:hideMark/>
          </w:tcPr>
          <w:p w14:paraId="030F90CF" w14:textId="77777777" w:rsidR="00C93AD2" w:rsidRPr="00C93AD2" w:rsidRDefault="00C93AD2" w:rsidP="00C93AD2">
            <w:pPr>
              <w:spacing w:after="0" w:line="240" w:lineRule="auto"/>
              <w:jc w:val="center"/>
              <w:rPr>
                <w:rFonts w:ascii="Calibri" w:eastAsia="Times New Roman" w:hAnsi="Calibri" w:cs="Calibri"/>
                <w:color w:val="000000"/>
                <w:sz w:val="22"/>
                <w:lang w:eastAsia="en-GB"/>
              </w:rPr>
            </w:pPr>
            <w:r w:rsidRPr="00C93AD2">
              <w:rPr>
                <w:rFonts w:ascii="Calibri" w:eastAsia="Times New Roman" w:hAnsi="Calibri" w:cs="Calibri"/>
                <w:color w:val="000000"/>
                <w:sz w:val="22"/>
                <w:lang w:eastAsia="en-GB"/>
              </w:rPr>
              <w:t>2.64</w:t>
            </w:r>
          </w:p>
        </w:tc>
      </w:tr>
    </w:tbl>
    <w:p w14:paraId="748DEC07" w14:textId="5067A39B" w:rsidR="00EA708F" w:rsidRDefault="00EA708F" w:rsidP="00EA708F">
      <w:pPr>
        <w:jc w:val="both"/>
        <w:rPr>
          <w:rFonts w:cs="Arial"/>
          <w:color w:val="FF0000"/>
          <w:sz w:val="26"/>
          <w:szCs w:val="26"/>
          <w:shd w:val="clear" w:color="auto" w:fill="FFFFFF"/>
        </w:rPr>
      </w:pPr>
    </w:p>
    <w:tbl>
      <w:tblPr>
        <w:tblW w:w="5980" w:type="dxa"/>
        <w:jc w:val="center"/>
        <w:tblLook w:val="04A0" w:firstRow="1" w:lastRow="0" w:firstColumn="1" w:lastColumn="0" w:noHBand="0" w:noVBand="1"/>
      </w:tblPr>
      <w:tblGrid>
        <w:gridCol w:w="1745"/>
        <w:gridCol w:w="2115"/>
        <w:gridCol w:w="1160"/>
        <w:gridCol w:w="960"/>
      </w:tblGrid>
      <w:tr w:rsidR="00841B79" w:rsidRPr="00841B79" w14:paraId="1F153AC9" w14:textId="77777777" w:rsidTr="00841B79">
        <w:trPr>
          <w:trHeight w:val="615"/>
          <w:jc w:val="center"/>
        </w:trPr>
        <w:tc>
          <w:tcPr>
            <w:tcW w:w="3860" w:type="dxa"/>
            <w:gridSpan w:val="2"/>
            <w:tcBorders>
              <w:top w:val="single" w:sz="8" w:space="0" w:color="auto"/>
              <w:left w:val="single" w:sz="8" w:space="0" w:color="auto"/>
              <w:bottom w:val="single" w:sz="8" w:space="0" w:color="auto"/>
              <w:right w:val="single" w:sz="4" w:space="0" w:color="auto"/>
            </w:tcBorders>
            <w:shd w:val="clear" w:color="000000" w:fill="BFBFBF"/>
            <w:noWrap/>
            <w:vAlign w:val="bottom"/>
            <w:hideMark/>
          </w:tcPr>
          <w:p w14:paraId="2DEACD6B" w14:textId="60EF1131" w:rsidR="00841B79" w:rsidRPr="00841B79" w:rsidRDefault="00841B79" w:rsidP="00841B79">
            <w:pPr>
              <w:spacing w:after="0" w:line="240" w:lineRule="auto"/>
              <w:jc w:val="center"/>
              <w:rPr>
                <w:rFonts w:ascii="Calibri" w:eastAsia="Times New Roman" w:hAnsi="Calibri" w:cs="Calibri"/>
                <w:b/>
                <w:bCs/>
                <w:color w:val="000000"/>
                <w:sz w:val="22"/>
                <w:lang w:eastAsia="en-GB"/>
              </w:rPr>
            </w:pPr>
            <w:r w:rsidRPr="00841B79">
              <w:rPr>
                <w:rFonts w:ascii="Calibri" w:eastAsia="Times New Roman" w:hAnsi="Calibri" w:cs="Calibri"/>
                <w:b/>
                <w:bCs/>
                <w:color w:val="000000"/>
                <w:sz w:val="22"/>
                <w:lang w:eastAsia="en-GB"/>
              </w:rPr>
              <w:t xml:space="preserve">Operating Margin For the retail </w:t>
            </w:r>
            <w:r>
              <w:rPr>
                <w:rFonts w:ascii="Calibri" w:eastAsia="Times New Roman" w:hAnsi="Calibri" w:cs="Calibri"/>
                <w:b/>
                <w:bCs/>
                <w:color w:val="000000"/>
                <w:sz w:val="22"/>
                <w:lang w:eastAsia="en-GB"/>
              </w:rPr>
              <w:t xml:space="preserve">Technology </w:t>
            </w:r>
            <w:r w:rsidRPr="00841B79">
              <w:rPr>
                <w:rFonts w:ascii="Calibri" w:eastAsia="Times New Roman" w:hAnsi="Calibri" w:cs="Calibri"/>
                <w:b/>
                <w:bCs/>
                <w:color w:val="000000"/>
                <w:sz w:val="22"/>
                <w:lang w:eastAsia="en-GB"/>
              </w:rPr>
              <w:t xml:space="preserve">Industry </w:t>
            </w:r>
          </w:p>
        </w:tc>
        <w:tc>
          <w:tcPr>
            <w:tcW w:w="1160" w:type="dxa"/>
            <w:tcBorders>
              <w:top w:val="single" w:sz="8" w:space="0" w:color="auto"/>
              <w:left w:val="nil"/>
              <w:bottom w:val="single" w:sz="8" w:space="0" w:color="auto"/>
              <w:right w:val="single" w:sz="8" w:space="0" w:color="auto"/>
            </w:tcBorders>
            <w:shd w:val="clear" w:color="000000" w:fill="BFBFBF"/>
            <w:vAlign w:val="bottom"/>
            <w:hideMark/>
          </w:tcPr>
          <w:p w14:paraId="23D74E00" w14:textId="405A7B2D" w:rsidR="00841B79" w:rsidRPr="00841B79" w:rsidRDefault="00841B79" w:rsidP="00841B79">
            <w:pPr>
              <w:spacing w:after="0" w:line="240" w:lineRule="auto"/>
              <w:jc w:val="center"/>
              <w:rPr>
                <w:rFonts w:ascii="Calibri" w:eastAsia="Times New Roman" w:hAnsi="Calibri" w:cs="Calibri"/>
                <w:b/>
                <w:bCs/>
                <w:color w:val="000000"/>
                <w:sz w:val="22"/>
                <w:lang w:eastAsia="en-GB"/>
              </w:rPr>
            </w:pPr>
            <w:r w:rsidRPr="00841B79">
              <w:rPr>
                <w:rFonts w:ascii="Calibri" w:eastAsia="Times New Roman" w:hAnsi="Calibri" w:cs="Calibri"/>
                <w:b/>
                <w:bCs/>
                <w:color w:val="000000"/>
                <w:sz w:val="22"/>
                <w:lang w:eastAsia="en-GB"/>
              </w:rPr>
              <w:t>Dixons Car</w:t>
            </w:r>
            <w:r>
              <w:rPr>
                <w:rFonts w:ascii="Calibri" w:eastAsia="Times New Roman" w:hAnsi="Calibri" w:cs="Calibri"/>
                <w:b/>
                <w:bCs/>
                <w:color w:val="000000"/>
                <w:sz w:val="22"/>
                <w:lang w:eastAsia="en-GB"/>
              </w:rPr>
              <w:t>phone</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14:paraId="15D81E75" w14:textId="6A3450A0" w:rsidR="00841B79" w:rsidRPr="00841B79" w:rsidRDefault="00841B79" w:rsidP="00841B79">
            <w:pPr>
              <w:spacing w:after="0" w:line="240" w:lineRule="auto"/>
              <w:rPr>
                <w:rFonts w:ascii="Calibri" w:eastAsia="Times New Roman" w:hAnsi="Calibri" w:cs="Calibri"/>
                <w:b/>
                <w:color w:val="000000"/>
                <w:sz w:val="22"/>
                <w:lang w:eastAsia="en-GB"/>
              </w:rPr>
            </w:pPr>
            <w:r w:rsidRPr="00841B79">
              <w:rPr>
                <w:rFonts w:ascii="Calibri" w:eastAsia="Times New Roman" w:hAnsi="Calibri" w:cs="Calibri"/>
                <w:b/>
                <w:sz w:val="22"/>
                <w:lang w:eastAsia="en-GB"/>
              </w:rPr>
              <w:t>Trend</w:t>
            </w:r>
            <w:r>
              <w:rPr>
                <w:rFonts w:ascii="Calibri" w:eastAsia="Times New Roman" w:hAnsi="Calibri" w:cs="Calibri"/>
                <w:b/>
                <w:sz w:val="22"/>
                <w:lang w:eastAsia="en-GB"/>
              </w:rPr>
              <w:t>s</w:t>
            </w:r>
          </w:p>
        </w:tc>
      </w:tr>
      <w:tr w:rsidR="00841B79" w:rsidRPr="00841B79" w14:paraId="18B3408F" w14:textId="77777777" w:rsidTr="00841B79">
        <w:trPr>
          <w:trHeight w:val="300"/>
          <w:jc w:val="center"/>
        </w:trPr>
        <w:tc>
          <w:tcPr>
            <w:tcW w:w="1745" w:type="dxa"/>
            <w:tcBorders>
              <w:top w:val="nil"/>
              <w:left w:val="single" w:sz="8" w:space="0" w:color="auto"/>
              <w:bottom w:val="single" w:sz="4" w:space="0" w:color="auto"/>
              <w:right w:val="single" w:sz="4" w:space="0" w:color="auto"/>
            </w:tcBorders>
            <w:shd w:val="clear" w:color="auto" w:fill="auto"/>
            <w:noWrap/>
            <w:vAlign w:val="bottom"/>
            <w:hideMark/>
          </w:tcPr>
          <w:p w14:paraId="0C7CE10D"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2015</w:t>
            </w:r>
          </w:p>
        </w:tc>
        <w:tc>
          <w:tcPr>
            <w:tcW w:w="2115" w:type="dxa"/>
            <w:tcBorders>
              <w:top w:val="nil"/>
              <w:left w:val="nil"/>
              <w:bottom w:val="single" w:sz="4" w:space="0" w:color="auto"/>
              <w:right w:val="single" w:sz="4" w:space="0" w:color="auto"/>
            </w:tcBorders>
            <w:shd w:val="clear" w:color="auto" w:fill="auto"/>
            <w:noWrap/>
            <w:vAlign w:val="bottom"/>
            <w:hideMark/>
          </w:tcPr>
          <w:p w14:paraId="2DD273C2"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3.26%</w:t>
            </w:r>
          </w:p>
        </w:tc>
        <w:tc>
          <w:tcPr>
            <w:tcW w:w="1160" w:type="dxa"/>
            <w:tcBorders>
              <w:top w:val="nil"/>
              <w:left w:val="nil"/>
              <w:bottom w:val="single" w:sz="4" w:space="0" w:color="auto"/>
              <w:right w:val="single" w:sz="4" w:space="0" w:color="auto"/>
            </w:tcBorders>
            <w:shd w:val="clear" w:color="auto" w:fill="auto"/>
            <w:noWrap/>
            <w:vAlign w:val="bottom"/>
            <w:hideMark/>
          </w:tcPr>
          <w:p w14:paraId="7DAFB09D"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3.92%</w:t>
            </w:r>
          </w:p>
        </w:tc>
        <w:tc>
          <w:tcPr>
            <w:tcW w:w="960" w:type="dxa"/>
            <w:tcBorders>
              <w:top w:val="nil"/>
              <w:left w:val="nil"/>
              <w:bottom w:val="single" w:sz="4" w:space="0" w:color="auto"/>
              <w:right w:val="single" w:sz="8" w:space="0" w:color="auto"/>
            </w:tcBorders>
            <w:shd w:val="clear" w:color="auto" w:fill="auto"/>
            <w:noWrap/>
            <w:vAlign w:val="bottom"/>
            <w:hideMark/>
          </w:tcPr>
          <w:p w14:paraId="581780C1" w14:textId="77777777" w:rsidR="00841B79" w:rsidRPr="00841B79" w:rsidRDefault="00841B79" w:rsidP="00841B79">
            <w:pPr>
              <w:spacing w:after="0" w:line="240" w:lineRule="auto"/>
              <w:jc w:val="right"/>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0.66%</w:t>
            </w:r>
          </w:p>
        </w:tc>
      </w:tr>
      <w:tr w:rsidR="00841B79" w:rsidRPr="00841B79" w14:paraId="05C816A3" w14:textId="77777777" w:rsidTr="00841B79">
        <w:trPr>
          <w:trHeight w:val="300"/>
          <w:jc w:val="center"/>
        </w:trPr>
        <w:tc>
          <w:tcPr>
            <w:tcW w:w="1745" w:type="dxa"/>
            <w:tcBorders>
              <w:top w:val="nil"/>
              <w:left w:val="single" w:sz="8" w:space="0" w:color="auto"/>
              <w:bottom w:val="single" w:sz="4" w:space="0" w:color="auto"/>
              <w:right w:val="single" w:sz="4" w:space="0" w:color="auto"/>
            </w:tcBorders>
            <w:shd w:val="clear" w:color="auto" w:fill="auto"/>
            <w:noWrap/>
            <w:vAlign w:val="bottom"/>
            <w:hideMark/>
          </w:tcPr>
          <w:p w14:paraId="2FC07CA0"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2016</w:t>
            </w:r>
          </w:p>
        </w:tc>
        <w:tc>
          <w:tcPr>
            <w:tcW w:w="2115" w:type="dxa"/>
            <w:tcBorders>
              <w:top w:val="nil"/>
              <w:left w:val="nil"/>
              <w:bottom w:val="single" w:sz="4" w:space="0" w:color="auto"/>
              <w:right w:val="single" w:sz="4" w:space="0" w:color="auto"/>
            </w:tcBorders>
            <w:shd w:val="clear" w:color="auto" w:fill="auto"/>
            <w:noWrap/>
            <w:vAlign w:val="bottom"/>
            <w:hideMark/>
          </w:tcPr>
          <w:p w14:paraId="0679D554"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3.24%</w:t>
            </w:r>
          </w:p>
        </w:tc>
        <w:tc>
          <w:tcPr>
            <w:tcW w:w="1160" w:type="dxa"/>
            <w:tcBorders>
              <w:top w:val="nil"/>
              <w:left w:val="nil"/>
              <w:bottom w:val="single" w:sz="4" w:space="0" w:color="auto"/>
              <w:right w:val="single" w:sz="4" w:space="0" w:color="auto"/>
            </w:tcBorders>
            <w:shd w:val="clear" w:color="auto" w:fill="auto"/>
            <w:noWrap/>
            <w:vAlign w:val="bottom"/>
            <w:hideMark/>
          </w:tcPr>
          <w:p w14:paraId="0AF9AAC5"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2.70%</w:t>
            </w:r>
          </w:p>
        </w:tc>
        <w:tc>
          <w:tcPr>
            <w:tcW w:w="960" w:type="dxa"/>
            <w:tcBorders>
              <w:top w:val="nil"/>
              <w:left w:val="nil"/>
              <w:bottom w:val="single" w:sz="4" w:space="0" w:color="auto"/>
              <w:right w:val="single" w:sz="8" w:space="0" w:color="auto"/>
            </w:tcBorders>
            <w:shd w:val="clear" w:color="auto" w:fill="auto"/>
            <w:noWrap/>
            <w:vAlign w:val="bottom"/>
            <w:hideMark/>
          </w:tcPr>
          <w:p w14:paraId="27190456" w14:textId="77777777" w:rsidR="00841B79" w:rsidRPr="00841B79" w:rsidRDefault="00841B79" w:rsidP="00841B79">
            <w:pPr>
              <w:spacing w:after="0" w:line="240" w:lineRule="auto"/>
              <w:jc w:val="right"/>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0.54%</w:t>
            </w:r>
          </w:p>
        </w:tc>
      </w:tr>
      <w:tr w:rsidR="00841B79" w:rsidRPr="00841B79" w14:paraId="18008F7A" w14:textId="77777777" w:rsidTr="00841B79">
        <w:trPr>
          <w:trHeight w:val="300"/>
          <w:jc w:val="center"/>
        </w:trPr>
        <w:tc>
          <w:tcPr>
            <w:tcW w:w="1745" w:type="dxa"/>
            <w:tcBorders>
              <w:top w:val="nil"/>
              <w:left w:val="single" w:sz="8" w:space="0" w:color="auto"/>
              <w:bottom w:val="single" w:sz="4" w:space="0" w:color="auto"/>
              <w:right w:val="single" w:sz="4" w:space="0" w:color="auto"/>
            </w:tcBorders>
            <w:shd w:val="clear" w:color="auto" w:fill="auto"/>
            <w:noWrap/>
            <w:vAlign w:val="bottom"/>
            <w:hideMark/>
          </w:tcPr>
          <w:p w14:paraId="681911F3"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2017</w:t>
            </w:r>
          </w:p>
        </w:tc>
        <w:tc>
          <w:tcPr>
            <w:tcW w:w="2115" w:type="dxa"/>
            <w:tcBorders>
              <w:top w:val="nil"/>
              <w:left w:val="nil"/>
              <w:bottom w:val="single" w:sz="4" w:space="0" w:color="auto"/>
              <w:right w:val="single" w:sz="4" w:space="0" w:color="auto"/>
            </w:tcBorders>
            <w:shd w:val="clear" w:color="auto" w:fill="auto"/>
            <w:noWrap/>
            <w:vAlign w:val="bottom"/>
            <w:hideMark/>
          </w:tcPr>
          <w:p w14:paraId="24D293F6"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3.21%</w:t>
            </w:r>
          </w:p>
        </w:tc>
        <w:tc>
          <w:tcPr>
            <w:tcW w:w="1160" w:type="dxa"/>
            <w:tcBorders>
              <w:top w:val="nil"/>
              <w:left w:val="nil"/>
              <w:bottom w:val="single" w:sz="4" w:space="0" w:color="auto"/>
              <w:right w:val="single" w:sz="4" w:space="0" w:color="auto"/>
            </w:tcBorders>
            <w:shd w:val="clear" w:color="auto" w:fill="auto"/>
            <w:noWrap/>
            <w:vAlign w:val="bottom"/>
            <w:hideMark/>
          </w:tcPr>
          <w:p w14:paraId="3D83016F"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3.65%</w:t>
            </w:r>
          </w:p>
        </w:tc>
        <w:tc>
          <w:tcPr>
            <w:tcW w:w="960" w:type="dxa"/>
            <w:tcBorders>
              <w:top w:val="nil"/>
              <w:left w:val="nil"/>
              <w:bottom w:val="single" w:sz="4" w:space="0" w:color="auto"/>
              <w:right w:val="single" w:sz="8" w:space="0" w:color="auto"/>
            </w:tcBorders>
            <w:shd w:val="clear" w:color="auto" w:fill="auto"/>
            <w:noWrap/>
            <w:vAlign w:val="bottom"/>
            <w:hideMark/>
          </w:tcPr>
          <w:p w14:paraId="65DADA96" w14:textId="77777777" w:rsidR="00841B79" w:rsidRPr="00841B79" w:rsidRDefault="00841B79" w:rsidP="00841B79">
            <w:pPr>
              <w:spacing w:after="0" w:line="240" w:lineRule="auto"/>
              <w:jc w:val="right"/>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0.44%</w:t>
            </w:r>
          </w:p>
        </w:tc>
      </w:tr>
      <w:tr w:rsidR="00841B79" w:rsidRPr="00841B79" w14:paraId="5C00ABE5" w14:textId="77777777" w:rsidTr="00841B79">
        <w:trPr>
          <w:trHeight w:val="300"/>
          <w:jc w:val="center"/>
        </w:trPr>
        <w:tc>
          <w:tcPr>
            <w:tcW w:w="1745" w:type="dxa"/>
            <w:tcBorders>
              <w:top w:val="nil"/>
              <w:left w:val="single" w:sz="4" w:space="0" w:color="auto"/>
              <w:bottom w:val="single" w:sz="4" w:space="0" w:color="auto"/>
              <w:right w:val="single" w:sz="4" w:space="0" w:color="auto"/>
            </w:tcBorders>
            <w:shd w:val="clear" w:color="auto" w:fill="auto"/>
            <w:noWrap/>
            <w:vAlign w:val="bottom"/>
            <w:hideMark/>
          </w:tcPr>
          <w:p w14:paraId="688CECC5"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lastRenderedPageBreak/>
              <w:t>2018</w:t>
            </w:r>
          </w:p>
        </w:tc>
        <w:tc>
          <w:tcPr>
            <w:tcW w:w="2115" w:type="dxa"/>
            <w:tcBorders>
              <w:top w:val="nil"/>
              <w:left w:val="nil"/>
              <w:bottom w:val="single" w:sz="4" w:space="0" w:color="auto"/>
              <w:right w:val="single" w:sz="4" w:space="0" w:color="auto"/>
            </w:tcBorders>
            <w:shd w:val="clear" w:color="auto" w:fill="auto"/>
            <w:noWrap/>
            <w:vAlign w:val="bottom"/>
            <w:hideMark/>
          </w:tcPr>
          <w:p w14:paraId="01643D47"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3.21%</w:t>
            </w:r>
          </w:p>
        </w:tc>
        <w:tc>
          <w:tcPr>
            <w:tcW w:w="1160" w:type="dxa"/>
            <w:tcBorders>
              <w:top w:val="nil"/>
              <w:left w:val="nil"/>
              <w:bottom w:val="single" w:sz="4" w:space="0" w:color="auto"/>
              <w:right w:val="single" w:sz="4" w:space="0" w:color="auto"/>
            </w:tcBorders>
            <w:shd w:val="clear" w:color="auto" w:fill="auto"/>
            <w:noWrap/>
            <w:vAlign w:val="bottom"/>
            <w:hideMark/>
          </w:tcPr>
          <w:p w14:paraId="7D8F7BFF"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2.74%</w:t>
            </w:r>
          </w:p>
        </w:tc>
        <w:tc>
          <w:tcPr>
            <w:tcW w:w="960" w:type="dxa"/>
            <w:tcBorders>
              <w:top w:val="nil"/>
              <w:left w:val="nil"/>
              <w:bottom w:val="single" w:sz="4" w:space="0" w:color="auto"/>
              <w:right w:val="single" w:sz="4" w:space="0" w:color="auto"/>
            </w:tcBorders>
            <w:shd w:val="clear" w:color="auto" w:fill="auto"/>
            <w:noWrap/>
            <w:vAlign w:val="bottom"/>
            <w:hideMark/>
          </w:tcPr>
          <w:p w14:paraId="0494D01D" w14:textId="77777777" w:rsidR="00841B79" w:rsidRPr="00841B79" w:rsidRDefault="00841B79" w:rsidP="00841B79">
            <w:pPr>
              <w:spacing w:after="0" w:line="240" w:lineRule="auto"/>
              <w:jc w:val="right"/>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0.47%</w:t>
            </w:r>
          </w:p>
        </w:tc>
      </w:tr>
      <w:tr w:rsidR="00841B79" w:rsidRPr="00841B79" w14:paraId="3E37FFF3" w14:textId="77777777" w:rsidTr="00841B79">
        <w:trPr>
          <w:trHeight w:val="300"/>
          <w:jc w:val="center"/>
        </w:trPr>
        <w:tc>
          <w:tcPr>
            <w:tcW w:w="1745" w:type="dxa"/>
            <w:tcBorders>
              <w:top w:val="nil"/>
              <w:left w:val="single" w:sz="4" w:space="0" w:color="auto"/>
              <w:bottom w:val="single" w:sz="4" w:space="0" w:color="auto"/>
              <w:right w:val="single" w:sz="4" w:space="0" w:color="auto"/>
            </w:tcBorders>
            <w:shd w:val="clear" w:color="auto" w:fill="auto"/>
            <w:noWrap/>
            <w:vAlign w:val="bottom"/>
            <w:hideMark/>
          </w:tcPr>
          <w:p w14:paraId="20CF5559"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2019</w:t>
            </w:r>
          </w:p>
        </w:tc>
        <w:tc>
          <w:tcPr>
            <w:tcW w:w="2115" w:type="dxa"/>
            <w:tcBorders>
              <w:top w:val="nil"/>
              <w:left w:val="nil"/>
              <w:bottom w:val="single" w:sz="4" w:space="0" w:color="auto"/>
              <w:right w:val="single" w:sz="4" w:space="0" w:color="auto"/>
            </w:tcBorders>
            <w:shd w:val="clear" w:color="auto" w:fill="auto"/>
            <w:noWrap/>
            <w:vAlign w:val="bottom"/>
            <w:hideMark/>
          </w:tcPr>
          <w:p w14:paraId="4D09F30D"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3.21%</w:t>
            </w:r>
          </w:p>
        </w:tc>
        <w:tc>
          <w:tcPr>
            <w:tcW w:w="1160" w:type="dxa"/>
            <w:tcBorders>
              <w:top w:val="nil"/>
              <w:left w:val="nil"/>
              <w:bottom w:val="single" w:sz="4" w:space="0" w:color="auto"/>
              <w:right w:val="single" w:sz="4" w:space="0" w:color="auto"/>
            </w:tcBorders>
            <w:shd w:val="clear" w:color="auto" w:fill="auto"/>
            <w:noWrap/>
            <w:vAlign w:val="bottom"/>
            <w:hideMark/>
          </w:tcPr>
          <w:p w14:paraId="11BE0AA6" w14:textId="77777777" w:rsidR="00841B79" w:rsidRPr="00841B79" w:rsidRDefault="00841B79" w:rsidP="00841B79">
            <w:pPr>
              <w:spacing w:after="0" w:line="240" w:lineRule="auto"/>
              <w:jc w:val="center"/>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2.48%</w:t>
            </w:r>
          </w:p>
        </w:tc>
        <w:tc>
          <w:tcPr>
            <w:tcW w:w="960" w:type="dxa"/>
            <w:tcBorders>
              <w:top w:val="nil"/>
              <w:left w:val="nil"/>
              <w:bottom w:val="single" w:sz="4" w:space="0" w:color="auto"/>
              <w:right w:val="single" w:sz="4" w:space="0" w:color="auto"/>
            </w:tcBorders>
            <w:shd w:val="clear" w:color="auto" w:fill="auto"/>
            <w:noWrap/>
            <w:vAlign w:val="bottom"/>
            <w:hideMark/>
          </w:tcPr>
          <w:p w14:paraId="42AB3C60" w14:textId="77777777" w:rsidR="00841B79" w:rsidRPr="00841B79" w:rsidRDefault="00841B79" w:rsidP="00841B79">
            <w:pPr>
              <w:spacing w:after="0" w:line="240" w:lineRule="auto"/>
              <w:jc w:val="right"/>
              <w:rPr>
                <w:rFonts w:ascii="Calibri" w:eastAsia="Times New Roman" w:hAnsi="Calibri" w:cs="Calibri"/>
                <w:color w:val="000000"/>
                <w:sz w:val="22"/>
                <w:lang w:eastAsia="en-GB"/>
              </w:rPr>
            </w:pPr>
            <w:r w:rsidRPr="00841B79">
              <w:rPr>
                <w:rFonts w:ascii="Calibri" w:eastAsia="Times New Roman" w:hAnsi="Calibri" w:cs="Calibri"/>
                <w:color w:val="000000"/>
                <w:sz w:val="22"/>
                <w:lang w:eastAsia="en-GB"/>
              </w:rPr>
              <w:t>0.73%</w:t>
            </w:r>
          </w:p>
        </w:tc>
      </w:tr>
    </w:tbl>
    <w:p w14:paraId="095EB875" w14:textId="77777777" w:rsidR="003B25E1" w:rsidRDefault="003B25E1" w:rsidP="00EA708F">
      <w:pPr>
        <w:jc w:val="both"/>
        <w:rPr>
          <w:rFonts w:cs="Arial"/>
          <w:color w:val="FF0000"/>
          <w:sz w:val="26"/>
          <w:szCs w:val="26"/>
          <w:shd w:val="clear" w:color="auto" w:fill="FFFFFF"/>
        </w:rPr>
      </w:pPr>
    </w:p>
    <w:p w14:paraId="3D94AC3B" w14:textId="1CE411DC" w:rsidR="003B25E1" w:rsidRPr="00EA708F" w:rsidRDefault="003B25E1" w:rsidP="009A19DC">
      <w:pPr>
        <w:pStyle w:val="Heading2"/>
        <w:rPr>
          <w:shd w:val="clear" w:color="auto" w:fill="FFFFFF"/>
        </w:rPr>
      </w:pPr>
      <w:r w:rsidRPr="00EA708F">
        <w:rPr>
          <w:shd w:val="clear" w:color="auto" w:fill="FFFFFF"/>
          <w:lang w:val="en-US"/>
        </w:rPr>
        <w:t>Liquidity Ratios</w:t>
      </w:r>
    </w:p>
    <w:p w14:paraId="3C16A155" w14:textId="5A4422FD" w:rsidR="00EA708F" w:rsidRDefault="00EA708F" w:rsidP="00DA2F53">
      <w:pPr>
        <w:jc w:val="both"/>
        <w:rPr>
          <w:rFonts w:cs="Arial"/>
          <w:color w:val="FF0000"/>
          <w:sz w:val="26"/>
          <w:szCs w:val="26"/>
          <w:shd w:val="clear" w:color="auto" w:fill="FFFFFF"/>
        </w:rPr>
      </w:pPr>
    </w:p>
    <w:p w14:paraId="001DEDD0" w14:textId="1739005C" w:rsidR="009D3B94" w:rsidRPr="00895BBD" w:rsidRDefault="009D3B94" w:rsidP="00DA2F53">
      <w:pPr>
        <w:jc w:val="both"/>
        <w:rPr>
          <w:rFonts w:cs="Arial"/>
          <w:szCs w:val="28"/>
          <w:shd w:val="clear" w:color="auto" w:fill="FFFFFF"/>
        </w:rPr>
      </w:pPr>
      <w:r w:rsidRPr="00895BBD">
        <w:rPr>
          <w:rFonts w:cs="Arial"/>
          <w:szCs w:val="28"/>
          <w:shd w:val="clear" w:color="auto" w:fill="FFFFFF"/>
        </w:rPr>
        <w:t>Liquidity ratios help make a determination as to if a company is able to pay off its debits when they are due and therefore remain a sustainable business? If they are unable to, then the first item on the agenda must be to liquidity.</w:t>
      </w:r>
    </w:p>
    <w:p w14:paraId="37DD445F" w14:textId="555C19E8" w:rsidR="007852B8" w:rsidRPr="00895BBD" w:rsidRDefault="000F17F6" w:rsidP="00DA2F53">
      <w:pPr>
        <w:jc w:val="both"/>
        <w:rPr>
          <w:rFonts w:cs="Arial"/>
          <w:color w:val="FF0000"/>
          <w:szCs w:val="28"/>
          <w:shd w:val="clear" w:color="auto" w:fill="FFFFFF"/>
        </w:rPr>
      </w:pPr>
      <w:r w:rsidRPr="00895BBD">
        <w:rPr>
          <w:rFonts w:cs="Arial"/>
          <w:szCs w:val="28"/>
          <w:shd w:val="clear" w:color="auto" w:fill="FFFFFF"/>
        </w:rPr>
        <w:t xml:space="preserve">A liquid asset is one that is possible to sell in an active market and so can be exchanged easily to capital at the current market price. </w:t>
      </w:r>
      <w:r w:rsidR="009A19DC" w:rsidRPr="00895BBD">
        <w:rPr>
          <w:rFonts w:cs="Arial"/>
          <w:szCs w:val="28"/>
          <w:shd w:val="clear" w:color="auto" w:fill="FFFFFF"/>
        </w:rPr>
        <w:t>A complete liquidity response makes liquidity calculation quick and easy to use</w:t>
      </w:r>
      <w:sdt>
        <w:sdtPr>
          <w:rPr>
            <w:rFonts w:cs="Arial"/>
            <w:szCs w:val="28"/>
            <w:shd w:val="clear" w:color="auto" w:fill="FFFFFF"/>
          </w:rPr>
          <w:id w:val="-1448615606"/>
          <w:citation/>
        </w:sdtPr>
        <w:sdtEndPr/>
        <w:sdtContent>
          <w:r w:rsidR="00DA7637" w:rsidRPr="00895BBD">
            <w:rPr>
              <w:rFonts w:cs="Arial"/>
              <w:szCs w:val="28"/>
              <w:shd w:val="clear" w:color="auto" w:fill="FFFFFF"/>
            </w:rPr>
            <w:fldChar w:fldCharType="begin"/>
          </w:r>
          <w:r w:rsidR="00DA7637" w:rsidRPr="00895BBD">
            <w:rPr>
              <w:rFonts w:cs="Arial"/>
              <w:szCs w:val="28"/>
              <w:shd w:val="clear" w:color="auto" w:fill="FFFFFF"/>
            </w:rPr>
            <w:instrText xml:space="preserve"> CITATION Bri13 \l 2057 </w:instrText>
          </w:r>
          <w:r w:rsidR="00DA7637" w:rsidRPr="00895BBD">
            <w:rPr>
              <w:rFonts w:cs="Arial"/>
              <w:szCs w:val="28"/>
              <w:shd w:val="clear" w:color="auto" w:fill="FFFFFF"/>
            </w:rPr>
            <w:fldChar w:fldCharType="separate"/>
          </w:r>
          <w:r w:rsidR="00DA7637" w:rsidRPr="00895BBD">
            <w:rPr>
              <w:rFonts w:cs="Arial"/>
              <w:noProof/>
              <w:szCs w:val="28"/>
              <w:shd w:val="clear" w:color="auto" w:fill="FFFFFF"/>
            </w:rPr>
            <w:t xml:space="preserve"> (Brigham &amp; Houston, 2013)</w:t>
          </w:r>
          <w:r w:rsidR="00DA7637" w:rsidRPr="00895BBD">
            <w:rPr>
              <w:rFonts w:cs="Arial"/>
              <w:szCs w:val="28"/>
              <w:shd w:val="clear" w:color="auto" w:fill="FFFFFF"/>
            </w:rPr>
            <w:fldChar w:fldCharType="end"/>
          </w:r>
        </w:sdtContent>
      </w:sdt>
      <w:r w:rsidR="007852B8" w:rsidRPr="00895BBD">
        <w:rPr>
          <w:rFonts w:cs="Arial"/>
          <w:szCs w:val="28"/>
          <w:shd w:val="clear" w:color="auto" w:fill="FFFFFF"/>
        </w:rPr>
        <w:t xml:space="preserve">. </w:t>
      </w:r>
    </w:p>
    <w:p w14:paraId="624F061D" w14:textId="779E38B8" w:rsidR="007852B8" w:rsidRDefault="007852B8" w:rsidP="00DA7637">
      <w:pPr>
        <w:jc w:val="center"/>
        <w:rPr>
          <w:rFonts w:cs="Arial"/>
          <w:color w:val="FF0000"/>
          <w:sz w:val="26"/>
          <w:szCs w:val="26"/>
          <w:shd w:val="clear" w:color="auto" w:fill="FFFFFF"/>
        </w:rPr>
      </w:pPr>
    </w:p>
    <w:p w14:paraId="04506F0E" w14:textId="6DDD0D9E" w:rsidR="00E83773" w:rsidRPr="009A19DC" w:rsidRDefault="00E83773" w:rsidP="009A19DC">
      <w:pPr>
        <w:pStyle w:val="Heading3"/>
        <w:rPr>
          <w:rStyle w:val="mntl-sc-block-headingtext"/>
        </w:rPr>
      </w:pPr>
      <w:r w:rsidRPr="009A19DC">
        <w:rPr>
          <w:rStyle w:val="mntl-sc-block-headingtext"/>
        </w:rPr>
        <w:t xml:space="preserve">Quick Ratio </w:t>
      </w:r>
    </w:p>
    <w:p w14:paraId="274D9354" w14:textId="77777777" w:rsidR="00C21409" w:rsidRDefault="00C21409" w:rsidP="00D37BFD"/>
    <w:p w14:paraId="3E4E8EBB" w14:textId="291218BC" w:rsidR="00887A5E" w:rsidRPr="007212C9" w:rsidRDefault="00C21409" w:rsidP="002F206D">
      <w:pPr>
        <w:spacing w:before="100" w:beforeAutospacing="1" w:after="100" w:afterAutospacing="1" w:line="240" w:lineRule="auto"/>
        <w:jc w:val="both"/>
        <w:rPr>
          <w:rFonts w:eastAsia="Times New Roman" w:cs="Arial"/>
          <w:szCs w:val="28"/>
          <w:lang w:eastAsia="en-GB"/>
        </w:rPr>
      </w:pPr>
      <w:r w:rsidRPr="00C21409">
        <w:rPr>
          <w:rFonts w:eastAsia="Times New Roman" w:cs="Arial"/>
          <w:szCs w:val="28"/>
          <w:lang w:eastAsia="en-GB"/>
        </w:rPr>
        <w:t xml:space="preserve">The quick ratio, calculated by deducting inventories from existing assets and subsequently dividing the remaining amount by current liabilities: </w:t>
      </w:r>
      <w:r w:rsidR="002F206D" w:rsidRPr="002F206D">
        <w:rPr>
          <w:rFonts w:eastAsia="Times New Roman" w:cs="Arial"/>
          <w:szCs w:val="28"/>
          <w:lang w:eastAsia="en-GB"/>
        </w:rPr>
        <w:t xml:space="preserve">Inventories are generally the least liquid of the current assets of a firm; and if sales </w:t>
      </w:r>
      <w:r w:rsidR="00887A5E">
        <w:rPr>
          <w:rFonts w:eastAsia="Times New Roman" w:cs="Arial"/>
          <w:szCs w:val="28"/>
          <w:lang w:eastAsia="en-GB"/>
        </w:rPr>
        <w:t>slacken</w:t>
      </w:r>
      <w:r w:rsidR="002F206D" w:rsidRPr="002F206D">
        <w:rPr>
          <w:rFonts w:eastAsia="Times New Roman" w:cs="Arial"/>
          <w:szCs w:val="28"/>
          <w:lang w:eastAsia="en-GB"/>
        </w:rPr>
        <w:t>, they may not convert to cash as fast as expected.</w:t>
      </w:r>
      <w:r w:rsidR="002F206D">
        <w:rPr>
          <w:rFonts w:eastAsia="Times New Roman" w:cs="Arial"/>
          <w:szCs w:val="28"/>
          <w:lang w:eastAsia="en-GB"/>
        </w:rPr>
        <w:t xml:space="preserve"> </w:t>
      </w:r>
      <w:r w:rsidR="002F206D" w:rsidRPr="002F206D">
        <w:rPr>
          <w:rFonts w:eastAsia="Times New Roman" w:cs="Arial"/>
          <w:szCs w:val="28"/>
          <w:lang w:eastAsia="en-GB"/>
        </w:rPr>
        <w:t>Inventories are also the properties on which shortfalls may arise in the event of a liquidation.</w:t>
      </w:r>
      <w:r w:rsidR="00887A5E">
        <w:rPr>
          <w:rFonts w:eastAsia="Times New Roman" w:cs="Arial"/>
          <w:szCs w:val="28"/>
          <w:lang w:eastAsia="en-GB"/>
        </w:rPr>
        <w:t xml:space="preserve"> </w:t>
      </w:r>
      <w:r w:rsidR="00887A5E" w:rsidRPr="00887A5E">
        <w:rPr>
          <w:rFonts w:eastAsia="Times New Roman" w:cs="Arial"/>
          <w:szCs w:val="28"/>
          <w:lang w:eastAsia="en-GB"/>
        </w:rPr>
        <w:t>The rapid ratio, which evaluates the ability of the company to repay short-term debts without relying on the selling of inventories, is important</w:t>
      </w:r>
      <w:r w:rsidR="00A25B6E" w:rsidRPr="00A25B6E">
        <w:rPr>
          <w:rFonts w:eastAsia="Times New Roman" w:cs="Arial"/>
          <w:szCs w:val="28"/>
          <w:lang w:eastAsia="en-GB"/>
        </w:rPr>
        <w:t>.</w:t>
      </w:r>
      <w:r w:rsidR="00887A5E" w:rsidRPr="00887A5E">
        <w:rPr>
          <w:rFonts w:eastAsia="Times New Roman" w:cs="Arial"/>
          <w:szCs w:val="28"/>
          <w:lang w:eastAsia="en-GB"/>
        </w:rPr>
        <w:t xml:space="preserve"> The average quick ratio for the industry is 2.2, so the </w:t>
      </w:r>
      <w:r w:rsidR="00887A5E" w:rsidRPr="00887A5E">
        <w:rPr>
          <w:rFonts w:eastAsia="Times New Roman" w:cs="Arial"/>
          <w:color w:val="FF0000"/>
          <w:szCs w:val="28"/>
          <w:lang w:eastAsia="en-GB"/>
        </w:rPr>
        <w:t xml:space="preserve">1.2 ratio for </w:t>
      </w:r>
      <w:r w:rsidR="00887A5E">
        <w:rPr>
          <w:rFonts w:eastAsia="Times New Roman" w:cs="Arial"/>
          <w:color w:val="FF0000"/>
          <w:szCs w:val="28"/>
          <w:lang w:eastAsia="en-GB"/>
        </w:rPr>
        <w:t xml:space="preserve">Dixons </w:t>
      </w:r>
      <w:proofErr w:type="spellStart"/>
      <w:r w:rsidR="00887A5E">
        <w:rPr>
          <w:rFonts w:eastAsia="Times New Roman" w:cs="Arial"/>
          <w:color w:val="FF0000"/>
          <w:szCs w:val="28"/>
          <w:lang w:eastAsia="en-GB"/>
        </w:rPr>
        <w:t>Carphons</w:t>
      </w:r>
      <w:proofErr w:type="spellEnd"/>
      <w:r w:rsidR="00887A5E" w:rsidRPr="00887A5E">
        <w:rPr>
          <w:rFonts w:eastAsia="Times New Roman" w:cs="Arial"/>
          <w:color w:val="FF0000"/>
          <w:szCs w:val="28"/>
          <w:lang w:eastAsia="en-GB"/>
        </w:rPr>
        <w:t xml:space="preserve"> is relatively low.</w:t>
      </w:r>
      <w:r w:rsidR="007212C9">
        <w:rPr>
          <w:rFonts w:eastAsia="Times New Roman" w:cs="Arial"/>
          <w:color w:val="FF0000"/>
          <w:szCs w:val="28"/>
          <w:lang w:eastAsia="en-GB"/>
        </w:rPr>
        <w:t xml:space="preserve"> </w:t>
      </w:r>
      <w:r w:rsidR="007212C9" w:rsidRPr="007212C9">
        <w:rPr>
          <w:rFonts w:eastAsia="Times New Roman" w:cs="Arial"/>
          <w:szCs w:val="28"/>
          <w:lang w:eastAsia="en-GB"/>
        </w:rPr>
        <w:t>Still, if the receivable accounts can be retrieved, even if it has difficulty getting rid of its inventories, the company is able to pay off its current liabilities.</w:t>
      </w:r>
    </w:p>
    <w:p w14:paraId="0F9D7760" w14:textId="77777777" w:rsidR="00C21409" w:rsidRPr="00C21409" w:rsidRDefault="00C21409" w:rsidP="00D37BFD">
      <w:pPr>
        <w:rPr>
          <w:b/>
          <w:bCs/>
        </w:rPr>
      </w:pPr>
    </w:p>
    <w:p w14:paraId="5662FAF5" w14:textId="0D8E2E8E" w:rsidR="00DA7637" w:rsidRPr="007212C9" w:rsidRDefault="00DA7637" w:rsidP="00DA7637">
      <w:pPr>
        <w:jc w:val="both"/>
        <w:rPr>
          <w:rFonts w:cs="Arial"/>
          <w:szCs w:val="28"/>
          <w:shd w:val="clear" w:color="auto" w:fill="FFFFFF"/>
        </w:rPr>
      </w:pPr>
      <w:r w:rsidRPr="007212C9">
        <w:rPr>
          <w:rFonts w:cs="Arial"/>
          <w:szCs w:val="28"/>
          <w:shd w:val="clear" w:color="auto" w:fill="FFFFFF"/>
        </w:rPr>
        <w:t>This is calculated for Dixon Carphone use the below formula.</w:t>
      </w:r>
    </w:p>
    <w:p w14:paraId="0BC4DA5A" w14:textId="0BF2DB64" w:rsidR="00055C65" w:rsidRDefault="00055C65" w:rsidP="00DA2F53">
      <w:pPr>
        <w:pStyle w:val="NormalWeb"/>
        <w:spacing w:before="0" w:beforeAutospacing="0"/>
        <w:jc w:val="both"/>
        <w:rPr>
          <w:rFonts w:ascii="Arial" w:hAnsi="Arial" w:cs="Arial"/>
          <w:color w:val="FF0000"/>
        </w:rPr>
      </w:pPr>
    </w:p>
    <w:p w14:paraId="7ED73835" w14:textId="4FB08C63" w:rsidR="00DA7637" w:rsidRDefault="00DA7637" w:rsidP="00DA2F53">
      <w:pPr>
        <w:pStyle w:val="NormalWeb"/>
        <w:spacing w:before="0" w:beforeAutospacing="0"/>
        <w:jc w:val="both"/>
        <w:rPr>
          <w:rFonts w:ascii="Arial" w:hAnsi="Arial" w:cs="Arial"/>
          <w:color w:val="FF0000"/>
        </w:rPr>
      </w:pPr>
      <w:r w:rsidRPr="00DA7637">
        <w:rPr>
          <w:rFonts w:cs="Arial"/>
          <w:color w:val="FF0000"/>
          <w:sz w:val="26"/>
          <w:szCs w:val="26"/>
          <w:shd w:val="clear" w:color="auto" w:fill="FFFFFF"/>
        </w:rPr>
        <w:object w:dxaOrig="9675" w:dyaOrig="1545" w14:anchorId="219441E4">
          <v:shape id="_x0000_i1026" type="#_x0000_t75" style="width:468pt;height:53.25pt" o:ole="">
            <v:imagedata r:id="rId12" o:title=""/>
          </v:shape>
          <o:OLEObject Type="Embed" ProgID="Unknown" ShapeID="_x0000_i1026" DrawAspect="Content" ObjectID="_1641059586" r:id="rId13"/>
        </w:object>
      </w:r>
    </w:p>
    <w:p w14:paraId="052D0A40" w14:textId="4E3EF27F" w:rsidR="003B25E1" w:rsidRDefault="003B25E1" w:rsidP="009A19DC">
      <w:pPr>
        <w:pStyle w:val="Heading2"/>
        <w:rPr>
          <w:rFonts w:eastAsia="Times New Roman"/>
          <w:lang w:val="en-US"/>
        </w:rPr>
      </w:pPr>
      <w:r w:rsidRPr="00EA708F">
        <w:rPr>
          <w:rFonts w:eastAsia="Times New Roman"/>
          <w:lang w:val="en-US"/>
        </w:rPr>
        <w:t>Asset Efficiency</w:t>
      </w:r>
    </w:p>
    <w:p w14:paraId="5FE9CD79" w14:textId="0E4799E5" w:rsidR="005F39B6" w:rsidRDefault="005F39B6" w:rsidP="005F39B6">
      <w:pPr>
        <w:rPr>
          <w:lang w:val="en-US"/>
        </w:rPr>
      </w:pPr>
    </w:p>
    <w:p w14:paraId="07F26DF7" w14:textId="6B55CDBB" w:rsidR="00450413" w:rsidRDefault="005F39B6" w:rsidP="00895BBD">
      <w:pPr>
        <w:jc w:val="both"/>
        <w:rPr>
          <w:lang w:val="en-US"/>
        </w:rPr>
      </w:pPr>
      <w:r>
        <w:rPr>
          <w:lang w:val="en-US"/>
        </w:rPr>
        <w:t>To determining how efficiently a company measures its assets the asset efficiency ratio is used.</w:t>
      </w:r>
      <w:r w:rsidR="00F05097">
        <w:rPr>
          <w:lang w:val="en-US"/>
        </w:rPr>
        <w:t xml:space="preserve"> </w:t>
      </w:r>
      <w:r w:rsidR="00F05097" w:rsidRPr="00F05097">
        <w:rPr>
          <w:lang w:val="en-US"/>
        </w:rPr>
        <w:t xml:space="preserve">The </w:t>
      </w:r>
      <w:r w:rsidR="00F05097">
        <w:rPr>
          <w:lang w:val="en-US"/>
        </w:rPr>
        <w:t>key</w:t>
      </w:r>
      <w:r w:rsidR="00F05097" w:rsidRPr="00F05097">
        <w:rPr>
          <w:lang w:val="en-US"/>
        </w:rPr>
        <w:t xml:space="preserve"> operating ratios are approximations of the overall time necessary for the usage or replacement of assets, or what the ratio calls turnover.</w:t>
      </w:r>
      <w:r w:rsidR="00F05097">
        <w:rPr>
          <w:lang w:val="en-US"/>
        </w:rPr>
        <w:t xml:space="preserve"> To be classed as efficient with assets, the turnover of the asset will be fast.</w:t>
      </w:r>
      <w:r w:rsidR="00450413">
        <w:rPr>
          <w:lang w:val="en-US"/>
        </w:rPr>
        <w:t xml:space="preserve"> If it is required to </w:t>
      </w:r>
      <w:r w:rsidR="00450413" w:rsidRPr="00450413">
        <w:rPr>
          <w:lang w:val="en-US"/>
        </w:rPr>
        <w:t>turn receivables into cash, inventory into cost of sold goods, or total assets into sales</w:t>
      </w:r>
      <w:r w:rsidR="00450413">
        <w:rPr>
          <w:lang w:val="en-US"/>
        </w:rPr>
        <w:t>, t</w:t>
      </w:r>
      <w:r w:rsidR="00450413" w:rsidRPr="00450413">
        <w:rPr>
          <w:lang w:val="en-US"/>
        </w:rPr>
        <w:t>hese ratios provide managers and other users of financial statements of a corporation with easily applied measurements</w:t>
      </w:r>
      <w:sdt>
        <w:sdtPr>
          <w:rPr>
            <w:lang w:val="en-US"/>
          </w:rPr>
          <w:id w:val="-1762364185"/>
          <w:citation/>
        </w:sdtPr>
        <w:sdtEndPr/>
        <w:sdtContent>
          <w:r w:rsidR="00450413">
            <w:rPr>
              <w:lang w:val="en-US"/>
            </w:rPr>
            <w:fldChar w:fldCharType="begin"/>
          </w:r>
          <w:r w:rsidR="00450413">
            <w:instrText xml:space="preserve"> CITATION Bri \l 2057 </w:instrText>
          </w:r>
          <w:r w:rsidR="00450413">
            <w:rPr>
              <w:lang w:val="en-US"/>
            </w:rPr>
            <w:fldChar w:fldCharType="separate"/>
          </w:r>
          <w:r w:rsidR="00450413">
            <w:rPr>
              <w:noProof/>
            </w:rPr>
            <w:t xml:space="preserve"> </w:t>
          </w:r>
          <w:r w:rsidR="00450413" w:rsidRPr="00450413">
            <w:rPr>
              <w:noProof/>
            </w:rPr>
            <w:t>(Brigham &amp; Houston, 2013)</w:t>
          </w:r>
          <w:r w:rsidR="00450413">
            <w:rPr>
              <w:lang w:val="en-US"/>
            </w:rPr>
            <w:fldChar w:fldCharType="end"/>
          </w:r>
        </w:sdtContent>
      </w:sdt>
      <w:r w:rsidR="00450413">
        <w:rPr>
          <w:lang w:val="en-US"/>
        </w:rPr>
        <w:t>.</w:t>
      </w:r>
    </w:p>
    <w:p w14:paraId="0543762D" w14:textId="08195479" w:rsidR="00421C99" w:rsidRDefault="00421C99" w:rsidP="005F39B6">
      <w:pPr>
        <w:rPr>
          <w:lang w:val="en-US"/>
        </w:rPr>
      </w:pPr>
    </w:p>
    <w:p w14:paraId="3DBB1722" w14:textId="768D993B" w:rsidR="002A4EAA" w:rsidRDefault="00960811" w:rsidP="00FB3CC7">
      <w:pPr>
        <w:pStyle w:val="Heading3"/>
      </w:pPr>
      <w:r>
        <w:t xml:space="preserve">Asset Turnover </w:t>
      </w:r>
    </w:p>
    <w:p w14:paraId="3F28716A" w14:textId="7406D54E" w:rsidR="00347128" w:rsidRDefault="002A4EAA" w:rsidP="00895BBD">
      <w:pPr>
        <w:jc w:val="both"/>
        <w:rPr>
          <w:rFonts w:cs="Arial"/>
        </w:rPr>
      </w:pPr>
      <w:r w:rsidRPr="002A4EAA">
        <w:t>The asset turnover ratio is another measure of the effectiveness of a corporation's operations.</w:t>
      </w:r>
      <w:r>
        <w:t xml:space="preserve"> When a corporation wants to understand </w:t>
      </w:r>
      <w:r w:rsidR="00923232">
        <w:t xml:space="preserve">how efficient they are at using their assets </w:t>
      </w:r>
      <w:r w:rsidR="00923232" w:rsidRPr="002A4EAA">
        <w:t>to generate sales revenues</w:t>
      </w:r>
      <w:sdt>
        <w:sdtPr>
          <w:rPr>
            <w:rFonts w:cs="Arial"/>
          </w:rPr>
          <w:id w:val="-132173010"/>
          <w:citation/>
        </w:sdtPr>
        <w:sdtEndPr/>
        <w:sdtContent>
          <w:r w:rsidR="00B20074" w:rsidRPr="00923232">
            <w:rPr>
              <w:rFonts w:cs="Arial"/>
            </w:rPr>
            <w:fldChar w:fldCharType="begin"/>
          </w:r>
          <w:r w:rsidR="00B20074" w:rsidRPr="00923232">
            <w:rPr>
              <w:rFonts w:cs="Arial"/>
            </w:rPr>
            <w:instrText xml:space="preserve"> CITATION Ric10 \l 2057 </w:instrText>
          </w:r>
          <w:r w:rsidR="00B20074" w:rsidRPr="00923232">
            <w:rPr>
              <w:rFonts w:cs="Arial"/>
            </w:rPr>
            <w:fldChar w:fldCharType="separate"/>
          </w:r>
          <w:r w:rsidR="00B20074" w:rsidRPr="00923232">
            <w:rPr>
              <w:rFonts w:cs="Arial"/>
              <w:noProof/>
            </w:rPr>
            <w:t xml:space="preserve"> (Rich, et al., 2010)</w:t>
          </w:r>
          <w:r w:rsidR="00B20074" w:rsidRPr="00923232">
            <w:rPr>
              <w:rFonts w:cs="Arial"/>
            </w:rPr>
            <w:fldChar w:fldCharType="end"/>
          </w:r>
        </w:sdtContent>
      </w:sdt>
      <w:r w:rsidR="00B20074" w:rsidRPr="00923232">
        <w:rPr>
          <w:rFonts w:cs="Arial"/>
        </w:rPr>
        <w:t>.</w:t>
      </w:r>
    </w:p>
    <w:p w14:paraId="56912764" w14:textId="6613BA47" w:rsidR="00B20074" w:rsidRPr="00FB3CC7" w:rsidRDefault="00923232" w:rsidP="00895BBD">
      <w:pPr>
        <w:jc w:val="both"/>
      </w:pPr>
      <w:r w:rsidRPr="00923232">
        <w:t>The asset turnover ratio calculates the sales of assets generated</w:t>
      </w:r>
      <w:r>
        <w:t xml:space="preserve"> </w:t>
      </w:r>
      <w:r w:rsidRPr="00923232">
        <w:t>by each pound and</w:t>
      </w:r>
      <w:r>
        <w:t xml:space="preserve"> is an</w:t>
      </w:r>
      <w:r w:rsidRPr="00923232">
        <w:t xml:space="preserve"> indication of how effective the company is in using assets to generate sales.</w:t>
      </w:r>
      <w:r w:rsidR="00FB3CC7">
        <w:t xml:space="preserve"> Depending on the business type they may no have less assets then others</w:t>
      </w:r>
      <w:sdt>
        <w:sdtPr>
          <w:id w:val="501945009"/>
          <w:citation/>
        </w:sdtPr>
        <w:sdtEndPr/>
        <w:sdtContent>
          <w:r w:rsidR="007C15F2" w:rsidRPr="00923232">
            <w:fldChar w:fldCharType="begin"/>
          </w:r>
          <w:r w:rsidR="007C15F2" w:rsidRPr="00923232">
            <w:instrText xml:space="preserve"> CITATION Ris15 \l 2057 </w:instrText>
          </w:r>
          <w:r w:rsidR="007C15F2" w:rsidRPr="00923232">
            <w:fldChar w:fldCharType="separate"/>
          </w:r>
          <w:r w:rsidR="007C15F2" w:rsidRPr="00923232">
            <w:rPr>
              <w:noProof/>
            </w:rPr>
            <w:t xml:space="preserve"> (Rist &amp; Pizzica, 2015)</w:t>
          </w:r>
          <w:r w:rsidR="007C15F2" w:rsidRPr="00923232">
            <w:fldChar w:fldCharType="end"/>
          </w:r>
        </w:sdtContent>
      </w:sdt>
      <w:r w:rsidR="00B20074" w:rsidRPr="00923232">
        <w:t>.</w:t>
      </w:r>
    </w:p>
    <w:p w14:paraId="6E60A9DA" w14:textId="0C469C53" w:rsidR="00EA708F" w:rsidRDefault="00EA708F" w:rsidP="009A19DC">
      <w:pPr>
        <w:pStyle w:val="Heading2"/>
        <w:rPr>
          <w:lang w:val="en-US"/>
        </w:rPr>
      </w:pPr>
      <w:r w:rsidRPr="00EA708F">
        <w:rPr>
          <w:lang w:val="en-US"/>
        </w:rPr>
        <w:t>Gearing</w:t>
      </w:r>
    </w:p>
    <w:p w14:paraId="21547ED9" w14:textId="7B1DE8B3" w:rsidR="001B1152" w:rsidRDefault="001B1152" w:rsidP="00895BBD">
      <w:pPr>
        <w:jc w:val="both"/>
        <w:rPr>
          <w:color w:val="FF0000"/>
          <w:lang w:val="en-US"/>
        </w:rPr>
      </w:pPr>
      <w:r w:rsidRPr="001B1152">
        <w:rPr>
          <w:lang w:val="en-US"/>
        </w:rPr>
        <w:t>A gearing ratio demonstrates a company's interaction between two distinct types of financing.</w:t>
      </w:r>
      <w:r>
        <w:rPr>
          <w:color w:val="FF0000"/>
          <w:lang w:val="en-US"/>
        </w:rPr>
        <w:t xml:space="preserve"> </w:t>
      </w:r>
      <w:r w:rsidRPr="001B1152">
        <w:rPr>
          <w:lang w:val="en-US"/>
        </w:rPr>
        <w:t>Firstly, funding by equity, example common shares and secondly funding, for example, through long-term loans.</w:t>
      </w:r>
    </w:p>
    <w:p w14:paraId="728F13D7" w14:textId="3F481479" w:rsidR="00E47B9D" w:rsidRPr="00DE7BBB" w:rsidRDefault="00DE7BBB" w:rsidP="00895BBD">
      <w:pPr>
        <w:jc w:val="both"/>
        <w:rPr>
          <w:lang w:val="en-US"/>
        </w:rPr>
      </w:pPr>
      <w:r w:rsidRPr="00DE7BBB">
        <w:rPr>
          <w:lang w:val="en-US"/>
        </w:rPr>
        <w:t>Gearing has great significance for shareholders and potential shareholders</w:t>
      </w:r>
      <w:r w:rsidR="00C338E0">
        <w:rPr>
          <w:lang w:val="en-US"/>
        </w:rPr>
        <w:t xml:space="preserve"> and </w:t>
      </w:r>
      <w:r w:rsidRPr="00DE7BBB">
        <w:rPr>
          <w:lang w:val="en-US"/>
        </w:rPr>
        <w:t>it is a ratio of general importance which is likely to be significant for many interest groups</w:t>
      </w:r>
      <w:sdt>
        <w:sdtPr>
          <w:rPr>
            <w:lang w:val="en-US"/>
          </w:rPr>
          <w:id w:val="-1040515277"/>
          <w:citation/>
        </w:sdtPr>
        <w:sdtEndPr/>
        <w:sdtContent>
          <w:r w:rsidR="00E47B9D" w:rsidRPr="00DE7BBB">
            <w:rPr>
              <w:lang w:val="en-US"/>
            </w:rPr>
            <w:fldChar w:fldCharType="begin"/>
          </w:r>
          <w:r w:rsidR="00E47B9D" w:rsidRPr="00DE7BBB">
            <w:instrText xml:space="preserve"> CITATION Cat11 \l 2057 </w:instrText>
          </w:r>
          <w:r w:rsidR="00E47B9D" w:rsidRPr="00DE7BBB">
            <w:rPr>
              <w:lang w:val="en-US"/>
            </w:rPr>
            <w:fldChar w:fldCharType="separate"/>
          </w:r>
          <w:r w:rsidR="00E47B9D" w:rsidRPr="00DE7BBB">
            <w:rPr>
              <w:noProof/>
            </w:rPr>
            <w:t xml:space="preserve"> (Growthorpe, 2011)</w:t>
          </w:r>
          <w:r w:rsidR="00E47B9D" w:rsidRPr="00DE7BBB">
            <w:rPr>
              <w:lang w:val="en-US"/>
            </w:rPr>
            <w:fldChar w:fldCharType="end"/>
          </w:r>
        </w:sdtContent>
      </w:sdt>
      <w:r w:rsidR="00E47B9D" w:rsidRPr="00DE7BBB">
        <w:rPr>
          <w:lang w:val="en-US"/>
        </w:rPr>
        <w:t>.</w:t>
      </w:r>
    </w:p>
    <w:p w14:paraId="22278D3B" w14:textId="3A2C6AB9" w:rsidR="00E47B9D" w:rsidRPr="00782E65" w:rsidRDefault="003F7C1D" w:rsidP="00895BBD">
      <w:pPr>
        <w:spacing w:line="240" w:lineRule="auto"/>
        <w:jc w:val="both"/>
      </w:pPr>
      <w:r w:rsidRPr="00045627">
        <w:t xml:space="preserve">This ratio </w:t>
      </w:r>
      <w:r w:rsidR="00045627" w:rsidRPr="00045627">
        <w:t xml:space="preserve">is a </w:t>
      </w:r>
      <w:r w:rsidRPr="00045627">
        <w:t>measure</w:t>
      </w:r>
      <w:r w:rsidR="00045627" w:rsidRPr="00045627">
        <w:t xml:space="preserve"> of financial health it shows </w:t>
      </w:r>
      <w:r w:rsidRPr="00045627">
        <w:t xml:space="preserve">how much of the company is financed by its </w:t>
      </w:r>
      <w:r w:rsidR="00045627" w:rsidRPr="00045627">
        <w:t>debt holders opposed to its investors.</w:t>
      </w:r>
      <w:r w:rsidR="00045627">
        <w:t xml:space="preserve"> </w:t>
      </w:r>
      <w:r w:rsidR="00045627" w:rsidRPr="00045627">
        <w:t xml:space="preserve">A large debt ratio will have a very high gearing ratio, and one with a small debt will have a low </w:t>
      </w:r>
      <w:r w:rsidR="00045627" w:rsidRPr="00045627">
        <w:lastRenderedPageBreak/>
        <w:t>gearing ratio</w:t>
      </w:r>
      <w:r w:rsidR="00782E65">
        <w:t xml:space="preserve">. </w:t>
      </w:r>
      <w:r w:rsidR="00045627">
        <w:t>For an investor a</w:t>
      </w:r>
      <w:r w:rsidR="00045627" w:rsidRPr="00045627">
        <w:t xml:space="preserve"> </w:t>
      </w:r>
      <w:r w:rsidR="00782E65" w:rsidRPr="00045627">
        <w:t>compa</w:t>
      </w:r>
      <w:r w:rsidR="00782E65">
        <w:t>ny</w:t>
      </w:r>
      <w:r w:rsidR="00782E65" w:rsidRPr="00045627">
        <w:t xml:space="preserve"> smaller gear ratio</w:t>
      </w:r>
      <w:r w:rsidR="00045627" w:rsidRPr="00045627">
        <w:t xml:space="preserve"> </w:t>
      </w:r>
      <w:r w:rsidR="00782E65" w:rsidRPr="00045627">
        <w:t>is</w:t>
      </w:r>
      <w:r w:rsidR="00045627" w:rsidRPr="00045627">
        <w:t xml:space="preserve"> less volatile than those with higher gearing ratios</w:t>
      </w:r>
      <w:sdt>
        <w:sdtPr>
          <w:id w:val="1152027245"/>
          <w:citation/>
        </w:sdtPr>
        <w:sdtEndPr/>
        <w:sdtContent>
          <w:r w:rsidR="00BB5657" w:rsidRPr="00707A94">
            <w:fldChar w:fldCharType="begin"/>
          </w:r>
          <w:r w:rsidR="00BB5657" w:rsidRPr="00707A94">
            <w:instrText xml:space="preserve"> CITATION Ris15 \l 2057 </w:instrText>
          </w:r>
          <w:r w:rsidR="00BB5657" w:rsidRPr="00707A94">
            <w:fldChar w:fldCharType="separate"/>
          </w:r>
          <w:r w:rsidR="00BB5657" w:rsidRPr="00707A94">
            <w:rPr>
              <w:noProof/>
            </w:rPr>
            <w:t xml:space="preserve"> (Rist &amp; Pizzica, 2015)</w:t>
          </w:r>
          <w:r w:rsidR="00BB5657" w:rsidRPr="00707A94">
            <w:fldChar w:fldCharType="end"/>
          </w:r>
        </w:sdtContent>
      </w:sdt>
      <w:r w:rsidR="00BB5657" w:rsidRPr="00707A94">
        <w:t>.</w:t>
      </w:r>
    </w:p>
    <w:p w14:paraId="22711B88" w14:textId="77777777" w:rsidR="00E47B9D" w:rsidRPr="00E47B9D" w:rsidRDefault="00E47B9D" w:rsidP="00895BBD">
      <w:pPr>
        <w:jc w:val="both"/>
        <w:rPr>
          <w:lang w:val="en-US"/>
        </w:rPr>
      </w:pPr>
    </w:p>
    <w:p w14:paraId="0C7941B7" w14:textId="12F1BE9B" w:rsidR="0030173B" w:rsidRDefault="00960811" w:rsidP="009A19DC">
      <w:pPr>
        <w:pStyle w:val="Heading3"/>
      </w:pPr>
      <w:r>
        <w:t>Debt – Equity – Ratio</w:t>
      </w:r>
    </w:p>
    <w:p w14:paraId="5F29FA74" w14:textId="687A0C2E" w:rsidR="00BB5657" w:rsidRDefault="00BB5657" w:rsidP="00BB5657"/>
    <w:p w14:paraId="018375C9" w14:textId="6029BEE7" w:rsidR="00BB5657" w:rsidRDefault="00BB5657" w:rsidP="00895BBD">
      <w:pPr>
        <w:jc w:val="both"/>
      </w:pPr>
      <w:r>
        <w:t>To evaluate a company’s, leverage the debt-equity-ratio is used.  In corporate finance this is a metric of great signific</w:t>
      </w:r>
      <w:r w:rsidR="00E021E2">
        <w:t xml:space="preserve">ance. </w:t>
      </w:r>
      <w:r w:rsidR="00E021E2" w:rsidRPr="00E021E2">
        <w:t>It is an indicator of how much debt or fully owned assets a company is financing its operations.</w:t>
      </w:r>
      <w:r w:rsidR="00E021E2">
        <w:t xml:space="preserve"> What it</w:t>
      </w:r>
      <w:r w:rsidR="00E021E2" w:rsidRPr="00E021E2">
        <w:t xml:space="preserve"> represents </w:t>
      </w:r>
      <w:r w:rsidR="00E021E2">
        <w:t xml:space="preserve">most </w:t>
      </w:r>
      <w:r w:rsidR="00E021E2" w:rsidRPr="00E021E2">
        <w:t>importantly</w:t>
      </w:r>
      <w:r w:rsidR="00E021E2">
        <w:t xml:space="preserve"> is </w:t>
      </w:r>
      <w:r w:rsidR="00E021E2" w:rsidRPr="00E021E2">
        <w:t>the shareholder equity's ability to cover all outstanding debts in case of a decline in the industry.</w:t>
      </w:r>
      <w:r w:rsidR="00E021E2">
        <w:t xml:space="preserve"> </w:t>
      </w:r>
      <w:r w:rsidR="00E021E2" w:rsidRPr="00E021E2">
        <w:t>The debt-to-equity ratio is calculated by dividing the total liabilities of a firm by the equity of its shareholder</w:t>
      </w:r>
      <w:sdt>
        <w:sdtPr>
          <w:rPr>
            <w:rFonts w:cs="Arial"/>
            <w:color w:val="111111"/>
            <w:szCs w:val="28"/>
            <w:shd w:val="clear" w:color="auto" w:fill="FFFFFF"/>
          </w:rPr>
          <w:id w:val="-1794588499"/>
          <w:citation/>
        </w:sdtPr>
        <w:sdtEndPr/>
        <w:sdtContent>
          <w:r w:rsidRPr="00E021E2">
            <w:rPr>
              <w:rFonts w:cs="Arial"/>
              <w:color w:val="111111"/>
              <w:szCs w:val="28"/>
              <w:shd w:val="clear" w:color="auto" w:fill="FFFFFF"/>
            </w:rPr>
            <w:fldChar w:fldCharType="begin"/>
          </w:r>
          <w:r w:rsidRPr="00E021E2">
            <w:rPr>
              <w:rFonts w:cs="Arial"/>
              <w:color w:val="111111"/>
              <w:szCs w:val="28"/>
              <w:shd w:val="clear" w:color="auto" w:fill="FFFFFF"/>
            </w:rPr>
            <w:instrText xml:space="preserve"> CITATION Ada192 \l 2057 </w:instrText>
          </w:r>
          <w:r w:rsidRPr="00E021E2">
            <w:rPr>
              <w:rFonts w:cs="Arial"/>
              <w:color w:val="111111"/>
              <w:szCs w:val="28"/>
              <w:shd w:val="clear" w:color="auto" w:fill="FFFFFF"/>
            </w:rPr>
            <w:fldChar w:fldCharType="separate"/>
          </w:r>
          <w:r w:rsidRPr="00E021E2">
            <w:rPr>
              <w:rFonts w:cs="Arial"/>
              <w:noProof/>
              <w:color w:val="111111"/>
              <w:szCs w:val="28"/>
              <w:shd w:val="clear" w:color="auto" w:fill="FFFFFF"/>
            </w:rPr>
            <w:t xml:space="preserve"> (Hayes, 2019)</w:t>
          </w:r>
          <w:r w:rsidRPr="00E021E2">
            <w:rPr>
              <w:rFonts w:cs="Arial"/>
              <w:color w:val="111111"/>
              <w:szCs w:val="28"/>
              <w:shd w:val="clear" w:color="auto" w:fill="FFFFFF"/>
            </w:rPr>
            <w:fldChar w:fldCharType="end"/>
          </w:r>
        </w:sdtContent>
      </w:sdt>
      <w:r w:rsidRPr="00E021E2">
        <w:rPr>
          <w:rFonts w:cs="Arial"/>
          <w:color w:val="111111"/>
          <w:szCs w:val="28"/>
          <w:shd w:val="clear" w:color="auto" w:fill="FFFFFF"/>
        </w:rPr>
        <w:t>.</w:t>
      </w:r>
    </w:p>
    <w:p w14:paraId="51E83467" w14:textId="01814CC3" w:rsidR="00132F1B" w:rsidRPr="00132F1B" w:rsidRDefault="006F0A49" w:rsidP="00132F1B">
      <w:pPr>
        <w:pStyle w:val="Heading2"/>
      </w:pPr>
      <w:r>
        <w:t>Trend Analysis</w:t>
      </w:r>
    </w:p>
    <w:p w14:paraId="7FC196FB" w14:textId="11E4A522" w:rsidR="002373CA" w:rsidRPr="00132F1B" w:rsidRDefault="006F0A49" w:rsidP="007A0821">
      <w:pPr>
        <w:pStyle w:val="NormalWeb"/>
        <w:jc w:val="both"/>
        <w:rPr>
          <w:rFonts w:ascii="Arial" w:hAnsi="Arial" w:cs="Arial"/>
          <w:sz w:val="28"/>
          <w:szCs w:val="28"/>
        </w:rPr>
      </w:pPr>
      <w:r w:rsidRPr="00132F1B">
        <w:rPr>
          <w:rFonts w:ascii="Arial" w:hAnsi="Arial" w:cs="Arial"/>
          <w:sz w:val="28"/>
          <w:szCs w:val="28"/>
        </w:rPr>
        <w:t>As a comparison, compar</w:t>
      </w:r>
      <w:r w:rsidR="00132F1B" w:rsidRPr="00132F1B">
        <w:rPr>
          <w:rFonts w:ascii="Arial" w:hAnsi="Arial" w:cs="Arial"/>
          <w:sz w:val="28"/>
          <w:szCs w:val="28"/>
        </w:rPr>
        <w:t>ing</w:t>
      </w:r>
      <w:r w:rsidRPr="00132F1B">
        <w:rPr>
          <w:rFonts w:ascii="Arial" w:hAnsi="Arial" w:cs="Arial"/>
          <w:sz w:val="28"/>
          <w:szCs w:val="28"/>
        </w:rPr>
        <w:t xml:space="preserve"> ratios to </w:t>
      </w:r>
      <w:r w:rsidR="00132F1B" w:rsidRPr="00132F1B">
        <w:rPr>
          <w:rFonts w:ascii="Arial" w:hAnsi="Arial" w:cs="Arial"/>
          <w:sz w:val="28"/>
          <w:szCs w:val="28"/>
        </w:rPr>
        <w:t>on organisations</w:t>
      </w:r>
      <w:r w:rsidRPr="00132F1B">
        <w:rPr>
          <w:rFonts w:ascii="Arial" w:hAnsi="Arial" w:cs="Arial"/>
          <w:sz w:val="28"/>
          <w:szCs w:val="28"/>
        </w:rPr>
        <w:t xml:space="preserve"> own past levels. </w:t>
      </w:r>
      <w:r w:rsidR="00132F1B" w:rsidRPr="00132F1B">
        <w:rPr>
          <w:rFonts w:ascii="Arial" w:hAnsi="Arial" w:cs="Arial"/>
          <w:sz w:val="28"/>
          <w:szCs w:val="28"/>
        </w:rPr>
        <w:t>Analysing trends in ratios as well as their actual rates is significant, as patterns offer hints as to whether the financial situation of a business is likely to improve or deteriorate.</w:t>
      </w:r>
      <w:r w:rsidR="002373CA">
        <w:rPr>
          <w:rFonts w:ascii="Arial" w:hAnsi="Arial" w:cs="Arial"/>
          <w:sz w:val="28"/>
          <w:szCs w:val="28"/>
        </w:rPr>
        <w:t xml:space="preserve"> In</w:t>
      </w:r>
      <w:r w:rsidR="002373CA" w:rsidRPr="002373CA">
        <w:rPr>
          <w:rFonts w:ascii="Arial" w:hAnsi="Arial" w:cs="Arial"/>
          <w:sz w:val="28"/>
          <w:szCs w:val="28"/>
        </w:rPr>
        <w:t xml:space="preserve"> do</w:t>
      </w:r>
      <w:r w:rsidR="002373CA">
        <w:rPr>
          <w:rFonts w:ascii="Arial" w:hAnsi="Arial" w:cs="Arial"/>
          <w:sz w:val="28"/>
          <w:szCs w:val="28"/>
        </w:rPr>
        <w:t>ing</w:t>
      </w:r>
      <w:r w:rsidR="002373CA" w:rsidRPr="002373CA">
        <w:rPr>
          <w:rFonts w:ascii="Arial" w:hAnsi="Arial" w:cs="Arial"/>
          <w:sz w:val="28"/>
          <w:szCs w:val="28"/>
        </w:rPr>
        <w:t xml:space="preserve"> a trend analysis </w:t>
      </w:r>
      <w:r w:rsidR="002373CA">
        <w:rPr>
          <w:rFonts w:ascii="Arial" w:hAnsi="Arial" w:cs="Arial"/>
          <w:sz w:val="28"/>
          <w:szCs w:val="28"/>
        </w:rPr>
        <w:t>the</w:t>
      </w:r>
      <w:r w:rsidR="002373CA" w:rsidRPr="002373CA">
        <w:rPr>
          <w:rFonts w:ascii="Arial" w:hAnsi="Arial" w:cs="Arial"/>
          <w:sz w:val="28"/>
          <w:szCs w:val="28"/>
        </w:rPr>
        <w:t xml:space="preserve"> study can be quite helpful when gaining insight as to why the company acted as it did</w:t>
      </w:r>
      <w:sdt>
        <w:sdtPr>
          <w:rPr>
            <w:rFonts w:ascii="Arial" w:hAnsi="Arial" w:cs="Arial"/>
            <w:sz w:val="28"/>
            <w:szCs w:val="28"/>
          </w:rPr>
          <w:id w:val="-1059481416"/>
          <w:citation/>
        </w:sdtPr>
        <w:sdtEndPr/>
        <w:sdtContent>
          <w:r w:rsidR="002373CA">
            <w:rPr>
              <w:rFonts w:ascii="Arial" w:hAnsi="Arial" w:cs="Arial"/>
              <w:sz w:val="28"/>
              <w:szCs w:val="28"/>
            </w:rPr>
            <w:fldChar w:fldCharType="begin"/>
          </w:r>
          <w:r w:rsidR="002373CA">
            <w:rPr>
              <w:rFonts w:ascii="Arial" w:hAnsi="Arial" w:cs="Arial"/>
              <w:sz w:val="28"/>
              <w:szCs w:val="28"/>
            </w:rPr>
            <w:instrText xml:space="preserve"> CITATION Bri \l 2057 </w:instrText>
          </w:r>
          <w:r w:rsidR="002373CA">
            <w:rPr>
              <w:rFonts w:ascii="Arial" w:hAnsi="Arial" w:cs="Arial"/>
              <w:sz w:val="28"/>
              <w:szCs w:val="28"/>
            </w:rPr>
            <w:fldChar w:fldCharType="separate"/>
          </w:r>
          <w:r w:rsidR="002373CA">
            <w:rPr>
              <w:rFonts w:ascii="Arial" w:hAnsi="Arial" w:cs="Arial"/>
              <w:noProof/>
              <w:sz w:val="28"/>
              <w:szCs w:val="28"/>
            </w:rPr>
            <w:t xml:space="preserve"> </w:t>
          </w:r>
          <w:r w:rsidR="002373CA" w:rsidRPr="002373CA">
            <w:rPr>
              <w:rFonts w:ascii="Arial" w:hAnsi="Arial" w:cs="Arial"/>
              <w:noProof/>
              <w:sz w:val="28"/>
              <w:szCs w:val="28"/>
            </w:rPr>
            <w:t>(Brigham &amp; Houston, 2013)</w:t>
          </w:r>
          <w:r w:rsidR="002373CA">
            <w:rPr>
              <w:rFonts w:ascii="Arial" w:hAnsi="Arial" w:cs="Arial"/>
              <w:sz w:val="28"/>
              <w:szCs w:val="28"/>
            </w:rPr>
            <w:fldChar w:fldCharType="end"/>
          </w:r>
        </w:sdtContent>
      </w:sdt>
      <w:r w:rsidR="002373CA" w:rsidRPr="002373CA">
        <w:rPr>
          <w:rFonts w:ascii="Arial" w:hAnsi="Arial" w:cs="Arial"/>
          <w:sz w:val="28"/>
          <w:szCs w:val="28"/>
        </w:rPr>
        <w:t>.</w:t>
      </w:r>
    </w:p>
    <w:p w14:paraId="405B8895" w14:textId="1B20B5B1" w:rsidR="001755E2" w:rsidRDefault="001755E2" w:rsidP="007A0821">
      <w:pPr>
        <w:pStyle w:val="Heading2"/>
        <w:jc w:val="both"/>
      </w:pPr>
      <w:r>
        <w:t>Limitations of ratios</w:t>
      </w:r>
    </w:p>
    <w:p w14:paraId="50E718D2" w14:textId="4CB0221B" w:rsidR="003B32B8" w:rsidRDefault="003B32B8" w:rsidP="003B32B8"/>
    <w:p w14:paraId="1C193C47" w14:textId="3C4FA8B8" w:rsidR="003B32B8" w:rsidRPr="003B32B8" w:rsidRDefault="003B32B8" w:rsidP="00895BBD">
      <w:pPr>
        <w:jc w:val="both"/>
      </w:pPr>
      <w:r w:rsidRPr="003B32B8">
        <w:t xml:space="preserve">While ratio analysis may provide helpful information regarding the current activities and financial position of an organisation, it does have limitations. </w:t>
      </w:r>
      <w:r>
        <w:t>There are many</w:t>
      </w:r>
      <w:r w:rsidRPr="003B32B8">
        <w:t xml:space="preserve"> companies have departments that work in different sectors; and a reliable collection of market statistics is difficult to create for such businesses. </w:t>
      </w:r>
      <w:r>
        <w:t xml:space="preserve">Consequently, </w:t>
      </w:r>
      <w:r w:rsidR="007A1E49">
        <w:t xml:space="preserve">ratio analysis </w:t>
      </w:r>
      <w:r>
        <w:t xml:space="preserve">it is </w:t>
      </w:r>
      <w:r w:rsidR="007A1E49">
        <w:t xml:space="preserve">not best suited to multidivisional organisations. </w:t>
      </w:r>
      <w:r w:rsidR="00501201" w:rsidRPr="00501201">
        <w:t>Inflation has skewed the book values of several firms ' balance sheets, which at times are different from market prices.</w:t>
      </w:r>
    </w:p>
    <w:p w14:paraId="32A72E76" w14:textId="567DA9C3" w:rsidR="00186B3F" w:rsidRDefault="00186B3F" w:rsidP="00895BBD">
      <w:pPr>
        <w:pStyle w:val="NormalWeb"/>
        <w:jc w:val="both"/>
        <w:rPr>
          <w:rFonts w:ascii="Arial" w:hAnsi="Arial" w:cs="Arial"/>
          <w:sz w:val="28"/>
          <w:szCs w:val="28"/>
        </w:rPr>
      </w:pPr>
      <w:r w:rsidRPr="00186B3F">
        <w:rPr>
          <w:rFonts w:ascii="Arial" w:hAnsi="Arial" w:cs="Arial"/>
          <w:sz w:val="28"/>
          <w:szCs w:val="28"/>
        </w:rPr>
        <w:t>Inflation also impacts stock prices, depreciation fees, value of inventories and therefore earnings.</w:t>
      </w:r>
      <w:r w:rsidR="00485534">
        <w:rPr>
          <w:rFonts w:ascii="Arial" w:hAnsi="Arial" w:cs="Arial"/>
          <w:sz w:val="28"/>
          <w:szCs w:val="28"/>
        </w:rPr>
        <w:t xml:space="preserve"> </w:t>
      </w:r>
      <w:r w:rsidRPr="00186B3F">
        <w:rPr>
          <w:rFonts w:ascii="Arial" w:hAnsi="Arial" w:cs="Arial"/>
          <w:sz w:val="28"/>
          <w:szCs w:val="28"/>
        </w:rPr>
        <w:t xml:space="preserve">Meaning, a ratio analysis must be viewed with caution and discretion </w:t>
      </w:r>
      <w:r>
        <w:rPr>
          <w:rFonts w:ascii="Arial" w:hAnsi="Arial" w:cs="Arial"/>
          <w:sz w:val="28"/>
          <w:szCs w:val="28"/>
        </w:rPr>
        <w:t>when condu</w:t>
      </w:r>
      <w:r w:rsidR="00485534">
        <w:rPr>
          <w:rFonts w:ascii="Arial" w:hAnsi="Arial" w:cs="Arial"/>
          <w:sz w:val="28"/>
          <w:szCs w:val="28"/>
        </w:rPr>
        <w:t xml:space="preserve">cting </w:t>
      </w:r>
      <w:r w:rsidR="00485534" w:rsidRPr="00186B3F">
        <w:rPr>
          <w:rFonts w:ascii="Arial" w:hAnsi="Arial" w:cs="Arial"/>
          <w:sz w:val="28"/>
          <w:szCs w:val="28"/>
        </w:rPr>
        <w:t>comparative analysis</w:t>
      </w:r>
      <w:r w:rsidR="00485534">
        <w:rPr>
          <w:rFonts w:ascii="Arial" w:hAnsi="Arial" w:cs="Arial"/>
          <w:sz w:val="28"/>
          <w:szCs w:val="28"/>
        </w:rPr>
        <w:t>.</w:t>
      </w:r>
    </w:p>
    <w:p w14:paraId="41C931DF" w14:textId="4AA17065" w:rsidR="000B0DD5" w:rsidRPr="000B0DD5" w:rsidRDefault="00485534" w:rsidP="00895BBD">
      <w:pPr>
        <w:pStyle w:val="NormalWeb"/>
        <w:jc w:val="both"/>
        <w:rPr>
          <w:rFonts w:ascii="Arial" w:hAnsi="Arial" w:cs="Arial"/>
          <w:sz w:val="28"/>
          <w:szCs w:val="28"/>
        </w:rPr>
      </w:pPr>
      <w:r>
        <w:rPr>
          <w:rFonts w:ascii="Arial" w:hAnsi="Arial" w:cs="Arial"/>
          <w:sz w:val="28"/>
          <w:szCs w:val="28"/>
        </w:rPr>
        <w:lastRenderedPageBreak/>
        <w:t xml:space="preserve">The different seasons can also affect inventory turnover ratio. </w:t>
      </w:r>
      <w:r w:rsidRPr="00485534">
        <w:rPr>
          <w:rFonts w:ascii="Arial" w:hAnsi="Arial" w:cs="Arial"/>
          <w:sz w:val="28"/>
          <w:szCs w:val="28"/>
        </w:rPr>
        <w:t>If the balance sheet statistic used for production is the one just before winter, fans will be radically different</w:t>
      </w:r>
      <w:r>
        <w:rPr>
          <w:rFonts w:ascii="Arial" w:hAnsi="Arial" w:cs="Arial"/>
          <w:sz w:val="28"/>
          <w:szCs w:val="28"/>
        </w:rPr>
        <w:t xml:space="preserve"> to summer</w:t>
      </w:r>
      <w:r w:rsidRPr="00485534">
        <w:rPr>
          <w:rFonts w:ascii="Arial" w:hAnsi="Arial" w:cs="Arial"/>
          <w:sz w:val="28"/>
          <w:szCs w:val="28"/>
        </w:rPr>
        <w:t>.</w:t>
      </w:r>
      <w:r w:rsidRPr="00485534">
        <w:t xml:space="preserve"> </w:t>
      </w:r>
      <w:r w:rsidRPr="00485534">
        <w:rPr>
          <w:rFonts w:ascii="Arial" w:hAnsi="Arial" w:cs="Arial"/>
          <w:sz w:val="28"/>
          <w:szCs w:val="28"/>
        </w:rPr>
        <w:t xml:space="preserve">This issue can be reduced by estimating turn-over rates using monthly averages for inventory. </w:t>
      </w:r>
      <w:r w:rsidR="000B0DD5" w:rsidRPr="000B0DD5">
        <w:rPr>
          <w:rFonts w:ascii="Arial" w:hAnsi="Arial" w:cs="Arial"/>
          <w:sz w:val="28"/>
          <w:szCs w:val="28"/>
        </w:rPr>
        <w:t xml:space="preserve">Companies may use "window dressing" tactics to boost their financial statements, </w:t>
      </w:r>
      <w:r w:rsidR="000B0DD5">
        <w:rPr>
          <w:rFonts w:ascii="Arial" w:hAnsi="Arial" w:cs="Arial"/>
          <w:sz w:val="28"/>
          <w:szCs w:val="28"/>
        </w:rPr>
        <w:t>it has been known for</w:t>
      </w:r>
      <w:r w:rsidR="000B0DD5" w:rsidRPr="000B0DD5">
        <w:rPr>
          <w:rFonts w:ascii="Arial" w:hAnsi="Arial" w:cs="Arial"/>
          <w:sz w:val="28"/>
          <w:szCs w:val="28"/>
        </w:rPr>
        <w:t xml:space="preserve"> companies </w:t>
      </w:r>
      <w:r w:rsidR="000B0DD5">
        <w:rPr>
          <w:rFonts w:ascii="Arial" w:hAnsi="Arial" w:cs="Arial"/>
          <w:sz w:val="28"/>
          <w:szCs w:val="28"/>
        </w:rPr>
        <w:t>to</w:t>
      </w:r>
      <w:r w:rsidR="000B0DD5" w:rsidRPr="000B0DD5">
        <w:rPr>
          <w:rFonts w:ascii="Arial" w:hAnsi="Arial" w:cs="Arial"/>
          <w:sz w:val="28"/>
          <w:szCs w:val="28"/>
        </w:rPr>
        <w:t xml:space="preserve"> borrow and invest money to boost their apparent size.</w:t>
      </w:r>
    </w:p>
    <w:p w14:paraId="4B9B78AD" w14:textId="1D14B990" w:rsidR="006760B6" w:rsidRDefault="006760B6" w:rsidP="00895BBD">
      <w:pPr>
        <w:pStyle w:val="NormalWeb"/>
        <w:jc w:val="both"/>
        <w:rPr>
          <w:rFonts w:ascii="Arial" w:hAnsi="Arial" w:cs="Arial"/>
          <w:color w:val="FF0000"/>
          <w:sz w:val="28"/>
          <w:szCs w:val="28"/>
        </w:rPr>
      </w:pPr>
      <w:r w:rsidRPr="006760B6">
        <w:rPr>
          <w:rFonts w:ascii="Arial" w:hAnsi="Arial" w:cs="Arial"/>
          <w:sz w:val="28"/>
          <w:szCs w:val="28"/>
        </w:rPr>
        <w:t>Often, because one company rents some of its properties, the depreciation of its assets may be artificially high, because rented assets often do not appear on the balance sheet.</w:t>
      </w:r>
      <w:r w:rsidRPr="006760B6">
        <w:t xml:space="preserve"> </w:t>
      </w:r>
      <w:r w:rsidRPr="006760B6">
        <w:rPr>
          <w:rFonts w:ascii="Arial" w:hAnsi="Arial" w:cs="Arial"/>
          <w:sz w:val="28"/>
          <w:szCs w:val="28"/>
        </w:rPr>
        <w:t>The accounting profession took steps to alleviate this problem, however, it can still generate discrepancies</w:t>
      </w:r>
      <w:r w:rsidRPr="006760B6">
        <w:rPr>
          <w:rFonts w:ascii="Arial" w:hAnsi="Arial" w:cs="Arial"/>
          <w:color w:val="FF0000"/>
          <w:sz w:val="28"/>
          <w:szCs w:val="28"/>
        </w:rPr>
        <w:t>.</w:t>
      </w:r>
    </w:p>
    <w:p w14:paraId="0DD3CA33" w14:textId="7731644C" w:rsidR="006760B6" w:rsidRPr="00895BBD" w:rsidRDefault="006760B6" w:rsidP="00895BBD">
      <w:pPr>
        <w:pStyle w:val="NormalWeb"/>
        <w:jc w:val="both"/>
        <w:rPr>
          <w:rFonts w:ascii="Arial" w:hAnsi="Arial" w:cs="Arial"/>
          <w:sz w:val="28"/>
          <w:szCs w:val="28"/>
        </w:rPr>
      </w:pPr>
      <w:r w:rsidRPr="00895BBD">
        <w:rPr>
          <w:rFonts w:ascii="Arial" w:hAnsi="Arial" w:cs="Arial"/>
          <w:sz w:val="28"/>
          <w:szCs w:val="28"/>
        </w:rPr>
        <w:t>Whether a single ratio is "right" or "wrong" is hard to draw conclusions.</w:t>
      </w:r>
      <w:r w:rsidRPr="00895BBD">
        <w:t xml:space="preserve"> </w:t>
      </w:r>
      <w:r w:rsidRPr="00895BBD">
        <w:rPr>
          <w:rFonts w:ascii="Arial" w:hAnsi="Arial" w:cs="Arial"/>
          <w:sz w:val="28"/>
          <w:szCs w:val="28"/>
        </w:rPr>
        <w:t>Analysis of the ratios performed mechanically and unthinkingly is hazardous</w:t>
      </w:r>
      <w:r w:rsidR="00895BBD" w:rsidRPr="00895BBD">
        <w:rPr>
          <w:rFonts w:ascii="Arial" w:hAnsi="Arial" w:cs="Arial"/>
          <w:sz w:val="28"/>
          <w:szCs w:val="28"/>
        </w:rPr>
        <w:t>;</w:t>
      </w:r>
      <w:r w:rsidR="00895BBD" w:rsidRPr="00895BBD">
        <w:t xml:space="preserve"> </w:t>
      </w:r>
      <w:r w:rsidR="00895BBD" w:rsidRPr="00895BBD">
        <w:rPr>
          <w:rFonts w:ascii="Arial" w:hAnsi="Arial" w:cs="Arial"/>
          <w:sz w:val="28"/>
          <w:szCs w:val="28"/>
        </w:rPr>
        <w:t>But</w:t>
      </w:r>
      <w:r w:rsidR="00895BBD" w:rsidRPr="00895BBD">
        <w:rPr>
          <w:rFonts w:ascii="Arial" w:hAnsi="Arial" w:cs="Arial"/>
          <w:sz w:val="28"/>
          <w:szCs w:val="28"/>
        </w:rPr>
        <w:t>,</w:t>
      </w:r>
      <w:r w:rsidR="00895BBD" w:rsidRPr="00895BBD">
        <w:rPr>
          <w:rFonts w:ascii="Arial" w:hAnsi="Arial" w:cs="Arial"/>
          <w:sz w:val="28"/>
          <w:szCs w:val="28"/>
        </w:rPr>
        <w:t xml:space="preserve"> it can offer useful insights into the activities of businesses using it sensibly and with common sense.</w:t>
      </w:r>
    </w:p>
    <w:p w14:paraId="2DD84C47" w14:textId="0B3674E3" w:rsidR="00653F75" w:rsidRPr="007A0821" w:rsidRDefault="00B03756" w:rsidP="007A0821">
      <w:pPr>
        <w:pStyle w:val="NormalWeb"/>
        <w:jc w:val="both"/>
        <w:rPr>
          <w:rFonts w:ascii="Arial" w:hAnsi="Arial" w:cs="Arial"/>
          <w:color w:val="FF0000"/>
          <w:sz w:val="28"/>
          <w:szCs w:val="28"/>
        </w:rPr>
      </w:pPr>
      <w:r w:rsidRPr="007A0821">
        <w:rPr>
          <w:rFonts w:ascii="Arial" w:hAnsi="Arial" w:cs="Arial"/>
          <w:color w:val="FF0000"/>
          <w:sz w:val="28"/>
          <w:szCs w:val="28"/>
        </w:rPr>
        <w:t xml:space="preserve"> </w:t>
      </w:r>
    </w:p>
    <w:p w14:paraId="0FF317D1" w14:textId="467F2F12" w:rsidR="008C2930" w:rsidRDefault="00276E32" w:rsidP="00DA2F53">
      <w:pPr>
        <w:pStyle w:val="Heading1"/>
        <w:jc w:val="both"/>
      </w:pPr>
      <w:r>
        <w:t xml:space="preserve">Capital Budgeting </w:t>
      </w:r>
    </w:p>
    <w:p w14:paraId="183D99FC" w14:textId="77777777" w:rsidR="00276E32" w:rsidRPr="00276E32" w:rsidRDefault="00276E32" w:rsidP="00DA2F53">
      <w:pPr>
        <w:jc w:val="both"/>
      </w:pPr>
    </w:p>
    <w:p w14:paraId="6194D339" w14:textId="6DF819E3" w:rsidR="000D2E4D" w:rsidRPr="00895BBD" w:rsidRDefault="009F2384" w:rsidP="00DA2F53">
      <w:pPr>
        <w:jc w:val="both"/>
        <w:rPr>
          <w:szCs w:val="28"/>
        </w:rPr>
      </w:pPr>
      <w:r w:rsidRPr="00895BBD">
        <w:rPr>
          <w:szCs w:val="28"/>
        </w:rPr>
        <w:t>When looking at a project a decision of how to fund it has to be made. Very often the project is financed via debt</w:t>
      </w:r>
      <w:r w:rsidR="00AC53FF" w:rsidRPr="00895BBD">
        <w:rPr>
          <w:szCs w:val="28"/>
        </w:rPr>
        <w:t>, w</w:t>
      </w:r>
      <w:r w:rsidRPr="00895BBD">
        <w:rPr>
          <w:szCs w:val="28"/>
        </w:rPr>
        <w:t>hich involves the paying back of the funds</w:t>
      </w:r>
      <w:r w:rsidR="001550BE" w:rsidRPr="00895BBD">
        <w:rPr>
          <w:szCs w:val="28"/>
        </w:rPr>
        <w:t xml:space="preserve"> </w:t>
      </w:r>
      <w:r w:rsidRPr="00895BBD">
        <w:rPr>
          <w:szCs w:val="28"/>
        </w:rPr>
        <w:t>as well as the interest charges.</w:t>
      </w:r>
      <w:r w:rsidR="001550BE" w:rsidRPr="00895BBD">
        <w:rPr>
          <w:szCs w:val="28"/>
        </w:rPr>
        <w:t xml:space="preserve"> Using a combination of investment appraisal techniques an evaluation of the two below projects will made</w:t>
      </w:r>
      <w:r w:rsidR="00AC53FF" w:rsidRPr="00895BBD">
        <w:rPr>
          <w:szCs w:val="28"/>
        </w:rPr>
        <w:t xml:space="preserve"> in order to decide on the best way forward</w:t>
      </w:r>
      <w:r w:rsidR="001550BE" w:rsidRPr="00895BBD">
        <w:rPr>
          <w:szCs w:val="28"/>
        </w:rPr>
        <w:t xml:space="preserve">. </w:t>
      </w:r>
    </w:p>
    <w:tbl>
      <w:tblPr>
        <w:tblW w:w="2880" w:type="dxa"/>
        <w:tblLook w:val="04A0" w:firstRow="1" w:lastRow="0" w:firstColumn="1" w:lastColumn="0" w:noHBand="0" w:noVBand="1"/>
      </w:tblPr>
      <w:tblGrid>
        <w:gridCol w:w="960"/>
        <w:gridCol w:w="960"/>
        <w:gridCol w:w="960"/>
      </w:tblGrid>
      <w:tr w:rsidR="001550BE" w:rsidRPr="00D11F9C" w14:paraId="72D08883" w14:textId="77777777" w:rsidTr="003B25E1">
        <w:trPr>
          <w:trHeight w:val="315"/>
        </w:trPr>
        <w:tc>
          <w:tcPr>
            <w:tcW w:w="960" w:type="dxa"/>
            <w:tcBorders>
              <w:top w:val="single" w:sz="8" w:space="0" w:color="auto"/>
              <w:left w:val="single" w:sz="8" w:space="0" w:color="auto"/>
              <w:bottom w:val="single" w:sz="8" w:space="0" w:color="auto"/>
              <w:right w:val="single" w:sz="4" w:space="0" w:color="auto"/>
            </w:tcBorders>
            <w:shd w:val="clear" w:color="000000" w:fill="BFBFBF"/>
            <w:noWrap/>
            <w:vAlign w:val="bottom"/>
            <w:hideMark/>
          </w:tcPr>
          <w:p w14:paraId="4CF44781"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Years</w:t>
            </w:r>
          </w:p>
        </w:tc>
        <w:tc>
          <w:tcPr>
            <w:tcW w:w="960" w:type="dxa"/>
            <w:tcBorders>
              <w:top w:val="single" w:sz="8" w:space="0" w:color="auto"/>
              <w:left w:val="nil"/>
              <w:bottom w:val="single" w:sz="8" w:space="0" w:color="auto"/>
              <w:right w:val="single" w:sz="4" w:space="0" w:color="auto"/>
            </w:tcBorders>
            <w:shd w:val="clear" w:color="000000" w:fill="BFBFBF"/>
            <w:noWrap/>
            <w:vAlign w:val="bottom"/>
            <w:hideMark/>
          </w:tcPr>
          <w:p w14:paraId="5267F8CD"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Project A</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14:paraId="79C0C19C"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Project B</w:t>
            </w:r>
          </w:p>
        </w:tc>
      </w:tr>
      <w:tr w:rsidR="001550BE" w:rsidRPr="00D11F9C" w14:paraId="09FA6311" w14:textId="77777777" w:rsidTr="003B25E1">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511F9C2"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DA75E2B"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-103</w:t>
            </w:r>
          </w:p>
        </w:tc>
        <w:tc>
          <w:tcPr>
            <w:tcW w:w="960" w:type="dxa"/>
            <w:tcBorders>
              <w:top w:val="nil"/>
              <w:left w:val="nil"/>
              <w:bottom w:val="single" w:sz="4" w:space="0" w:color="auto"/>
              <w:right w:val="single" w:sz="8" w:space="0" w:color="auto"/>
            </w:tcBorders>
            <w:shd w:val="clear" w:color="auto" w:fill="auto"/>
            <w:noWrap/>
            <w:vAlign w:val="bottom"/>
            <w:hideMark/>
          </w:tcPr>
          <w:p w14:paraId="78D47787"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-115</w:t>
            </w:r>
          </w:p>
        </w:tc>
      </w:tr>
      <w:tr w:rsidR="001550BE" w:rsidRPr="00D11F9C" w14:paraId="3D3722DF" w14:textId="77777777" w:rsidTr="003B25E1">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5B741BD"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261E333"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10</w:t>
            </w:r>
          </w:p>
        </w:tc>
        <w:tc>
          <w:tcPr>
            <w:tcW w:w="960" w:type="dxa"/>
            <w:tcBorders>
              <w:top w:val="nil"/>
              <w:left w:val="nil"/>
              <w:bottom w:val="single" w:sz="4" w:space="0" w:color="auto"/>
              <w:right w:val="single" w:sz="8" w:space="0" w:color="auto"/>
            </w:tcBorders>
            <w:shd w:val="clear" w:color="auto" w:fill="auto"/>
            <w:noWrap/>
            <w:vAlign w:val="bottom"/>
            <w:hideMark/>
          </w:tcPr>
          <w:p w14:paraId="4055F8D0"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60</w:t>
            </w:r>
          </w:p>
        </w:tc>
      </w:tr>
      <w:tr w:rsidR="001550BE" w:rsidRPr="00D11F9C" w14:paraId="33652ACD" w14:textId="77777777" w:rsidTr="003B25E1">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741A0A7"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BBCDFC3"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30</w:t>
            </w:r>
          </w:p>
        </w:tc>
        <w:tc>
          <w:tcPr>
            <w:tcW w:w="960" w:type="dxa"/>
            <w:tcBorders>
              <w:top w:val="nil"/>
              <w:left w:val="nil"/>
              <w:bottom w:val="single" w:sz="4" w:space="0" w:color="auto"/>
              <w:right w:val="single" w:sz="8" w:space="0" w:color="auto"/>
            </w:tcBorders>
            <w:shd w:val="clear" w:color="auto" w:fill="auto"/>
            <w:noWrap/>
            <w:vAlign w:val="bottom"/>
            <w:hideMark/>
          </w:tcPr>
          <w:p w14:paraId="17E1256B"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40</w:t>
            </w:r>
          </w:p>
        </w:tc>
      </w:tr>
      <w:tr w:rsidR="001550BE" w:rsidRPr="00D11F9C" w14:paraId="197088D1" w14:textId="77777777" w:rsidTr="003B25E1">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4B27C567"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4FCCCC78"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50</w:t>
            </w:r>
          </w:p>
        </w:tc>
        <w:tc>
          <w:tcPr>
            <w:tcW w:w="960" w:type="dxa"/>
            <w:tcBorders>
              <w:top w:val="nil"/>
              <w:left w:val="nil"/>
              <w:bottom w:val="single" w:sz="4" w:space="0" w:color="auto"/>
              <w:right w:val="single" w:sz="8" w:space="0" w:color="auto"/>
            </w:tcBorders>
            <w:shd w:val="clear" w:color="auto" w:fill="auto"/>
            <w:noWrap/>
            <w:vAlign w:val="bottom"/>
            <w:hideMark/>
          </w:tcPr>
          <w:p w14:paraId="7ECCFF71"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60</w:t>
            </w:r>
          </w:p>
        </w:tc>
      </w:tr>
      <w:tr w:rsidR="001550BE" w:rsidRPr="00D11F9C" w14:paraId="70D62C79" w14:textId="77777777" w:rsidTr="003B25E1">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D3D69A9"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80B208F"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65</w:t>
            </w:r>
          </w:p>
        </w:tc>
        <w:tc>
          <w:tcPr>
            <w:tcW w:w="960" w:type="dxa"/>
            <w:tcBorders>
              <w:top w:val="nil"/>
              <w:left w:val="nil"/>
              <w:bottom w:val="single" w:sz="4" w:space="0" w:color="auto"/>
              <w:right w:val="single" w:sz="8" w:space="0" w:color="auto"/>
            </w:tcBorders>
            <w:shd w:val="clear" w:color="auto" w:fill="auto"/>
            <w:noWrap/>
            <w:vAlign w:val="bottom"/>
            <w:hideMark/>
          </w:tcPr>
          <w:p w14:paraId="2DECCF37"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5</w:t>
            </w:r>
          </w:p>
        </w:tc>
      </w:tr>
      <w:tr w:rsidR="001550BE" w:rsidRPr="00D11F9C" w14:paraId="5C739397" w14:textId="77777777" w:rsidTr="003B25E1">
        <w:trPr>
          <w:trHeight w:val="315"/>
        </w:trPr>
        <w:tc>
          <w:tcPr>
            <w:tcW w:w="960" w:type="dxa"/>
            <w:tcBorders>
              <w:top w:val="nil"/>
              <w:left w:val="single" w:sz="8" w:space="0" w:color="auto"/>
              <w:bottom w:val="single" w:sz="8" w:space="0" w:color="auto"/>
              <w:right w:val="single" w:sz="4" w:space="0" w:color="auto"/>
            </w:tcBorders>
            <w:shd w:val="clear" w:color="auto" w:fill="auto"/>
            <w:noWrap/>
            <w:vAlign w:val="bottom"/>
            <w:hideMark/>
          </w:tcPr>
          <w:p w14:paraId="63750056"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PBP</w:t>
            </w:r>
          </w:p>
        </w:tc>
        <w:tc>
          <w:tcPr>
            <w:tcW w:w="960" w:type="dxa"/>
            <w:tcBorders>
              <w:top w:val="nil"/>
              <w:left w:val="nil"/>
              <w:bottom w:val="single" w:sz="8" w:space="0" w:color="auto"/>
              <w:right w:val="single" w:sz="4" w:space="0" w:color="auto"/>
            </w:tcBorders>
            <w:shd w:val="clear" w:color="auto" w:fill="auto"/>
            <w:noWrap/>
            <w:vAlign w:val="bottom"/>
            <w:hideMark/>
          </w:tcPr>
          <w:p w14:paraId="1A9AD01E"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3.2</w:t>
            </w:r>
          </w:p>
        </w:tc>
        <w:tc>
          <w:tcPr>
            <w:tcW w:w="960" w:type="dxa"/>
            <w:tcBorders>
              <w:top w:val="nil"/>
              <w:left w:val="nil"/>
              <w:bottom w:val="single" w:sz="8" w:space="0" w:color="auto"/>
              <w:right w:val="single" w:sz="8" w:space="0" w:color="auto"/>
            </w:tcBorders>
            <w:shd w:val="clear" w:color="auto" w:fill="auto"/>
            <w:noWrap/>
            <w:vAlign w:val="bottom"/>
            <w:hideMark/>
          </w:tcPr>
          <w:p w14:paraId="402EBF74" w14:textId="77777777" w:rsidR="001550BE" w:rsidRPr="00D11F9C" w:rsidRDefault="001550BE" w:rsidP="00DA2F53">
            <w:pPr>
              <w:spacing w:after="0" w:line="240" w:lineRule="auto"/>
              <w:jc w:val="both"/>
              <w:rPr>
                <w:rFonts w:ascii="Calibri" w:eastAsia="Times New Roman" w:hAnsi="Calibri" w:cs="Calibri"/>
                <w:color w:val="000000"/>
                <w:sz w:val="22"/>
                <w:lang w:eastAsia="en-GB"/>
              </w:rPr>
            </w:pPr>
            <w:r w:rsidRPr="00D11F9C">
              <w:rPr>
                <w:rFonts w:ascii="Calibri" w:eastAsia="Times New Roman" w:hAnsi="Calibri" w:cs="Calibri"/>
                <w:color w:val="000000"/>
                <w:sz w:val="22"/>
                <w:lang w:eastAsia="en-GB"/>
              </w:rPr>
              <w:t>2.25</w:t>
            </w:r>
          </w:p>
        </w:tc>
      </w:tr>
    </w:tbl>
    <w:p w14:paraId="5F76003F" w14:textId="77777777" w:rsidR="001550BE" w:rsidRPr="009F2384" w:rsidRDefault="001550BE" w:rsidP="00DA2F53">
      <w:pPr>
        <w:jc w:val="both"/>
        <w:rPr>
          <w:sz w:val="24"/>
          <w:szCs w:val="24"/>
        </w:rPr>
      </w:pPr>
    </w:p>
    <w:p w14:paraId="60E64667" w14:textId="7A78B3FB" w:rsidR="00296FAF" w:rsidRDefault="000D2E4D" w:rsidP="00DA2F53">
      <w:pPr>
        <w:pStyle w:val="Heading2"/>
        <w:jc w:val="both"/>
      </w:pPr>
      <w:r w:rsidRPr="000D2E4D">
        <w:t xml:space="preserve">Payback period </w:t>
      </w:r>
    </w:p>
    <w:p w14:paraId="039DA07E" w14:textId="77777777" w:rsidR="00895BBD" w:rsidRPr="00895BBD" w:rsidRDefault="00895BBD" w:rsidP="00895BBD"/>
    <w:p w14:paraId="0EC82667" w14:textId="0B53CAC3" w:rsidR="00D11F9C" w:rsidRPr="00895BBD" w:rsidRDefault="00D11F9C" w:rsidP="00DA2F53">
      <w:pPr>
        <w:pStyle w:val="NormalWeb"/>
        <w:spacing w:before="0" w:beforeAutospacing="0" w:after="240" w:afterAutospacing="0"/>
        <w:jc w:val="both"/>
        <w:rPr>
          <w:rFonts w:ascii="Arial" w:eastAsiaTheme="minorHAnsi" w:hAnsi="Arial" w:cs="Arial"/>
          <w:sz w:val="28"/>
          <w:szCs w:val="28"/>
          <w:lang w:eastAsia="en-US"/>
        </w:rPr>
      </w:pPr>
      <w:r w:rsidRPr="00895BBD">
        <w:rPr>
          <w:rFonts w:ascii="Arial" w:eastAsiaTheme="minorHAnsi" w:hAnsi="Arial" w:cs="Arial"/>
          <w:sz w:val="28"/>
          <w:szCs w:val="28"/>
          <w:lang w:eastAsia="en-US"/>
        </w:rPr>
        <w:lastRenderedPageBreak/>
        <w:t>The payback period is the time when an investment's upfront cost is predicted to be retrieved through the cash inflows generated by the investment.</w:t>
      </w:r>
      <w:r w:rsidRPr="00895BBD">
        <w:rPr>
          <w:rFonts w:ascii="Arial" w:hAnsi="Arial" w:cs="Arial"/>
          <w:sz w:val="28"/>
          <w:szCs w:val="28"/>
        </w:rPr>
        <w:t xml:space="preserve"> </w:t>
      </w:r>
      <w:r w:rsidRPr="00895BBD">
        <w:rPr>
          <w:rFonts w:ascii="Arial" w:eastAsiaTheme="minorHAnsi" w:hAnsi="Arial" w:cs="Arial"/>
          <w:sz w:val="28"/>
          <w:szCs w:val="28"/>
          <w:lang w:eastAsia="en-US"/>
        </w:rPr>
        <w:t>It is one of the easiest methods for evaluating resources.</w:t>
      </w:r>
    </w:p>
    <w:p w14:paraId="7A980388" w14:textId="7CDD91AB" w:rsidR="006B2B10" w:rsidRPr="00895BBD" w:rsidRDefault="006B2B10" w:rsidP="00DA2F53">
      <w:pPr>
        <w:pStyle w:val="NormalWeb"/>
        <w:spacing w:before="0" w:beforeAutospacing="0" w:after="240" w:afterAutospacing="0"/>
        <w:jc w:val="both"/>
        <w:rPr>
          <w:rFonts w:ascii="Arial" w:hAnsi="Arial" w:cs="Arial"/>
          <w:color w:val="FF0000"/>
          <w:sz w:val="28"/>
          <w:szCs w:val="28"/>
        </w:rPr>
      </w:pPr>
      <w:r w:rsidRPr="00895BBD">
        <w:rPr>
          <w:rFonts w:ascii="Arial" w:hAnsi="Arial" w:cs="Arial"/>
          <w:sz w:val="28"/>
          <w:szCs w:val="28"/>
        </w:rPr>
        <w:t>While cash flow projections are generally accura</w:t>
      </w:r>
      <w:r w:rsidR="00033F0D" w:rsidRPr="00895BBD">
        <w:rPr>
          <w:rFonts w:ascii="Arial" w:hAnsi="Arial" w:cs="Arial"/>
          <w:sz w:val="28"/>
          <w:szCs w:val="28"/>
        </w:rPr>
        <w:t xml:space="preserve">te for short term intervals </w:t>
      </w:r>
      <w:r w:rsidRPr="00895BBD">
        <w:rPr>
          <w:rFonts w:ascii="Arial" w:hAnsi="Arial" w:cs="Arial"/>
          <w:sz w:val="28"/>
          <w:szCs w:val="28"/>
        </w:rPr>
        <w:t>they can be relatively volatile for projections of the distant future due to economic and operating uncertainty, payback period is an indication of the risk involved in a project as it takes into account initial inflows and excludes the cash flows after the turnaround stage</w:t>
      </w:r>
      <w:r w:rsidRPr="00895BBD">
        <w:rPr>
          <w:rFonts w:ascii="Arial" w:hAnsi="Arial" w:cs="Arial"/>
          <w:color w:val="FF0000"/>
          <w:sz w:val="28"/>
          <w:szCs w:val="28"/>
        </w:rPr>
        <w:t>.</w:t>
      </w:r>
    </w:p>
    <w:p w14:paraId="46786220" w14:textId="32321764" w:rsidR="0031168A" w:rsidRPr="00895BBD" w:rsidRDefault="00033F0D" w:rsidP="00DA2F53">
      <w:pPr>
        <w:pStyle w:val="NormalWeb"/>
        <w:spacing w:before="0" w:beforeAutospacing="0" w:after="240" w:afterAutospacing="0"/>
        <w:jc w:val="both"/>
        <w:rPr>
          <w:rFonts w:ascii="Arial" w:hAnsi="Arial" w:cs="Arial"/>
          <w:sz w:val="28"/>
          <w:szCs w:val="28"/>
        </w:rPr>
      </w:pPr>
      <w:r w:rsidRPr="00895BBD">
        <w:rPr>
          <w:rFonts w:ascii="Arial" w:hAnsi="Arial" w:cs="Arial"/>
          <w:sz w:val="28"/>
          <w:szCs w:val="28"/>
        </w:rPr>
        <w:t xml:space="preserve">The decision made on </w:t>
      </w:r>
      <w:r w:rsidR="001B482A" w:rsidRPr="00895BBD">
        <w:rPr>
          <w:rFonts w:ascii="Arial" w:hAnsi="Arial" w:cs="Arial"/>
          <w:sz w:val="28"/>
          <w:szCs w:val="28"/>
        </w:rPr>
        <w:t>payback period for</w:t>
      </w:r>
      <w:r w:rsidR="0031168A" w:rsidRPr="00895BBD">
        <w:rPr>
          <w:rFonts w:ascii="Arial" w:hAnsi="Arial" w:cs="Arial"/>
          <w:sz w:val="28"/>
          <w:szCs w:val="28"/>
        </w:rPr>
        <w:t xml:space="preserve"> project</w:t>
      </w:r>
      <w:r w:rsidR="001B482A" w:rsidRPr="00895BBD">
        <w:rPr>
          <w:rFonts w:ascii="Arial" w:hAnsi="Arial" w:cs="Arial"/>
          <w:sz w:val="28"/>
          <w:szCs w:val="28"/>
        </w:rPr>
        <w:t>s</w:t>
      </w:r>
      <w:r w:rsidR="00CA6F49" w:rsidRPr="00895BBD">
        <w:rPr>
          <w:rFonts w:ascii="Arial" w:hAnsi="Arial" w:cs="Arial"/>
          <w:sz w:val="28"/>
          <w:szCs w:val="28"/>
        </w:rPr>
        <w:t xml:space="preserve"> (PBP)</w:t>
      </w:r>
      <w:r w:rsidR="001B482A" w:rsidRPr="00895BBD">
        <w:rPr>
          <w:rFonts w:ascii="Arial" w:hAnsi="Arial" w:cs="Arial"/>
          <w:sz w:val="28"/>
          <w:szCs w:val="28"/>
        </w:rPr>
        <w:t xml:space="preserve"> generally have the rule that </w:t>
      </w:r>
      <w:r w:rsidR="0031168A" w:rsidRPr="00895BBD">
        <w:rPr>
          <w:rFonts w:ascii="Arial" w:hAnsi="Arial" w:cs="Arial"/>
          <w:sz w:val="28"/>
          <w:szCs w:val="28"/>
        </w:rPr>
        <w:t>the</w:t>
      </w:r>
      <w:r w:rsidR="00E97AF3" w:rsidRPr="00895BBD">
        <w:rPr>
          <w:rFonts w:ascii="Arial" w:hAnsi="Arial" w:cs="Arial"/>
          <w:sz w:val="28"/>
          <w:szCs w:val="28"/>
        </w:rPr>
        <w:t xml:space="preserve"> longer the repayment the</w:t>
      </w:r>
      <w:r w:rsidR="0031168A" w:rsidRPr="00895BBD">
        <w:rPr>
          <w:rFonts w:ascii="Arial" w:hAnsi="Arial" w:cs="Arial"/>
          <w:sz w:val="28"/>
          <w:szCs w:val="28"/>
        </w:rPr>
        <w:t xml:space="preserve"> higher the risk. </w:t>
      </w:r>
      <w:r w:rsidR="00E97AF3" w:rsidRPr="00895BBD">
        <w:rPr>
          <w:rFonts w:ascii="Arial" w:hAnsi="Arial" w:cs="Arial"/>
          <w:sz w:val="28"/>
          <w:szCs w:val="28"/>
        </w:rPr>
        <w:t xml:space="preserve">When projects have comparable return rates it is best invest in the project with the quickest </w:t>
      </w:r>
      <w:r w:rsidR="00CA6F49" w:rsidRPr="00895BBD">
        <w:rPr>
          <w:rFonts w:ascii="Arial" w:hAnsi="Arial" w:cs="Arial"/>
          <w:sz w:val="28"/>
          <w:szCs w:val="28"/>
        </w:rPr>
        <w:t>PBP</w:t>
      </w:r>
      <w:r w:rsidR="00E97AF3" w:rsidRPr="00895BBD">
        <w:rPr>
          <w:rFonts w:ascii="Arial" w:hAnsi="Arial" w:cs="Arial"/>
          <w:sz w:val="28"/>
          <w:szCs w:val="28"/>
        </w:rPr>
        <w:t xml:space="preserve">.  </w:t>
      </w:r>
    </w:p>
    <w:p w14:paraId="67B5172D" w14:textId="1BD59CA8" w:rsidR="00E7661E" w:rsidRPr="00895BBD" w:rsidRDefault="00E7661E" w:rsidP="00DA2F53">
      <w:pPr>
        <w:pStyle w:val="NormalWeb"/>
        <w:spacing w:before="0" w:beforeAutospacing="0" w:after="240" w:afterAutospacing="0"/>
        <w:jc w:val="both"/>
        <w:rPr>
          <w:rFonts w:ascii="Arial" w:hAnsi="Arial" w:cs="Arial"/>
          <w:color w:val="FF0000"/>
          <w:sz w:val="28"/>
          <w:szCs w:val="28"/>
        </w:rPr>
      </w:pPr>
      <w:r w:rsidRPr="00895BBD">
        <w:rPr>
          <w:rFonts w:ascii="Arial" w:hAnsi="Arial" w:cs="Arial"/>
          <w:sz w:val="28"/>
          <w:szCs w:val="28"/>
        </w:rPr>
        <w:t xml:space="preserve">A decision based on </w:t>
      </w:r>
      <w:r w:rsidR="00CA6F49" w:rsidRPr="00895BBD">
        <w:rPr>
          <w:rFonts w:ascii="Arial" w:hAnsi="Arial" w:cs="Arial"/>
          <w:sz w:val="28"/>
          <w:szCs w:val="28"/>
        </w:rPr>
        <w:t>PBP</w:t>
      </w:r>
      <w:r w:rsidRPr="00895BBD">
        <w:rPr>
          <w:rFonts w:ascii="Arial" w:hAnsi="Arial" w:cs="Arial"/>
          <w:sz w:val="28"/>
          <w:szCs w:val="28"/>
        </w:rPr>
        <w:t xml:space="preserve"> is pretty complex when determining if to invest in a project, when comparing projects with varying returns.</w:t>
      </w:r>
      <w:r w:rsidRPr="00895BBD">
        <w:rPr>
          <w:rFonts w:ascii="Arial" w:hAnsi="Arial" w:cs="Arial"/>
          <w:color w:val="FF0000"/>
          <w:sz w:val="28"/>
          <w:szCs w:val="28"/>
        </w:rPr>
        <w:t xml:space="preserve"> </w:t>
      </w:r>
      <w:r w:rsidRPr="00895BBD">
        <w:rPr>
          <w:rFonts w:ascii="Arial" w:hAnsi="Arial" w:cs="Arial"/>
          <w:sz w:val="28"/>
          <w:szCs w:val="28"/>
        </w:rPr>
        <w:t xml:space="preserve">The decision whether to approve or dismiss a project based on its </w:t>
      </w:r>
      <w:r w:rsidR="00CA6F49" w:rsidRPr="00895BBD">
        <w:rPr>
          <w:rFonts w:ascii="Arial" w:hAnsi="Arial" w:cs="Arial"/>
          <w:sz w:val="28"/>
          <w:szCs w:val="28"/>
        </w:rPr>
        <w:t>PBP</w:t>
      </w:r>
      <w:r w:rsidRPr="00895BBD">
        <w:rPr>
          <w:rFonts w:ascii="Arial" w:hAnsi="Arial" w:cs="Arial"/>
          <w:sz w:val="28"/>
          <w:szCs w:val="28"/>
        </w:rPr>
        <w:t xml:space="preserve"> lies on the management's risk aversion. </w:t>
      </w:r>
    </w:p>
    <w:p w14:paraId="29A50FFE" w14:textId="00AA8184" w:rsidR="002A0810" w:rsidRPr="00895BBD" w:rsidRDefault="0031168A" w:rsidP="00DA2F53">
      <w:pPr>
        <w:pStyle w:val="NormalWeb"/>
        <w:spacing w:before="0" w:beforeAutospacing="0" w:after="240" w:afterAutospacing="0"/>
        <w:jc w:val="both"/>
        <w:rPr>
          <w:rFonts w:ascii="Arial" w:hAnsi="Arial" w:cs="Arial"/>
          <w:sz w:val="28"/>
          <w:szCs w:val="28"/>
        </w:rPr>
      </w:pPr>
      <w:r w:rsidRPr="00895BBD">
        <w:rPr>
          <w:rFonts w:ascii="Arial" w:hAnsi="Arial" w:cs="Arial"/>
          <w:sz w:val="28"/>
          <w:szCs w:val="28"/>
        </w:rPr>
        <w:t>A</w:t>
      </w:r>
      <w:r w:rsidR="002A0810" w:rsidRPr="00895BBD">
        <w:rPr>
          <w:rFonts w:ascii="Arial" w:hAnsi="Arial" w:cs="Arial"/>
          <w:sz w:val="28"/>
          <w:szCs w:val="28"/>
        </w:rPr>
        <w:t xml:space="preserve">dvantages of </w:t>
      </w:r>
      <w:r w:rsidR="00CA6F49" w:rsidRPr="00895BBD">
        <w:rPr>
          <w:rFonts w:ascii="Arial" w:hAnsi="Arial" w:cs="Arial"/>
          <w:sz w:val="28"/>
          <w:szCs w:val="28"/>
        </w:rPr>
        <w:t>PBP</w:t>
      </w:r>
      <w:r w:rsidR="002A0810" w:rsidRPr="00895BBD">
        <w:rPr>
          <w:rFonts w:ascii="Arial" w:hAnsi="Arial" w:cs="Arial"/>
          <w:sz w:val="28"/>
          <w:szCs w:val="28"/>
        </w:rPr>
        <w:t xml:space="preserve"> is a good tool to use as it is very easy to calculate</w:t>
      </w:r>
      <w:r w:rsidR="00CB5470" w:rsidRPr="00895BBD">
        <w:rPr>
          <w:rFonts w:ascii="Arial" w:hAnsi="Arial" w:cs="Arial"/>
          <w:sz w:val="28"/>
          <w:szCs w:val="28"/>
        </w:rPr>
        <w:t xml:space="preserve">. Projects with a shorter PBP typically have more beneficial effects on profits in the immediate future. </w:t>
      </w:r>
      <w:r w:rsidR="00035A89" w:rsidRPr="00895BBD">
        <w:rPr>
          <w:rFonts w:ascii="Arial" w:hAnsi="Arial" w:cs="Arial"/>
          <w:sz w:val="28"/>
          <w:szCs w:val="28"/>
        </w:rPr>
        <w:t>If a corporation is low on funds, it may favour using the payback process, as it allows a quicker return of funds</w:t>
      </w:r>
      <w:sdt>
        <w:sdtPr>
          <w:rPr>
            <w:rFonts w:ascii="Arial" w:hAnsi="Arial" w:cs="Arial"/>
            <w:sz w:val="28"/>
            <w:szCs w:val="28"/>
          </w:rPr>
          <w:id w:val="1019201663"/>
          <w:citation/>
        </w:sdtPr>
        <w:sdtEndPr/>
        <w:sdtContent>
          <w:r w:rsidR="00035A89" w:rsidRPr="00895BBD">
            <w:rPr>
              <w:rFonts w:ascii="Arial" w:hAnsi="Arial" w:cs="Arial"/>
              <w:sz w:val="28"/>
              <w:szCs w:val="28"/>
            </w:rPr>
            <w:fldChar w:fldCharType="begin"/>
          </w:r>
          <w:r w:rsidR="00035A89" w:rsidRPr="00895BBD">
            <w:rPr>
              <w:rFonts w:ascii="Arial" w:hAnsi="Arial" w:cs="Arial"/>
              <w:sz w:val="28"/>
              <w:szCs w:val="28"/>
            </w:rPr>
            <w:instrText xml:space="preserve"> CITATION Kur17 \l 2057 </w:instrText>
          </w:r>
          <w:r w:rsidR="00035A89" w:rsidRPr="00895BBD">
            <w:rPr>
              <w:rFonts w:ascii="Arial" w:hAnsi="Arial" w:cs="Arial"/>
              <w:sz w:val="28"/>
              <w:szCs w:val="28"/>
            </w:rPr>
            <w:fldChar w:fldCharType="separate"/>
          </w:r>
          <w:r w:rsidR="00035A89" w:rsidRPr="00895BBD">
            <w:rPr>
              <w:rFonts w:ascii="Arial" w:hAnsi="Arial" w:cs="Arial"/>
              <w:noProof/>
              <w:sz w:val="28"/>
              <w:szCs w:val="28"/>
            </w:rPr>
            <w:t xml:space="preserve"> (Kuratko, 2017)</w:t>
          </w:r>
          <w:r w:rsidR="00035A89" w:rsidRPr="00895BBD">
            <w:rPr>
              <w:rFonts w:ascii="Arial" w:hAnsi="Arial" w:cs="Arial"/>
              <w:sz w:val="28"/>
              <w:szCs w:val="28"/>
            </w:rPr>
            <w:fldChar w:fldCharType="end"/>
          </w:r>
        </w:sdtContent>
      </w:sdt>
      <w:r w:rsidR="00035A89" w:rsidRPr="00895BBD">
        <w:rPr>
          <w:rFonts w:ascii="Arial" w:hAnsi="Arial" w:cs="Arial"/>
          <w:sz w:val="28"/>
          <w:szCs w:val="28"/>
        </w:rPr>
        <w:t xml:space="preserve">. </w:t>
      </w:r>
      <w:r w:rsidR="002A0810" w:rsidRPr="00895BBD">
        <w:rPr>
          <w:rFonts w:ascii="Arial" w:hAnsi="Arial" w:cs="Arial"/>
          <w:sz w:val="28"/>
          <w:szCs w:val="28"/>
        </w:rPr>
        <w:t xml:space="preserve"> </w:t>
      </w:r>
    </w:p>
    <w:p w14:paraId="564F4C57" w14:textId="137C540F" w:rsidR="007C6333" w:rsidRPr="00895BBD" w:rsidRDefault="00035A89" w:rsidP="00DA2F53">
      <w:pPr>
        <w:pStyle w:val="NormalWeb"/>
        <w:spacing w:before="0" w:beforeAutospacing="0" w:after="240" w:afterAutospacing="0"/>
        <w:jc w:val="both"/>
        <w:rPr>
          <w:rFonts w:ascii="Arial" w:hAnsi="Arial" w:cs="Arial"/>
          <w:sz w:val="28"/>
          <w:szCs w:val="28"/>
        </w:rPr>
      </w:pPr>
      <w:r w:rsidRPr="00895BBD">
        <w:rPr>
          <w:rFonts w:ascii="Arial" w:hAnsi="Arial" w:cs="Arial"/>
          <w:sz w:val="28"/>
          <w:szCs w:val="28"/>
        </w:rPr>
        <w:t>Disadvantages can be a</w:t>
      </w:r>
      <w:r w:rsidR="002A0810" w:rsidRPr="00895BBD">
        <w:rPr>
          <w:rFonts w:ascii="Arial" w:hAnsi="Arial" w:cs="Arial"/>
          <w:sz w:val="28"/>
          <w:szCs w:val="28"/>
        </w:rPr>
        <w:t xml:space="preserve">s cash flow </w:t>
      </w:r>
      <w:r w:rsidR="00EF3AB8" w:rsidRPr="00895BBD">
        <w:rPr>
          <w:rFonts w:ascii="Arial" w:hAnsi="Arial" w:cs="Arial"/>
          <w:sz w:val="28"/>
          <w:szCs w:val="28"/>
        </w:rPr>
        <w:t xml:space="preserve">occur later in the life of a project </w:t>
      </w:r>
      <w:r w:rsidR="002A0810" w:rsidRPr="00895BBD">
        <w:rPr>
          <w:rFonts w:ascii="Arial" w:hAnsi="Arial" w:cs="Arial"/>
          <w:sz w:val="28"/>
          <w:szCs w:val="28"/>
        </w:rPr>
        <w:t xml:space="preserve">they are known to be </w:t>
      </w:r>
      <w:r w:rsidR="00EF3AB8" w:rsidRPr="00895BBD">
        <w:rPr>
          <w:rFonts w:ascii="Arial" w:hAnsi="Arial" w:cs="Arial"/>
          <w:sz w:val="28"/>
          <w:szCs w:val="28"/>
        </w:rPr>
        <w:t xml:space="preserve">unpredictable, </w:t>
      </w:r>
      <w:r w:rsidR="00CA6F49" w:rsidRPr="00895BBD">
        <w:rPr>
          <w:rFonts w:ascii="Arial" w:hAnsi="Arial" w:cs="Arial"/>
          <w:sz w:val="28"/>
          <w:szCs w:val="28"/>
        </w:rPr>
        <w:t>PBP</w:t>
      </w:r>
      <w:r w:rsidR="00EF3AB8" w:rsidRPr="00895BBD">
        <w:rPr>
          <w:rFonts w:ascii="Arial" w:hAnsi="Arial" w:cs="Arial"/>
          <w:sz w:val="28"/>
          <w:szCs w:val="28"/>
        </w:rPr>
        <w:t xml:space="preserve"> gives an example of how certain cash inflows from the project are. </w:t>
      </w:r>
      <w:r w:rsidR="002A0810" w:rsidRPr="00895BBD">
        <w:rPr>
          <w:rFonts w:ascii="Arial" w:hAnsi="Arial" w:cs="Arial"/>
          <w:sz w:val="28"/>
          <w:szCs w:val="28"/>
        </w:rPr>
        <w:t>If a company is</w:t>
      </w:r>
      <w:r w:rsidR="0031168A" w:rsidRPr="00895BBD">
        <w:rPr>
          <w:rFonts w:ascii="Arial" w:hAnsi="Arial" w:cs="Arial"/>
          <w:sz w:val="28"/>
          <w:szCs w:val="28"/>
        </w:rPr>
        <w:t xml:space="preserve"> facing liquidity problems, it provides a good ranking of projects that would return money early.</w:t>
      </w:r>
      <w:r w:rsidR="00CB5470" w:rsidRPr="00895BBD">
        <w:rPr>
          <w:rFonts w:ascii="Arial" w:hAnsi="Arial" w:cs="Arial"/>
          <w:sz w:val="28"/>
          <w:szCs w:val="28"/>
        </w:rPr>
        <w:t xml:space="preserve"> T</w:t>
      </w:r>
      <w:r w:rsidR="00953659" w:rsidRPr="00895BBD">
        <w:rPr>
          <w:rFonts w:ascii="Arial" w:hAnsi="Arial" w:cs="Arial"/>
          <w:sz w:val="28"/>
          <w:szCs w:val="28"/>
        </w:rPr>
        <w:t>he drawbacks</w:t>
      </w:r>
      <w:r w:rsidR="0031412F" w:rsidRPr="00895BBD">
        <w:rPr>
          <w:rFonts w:ascii="Arial" w:hAnsi="Arial" w:cs="Arial"/>
          <w:sz w:val="28"/>
          <w:szCs w:val="28"/>
        </w:rPr>
        <w:t xml:space="preserve"> of </w:t>
      </w:r>
      <w:r w:rsidR="00CA6F49" w:rsidRPr="00895BBD">
        <w:rPr>
          <w:rFonts w:ascii="Arial" w:hAnsi="Arial" w:cs="Arial"/>
          <w:sz w:val="28"/>
          <w:szCs w:val="28"/>
        </w:rPr>
        <w:t>PBP</w:t>
      </w:r>
      <w:r w:rsidR="0031412F" w:rsidRPr="00895BBD">
        <w:rPr>
          <w:rFonts w:ascii="Arial" w:hAnsi="Arial" w:cs="Arial"/>
          <w:sz w:val="28"/>
          <w:szCs w:val="28"/>
        </w:rPr>
        <w:t xml:space="preserve"> are that the </w:t>
      </w:r>
      <w:r w:rsidR="00953659" w:rsidRPr="00895BBD">
        <w:rPr>
          <w:rFonts w:ascii="Arial" w:hAnsi="Arial" w:cs="Arial"/>
          <w:sz w:val="28"/>
          <w:szCs w:val="28"/>
        </w:rPr>
        <w:t xml:space="preserve">value of money is not represented </w:t>
      </w:r>
      <w:r w:rsidR="0031412F" w:rsidRPr="00895BBD">
        <w:rPr>
          <w:rFonts w:ascii="Arial" w:hAnsi="Arial" w:cs="Arial"/>
          <w:sz w:val="28"/>
          <w:szCs w:val="28"/>
        </w:rPr>
        <w:t xml:space="preserve">so can </w:t>
      </w:r>
      <w:r w:rsidR="005060D8" w:rsidRPr="00895BBD">
        <w:rPr>
          <w:rFonts w:ascii="Arial" w:hAnsi="Arial" w:cs="Arial"/>
          <w:sz w:val="28"/>
          <w:szCs w:val="28"/>
        </w:rPr>
        <w:t xml:space="preserve">in turn </w:t>
      </w:r>
      <w:r w:rsidR="008A1B0D" w:rsidRPr="00895BBD">
        <w:rPr>
          <w:rFonts w:ascii="Arial" w:hAnsi="Arial" w:cs="Arial"/>
          <w:sz w:val="28"/>
          <w:szCs w:val="28"/>
        </w:rPr>
        <w:t xml:space="preserve"> </w:t>
      </w:r>
      <w:r w:rsidR="0031412F" w:rsidRPr="00895BBD">
        <w:rPr>
          <w:rFonts w:ascii="Arial" w:hAnsi="Arial" w:cs="Arial"/>
          <w:sz w:val="28"/>
          <w:szCs w:val="28"/>
        </w:rPr>
        <w:t xml:space="preserve"> lead to the wrong decision </w:t>
      </w:r>
      <w:r w:rsidR="005060D8" w:rsidRPr="00895BBD">
        <w:rPr>
          <w:rFonts w:ascii="Arial" w:hAnsi="Arial" w:cs="Arial"/>
          <w:sz w:val="28"/>
          <w:szCs w:val="28"/>
        </w:rPr>
        <w:t xml:space="preserve">being </w:t>
      </w:r>
      <w:r w:rsidR="0031412F" w:rsidRPr="00895BBD">
        <w:rPr>
          <w:rFonts w:ascii="Arial" w:hAnsi="Arial" w:cs="Arial"/>
          <w:sz w:val="28"/>
          <w:szCs w:val="28"/>
        </w:rPr>
        <w:t xml:space="preserve">made. A </w:t>
      </w:r>
      <w:r w:rsidR="005060D8" w:rsidRPr="00895BBD">
        <w:rPr>
          <w:rFonts w:ascii="Arial" w:hAnsi="Arial" w:cs="Arial"/>
          <w:sz w:val="28"/>
          <w:szCs w:val="28"/>
        </w:rPr>
        <w:t>modified payback method</w:t>
      </w:r>
      <w:r w:rsidR="0031412F" w:rsidRPr="00895BBD">
        <w:rPr>
          <w:rFonts w:ascii="Arial" w:hAnsi="Arial" w:cs="Arial"/>
          <w:sz w:val="28"/>
          <w:szCs w:val="28"/>
        </w:rPr>
        <w:t xml:space="preserve"> that </w:t>
      </w:r>
      <w:r w:rsidR="005060D8" w:rsidRPr="00895BBD">
        <w:rPr>
          <w:rFonts w:ascii="Arial" w:hAnsi="Arial" w:cs="Arial"/>
          <w:sz w:val="28"/>
          <w:szCs w:val="28"/>
        </w:rPr>
        <w:t>tries</w:t>
      </w:r>
      <w:r w:rsidR="0031412F" w:rsidRPr="00895BBD">
        <w:rPr>
          <w:rFonts w:ascii="Arial" w:hAnsi="Arial" w:cs="Arial"/>
          <w:sz w:val="28"/>
          <w:szCs w:val="28"/>
        </w:rPr>
        <w:t xml:space="preserve"> to resolve this</w:t>
      </w:r>
      <w:r w:rsidR="005060D8" w:rsidRPr="00895BBD">
        <w:rPr>
          <w:rFonts w:ascii="Arial" w:hAnsi="Arial" w:cs="Arial"/>
          <w:sz w:val="28"/>
          <w:szCs w:val="28"/>
        </w:rPr>
        <w:t xml:space="preserve"> issue is</w:t>
      </w:r>
      <w:r w:rsidR="0031412F" w:rsidRPr="00895BBD">
        <w:rPr>
          <w:rFonts w:ascii="Arial" w:hAnsi="Arial" w:cs="Arial"/>
          <w:sz w:val="28"/>
          <w:szCs w:val="28"/>
        </w:rPr>
        <w:t xml:space="preserve"> called </w:t>
      </w:r>
      <w:r w:rsidR="005060D8" w:rsidRPr="00895BBD">
        <w:rPr>
          <w:rFonts w:ascii="Arial" w:hAnsi="Arial" w:cs="Arial"/>
          <w:sz w:val="28"/>
          <w:szCs w:val="28"/>
        </w:rPr>
        <w:t xml:space="preserve">the </w:t>
      </w:r>
      <w:r w:rsidR="0031412F" w:rsidRPr="00895BBD">
        <w:rPr>
          <w:rFonts w:ascii="Arial" w:hAnsi="Arial" w:cs="Arial"/>
          <w:sz w:val="28"/>
          <w:szCs w:val="28"/>
        </w:rPr>
        <w:t>reduced payback time method.</w:t>
      </w:r>
      <w:r w:rsidR="00CB5470" w:rsidRPr="00895BBD">
        <w:rPr>
          <w:rFonts w:ascii="Arial" w:hAnsi="Arial" w:cs="Arial"/>
          <w:sz w:val="28"/>
          <w:szCs w:val="28"/>
        </w:rPr>
        <w:t xml:space="preserve"> </w:t>
      </w:r>
      <w:r w:rsidR="005060D8" w:rsidRPr="00895BBD">
        <w:rPr>
          <w:rFonts w:ascii="Arial" w:hAnsi="Arial" w:cs="Arial"/>
          <w:sz w:val="28"/>
          <w:szCs w:val="28"/>
        </w:rPr>
        <w:t>T</w:t>
      </w:r>
      <w:r w:rsidR="0031168A" w:rsidRPr="00895BBD">
        <w:rPr>
          <w:rFonts w:ascii="Arial" w:hAnsi="Arial" w:cs="Arial"/>
          <w:sz w:val="28"/>
          <w:szCs w:val="28"/>
        </w:rPr>
        <w:t>he payback period</w:t>
      </w:r>
      <w:r w:rsidR="005060D8" w:rsidRPr="00895BBD">
        <w:rPr>
          <w:rFonts w:ascii="Arial" w:hAnsi="Arial" w:cs="Arial"/>
          <w:sz w:val="28"/>
          <w:szCs w:val="28"/>
        </w:rPr>
        <w:t xml:space="preserve"> is not </w:t>
      </w:r>
      <w:r w:rsidR="00CB5470" w:rsidRPr="00895BBD">
        <w:rPr>
          <w:rFonts w:ascii="Arial" w:hAnsi="Arial" w:cs="Arial"/>
          <w:sz w:val="28"/>
          <w:szCs w:val="28"/>
        </w:rPr>
        <w:t>considered</w:t>
      </w:r>
      <w:r w:rsidR="005060D8" w:rsidRPr="00895BBD">
        <w:rPr>
          <w:rFonts w:ascii="Arial" w:hAnsi="Arial" w:cs="Arial"/>
          <w:sz w:val="28"/>
          <w:szCs w:val="28"/>
        </w:rPr>
        <w:t xml:space="preserve">. Meaning </w:t>
      </w:r>
      <w:r w:rsidR="0031168A" w:rsidRPr="00895BBD">
        <w:rPr>
          <w:rFonts w:ascii="Arial" w:hAnsi="Arial" w:cs="Arial"/>
          <w:sz w:val="28"/>
          <w:szCs w:val="28"/>
        </w:rPr>
        <w:t xml:space="preserve">a project </w:t>
      </w:r>
      <w:r w:rsidR="005060D8" w:rsidRPr="00895BBD">
        <w:rPr>
          <w:rFonts w:ascii="Arial" w:hAnsi="Arial" w:cs="Arial"/>
          <w:sz w:val="28"/>
          <w:szCs w:val="28"/>
        </w:rPr>
        <w:t>with</w:t>
      </w:r>
      <w:r w:rsidR="0031168A" w:rsidRPr="00895BBD">
        <w:rPr>
          <w:rFonts w:ascii="Arial" w:hAnsi="Arial" w:cs="Arial"/>
          <w:sz w:val="28"/>
          <w:szCs w:val="28"/>
        </w:rPr>
        <w:t xml:space="preserve"> very good cash inflows </w:t>
      </w:r>
      <w:r w:rsidR="005060D8" w:rsidRPr="00895BBD">
        <w:rPr>
          <w:rFonts w:ascii="Arial" w:hAnsi="Arial" w:cs="Arial"/>
          <w:sz w:val="28"/>
          <w:szCs w:val="28"/>
        </w:rPr>
        <w:t>which is after</w:t>
      </w:r>
      <w:r w:rsidR="0031168A" w:rsidRPr="00895BBD">
        <w:rPr>
          <w:rFonts w:ascii="Arial" w:hAnsi="Arial" w:cs="Arial"/>
          <w:sz w:val="28"/>
          <w:szCs w:val="28"/>
        </w:rPr>
        <w:t xml:space="preserve"> </w:t>
      </w:r>
      <w:r w:rsidR="005060D8" w:rsidRPr="00895BBD">
        <w:rPr>
          <w:rFonts w:ascii="Arial" w:hAnsi="Arial" w:cs="Arial"/>
          <w:sz w:val="28"/>
          <w:szCs w:val="28"/>
        </w:rPr>
        <w:t>the</w:t>
      </w:r>
      <w:r w:rsidR="0031168A" w:rsidRPr="00895BBD">
        <w:rPr>
          <w:rFonts w:ascii="Arial" w:hAnsi="Arial" w:cs="Arial"/>
          <w:sz w:val="28"/>
          <w:szCs w:val="28"/>
        </w:rPr>
        <w:t xml:space="preserve"> </w:t>
      </w:r>
      <w:r w:rsidR="00CA6F49" w:rsidRPr="00895BBD">
        <w:rPr>
          <w:rFonts w:ascii="Arial" w:hAnsi="Arial" w:cs="Arial"/>
          <w:sz w:val="28"/>
          <w:szCs w:val="28"/>
        </w:rPr>
        <w:t>PBP</w:t>
      </w:r>
      <w:r w:rsidR="0031168A" w:rsidRPr="00895BBD">
        <w:rPr>
          <w:rFonts w:ascii="Arial" w:hAnsi="Arial" w:cs="Arial"/>
          <w:sz w:val="28"/>
          <w:szCs w:val="28"/>
        </w:rPr>
        <w:t xml:space="preserve"> </w:t>
      </w:r>
      <w:r w:rsidR="005060D8" w:rsidRPr="00895BBD">
        <w:rPr>
          <w:rFonts w:ascii="Arial" w:hAnsi="Arial" w:cs="Arial"/>
          <w:sz w:val="28"/>
          <w:szCs w:val="28"/>
        </w:rPr>
        <w:t>could</w:t>
      </w:r>
      <w:r w:rsidR="0031168A" w:rsidRPr="00895BBD">
        <w:rPr>
          <w:rFonts w:ascii="Arial" w:hAnsi="Arial" w:cs="Arial"/>
          <w:sz w:val="28"/>
          <w:szCs w:val="28"/>
        </w:rPr>
        <w:t xml:space="preserve"> </w:t>
      </w:r>
      <w:r w:rsidR="005060D8" w:rsidRPr="00895BBD">
        <w:rPr>
          <w:rFonts w:ascii="Arial" w:hAnsi="Arial" w:cs="Arial"/>
          <w:sz w:val="28"/>
          <w:szCs w:val="28"/>
        </w:rPr>
        <w:t>overlooked</w:t>
      </w:r>
      <w:r w:rsidR="007C6333" w:rsidRPr="00895BBD">
        <w:rPr>
          <w:rFonts w:ascii="Arial" w:hAnsi="Arial" w:cs="Arial"/>
          <w:sz w:val="28"/>
          <w:szCs w:val="28"/>
        </w:rPr>
        <w:t>.</w:t>
      </w:r>
    </w:p>
    <w:p w14:paraId="79732188" w14:textId="4A749334" w:rsidR="0031168A" w:rsidRDefault="007C6333" w:rsidP="00DA2F53">
      <w:pPr>
        <w:pStyle w:val="Heading2"/>
        <w:jc w:val="both"/>
      </w:pPr>
      <w:r w:rsidRPr="000D2E4D">
        <w:t>Accounting rate of return</w:t>
      </w:r>
    </w:p>
    <w:p w14:paraId="754012D9" w14:textId="77777777" w:rsidR="00895BBD" w:rsidRPr="00895BBD" w:rsidRDefault="00895BBD" w:rsidP="00895BBD"/>
    <w:p w14:paraId="56B597F7" w14:textId="31D3CB93" w:rsidR="00EF3AB8" w:rsidRPr="00895BBD" w:rsidRDefault="00C82C23" w:rsidP="00DA2F53">
      <w:pPr>
        <w:pStyle w:val="NormalWeb"/>
        <w:spacing w:before="0" w:beforeAutospacing="0" w:after="240" w:afterAutospacing="0"/>
        <w:jc w:val="both"/>
        <w:rPr>
          <w:rFonts w:ascii="Arial" w:hAnsi="Arial" w:cs="Arial"/>
          <w:sz w:val="28"/>
          <w:szCs w:val="28"/>
        </w:rPr>
      </w:pPr>
      <w:r w:rsidRPr="00895BBD">
        <w:rPr>
          <w:rFonts w:ascii="Arial" w:hAnsi="Arial" w:cs="Arial"/>
          <w:sz w:val="28"/>
          <w:szCs w:val="28"/>
        </w:rPr>
        <w:t>Accounting rate of return</w:t>
      </w:r>
      <w:r w:rsidR="00CA6F49" w:rsidRPr="00895BBD">
        <w:rPr>
          <w:rFonts w:ascii="Arial" w:hAnsi="Arial" w:cs="Arial"/>
          <w:sz w:val="28"/>
          <w:szCs w:val="28"/>
        </w:rPr>
        <w:t xml:space="preserve"> (ARR)</w:t>
      </w:r>
      <w:r w:rsidRPr="00895BBD">
        <w:rPr>
          <w:rFonts w:ascii="Arial" w:hAnsi="Arial" w:cs="Arial"/>
          <w:sz w:val="28"/>
          <w:szCs w:val="28"/>
        </w:rPr>
        <w:t xml:space="preserve"> is used for investment evaluations, the rate of return on accounting is the ratio of a project's projected accounting income to the total project cost.</w:t>
      </w:r>
      <w:r w:rsidR="00CA6F49" w:rsidRPr="00895BBD">
        <w:rPr>
          <w:rFonts w:ascii="Arial" w:hAnsi="Arial" w:cs="Arial"/>
          <w:sz w:val="28"/>
          <w:szCs w:val="28"/>
        </w:rPr>
        <w:t xml:space="preserve"> T</w:t>
      </w:r>
      <w:r w:rsidR="001745C5" w:rsidRPr="00895BBD">
        <w:rPr>
          <w:rFonts w:ascii="Arial" w:hAnsi="Arial" w:cs="Arial"/>
          <w:sz w:val="28"/>
          <w:szCs w:val="28"/>
        </w:rPr>
        <w:t xml:space="preserve">his method is used to calculate what revenue could be received </w:t>
      </w:r>
      <w:r w:rsidR="001745C5" w:rsidRPr="00895BBD">
        <w:rPr>
          <w:rStyle w:val="word"/>
          <w:rFonts w:ascii="Arial" w:hAnsi="Arial" w:cs="Arial"/>
          <w:sz w:val="28"/>
          <w:szCs w:val="28"/>
        </w:rPr>
        <w:t>each year of the lifespan of the project.</w:t>
      </w:r>
      <w:r w:rsidR="00CA6F49" w:rsidRPr="00895BBD">
        <w:rPr>
          <w:sz w:val="28"/>
          <w:szCs w:val="28"/>
        </w:rPr>
        <w:t xml:space="preserve"> </w:t>
      </w:r>
    </w:p>
    <w:p w14:paraId="3C52CDC9" w14:textId="44ECC73C" w:rsidR="00CA6F49" w:rsidRPr="00895BBD" w:rsidRDefault="00CA6F49" w:rsidP="00DA2F53">
      <w:pPr>
        <w:spacing w:line="240" w:lineRule="auto"/>
        <w:jc w:val="both"/>
        <w:rPr>
          <w:rFonts w:cs="Arial"/>
          <w:szCs w:val="28"/>
        </w:rPr>
      </w:pPr>
      <w:r w:rsidRPr="00895BBD">
        <w:rPr>
          <w:rFonts w:cs="Arial"/>
          <w:szCs w:val="28"/>
        </w:rPr>
        <w:lastRenderedPageBreak/>
        <w:t xml:space="preserve">A proposal should only be considered when its ARR is equal to or greater than the rate of return necessary for the accounting. In case of ventures which are equally exclusive, consider the one with the largest ARR. </w:t>
      </w:r>
    </w:p>
    <w:p w14:paraId="2BC191DF" w14:textId="717C9897" w:rsidR="00535441" w:rsidRPr="00895BBD" w:rsidRDefault="007E5F0D" w:rsidP="00DA2F53">
      <w:pPr>
        <w:spacing w:before="100" w:beforeAutospacing="1" w:after="100" w:afterAutospacing="1" w:line="240" w:lineRule="auto"/>
        <w:jc w:val="both"/>
        <w:rPr>
          <w:rFonts w:cs="Arial"/>
          <w:szCs w:val="28"/>
        </w:rPr>
      </w:pPr>
      <w:r w:rsidRPr="00895BBD">
        <w:rPr>
          <w:rFonts w:cs="Arial"/>
          <w:szCs w:val="28"/>
        </w:rPr>
        <w:t>The advantage of t</w:t>
      </w:r>
      <w:r w:rsidR="000D2E4D" w:rsidRPr="00895BBD">
        <w:rPr>
          <w:rFonts w:cs="Arial"/>
          <w:szCs w:val="28"/>
        </w:rPr>
        <w:t>his is a</w:t>
      </w:r>
      <w:r w:rsidR="00804EC3" w:rsidRPr="00895BBD">
        <w:rPr>
          <w:rFonts w:cs="Arial"/>
          <w:szCs w:val="28"/>
        </w:rPr>
        <w:t xml:space="preserve"> straightforward</w:t>
      </w:r>
      <w:r w:rsidR="000D2E4D" w:rsidRPr="00895BBD">
        <w:rPr>
          <w:rFonts w:cs="Arial"/>
          <w:szCs w:val="28"/>
        </w:rPr>
        <w:t xml:space="preserve"> method of calculation and </w:t>
      </w:r>
      <w:r w:rsidR="00804EC3" w:rsidRPr="00895BBD">
        <w:rPr>
          <w:rFonts w:cs="Arial"/>
          <w:szCs w:val="28"/>
        </w:rPr>
        <w:t>appraisal is easy to calculate, as is the PBP</w:t>
      </w:r>
      <w:r w:rsidR="00E93A33" w:rsidRPr="00895BBD">
        <w:rPr>
          <w:rFonts w:cs="Arial"/>
          <w:szCs w:val="28"/>
        </w:rPr>
        <w:t>.</w:t>
      </w:r>
      <w:r w:rsidR="00B9424D" w:rsidRPr="00895BBD">
        <w:rPr>
          <w:rFonts w:cs="Arial"/>
          <w:szCs w:val="28"/>
        </w:rPr>
        <w:t xml:space="preserve"> </w:t>
      </w:r>
      <w:r w:rsidRPr="00895BBD">
        <w:rPr>
          <w:rFonts w:cs="Arial"/>
          <w:szCs w:val="28"/>
        </w:rPr>
        <w:t>This discount</w:t>
      </w:r>
      <w:r w:rsidR="00C2020C" w:rsidRPr="00895BBD">
        <w:rPr>
          <w:rFonts w:cs="Arial"/>
          <w:szCs w:val="28"/>
        </w:rPr>
        <w:t xml:space="preserve"> the value of money over time. If ARR is used as two equate ventures with similar capital investments, </w:t>
      </w:r>
      <w:r w:rsidRPr="00895BBD">
        <w:rPr>
          <w:rFonts w:cs="Arial"/>
          <w:szCs w:val="28"/>
        </w:rPr>
        <w:t>p</w:t>
      </w:r>
      <w:r w:rsidR="00C2020C" w:rsidRPr="00895BBD">
        <w:rPr>
          <w:rFonts w:cs="Arial"/>
          <w:szCs w:val="28"/>
        </w:rPr>
        <w:t>rojects with a higher revenue towards the latter years of its lifespan could be ranked higher then a project that gives a greater revenue in the earlier years</w:t>
      </w:r>
      <w:r w:rsidR="00C32987" w:rsidRPr="00895BBD">
        <w:rPr>
          <w:rFonts w:cs="Arial"/>
          <w:szCs w:val="28"/>
        </w:rPr>
        <w:t xml:space="preserve">, </w:t>
      </w:r>
      <w:r w:rsidRPr="00895BBD">
        <w:rPr>
          <w:rFonts w:cs="Arial"/>
          <w:szCs w:val="28"/>
        </w:rPr>
        <w:t>e</w:t>
      </w:r>
      <w:r w:rsidR="00C32987" w:rsidRPr="00895BBD">
        <w:rPr>
          <w:rFonts w:cs="Arial"/>
          <w:szCs w:val="28"/>
        </w:rPr>
        <w:t>ven if the current income value generated by this latter project is higher.</w:t>
      </w:r>
    </w:p>
    <w:p w14:paraId="53F6D34A" w14:textId="7E2A07F7" w:rsidR="007E5F0D" w:rsidRPr="00895BBD" w:rsidRDefault="007E5F0D" w:rsidP="00DA2F53">
      <w:pPr>
        <w:spacing w:before="100" w:beforeAutospacing="1" w:after="100" w:afterAutospacing="1" w:line="240" w:lineRule="auto"/>
        <w:jc w:val="both"/>
        <w:rPr>
          <w:rFonts w:cs="Arial"/>
          <w:szCs w:val="28"/>
        </w:rPr>
      </w:pPr>
      <w:r w:rsidRPr="00895BBD">
        <w:rPr>
          <w:rFonts w:cs="Arial"/>
          <w:szCs w:val="28"/>
        </w:rPr>
        <w:t>Disadvantage is it can be evaluated in varied ways. Therefore, the question of continuity emerges. Also</w:t>
      </w:r>
      <w:r w:rsidR="00422F15" w:rsidRPr="00895BBD">
        <w:rPr>
          <w:rFonts w:cs="Arial"/>
          <w:szCs w:val="28"/>
        </w:rPr>
        <w:t>,</w:t>
      </w:r>
      <w:r w:rsidRPr="00895BBD">
        <w:rPr>
          <w:rFonts w:cs="Arial"/>
          <w:szCs w:val="28"/>
        </w:rPr>
        <w:t xml:space="preserve"> it uses information relating to accounting revenue rather than cash flow.</w:t>
      </w:r>
      <w:r w:rsidR="00460046" w:rsidRPr="00895BBD">
        <w:rPr>
          <w:szCs w:val="28"/>
        </w:rPr>
        <w:t xml:space="preserve"> </w:t>
      </w:r>
      <w:r w:rsidR="00460046" w:rsidRPr="00895BBD">
        <w:rPr>
          <w:rFonts w:cs="Arial"/>
          <w:szCs w:val="28"/>
        </w:rPr>
        <w:t>It is therefore not appropriate for projects with high maintenance costs because their sustainability often relies on timely cash inflows.</w:t>
      </w:r>
    </w:p>
    <w:p w14:paraId="0024EDD6" w14:textId="77777777" w:rsidR="00460046" w:rsidRDefault="00460046" w:rsidP="00DA2F53">
      <w:pPr>
        <w:spacing w:before="100" w:beforeAutospacing="1" w:after="100" w:afterAutospacing="1" w:line="240" w:lineRule="auto"/>
        <w:jc w:val="both"/>
        <w:rPr>
          <w:rFonts w:ascii="&amp;quot" w:hAnsi="&amp;quot"/>
          <w:color w:val="FF0000"/>
          <w:sz w:val="22"/>
        </w:rPr>
      </w:pPr>
    </w:p>
    <w:p w14:paraId="018AC75B" w14:textId="02F26CA9" w:rsidR="002D77B8" w:rsidRPr="00276E32" w:rsidRDefault="00460046" w:rsidP="00DA2F53">
      <w:pPr>
        <w:pStyle w:val="Heading2"/>
        <w:jc w:val="both"/>
        <w:rPr>
          <w:rStyle w:val="HTMLDefinition"/>
          <w:i w:val="0"/>
          <w:iCs w:val="0"/>
        </w:rPr>
      </w:pPr>
      <w:r w:rsidRPr="00276E32">
        <w:rPr>
          <w:rStyle w:val="HTMLDefinition"/>
          <w:i w:val="0"/>
          <w:iCs w:val="0"/>
        </w:rPr>
        <w:t>N</w:t>
      </w:r>
      <w:r w:rsidR="002D77B8" w:rsidRPr="00276E32">
        <w:rPr>
          <w:rStyle w:val="HTMLDefinition"/>
          <w:i w:val="0"/>
          <w:iCs w:val="0"/>
        </w:rPr>
        <w:t xml:space="preserve">et </w:t>
      </w:r>
      <w:r w:rsidR="002F2878" w:rsidRPr="00276E32">
        <w:rPr>
          <w:rStyle w:val="HTMLDefinition"/>
          <w:i w:val="0"/>
          <w:iCs w:val="0"/>
        </w:rPr>
        <w:t>P</w:t>
      </w:r>
      <w:r w:rsidR="002D77B8" w:rsidRPr="00276E32">
        <w:rPr>
          <w:rStyle w:val="HTMLDefinition"/>
          <w:i w:val="0"/>
          <w:iCs w:val="0"/>
        </w:rPr>
        <w:t xml:space="preserve">resent </w:t>
      </w:r>
      <w:r w:rsidR="002F2878" w:rsidRPr="00276E32">
        <w:rPr>
          <w:rStyle w:val="HTMLDefinition"/>
          <w:i w:val="0"/>
          <w:iCs w:val="0"/>
        </w:rPr>
        <w:t>V</w:t>
      </w:r>
      <w:r w:rsidR="002D77B8" w:rsidRPr="00276E32">
        <w:rPr>
          <w:rStyle w:val="HTMLDefinition"/>
          <w:i w:val="0"/>
          <w:iCs w:val="0"/>
        </w:rPr>
        <w:t>alue</w:t>
      </w:r>
    </w:p>
    <w:p w14:paraId="1C6C5B68" w14:textId="74862DE1" w:rsidR="00A42E9A" w:rsidRPr="00895BBD" w:rsidRDefault="00A42E9A" w:rsidP="00DA2F53">
      <w:pPr>
        <w:spacing w:before="100" w:beforeAutospacing="1" w:after="100" w:afterAutospacing="1" w:line="240" w:lineRule="auto"/>
        <w:jc w:val="both"/>
        <w:rPr>
          <w:rFonts w:cs="Arial"/>
          <w:szCs w:val="28"/>
        </w:rPr>
      </w:pPr>
      <w:r w:rsidRPr="00895BBD">
        <w:rPr>
          <w:rFonts w:cs="Arial"/>
          <w:szCs w:val="28"/>
        </w:rPr>
        <w:t xml:space="preserve">The Net Present Value </w:t>
      </w:r>
      <w:r w:rsidR="00CD6379" w:rsidRPr="00895BBD">
        <w:rPr>
          <w:rFonts w:cs="Arial"/>
          <w:szCs w:val="28"/>
        </w:rPr>
        <w:t xml:space="preserve">(NPV) </w:t>
      </w:r>
      <w:r w:rsidRPr="00895BBD">
        <w:rPr>
          <w:rFonts w:cs="Arial"/>
          <w:szCs w:val="28"/>
        </w:rPr>
        <w:t>approach is a strategy that works by considering future cash flows outside of the payback period to overcome some of the weaknesses of the payback process. The idea works on the assumption that a pound today will in the future be worth more than a pound in the future</w:t>
      </w:r>
      <w:r w:rsidR="00CD6379" w:rsidRPr="00895BBD">
        <w:rPr>
          <w:rFonts w:cs="Arial"/>
          <w:szCs w:val="28"/>
        </w:rPr>
        <w:t>;</w:t>
      </w:r>
      <w:r w:rsidRPr="00895BBD">
        <w:rPr>
          <w:rFonts w:cs="Arial"/>
          <w:szCs w:val="28"/>
        </w:rPr>
        <w:t xml:space="preserve"> just how much rests on the company's related capital cost</w:t>
      </w:r>
      <w:sdt>
        <w:sdtPr>
          <w:rPr>
            <w:rFonts w:cs="Arial"/>
            <w:szCs w:val="28"/>
          </w:rPr>
          <w:id w:val="-436219743"/>
          <w:citation/>
        </w:sdtPr>
        <w:sdtEndPr/>
        <w:sdtContent>
          <w:r w:rsidR="00CD6379" w:rsidRPr="00895BBD">
            <w:rPr>
              <w:rFonts w:cs="Arial"/>
              <w:szCs w:val="28"/>
            </w:rPr>
            <w:fldChar w:fldCharType="begin"/>
          </w:r>
          <w:r w:rsidR="00CD6379" w:rsidRPr="00895BBD">
            <w:rPr>
              <w:rFonts w:cs="Arial"/>
              <w:szCs w:val="28"/>
            </w:rPr>
            <w:instrText xml:space="preserve"> CITATION Kur17 \l 2057 </w:instrText>
          </w:r>
          <w:r w:rsidR="00CD6379" w:rsidRPr="00895BBD">
            <w:rPr>
              <w:rFonts w:cs="Arial"/>
              <w:szCs w:val="28"/>
            </w:rPr>
            <w:fldChar w:fldCharType="separate"/>
          </w:r>
          <w:r w:rsidR="00CD6379" w:rsidRPr="00895BBD">
            <w:rPr>
              <w:rFonts w:cs="Arial"/>
              <w:noProof/>
              <w:szCs w:val="28"/>
            </w:rPr>
            <w:t xml:space="preserve"> (Kuratko, 2017)</w:t>
          </w:r>
          <w:r w:rsidR="00CD6379" w:rsidRPr="00895BBD">
            <w:rPr>
              <w:rFonts w:cs="Arial"/>
              <w:szCs w:val="28"/>
            </w:rPr>
            <w:fldChar w:fldCharType="end"/>
          </w:r>
        </w:sdtContent>
      </w:sdt>
      <w:r w:rsidRPr="00895BBD">
        <w:rPr>
          <w:rFonts w:cs="Arial"/>
          <w:szCs w:val="28"/>
        </w:rPr>
        <w:t>.</w:t>
      </w:r>
    </w:p>
    <w:p w14:paraId="3313D245" w14:textId="0CBAFD6B" w:rsidR="002D77B8" w:rsidRPr="00895BBD" w:rsidRDefault="00310A1A" w:rsidP="00B7588B">
      <w:pPr>
        <w:pStyle w:val="NormalWeb"/>
        <w:spacing w:before="0" w:beforeAutospacing="0" w:after="240" w:afterAutospacing="0"/>
        <w:jc w:val="both"/>
        <w:rPr>
          <w:rFonts w:ascii="Arial" w:hAnsi="Arial" w:cs="Arial"/>
          <w:sz w:val="28"/>
          <w:szCs w:val="28"/>
        </w:rPr>
      </w:pPr>
      <w:r w:rsidRPr="00895BBD">
        <w:rPr>
          <w:rFonts w:ascii="Arial" w:hAnsi="Arial" w:cs="Arial"/>
          <w:sz w:val="28"/>
          <w:szCs w:val="28"/>
        </w:rPr>
        <w:t>A project can be accepted where the individual projects has a positive NPV, it should be refused once NPV is negative and remain indifferent whether to accepting or rejecting if NPV is zero. In a case where projects are mutually compatible, consider the project with higher NPV</w:t>
      </w:r>
      <w:r w:rsidR="002F2878" w:rsidRPr="00895BBD">
        <w:rPr>
          <w:rFonts w:ascii="Arial" w:hAnsi="Arial" w:cs="Arial"/>
          <w:sz w:val="28"/>
          <w:szCs w:val="28"/>
        </w:rPr>
        <w:t>,</w:t>
      </w:r>
      <w:r w:rsidRPr="00895BBD">
        <w:rPr>
          <w:rFonts w:ascii="Arial" w:hAnsi="Arial" w:cs="Arial"/>
          <w:sz w:val="28"/>
          <w:szCs w:val="28"/>
        </w:rPr>
        <w:t xml:space="preserve"> </w:t>
      </w:r>
      <w:r w:rsidR="002F2878" w:rsidRPr="00895BBD">
        <w:rPr>
          <w:rFonts w:ascii="Arial" w:hAnsi="Arial" w:cs="Arial"/>
          <w:sz w:val="28"/>
          <w:szCs w:val="28"/>
        </w:rPr>
        <w:t>i</w:t>
      </w:r>
      <w:r w:rsidRPr="00895BBD">
        <w:rPr>
          <w:rFonts w:ascii="Arial" w:hAnsi="Arial" w:cs="Arial"/>
          <w:sz w:val="28"/>
          <w:szCs w:val="28"/>
        </w:rPr>
        <w:t>t is among the most dependable strategies in capital money management, as this is premised on the discounted approach to cash flow</w:t>
      </w:r>
      <w:sdt>
        <w:sdtPr>
          <w:rPr>
            <w:rFonts w:ascii="Arial" w:hAnsi="Arial" w:cs="Arial"/>
            <w:sz w:val="28"/>
            <w:szCs w:val="28"/>
          </w:rPr>
          <w:id w:val="-303854556"/>
          <w:citation/>
        </w:sdtPr>
        <w:sdtContent>
          <w:r w:rsidR="00913AA1">
            <w:rPr>
              <w:rFonts w:ascii="Arial" w:hAnsi="Arial" w:cs="Arial"/>
              <w:sz w:val="28"/>
              <w:szCs w:val="28"/>
            </w:rPr>
            <w:fldChar w:fldCharType="begin"/>
          </w:r>
          <w:r w:rsidR="00913AA1">
            <w:rPr>
              <w:rFonts w:ascii="Arial" w:hAnsi="Arial" w:cs="Arial"/>
              <w:sz w:val="28"/>
              <w:szCs w:val="28"/>
            </w:rPr>
            <w:instrText xml:space="preserve"> CITATION Irf19 \l 2057 </w:instrText>
          </w:r>
          <w:r w:rsidR="00913AA1">
            <w:rPr>
              <w:rFonts w:ascii="Arial" w:hAnsi="Arial" w:cs="Arial"/>
              <w:sz w:val="28"/>
              <w:szCs w:val="28"/>
            </w:rPr>
            <w:fldChar w:fldCharType="separate"/>
          </w:r>
          <w:r w:rsidR="00913AA1">
            <w:rPr>
              <w:rFonts w:ascii="Arial" w:hAnsi="Arial" w:cs="Arial"/>
              <w:noProof/>
              <w:sz w:val="28"/>
              <w:szCs w:val="28"/>
            </w:rPr>
            <w:t xml:space="preserve"> </w:t>
          </w:r>
          <w:r w:rsidR="00913AA1" w:rsidRPr="00913AA1">
            <w:rPr>
              <w:rFonts w:ascii="Arial" w:hAnsi="Arial" w:cs="Arial"/>
              <w:noProof/>
              <w:sz w:val="28"/>
              <w:szCs w:val="28"/>
            </w:rPr>
            <w:t>(Jan, 2019)</w:t>
          </w:r>
          <w:r w:rsidR="00913AA1">
            <w:rPr>
              <w:rFonts w:ascii="Arial" w:hAnsi="Arial" w:cs="Arial"/>
              <w:sz w:val="28"/>
              <w:szCs w:val="28"/>
            </w:rPr>
            <w:fldChar w:fldCharType="end"/>
          </w:r>
        </w:sdtContent>
      </w:sdt>
      <w:r w:rsidRPr="00895BBD">
        <w:rPr>
          <w:rFonts w:ascii="Arial" w:hAnsi="Arial" w:cs="Arial"/>
          <w:sz w:val="28"/>
          <w:szCs w:val="28"/>
        </w:rPr>
        <w:t xml:space="preserve">. </w:t>
      </w:r>
    </w:p>
    <w:p w14:paraId="2B1B181E" w14:textId="727F30BE" w:rsidR="003C2ED8" w:rsidRPr="00913AA1" w:rsidRDefault="003C2ED8" w:rsidP="00DA2F53">
      <w:pPr>
        <w:pStyle w:val="NormalWeb"/>
        <w:spacing w:before="0" w:beforeAutospacing="0" w:after="240" w:afterAutospacing="0"/>
        <w:jc w:val="both"/>
        <w:rPr>
          <w:rFonts w:ascii="Arial" w:hAnsi="Arial" w:cs="Arial"/>
          <w:sz w:val="28"/>
          <w:szCs w:val="28"/>
        </w:rPr>
      </w:pPr>
      <w:r w:rsidRPr="003C2ED8">
        <w:rPr>
          <w:rFonts w:ascii="Arial" w:hAnsi="Arial" w:cs="Arial"/>
          <w:sz w:val="28"/>
          <w:szCs w:val="28"/>
        </w:rPr>
        <w:t xml:space="preserve">It is good to use the </w:t>
      </w:r>
      <w:r w:rsidR="00895BBD" w:rsidRPr="003C2ED8">
        <w:rPr>
          <w:rFonts w:ascii="Arial" w:hAnsi="Arial" w:cs="Arial"/>
          <w:sz w:val="28"/>
          <w:szCs w:val="28"/>
        </w:rPr>
        <w:t xml:space="preserve">NPV </w:t>
      </w:r>
      <w:r w:rsidRPr="003C2ED8">
        <w:rPr>
          <w:rFonts w:ascii="Arial" w:hAnsi="Arial" w:cs="Arial"/>
          <w:sz w:val="28"/>
          <w:szCs w:val="28"/>
        </w:rPr>
        <w:t xml:space="preserve">as it </w:t>
      </w:r>
      <w:r w:rsidR="00895BBD" w:rsidRPr="003C2ED8">
        <w:rPr>
          <w:rFonts w:ascii="Arial" w:hAnsi="Arial" w:cs="Arial"/>
          <w:sz w:val="28"/>
          <w:szCs w:val="28"/>
        </w:rPr>
        <w:t>accounts for the time value of money and makes it a stronger method than those investment valuation strategies which do not underestimate future cash flows such as payback period and rate of return accounting</w:t>
      </w:r>
      <w:r w:rsidR="002D77B8" w:rsidRPr="003C2ED8">
        <w:rPr>
          <w:rFonts w:ascii="Arial" w:hAnsi="Arial" w:cs="Arial"/>
          <w:sz w:val="28"/>
          <w:szCs w:val="28"/>
        </w:rPr>
        <w:t>.</w:t>
      </w:r>
      <w:r>
        <w:rPr>
          <w:rFonts w:ascii="Arial" w:hAnsi="Arial" w:cs="Arial"/>
          <w:sz w:val="28"/>
          <w:szCs w:val="28"/>
        </w:rPr>
        <w:t xml:space="preserve"> </w:t>
      </w:r>
      <w:r w:rsidRPr="003C2ED8">
        <w:rPr>
          <w:rFonts w:ascii="Arial" w:hAnsi="Arial" w:cs="Arial"/>
          <w:sz w:val="28"/>
          <w:szCs w:val="28"/>
        </w:rPr>
        <w:t>The NPV is even better than certain other methods of discounted cash flow like IRR</w:t>
      </w:r>
      <w:r w:rsidR="002D77B8" w:rsidRPr="003C2ED8">
        <w:rPr>
          <w:rFonts w:ascii="Arial" w:hAnsi="Arial" w:cs="Arial"/>
          <w:sz w:val="28"/>
          <w:szCs w:val="28"/>
        </w:rPr>
        <w:t xml:space="preserve">. </w:t>
      </w:r>
      <w:r w:rsidRPr="003C2ED8">
        <w:rPr>
          <w:rFonts w:ascii="Arial" w:hAnsi="Arial" w:cs="Arial"/>
          <w:sz w:val="28"/>
          <w:szCs w:val="28"/>
        </w:rPr>
        <w:t xml:space="preserve">In cases where IRR and NPV give differing </w:t>
      </w:r>
      <w:r w:rsidRPr="003C2ED8">
        <w:rPr>
          <w:rFonts w:ascii="Arial" w:hAnsi="Arial" w:cs="Arial"/>
          <w:sz w:val="28"/>
          <w:szCs w:val="28"/>
        </w:rPr>
        <w:lastRenderedPageBreak/>
        <w:t>decisions, it should be best to take the NPV decision.</w:t>
      </w:r>
      <w:r w:rsidR="00913AA1">
        <w:rPr>
          <w:rFonts w:ascii="Arial" w:hAnsi="Arial" w:cs="Arial"/>
          <w:sz w:val="28"/>
          <w:szCs w:val="28"/>
        </w:rPr>
        <w:t xml:space="preserve"> </w:t>
      </w:r>
      <w:r w:rsidRPr="00913AA1">
        <w:rPr>
          <w:rFonts w:ascii="Arial" w:hAnsi="Arial" w:cs="Arial"/>
          <w:sz w:val="28"/>
          <w:szCs w:val="28"/>
        </w:rPr>
        <w:t xml:space="preserve">It is </w:t>
      </w:r>
      <w:r w:rsidR="00913AA1" w:rsidRPr="00913AA1">
        <w:rPr>
          <w:rFonts w:ascii="Arial" w:hAnsi="Arial" w:cs="Arial"/>
          <w:sz w:val="28"/>
          <w:szCs w:val="28"/>
        </w:rPr>
        <w:t xml:space="preserve">also </w:t>
      </w:r>
      <w:r w:rsidRPr="00913AA1">
        <w:rPr>
          <w:rFonts w:ascii="Arial" w:hAnsi="Arial" w:cs="Arial"/>
          <w:sz w:val="28"/>
          <w:szCs w:val="28"/>
        </w:rPr>
        <w:t>sensitive to changes in figures relating to future cash flows, salvage value or even capital cost.</w:t>
      </w:r>
      <w:r w:rsidRPr="00913AA1">
        <w:rPr>
          <w:rFonts w:ascii="Arial" w:hAnsi="Arial" w:cs="Arial"/>
          <w:sz w:val="28"/>
          <w:szCs w:val="28"/>
        </w:rPr>
        <w:t xml:space="preserve"> </w:t>
      </w:r>
      <w:r w:rsidRPr="00913AA1">
        <w:rPr>
          <w:rFonts w:ascii="Arial" w:hAnsi="Arial" w:cs="Arial"/>
          <w:sz w:val="28"/>
          <w:szCs w:val="28"/>
        </w:rPr>
        <w:t>Analysis of the NPV is commonly combined with sensitivity analysis and scenario analysis to see how the conclusion changes when input changes.</w:t>
      </w:r>
      <w:r w:rsidR="00913AA1" w:rsidRPr="00913AA1">
        <w:rPr>
          <w:rFonts w:ascii="Arial" w:hAnsi="Arial" w:cs="Arial"/>
          <w:sz w:val="28"/>
          <w:szCs w:val="28"/>
        </w:rPr>
        <w:t xml:space="preserve"> </w:t>
      </w:r>
      <w:r w:rsidR="00913AA1" w:rsidRPr="00913AA1">
        <w:rPr>
          <w:rFonts w:ascii="Arial" w:hAnsi="Arial" w:cs="Arial"/>
          <w:sz w:val="28"/>
          <w:szCs w:val="28"/>
        </w:rPr>
        <w:t>The NVP does not consider the project size</w:t>
      </w:r>
      <w:sdt>
        <w:sdtPr>
          <w:rPr>
            <w:rFonts w:ascii="Arial" w:hAnsi="Arial" w:cs="Arial"/>
            <w:sz w:val="28"/>
            <w:szCs w:val="28"/>
          </w:rPr>
          <w:id w:val="-587008342"/>
          <w:citation/>
        </w:sdtPr>
        <w:sdtContent>
          <w:r w:rsidR="00913AA1">
            <w:rPr>
              <w:rFonts w:ascii="Arial" w:hAnsi="Arial" w:cs="Arial"/>
              <w:sz w:val="28"/>
              <w:szCs w:val="28"/>
            </w:rPr>
            <w:fldChar w:fldCharType="begin"/>
          </w:r>
          <w:r w:rsidR="00913AA1">
            <w:rPr>
              <w:rFonts w:ascii="Arial" w:hAnsi="Arial" w:cs="Arial"/>
              <w:sz w:val="28"/>
              <w:szCs w:val="28"/>
            </w:rPr>
            <w:instrText xml:space="preserve"> CITATION Irf19 \l 2057 </w:instrText>
          </w:r>
          <w:r w:rsidR="00913AA1">
            <w:rPr>
              <w:rFonts w:ascii="Arial" w:hAnsi="Arial" w:cs="Arial"/>
              <w:sz w:val="28"/>
              <w:szCs w:val="28"/>
            </w:rPr>
            <w:fldChar w:fldCharType="separate"/>
          </w:r>
          <w:r w:rsidR="00913AA1">
            <w:rPr>
              <w:rFonts w:ascii="Arial" w:hAnsi="Arial" w:cs="Arial"/>
              <w:noProof/>
              <w:sz w:val="28"/>
              <w:szCs w:val="28"/>
            </w:rPr>
            <w:t xml:space="preserve"> </w:t>
          </w:r>
          <w:r w:rsidR="00913AA1" w:rsidRPr="00913AA1">
            <w:rPr>
              <w:rFonts w:ascii="Arial" w:hAnsi="Arial" w:cs="Arial"/>
              <w:noProof/>
              <w:sz w:val="28"/>
              <w:szCs w:val="28"/>
            </w:rPr>
            <w:t>(Jan, 2019)</w:t>
          </w:r>
          <w:r w:rsidR="00913AA1">
            <w:rPr>
              <w:rFonts w:ascii="Arial" w:hAnsi="Arial" w:cs="Arial"/>
              <w:sz w:val="28"/>
              <w:szCs w:val="28"/>
            </w:rPr>
            <w:fldChar w:fldCharType="end"/>
          </w:r>
        </w:sdtContent>
      </w:sdt>
      <w:r w:rsidR="00913AA1" w:rsidRPr="00913AA1">
        <w:rPr>
          <w:rFonts w:ascii="Arial" w:hAnsi="Arial" w:cs="Arial"/>
          <w:sz w:val="28"/>
          <w:szCs w:val="28"/>
        </w:rPr>
        <w:t>.</w:t>
      </w:r>
    </w:p>
    <w:p w14:paraId="13913A66" w14:textId="6F6191E5" w:rsidR="00535441" w:rsidRPr="00276E32" w:rsidRDefault="00276E32" w:rsidP="00DA2F53">
      <w:pPr>
        <w:pStyle w:val="Heading2"/>
        <w:jc w:val="both"/>
      </w:pPr>
      <w:r w:rsidRPr="00276E32">
        <w:rPr>
          <w:rStyle w:val="HTMLDefinition"/>
          <w:i w:val="0"/>
          <w:iCs w:val="0"/>
        </w:rPr>
        <w:t>Internal Return Rate</w:t>
      </w:r>
    </w:p>
    <w:p w14:paraId="68CDD966" w14:textId="2B51CB03" w:rsidR="00446FCC" w:rsidRPr="00085328" w:rsidRDefault="00446FCC" w:rsidP="00DA2F53">
      <w:pPr>
        <w:spacing w:before="100" w:beforeAutospacing="1" w:after="100" w:afterAutospacing="1" w:line="240" w:lineRule="auto"/>
        <w:jc w:val="both"/>
        <w:rPr>
          <w:rFonts w:cs="Arial"/>
          <w:szCs w:val="28"/>
        </w:rPr>
      </w:pPr>
      <w:r w:rsidRPr="00085328">
        <w:rPr>
          <w:rStyle w:val="HTMLDefinition"/>
          <w:rFonts w:cs="Arial"/>
          <w:i w:val="0"/>
          <w:szCs w:val="28"/>
        </w:rPr>
        <w:t>Internal Return Rate (IRR) is the rate of discount at which an investment's net present value is negative.</w:t>
      </w:r>
      <w:r w:rsidRPr="00085328">
        <w:rPr>
          <w:rStyle w:val="HTMLDefinition"/>
          <w:rFonts w:cs="Arial"/>
          <w:szCs w:val="28"/>
        </w:rPr>
        <w:t xml:space="preserve"> </w:t>
      </w:r>
      <w:r w:rsidRPr="00085328">
        <w:rPr>
          <w:rFonts w:cs="Arial"/>
          <w:szCs w:val="28"/>
        </w:rPr>
        <w:t>IRR is one of the most common strategies for budgeting money. It acknowledges the investment productivity aspects and the future cashflow is discounted. It is discounted but at a rate which makes the project's NVP equal to zero.</w:t>
      </w:r>
      <w:r w:rsidR="00E87936" w:rsidRPr="00085328">
        <w:rPr>
          <w:rFonts w:cs="Arial"/>
          <w:szCs w:val="28"/>
        </w:rPr>
        <w:t xml:space="preserve">  The Chosen proposal would be the one with the highest IRR.</w:t>
      </w:r>
      <w:r w:rsidR="002D77B8" w:rsidRPr="00085328">
        <w:rPr>
          <w:rFonts w:cs="Arial"/>
          <w:szCs w:val="28"/>
        </w:rPr>
        <w:t xml:space="preserve"> A proposal should be approved only when its IRR is No less than the hurdle value, the minimum return necessary. The recommended minimum return rate is based on the capital cost of the </w:t>
      </w:r>
      <w:r w:rsidR="00085328" w:rsidRPr="00085328">
        <w:rPr>
          <w:rFonts w:cs="Arial"/>
          <w:szCs w:val="28"/>
        </w:rPr>
        <w:t>business and</w:t>
      </w:r>
      <w:r w:rsidR="002D77B8" w:rsidRPr="00085328">
        <w:rPr>
          <w:rFonts w:cs="Arial"/>
          <w:szCs w:val="28"/>
        </w:rPr>
        <w:t xml:space="preserve"> is calculated to adequately portray the project risk</w:t>
      </w:r>
      <w:r w:rsidR="007E7B25">
        <w:rPr>
          <w:rFonts w:cs="Arial"/>
          <w:szCs w:val="28"/>
        </w:rPr>
        <w:t xml:space="preserve"> </w:t>
      </w:r>
      <w:sdt>
        <w:sdtPr>
          <w:rPr>
            <w:rFonts w:cs="Arial"/>
            <w:szCs w:val="28"/>
          </w:rPr>
          <w:id w:val="348760355"/>
          <w:citation/>
        </w:sdtPr>
        <w:sdtEndPr/>
        <w:sdtContent>
          <w:r w:rsidR="00516D7F">
            <w:rPr>
              <w:rFonts w:cs="Arial"/>
              <w:szCs w:val="28"/>
            </w:rPr>
            <w:fldChar w:fldCharType="begin"/>
          </w:r>
          <w:r w:rsidR="00516D7F">
            <w:rPr>
              <w:rFonts w:cs="Arial"/>
              <w:szCs w:val="28"/>
            </w:rPr>
            <w:instrText xml:space="preserve"> CITATION Ada193 \l 2057 </w:instrText>
          </w:r>
          <w:r w:rsidR="00516D7F">
            <w:rPr>
              <w:rFonts w:cs="Arial"/>
              <w:szCs w:val="28"/>
            </w:rPr>
            <w:fldChar w:fldCharType="separate"/>
          </w:r>
          <w:r w:rsidR="00516D7F" w:rsidRPr="00516D7F">
            <w:rPr>
              <w:rFonts w:cs="Arial"/>
              <w:noProof/>
              <w:szCs w:val="28"/>
            </w:rPr>
            <w:t>(Hayes, 2019)</w:t>
          </w:r>
          <w:r w:rsidR="00516D7F">
            <w:rPr>
              <w:rFonts w:cs="Arial"/>
              <w:szCs w:val="28"/>
            </w:rPr>
            <w:fldChar w:fldCharType="end"/>
          </w:r>
        </w:sdtContent>
      </w:sdt>
      <w:r w:rsidR="002D77B8" w:rsidRPr="00516D7F">
        <w:rPr>
          <w:rFonts w:cs="Arial"/>
          <w:szCs w:val="28"/>
        </w:rPr>
        <w:t>.</w:t>
      </w:r>
    </w:p>
    <w:p w14:paraId="752B4AF7" w14:textId="13568E10" w:rsidR="00EA7480" w:rsidRDefault="00085328" w:rsidP="00EA7480">
      <w:pPr>
        <w:pStyle w:val="NormalWeb"/>
        <w:spacing w:before="0" w:beforeAutospacing="0" w:after="240" w:afterAutospacing="0"/>
        <w:jc w:val="both"/>
        <w:rPr>
          <w:rFonts w:ascii="Arial" w:hAnsi="Arial" w:cs="Arial"/>
          <w:sz w:val="28"/>
          <w:szCs w:val="28"/>
        </w:rPr>
      </w:pPr>
      <w:r w:rsidRPr="00085328">
        <w:rPr>
          <w:rFonts w:ascii="Arial" w:hAnsi="Arial" w:cs="Arial"/>
          <w:sz w:val="28"/>
          <w:szCs w:val="28"/>
        </w:rPr>
        <w:t>IRR is a discounted cash flow strategy which ensures the time value of the money is integrated.</w:t>
      </w:r>
      <w:r w:rsidRPr="00085328">
        <w:t xml:space="preserve"> </w:t>
      </w:r>
      <w:r w:rsidRPr="00085328">
        <w:rPr>
          <w:rFonts w:ascii="Arial" w:hAnsi="Arial" w:cs="Arial"/>
          <w:sz w:val="28"/>
          <w:szCs w:val="28"/>
        </w:rPr>
        <w:t>In any project, the original outlay or investment must be accounted for by net cash flows that far surpass the original outlay.</w:t>
      </w:r>
      <w:r w:rsidR="007E7B25">
        <w:rPr>
          <w:rFonts w:ascii="Arial" w:hAnsi="Arial" w:cs="Arial"/>
          <w:sz w:val="28"/>
          <w:szCs w:val="28"/>
        </w:rPr>
        <w:t xml:space="preserve"> </w:t>
      </w:r>
      <w:r w:rsidR="007E7B25" w:rsidRPr="007E7B25">
        <w:rPr>
          <w:rFonts w:ascii="Arial" w:hAnsi="Arial" w:cs="Arial"/>
          <w:sz w:val="28"/>
          <w:szCs w:val="28"/>
        </w:rPr>
        <w:t>The higher those cash flows opposed to the initial outlay, the higher the IRR would be a hopeful investment for a project</w:t>
      </w:r>
      <w:r w:rsidR="007E7B25">
        <w:rPr>
          <w:rFonts w:ascii="Arial" w:hAnsi="Arial" w:cs="Arial"/>
          <w:sz w:val="28"/>
          <w:szCs w:val="28"/>
        </w:rPr>
        <w:t xml:space="preserve"> </w:t>
      </w:r>
      <w:sdt>
        <w:sdtPr>
          <w:rPr>
            <w:rFonts w:ascii="Arial" w:hAnsi="Arial" w:cs="Arial"/>
            <w:sz w:val="28"/>
            <w:szCs w:val="28"/>
          </w:rPr>
          <w:id w:val="-1771312758"/>
          <w:citation/>
        </w:sdtPr>
        <w:sdtEndPr/>
        <w:sdtContent>
          <w:r w:rsidR="00516D7F" w:rsidRPr="00F81F36">
            <w:rPr>
              <w:rFonts w:ascii="Arial" w:hAnsi="Arial" w:cs="Arial"/>
              <w:sz w:val="28"/>
              <w:szCs w:val="28"/>
            </w:rPr>
            <w:fldChar w:fldCharType="begin"/>
          </w:r>
          <w:r w:rsidR="00516D7F" w:rsidRPr="00F81F36">
            <w:rPr>
              <w:rFonts w:ascii="Arial" w:hAnsi="Arial" w:cs="Arial"/>
              <w:sz w:val="28"/>
              <w:szCs w:val="28"/>
            </w:rPr>
            <w:instrText xml:space="preserve"> CITATION Ada193 \l 2057 </w:instrText>
          </w:r>
          <w:r w:rsidR="00516D7F" w:rsidRPr="00F81F36">
            <w:rPr>
              <w:rFonts w:ascii="Arial" w:hAnsi="Arial" w:cs="Arial"/>
              <w:sz w:val="28"/>
              <w:szCs w:val="28"/>
            </w:rPr>
            <w:fldChar w:fldCharType="separate"/>
          </w:r>
          <w:r w:rsidR="00516D7F" w:rsidRPr="00F81F36">
            <w:rPr>
              <w:rFonts w:ascii="Arial" w:hAnsi="Arial" w:cs="Arial"/>
              <w:noProof/>
              <w:sz w:val="28"/>
              <w:szCs w:val="28"/>
            </w:rPr>
            <w:t>(Hayes, 2019)</w:t>
          </w:r>
          <w:r w:rsidR="00516D7F" w:rsidRPr="00F81F36">
            <w:rPr>
              <w:rFonts w:ascii="Arial" w:hAnsi="Arial" w:cs="Arial"/>
              <w:sz w:val="28"/>
              <w:szCs w:val="28"/>
            </w:rPr>
            <w:fldChar w:fldCharType="end"/>
          </w:r>
        </w:sdtContent>
      </w:sdt>
      <w:r w:rsidR="007E7B25" w:rsidRPr="00F81F36">
        <w:rPr>
          <w:rFonts w:ascii="Arial" w:hAnsi="Arial" w:cs="Arial"/>
          <w:sz w:val="28"/>
          <w:szCs w:val="28"/>
        </w:rPr>
        <w:t>.</w:t>
      </w:r>
    </w:p>
    <w:p w14:paraId="4D5A967F" w14:textId="4D3911B2" w:rsidR="003E7448" w:rsidRDefault="00F81F36" w:rsidP="003E7448">
      <w:pPr>
        <w:pStyle w:val="NormalWeb"/>
        <w:spacing w:before="0" w:beforeAutospacing="0" w:after="240" w:afterAutospacing="0"/>
        <w:jc w:val="both"/>
        <w:rPr>
          <w:rFonts w:ascii="Arial" w:hAnsi="Arial" w:cs="Arial"/>
          <w:sz w:val="28"/>
          <w:szCs w:val="28"/>
        </w:rPr>
      </w:pPr>
      <w:r w:rsidRPr="00F81F36">
        <w:rPr>
          <w:rFonts w:ascii="Arial" w:hAnsi="Arial" w:cs="Arial"/>
          <w:sz w:val="28"/>
          <w:szCs w:val="28"/>
        </w:rPr>
        <w:t>The project having the highest value of IRR should be accepted when comparing two or more projects which are mutually exclusive.</w:t>
      </w:r>
    </w:p>
    <w:p w14:paraId="4CE3FB96" w14:textId="1549498B" w:rsidR="0030173B" w:rsidRPr="001C6A75" w:rsidRDefault="001C6A75" w:rsidP="001C6A75">
      <w:pPr>
        <w:pStyle w:val="NormalWeb"/>
        <w:spacing w:before="0" w:beforeAutospacing="0" w:after="240" w:afterAutospacing="0"/>
        <w:jc w:val="both"/>
        <w:rPr>
          <w:rFonts w:ascii="Arial" w:hAnsi="Arial" w:cs="Arial"/>
          <w:sz w:val="28"/>
          <w:szCs w:val="28"/>
        </w:rPr>
      </w:pPr>
      <w:r w:rsidRPr="001C6A75">
        <w:rPr>
          <w:rFonts w:ascii="Arial" w:hAnsi="Arial" w:cs="Arial"/>
          <w:sz w:val="28"/>
          <w:szCs w:val="28"/>
        </w:rPr>
        <w:t>A modified version of the IRR, called the modified internal rate of return, tries to minimise this issue by determining the internal rate of return in which net cash flows are reinvested at a rate below the in</w:t>
      </w:r>
      <w:r>
        <w:rPr>
          <w:rFonts w:ascii="Arial" w:hAnsi="Arial" w:cs="Arial"/>
          <w:sz w:val="28"/>
          <w:szCs w:val="28"/>
        </w:rPr>
        <w:t>ternal rate of return</w:t>
      </w:r>
      <w:r w:rsidRPr="001C6A75">
        <w:rPr>
          <w:rFonts w:ascii="Arial" w:hAnsi="Arial" w:cs="Arial"/>
          <w:sz w:val="28"/>
          <w:szCs w:val="28"/>
        </w:rPr>
        <w:t xml:space="preserve"> itself</w:t>
      </w:r>
      <w:r>
        <w:rPr>
          <w:rFonts w:ascii="Arial" w:hAnsi="Arial" w:cs="Arial"/>
          <w:sz w:val="28"/>
          <w:szCs w:val="28"/>
        </w:rPr>
        <w:t xml:space="preserve"> </w:t>
      </w:r>
      <w:sdt>
        <w:sdtPr>
          <w:rPr>
            <w:rFonts w:ascii="Arial" w:hAnsi="Arial" w:cs="Arial"/>
            <w:sz w:val="28"/>
            <w:szCs w:val="28"/>
          </w:rPr>
          <w:id w:val="-122923705"/>
          <w:citation/>
        </w:sdtPr>
        <w:sdtEndPr/>
        <w:sdtContent>
          <w:r w:rsidR="00516D7F" w:rsidRPr="001C6A75">
            <w:rPr>
              <w:rFonts w:ascii="Arial" w:hAnsi="Arial" w:cs="Arial"/>
              <w:sz w:val="28"/>
              <w:szCs w:val="28"/>
            </w:rPr>
            <w:fldChar w:fldCharType="begin"/>
          </w:r>
          <w:r w:rsidR="00516D7F" w:rsidRPr="001C6A75">
            <w:rPr>
              <w:rFonts w:ascii="Arial" w:hAnsi="Arial" w:cs="Arial"/>
              <w:sz w:val="28"/>
              <w:szCs w:val="28"/>
            </w:rPr>
            <w:instrText xml:space="preserve"> CITATION Bar19 \l 2057 </w:instrText>
          </w:r>
          <w:r w:rsidR="00516D7F" w:rsidRPr="001C6A75">
            <w:rPr>
              <w:rFonts w:ascii="Arial" w:hAnsi="Arial" w:cs="Arial"/>
              <w:sz w:val="28"/>
              <w:szCs w:val="28"/>
            </w:rPr>
            <w:fldChar w:fldCharType="separate"/>
          </w:r>
          <w:r w:rsidR="00516D7F" w:rsidRPr="001C6A75">
            <w:rPr>
              <w:rFonts w:ascii="Arial" w:hAnsi="Arial" w:cs="Arial"/>
              <w:noProof/>
              <w:sz w:val="28"/>
              <w:szCs w:val="28"/>
            </w:rPr>
            <w:t>(Palmer, 2019)</w:t>
          </w:r>
          <w:r w:rsidR="00516D7F" w:rsidRPr="001C6A75">
            <w:rPr>
              <w:rFonts w:ascii="Arial" w:hAnsi="Arial" w:cs="Arial"/>
              <w:sz w:val="28"/>
              <w:szCs w:val="28"/>
            </w:rPr>
            <w:fldChar w:fldCharType="end"/>
          </w:r>
        </w:sdtContent>
      </w:sdt>
      <w:r w:rsidR="00F538E7" w:rsidRPr="001C6A75">
        <w:rPr>
          <w:rFonts w:ascii="Arial" w:hAnsi="Arial" w:cs="Arial"/>
          <w:sz w:val="28"/>
          <w:szCs w:val="28"/>
        </w:rPr>
        <w:t>.</w:t>
      </w:r>
    </w:p>
    <w:p w14:paraId="3FF90B73" w14:textId="77777777" w:rsidR="00237194" w:rsidRPr="003E7448" w:rsidRDefault="00237194" w:rsidP="00237194">
      <w:pPr>
        <w:spacing w:line="360" w:lineRule="auto"/>
        <w:jc w:val="both"/>
        <w:rPr>
          <w:rFonts w:cs="Arial"/>
          <w:sz w:val="24"/>
          <w:szCs w:val="24"/>
        </w:rPr>
      </w:pPr>
    </w:p>
    <w:tbl>
      <w:tblPr>
        <w:tblW w:w="1800" w:type="dxa"/>
        <w:tblLook w:val="04A0" w:firstRow="1" w:lastRow="0" w:firstColumn="1" w:lastColumn="0" w:noHBand="0" w:noVBand="1"/>
      </w:tblPr>
      <w:tblGrid>
        <w:gridCol w:w="1800"/>
      </w:tblGrid>
      <w:tr w:rsidR="00237194" w:rsidRPr="00050A18" w14:paraId="3B14C956" w14:textId="77777777" w:rsidTr="003B25E1">
        <w:trPr>
          <w:trHeight w:val="300"/>
        </w:trPr>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392387" w14:textId="77777777" w:rsidR="00237194" w:rsidRPr="00050A18" w:rsidRDefault="00237194" w:rsidP="003B25E1">
            <w:pPr>
              <w:spacing w:after="0" w:line="240" w:lineRule="auto"/>
              <w:jc w:val="both"/>
              <w:rPr>
                <w:rFonts w:ascii="Calibri" w:eastAsia="Times New Roman" w:hAnsi="Calibri" w:cs="Calibri"/>
                <w:color w:val="000000"/>
                <w:sz w:val="22"/>
                <w:lang w:eastAsia="en-GB"/>
              </w:rPr>
            </w:pPr>
            <w:r w:rsidRPr="00050A18">
              <w:rPr>
                <w:rFonts w:ascii="Calibri" w:eastAsia="Times New Roman" w:hAnsi="Calibri" w:cs="Calibri"/>
                <w:color w:val="000000"/>
                <w:sz w:val="22"/>
                <w:lang w:eastAsia="en-GB"/>
              </w:rPr>
              <w:t>3.92%</w:t>
            </w:r>
          </w:p>
        </w:tc>
      </w:tr>
      <w:tr w:rsidR="00237194" w:rsidRPr="00050A18" w14:paraId="75F26B09" w14:textId="77777777" w:rsidTr="003B25E1">
        <w:trPr>
          <w:trHeight w:val="30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277CB32C" w14:textId="77777777" w:rsidR="00237194" w:rsidRPr="00050A18" w:rsidRDefault="00237194" w:rsidP="003B25E1">
            <w:pPr>
              <w:spacing w:after="0" w:line="240" w:lineRule="auto"/>
              <w:jc w:val="both"/>
              <w:rPr>
                <w:rFonts w:ascii="Calibri" w:eastAsia="Times New Roman" w:hAnsi="Calibri" w:cs="Calibri"/>
                <w:color w:val="000000"/>
                <w:sz w:val="22"/>
                <w:lang w:eastAsia="en-GB"/>
              </w:rPr>
            </w:pPr>
            <w:r w:rsidRPr="00050A18">
              <w:rPr>
                <w:rFonts w:ascii="Calibri" w:eastAsia="Times New Roman" w:hAnsi="Calibri" w:cs="Calibri"/>
                <w:color w:val="000000"/>
                <w:sz w:val="22"/>
                <w:lang w:eastAsia="en-GB"/>
              </w:rPr>
              <w:t>2.70%</w:t>
            </w:r>
          </w:p>
        </w:tc>
      </w:tr>
      <w:tr w:rsidR="00237194" w:rsidRPr="00050A18" w14:paraId="763A15CF" w14:textId="77777777" w:rsidTr="003B25E1">
        <w:trPr>
          <w:trHeight w:val="30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7001201E" w14:textId="77777777" w:rsidR="00237194" w:rsidRPr="00050A18" w:rsidRDefault="00237194" w:rsidP="003B25E1">
            <w:pPr>
              <w:spacing w:after="0" w:line="240" w:lineRule="auto"/>
              <w:jc w:val="both"/>
              <w:rPr>
                <w:rFonts w:ascii="Calibri" w:eastAsia="Times New Roman" w:hAnsi="Calibri" w:cs="Calibri"/>
                <w:color w:val="000000"/>
                <w:sz w:val="22"/>
                <w:lang w:eastAsia="en-GB"/>
              </w:rPr>
            </w:pPr>
            <w:r w:rsidRPr="00050A18">
              <w:rPr>
                <w:rFonts w:ascii="Calibri" w:eastAsia="Times New Roman" w:hAnsi="Calibri" w:cs="Calibri"/>
                <w:color w:val="000000"/>
                <w:sz w:val="22"/>
                <w:lang w:eastAsia="en-GB"/>
              </w:rPr>
              <w:t>3.65%</w:t>
            </w:r>
          </w:p>
        </w:tc>
      </w:tr>
      <w:tr w:rsidR="00237194" w:rsidRPr="00050A18" w14:paraId="5EBABFCA" w14:textId="77777777" w:rsidTr="003B25E1">
        <w:trPr>
          <w:trHeight w:val="30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2D638A3B" w14:textId="77777777" w:rsidR="00237194" w:rsidRPr="00050A18" w:rsidRDefault="00237194" w:rsidP="003B25E1">
            <w:pPr>
              <w:spacing w:after="0" w:line="240" w:lineRule="auto"/>
              <w:jc w:val="both"/>
              <w:rPr>
                <w:rFonts w:ascii="Calibri" w:eastAsia="Times New Roman" w:hAnsi="Calibri" w:cs="Calibri"/>
                <w:color w:val="000000"/>
                <w:sz w:val="22"/>
                <w:lang w:eastAsia="en-GB"/>
              </w:rPr>
            </w:pPr>
            <w:r w:rsidRPr="00050A18">
              <w:rPr>
                <w:rFonts w:ascii="Calibri" w:eastAsia="Times New Roman" w:hAnsi="Calibri" w:cs="Calibri"/>
                <w:color w:val="000000"/>
                <w:sz w:val="22"/>
                <w:lang w:eastAsia="en-GB"/>
              </w:rPr>
              <w:t>2.74%</w:t>
            </w:r>
          </w:p>
        </w:tc>
      </w:tr>
      <w:tr w:rsidR="00237194" w:rsidRPr="00050A18" w14:paraId="24359144" w14:textId="77777777" w:rsidTr="003B25E1">
        <w:trPr>
          <w:trHeight w:val="30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3D5C97BA" w14:textId="77777777" w:rsidR="00237194" w:rsidRPr="00050A18" w:rsidRDefault="00237194" w:rsidP="003B25E1">
            <w:pPr>
              <w:spacing w:after="0" w:line="240" w:lineRule="auto"/>
              <w:jc w:val="both"/>
              <w:rPr>
                <w:rFonts w:ascii="Calibri" w:eastAsia="Times New Roman" w:hAnsi="Calibri" w:cs="Calibri"/>
                <w:color w:val="000000"/>
                <w:sz w:val="22"/>
                <w:lang w:eastAsia="en-GB"/>
              </w:rPr>
            </w:pPr>
            <w:r w:rsidRPr="00050A18">
              <w:rPr>
                <w:rFonts w:ascii="Calibri" w:eastAsia="Times New Roman" w:hAnsi="Calibri" w:cs="Calibri"/>
                <w:color w:val="000000"/>
                <w:sz w:val="22"/>
                <w:lang w:eastAsia="en-GB"/>
              </w:rPr>
              <w:t>2.48%</w:t>
            </w:r>
          </w:p>
        </w:tc>
      </w:tr>
    </w:tbl>
    <w:p w14:paraId="36129740" w14:textId="77777777" w:rsidR="00237194" w:rsidRDefault="00237194" w:rsidP="00237194">
      <w:pPr>
        <w:spacing w:line="360" w:lineRule="auto"/>
        <w:jc w:val="both"/>
        <w:rPr>
          <w:rFonts w:cs="Arial"/>
          <w:sz w:val="24"/>
          <w:szCs w:val="24"/>
        </w:rPr>
      </w:pPr>
      <w:r>
        <w:rPr>
          <w:rFonts w:cs="Arial"/>
          <w:sz w:val="24"/>
          <w:szCs w:val="24"/>
        </w:rPr>
        <w:t xml:space="preserve"> Industry standards</w:t>
      </w:r>
    </w:p>
    <w:p w14:paraId="024138E9" w14:textId="77777777" w:rsidR="00237194" w:rsidRPr="00D2291D" w:rsidRDefault="00237194" w:rsidP="00237194">
      <w:pPr>
        <w:spacing w:line="360" w:lineRule="auto"/>
        <w:jc w:val="both"/>
        <w:rPr>
          <w:rFonts w:cs="Arial"/>
          <w:sz w:val="24"/>
          <w:szCs w:val="24"/>
        </w:rPr>
      </w:pPr>
      <w:r w:rsidRPr="00050A18">
        <w:rPr>
          <w:rFonts w:cs="Arial"/>
          <w:sz w:val="24"/>
          <w:szCs w:val="24"/>
        </w:rPr>
        <w:t>https://csimarket.com/Industry/industry_Profitability_Ratios.php?ind=1308&amp;hist=4</w:t>
      </w:r>
    </w:p>
    <w:p w14:paraId="5DC5447B" w14:textId="3170F7F8" w:rsidR="0030173B" w:rsidRDefault="0030173B" w:rsidP="00DA2F53">
      <w:pPr>
        <w:spacing w:line="360" w:lineRule="auto"/>
        <w:jc w:val="both"/>
        <w:rPr>
          <w:rFonts w:cs="Arial"/>
          <w:sz w:val="24"/>
          <w:szCs w:val="24"/>
        </w:rPr>
      </w:pPr>
    </w:p>
    <w:p w14:paraId="55E5B87D" w14:textId="3E628221" w:rsidR="0030173B" w:rsidRDefault="0030173B" w:rsidP="00DA2F53">
      <w:pPr>
        <w:spacing w:line="360" w:lineRule="auto"/>
        <w:jc w:val="both"/>
        <w:rPr>
          <w:rFonts w:cs="Arial"/>
          <w:sz w:val="24"/>
          <w:szCs w:val="24"/>
        </w:rPr>
      </w:pPr>
    </w:p>
    <w:p w14:paraId="642703F4" w14:textId="75DF8F3E" w:rsidR="0030173B" w:rsidRDefault="0030173B" w:rsidP="00DA2F53">
      <w:pPr>
        <w:spacing w:line="360" w:lineRule="auto"/>
        <w:jc w:val="both"/>
        <w:rPr>
          <w:rFonts w:cs="Arial"/>
          <w:sz w:val="24"/>
          <w:szCs w:val="24"/>
        </w:rPr>
      </w:pPr>
    </w:p>
    <w:p w14:paraId="1C873EA1" w14:textId="77777777" w:rsidR="0030173B" w:rsidRPr="00D2291D" w:rsidRDefault="0030173B" w:rsidP="00DA2F53">
      <w:pPr>
        <w:spacing w:line="360" w:lineRule="auto"/>
        <w:jc w:val="both"/>
        <w:rPr>
          <w:rFonts w:cs="Arial"/>
          <w:sz w:val="24"/>
          <w:szCs w:val="24"/>
        </w:rPr>
      </w:pPr>
    </w:p>
    <w:p w14:paraId="0CBC644A" w14:textId="738E9BFB" w:rsidR="00284720" w:rsidRPr="002049FE" w:rsidRDefault="002049FE" w:rsidP="00DA2F53">
      <w:pPr>
        <w:pStyle w:val="Heading2"/>
        <w:jc w:val="both"/>
      </w:pPr>
      <w:bookmarkStart w:id="2" w:name="_Toc456977344"/>
      <w:r w:rsidRPr="002049FE">
        <w:t>Section 5</w:t>
      </w:r>
      <w:bookmarkEnd w:id="2"/>
    </w:p>
    <w:p w14:paraId="1B4838B8" w14:textId="08B9C2F9" w:rsidR="00964538" w:rsidRDefault="00964538" w:rsidP="00DA2F53">
      <w:pPr>
        <w:spacing w:line="360" w:lineRule="auto"/>
        <w:jc w:val="both"/>
        <w:rPr>
          <w:rFonts w:cs="Arial"/>
          <w:sz w:val="24"/>
          <w:szCs w:val="24"/>
        </w:rPr>
      </w:pPr>
    </w:p>
    <w:p w14:paraId="597989C5" w14:textId="283CF797" w:rsidR="0030173B" w:rsidRDefault="0030173B" w:rsidP="00DA2F53">
      <w:pPr>
        <w:spacing w:line="360" w:lineRule="auto"/>
        <w:jc w:val="both"/>
        <w:rPr>
          <w:rFonts w:cs="Arial"/>
          <w:sz w:val="24"/>
          <w:szCs w:val="24"/>
        </w:rPr>
      </w:pPr>
    </w:p>
    <w:p w14:paraId="45F31660" w14:textId="031E1AC8" w:rsidR="0030173B" w:rsidRDefault="0030173B" w:rsidP="00DA2F53">
      <w:pPr>
        <w:spacing w:line="360" w:lineRule="auto"/>
        <w:jc w:val="both"/>
        <w:rPr>
          <w:rFonts w:cs="Arial"/>
          <w:sz w:val="24"/>
          <w:szCs w:val="24"/>
        </w:rPr>
      </w:pPr>
    </w:p>
    <w:p w14:paraId="34F623FA" w14:textId="441F636F" w:rsidR="0030173B" w:rsidRDefault="0030173B" w:rsidP="00DA2F53">
      <w:pPr>
        <w:spacing w:line="360" w:lineRule="auto"/>
        <w:jc w:val="both"/>
        <w:rPr>
          <w:rFonts w:cs="Arial"/>
          <w:sz w:val="24"/>
          <w:szCs w:val="24"/>
        </w:rPr>
      </w:pPr>
    </w:p>
    <w:p w14:paraId="03366BE6" w14:textId="77777777" w:rsidR="0030173B" w:rsidRPr="00D2291D" w:rsidRDefault="0030173B" w:rsidP="00DA2F53">
      <w:pPr>
        <w:spacing w:line="360" w:lineRule="auto"/>
        <w:jc w:val="both"/>
        <w:rPr>
          <w:rFonts w:cs="Arial"/>
          <w:sz w:val="24"/>
          <w:szCs w:val="24"/>
        </w:rPr>
      </w:pPr>
    </w:p>
    <w:p w14:paraId="3CB4BA0B" w14:textId="4FDF7396" w:rsidR="00964538" w:rsidRPr="002049FE" w:rsidRDefault="002049FE" w:rsidP="00DA2F53">
      <w:pPr>
        <w:pStyle w:val="Heading2"/>
        <w:jc w:val="both"/>
      </w:pPr>
      <w:bookmarkStart w:id="3" w:name="_Toc456977345"/>
      <w:r w:rsidRPr="002049FE">
        <w:t>Section 6</w:t>
      </w:r>
      <w:bookmarkEnd w:id="3"/>
    </w:p>
    <w:p w14:paraId="7C52119B" w14:textId="77777777" w:rsidR="00D2291D" w:rsidRPr="00D2291D" w:rsidRDefault="00D2291D" w:rsidP="00DA2F53">
      <w:pPr>
        <w:jc w:val="both"/>
      </w:pPr>
    </w:p>
    <w:p w14:paraId="7F04C177" w14:textId="4091BEEE" w:rsidR="005225BF" w:rsidRDefault="005225BF" w:rsidP="00DA2F53">
      <w:pPr>
        <w:pStyle w:val="ListParagraph"/>
        <w:spacing w:line="360" w:lineRule="auto"/>
        <w:jc w:val="both"/>
        <w:rPr>
          <w:rFonts w:cs="Arial"/>
          <w:sz w:val="24"/>
          <w:szCs w:val="24"/>
        </w:rPr>
      </w:pPr>
    </w:p>
    <w:p w14:paraId="3256989D" w14:textId="34903228" w:rsidR="0030173B" w:rsidRDefault="0030173B" w:rsidP="00DA2F53">
      <w:pPr>
        <w:pStyle w:val="ListParagraph"/>
        <w:spacing w:line="360" w:lineRule="auto"/>
        <w:jc w:val="both"/>
        <w:rPr>
          <w:rFonts w:cs="Arial"/>
          <w:sz w:val="24"/>
          <w:szCs w:val="24"/>
        </w:rPr>
      </w:pPr>
    </w:p>
    <w:p w14:paraId="1AE0EC92" w14:textId="247E06A7" w:rsidR="00513050" w:rsidRDefault="00513050" w:rsidP="00DA2F53">
      <w:pPr>
        <w:pStyle w:val="ListParagraph"/>
        <w:spacing w:line="360" w:lineRule="auto"/>
        <w:jc w:val="both"/>
        <w:rPr>
          <w:rFonts w:cs="Arial"/>
          <w:sz w:val="24"/>
          <w:szCs w:val="24"/>
        </w:rPr>
      </w:pPr>
    </w:p>
    <w:p w14:paraId="11D1FF86" w14:textId="6DF29611" w:rsidR="00513050" w:rsidRDefault="00513050" w:rsidP="00DA2F53">
      <w:pPr>
        <w:pStyle w:val="ListParagraph"/>
        <w:spacing w:line="360" w:lineRule="auto"/>
        <w:jc w:val="both"/>
        <w:rPr>
          <w:rFonts w:cs="Arial"/>
          <w:sz w:val="24"/>
          <w:szCs w:val="24"/>
        </w:rPr>
      </w:pPr>
    </w:p>
    <w:p w14:paraId="0E73F40E" w14:textId="77777777" w:rsidR="00513050" w:rsidRPr="00D2291D" w:rsidRDefault="00513050" w:rsidP="00DA2F53">
      <w:pPr>
        <w:pStyle w:val="ListParagraph"/>
        <w:spacing w:line="360" w:lineRule="auto"/>
        <w:jc w:val="both"/>
        <w:rPr>
          <w:rFonts w:cs="Arial"/>
          <w:sz w:val="24"/>
          <w:szCs w:val="24"/>
        </w:rPr>
      </w:pPr>
    </w:p>
    <w:p w14:paraId="52CE6B68" w14:textId="51FBB7B5" w:rsidR="00885114" w:rsidRDefault="00513050" w:rsidP="00DA2F53">
      <w:pPr>
        <w:pStyle w:val="Heading1"/>
        <w:jc w:val="both"/>
      </w:pPr>
      <w:bookmarkStart w:id="4" w:name="_Toc456977346"/>
      <w:r>
        <w:t>Conclusion</w:t>
      </w:r>
      <w:bookmarkStart w:id="5" w:name="_Toc456901523"/>
      <w:bookmarkEnd w:id="4"/>
    </w:p>
    <w:p w14:paraId="40C3720C" w14:textId="61730C3E" w:rsidR="0096358A" w:rsidRDefault="0096358A" w:rsidP="00DA2F53">
      <w:pPr>
        <w:jc w:val="both"/>
      </w:pPr>
    </w:p>
    <w:p w14:paraId="15A9A2E8" w14:textId="77777777" w:rsidR="0096358A" w:rsidRPr="0096358A" w:rsidRDefault="0096358A" w:rsidP="00DA2F53">
      <w:pPr>
        <w:jc w:val="both"/>
      </w:pPr>
    </w:p>
    <w:p w14:paraId="24C0E20B" w14:textId="77777777" w:rsidR="00885114" w:rsidRDefault="00885114" w:rsidP="00DA2F53">
      <w:pPr>
        <w:pStyle w:val="Heading2"/>
        <w:jc w:val="both"/>
      </w:pPr>
      <w:bookmarkStart w:id="6" w:name="_GoBack"/>
      <w:bookmarkEnd w:id="6"/>
    </w:p>
    <w:bookmarkEnd w:id="5" w:displacedByCustomXml="next"/>
    <w:sdt>
      <w:sdtPr>
        <w:rPr>
          <w:rFonts w:asciiTheme="minorHAnsi" w:eastAsiaTheme="minorHAnsi" w:hAnsiTheme="minorHAnsi" w:cstheme="minorBidi"/>
          <w:color w:val="auto"/>
          <w:sz w:val="22"/>
          <w:szCs w:val="22"/>
        </w:rPr>
        <w:id w:val="1656025712"/>
        <w:docPartObj>
          <w:docPartGallery w:val="Bibliographies"/>
          <w:docPartUnique/>
        </w:docPartObj>
      </w:sdtPr>
      <w:sdtEndPr>
        <w:rPr>
          <w:rFonts w:ascii="Arial" w:eastAsiaTheme="majorEastAsia" w:hAnsi="Arial" w:cstheme="majorBidi"/>
          <w:color w:val="2E74B5" w:themeColor="accent1" w:themeShade="BF"/>
          <w:sz w:val="36"/>
          <w:szCs w:val="32"/>
        </w:rPr>
      </w:sdtEndPr>
      <w:sdtContent>
        <w:p w14:paraId="50F02779" w14:textId="29C8F273" w:rsidR="00BE7C15" w:rsidRDefault="00BE7C15" w:rsidP="00DA2F53">
          <w:pPr>
            <w:pStyle w:val="Heading1"/>
            <w:jc w:val="both"/>
          </w:pPr>
          <w:r>
            <w:t>References</w:t>
          </w:r>
        </w:p>
      </w:sdtContent>
    </w:sdt>
    <w:p w14:paraId="3B67FA8A" w14:textId="59C1FE18" w:rsidR="00BE7C15" w:rsidRDefault="00BE7C15" w:rsidP="00DA2F53">
      <w:pPr>
        <w:pStyle w:val="Heading1"/>
        <w:jc w:val="both"/>
      </w:pPr>
    </w:p>
    <w:sdt>
      <w:sdtPr>
        <w:rPr>
          <w:rFonts w:asciiTheme="minorHAnsi" w:eastAsiaTheme="minorHAnsi" w:hAnsiTheme="minorHAnsi" w:cstheme="minorBidi"/>
          <w:color w:val="auto"/>
          <w:sz w:val="22"/>
          <w:szCs w:val="22"/>
        </w:rPr>
        <w:id w:val="220343913"/>
        <w:docPartObj>
          <w:docPartGallery w:val="Bibliographies"/>
          <w:docPartUnique/>
        </w:docPartObj>
      </w:sdtPr>
      <w:sdtEndPr>
        <w:rPr>
          <w:rFonts w:ascii="Arial" w:hAnsi="Arial"/>
          <w:sz w:val="28"/>
        </w:rPr>
      </w:sdtEndPr>
      <w:sdtContent>
        <w:p w14:paraId="071AF676" w14:textId="5602FF68" w:rsidR="00BE7C15" w:rsidRDefault="00BE7C15" w:rsidP="00DA2F53">
          <w:pPr>
            <w:pStyle w:val="Heading2"/>
            <w:jc w:val="both"/>
          </w:pPr>
        </w:p>
        <w:p w14:paraId="306DD433" w14:textId="1F035687" w:rsidR="0004503C" w:rsidRDefault="00EA0CA8" w:rsidP="00DA2F53">
          <w:pPr>
            <w:jc w:val="both"/>
          </w:pPr>
        </w:p>
      </w:sdtContent>
    </w:sdt>
    <w:p w14:paraId="1A43F908" w14:textId="43135968" w:rsidR="003F69D6" w:rsidRPr="0004503C" w:rsidRDefault="003F69D6" w:rsidP="00DA2F53">
      <w:pPr>
        <w:pStyle w:val="Heading2"/>
        <w:jc w:val="both"/>
        <w:rPr>
          <w:rFonts w:cs="Arial"/>
        </w:rPr>
      </w:pPr>
    </w:p>
    <w:p w14:paraId="3CB5583D" w14:textId="77777777" w:rsidR="003F69D6" w:rsidRDefault="003F69D6" w:rsidP="00DA2F53">
      <w:pPr>
        <w:jc w:val="both"/>
      </w:pPr>
    </w:p>
    <w:p w14:paraId="68B3BFB5" w14:textId="749FB1DF" w:rsidR="003F69D6" w:rsidRDefault="003F69D6" w:rsidP="00DA2F53">
      <w:pPr>
        <w:jc w:val="both"/>
      </w:pPr>
    </w:p>
    <w:p w14:paraId="2D77A928" w14:textId="42CEB1B0" w:rsidR="0030173B" w:rsidRDefault="0030173B" w:rsidP="00DA2F53">
      <w:pPr>
        <w:jc w:val="both"/>
      </w:pPr>
    </w:p>
    <w:p w14:paraId="06DF5BD7" w14:textId="742B45FB" w:rsidR="0030173B" w:rsidRDefault="0030173B" w:rsidP="00DA2F53">
      <w:pPr>
        <w:jc w:val="both"/>
      </w:pPr>
      <w:r>
        <w:br w:type="page"/>
      </w:r>
    </w:p>
    <w:p w14:paraId="3B28B415" w14:textId="77777777" w:rsidR="0030173B" w:rsidRDefault="0030173B" w:rsidP="00DA2F53">
      <w:pPr>
        <w:jc w:val="both"/>
      </w:pPr>
    </w:p>
    <w:p w14:paraId="52CE686E" w14:textId="3780EB1C" w:rsidR="003F69D6" w:rsidRDefault="003F69D6" w:rsidP="00DA2F53">
      <w:pPr>
        <w:pStyle w:val="Heading2"/>
        <w:jc w:val="both"/>
      </w:pPr>
      <w:r>
        <w:t xml:space="preserve"> </w:t>
      </w:r>
      <w:bookmarkStart w:id="7" w:name="_Toc456977348"/>
      <w:r w:rsidR="002049FE">
        <w:t>Appendix 1</w:t>
      </w:r>
      <w:bookmarkEnd w:id="7"/>
    </w:p>
    <w:p w14:paraId="61EEA2E2" w14:textId="2A177C38" w:rsidR="002049FE" w:rsidRDefault="002049FE" w:rsidP="00DA2F53">
      <w:pPr>
        <w:jc w:val="both"/>
      </w:pPr>
    </w:p>
    <w:p w14:paraId="62053640" w14:textId="6F84F52C" w:rsidR="0030173B" w:rsidRDefault="0030173B" w:rsidP="00DA2F53">
      <w:pPr>
        <w:jc w:val="both"/>
      </w:pPr>
      <w:r>
        <w:br w:type="page"/>
      </w:r>
    </w:p>
    <w:p w14:paraId="5ABE7B84" w14:textId="77777777" w:rsidR="0030173B" w:rsidRDefault="0030173B" w:rsidP="00DA2F53">
      <w:pPr>
        <w:jc w:val="both"/>
      </w:pPr>
    </w:p>
    <w:p w14:paraId="7766DD1E" w14:textId="6897E53F" w:rsidR="002049FE" w:rsidRPr="003F69D6" w:rsidRDefault="002049FE" w:rsidP="002049FE">
      <w:pPr>
        <w:pStyle w:val="Heading2"/>
      </w:pPr>
      <w:bookmarkStart w:id="8" w:name="_Toc456977349"/>
      <w:r>
        <w:t>Appendix 2</w:t>
      </w:r>
      <w:bookmarkEnd w:id="8"/>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8B0F40"/>
    <w:multiLevelType w:val="multilevel"/>
    <w:tmpl w:val="55A8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925BFF"/>
    <w:multiLevelType w:val="multilevel"/>
    <w:tmpl w:val="11566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162A3"/>
    <w:multiLevelType w:val="hybridMultilevel"/>
    <w:tmpl w:val="C10A2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90268DA"/>
    <w:multiLevelType w:val="multilevel"/>
    <w:tmpl w:val="6CBA7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D232C4"/>
    <w:multiLevelType w:val="hybridMultilevel"/>
    <w:tmpl w:val="6CB6FCA6"/>
    <w:lvl w:ilvl="0" w:tplc="10947840">
      <w:start w:val="1"/>
      <w:numFmt w:val="bullet"/>
      <w:lvlText w:val="•"/>
      <w:lvlJc w:val="left"/>
      <w:pPr>
        <w:tabs>
          <w:tab w:val="num" w:pos="720"/>
        </w:tabs>
        <w:ind w:left="720" w:hanging="360"/>
      </w:pPr>
      <w:rPr>
        <w:rFonts w:ascii="Times New Roman" w:hAnsi="Times New Roman" w:hint="default"/>
      </w:rPr>
    </w:lvl>
    <w:lvl w:ilvl="1" w:tplc="D5A0DA1C" w:tentative="1">
      <w:start w:val="1"/>
      <w:numFmt w:val="bullet"/>
      <w:lvlText w:val="•"/>
      <w:lvlJc w:val="left"/>
      <w:pPr>
        <w:tabs>
          <w:tab w:val="num" w:pos="1440"/>
        </w:tabs>
        <w:ind w:left="1440" w:hanging="360"/>
      </w:pPr>
      <w:rPr>
        <w:rFonts w:ascii="Times New Roman" w:hAnsi="Times New Roman" w:hint="default"/>
      </w:rPr>
    </w:lvl>
    <w:lvl w:ilvl="2" w:tplc="25DCE50A" w:tentative="1">
      <w:start w:val="1"/>
      <w:numFmt w:val="bullet"/>
      <w:lvlText w:val="•"/>
      <w:lvlJc w:val="left"/>
      <w:pPr>
        <w:tabs>
          <w:tab w:val="num" w:pos="2160"/>
        </w:tabs>
        <w:ind w:left="2160" w:hanging="360"/>
      </w:pPr>
      <w:rPr>
        <w:rFonts w:ascii="Times New Roman" w:hAnsi="Times New Roman" w:hint="default"/>
      </w:rPr>
    </w:lvl>
    <w:lvl w:ilvl="3" w:tplc="546AEB46" w:tentative="1">
      <w:start w:val="1"/>
      <w:numFmt w:val="bullet"/>
      <w:lvlText w:val="•"/>
      <w:lvlJc w:val="left"/>
      <w:pPr>
        <w:tabs>
          <w:tab w:val="num" w:pos="2880"/>
        </w:tabs>
        <w:ind w:left="2880" w:hanging="360"/>
      </w:pPr>
      <w:rPr>
        <w:rFonts w:ascii="Times New Roman" w:hAnsi="Times New Roman" w:hint="default"/>
      </w:rPr>
    </w:lvl>
    <w:lvl w:ilvl="4" w:tplc="834C7FAA" w:tentative="1">
      <w:start w:val="1"/>
      <w:numFmt w:val="bullet"/>
      <w:lvlText w:val="•"/>
      <w:lvlJc w:val="left"/>
      <w:pPr>
        <w:tabs>
          <w:tab w:val="num" w:pos="3600"/>
        </w:tabs>
        <w:ind w:left="3600" w:hanging="360"/>
      </w:pPr>
      <w:rPr>
        <w:rFonts w:ascii="Times New Roman" w:hAnsi="Times New Roman" w:hint="default"/>
      </w:rPr>
    </w:lvl>
    <w:lvl w:ilvl="5" w:tplc="41C80224" w:tentative="1">
      <w:start w:val="1"/>
      <w:numFmt w:val="bullet"/>
      <w:lvlText w:val="•"/>
      <w:lvlJc w:val="left"/>
      <w:pPr>
        <w:tabs>
          <w:tab w:val="num" w:pos="4320"/>
        </w:tabs>
        <w:ind w:left="4320" w:hanging="360"/>
      </w:pPr>
      <w:rPr>
        <w:rFonts w:ascii="Times New Roman" w:hAnsi="Times New Roman" w:hint="default"/>
      </w:rPr>
    </w:lvl>
    <w:lvl w:ilvl="6" w:tplc="95149196" w:tentative="1">
      <w:start w:val="1"/>
      <w:numFmt w:val="bullet"/>
      <w:lvlText w:val="•"/>
      <w:lvlJc w:val="left"/>
      <w:pPr>
        <w:tabs>
          <w:tab w:val="num" w:pos="5040"/>
        </w:tabs>
        <w:ind w:left="5040" w:hanging="360"/>
      </w:pPr>
      <w:rPr>
        <w:rFonts w:ascii="Times New Roman" w:hAnsi="Times New Roman" w:hint="default"/>
      </w:rPr>
    </w:lvl>
    <w:lvl w:ilvl="7" w:tplc="BCB63940" w:tentative="1">
      <w:start w:val="1"/>
      <w:numFmt w:val="bullet"/>
      <w:lvlText w:val="•"/>
      <w:lvlJc w:val="left"/>
      <w:pPr>
        <w:tabs>
          <w:tab w:val="num" w:pos="5760"/>
        </w:tabs>
        <w:ind w:left="5760" w:hanging="360"/>
      </w:pPr>
      <w:rPr>
        <w:rFonts w:ascii="Times New Roman" w:hAnsi="Times New Roman" w:hint="default"/>
      </w:rPr>
    </w:lvl>
    <w:lvl w:ilvl="8" w:tplc="AEA0B62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90E043F"/>
    <w:multiLevelType w:val="multilevel"/>
    <w:tmpl w:val="286E8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5152BF"/>
    <w:multiLevelType w:val="multilevel"/>
    <w:tmpl w:val="65D62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A23616"/>
    <w:multiLevelType w:val="multilevel"/>
    <w:tmpl w:val="6F1AD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08717EC"/>
    <w:multiLevelType w:val="hybridMultilevel"/>
    <w:tmpl w:val="C8E6CDDA"/>
    <w:lvl w:ilvl="0" w:tplc="A240E532">
      <w:start w:val="1"/>
      <w:numFmt w:val="bullet"/>
      <w:lvlText w:val="•"/>
      <w:lvlJc w:val="left"/>
      <w:pPr>
        <w:tabs>
          <w:tab w:val="num" w:pos="720"/>
        </w:tabs>
        <w:ind w:left="720" w:hanging="360"/>
      </w:pPr>
      <w:rPr>
        <w:rFonts w:ascii="Times New Roman" w:hAnsi="Times New Roman" w:hint="default"/>
      </w:rPr>
    </w:lvl>
    <w:lvl w:ilvl="1" w:tplc="66204820" w:tentative="1">
      <w:start w:val="1"/>
      <w:numFmt w:val="bullet"/>
      <w:lvlText w:val="•"/>
      <w:lvlJc w:val="left"/>
      <w:pPr>
        <w:tabs>
          <w:tab w:val="num" w:pos="1440"/>
        </w:tabs>
        <w:ind w:left="1440" w:hanging="360"/>
      </w:pPr>
      <w:rPr>
        <w:rFonts w:ascii="Times New Roman" w:hAnsi="Times New Roman" w:hint="default"/>
      </w:rPr>
    </w:lvl>
    <w:lvl w:ilvl="2" w:tplc="48A414C2" w:tentative="1">
      <w:start w:val="1"/>
      <w:numFmt w:val="bullet"/>
      <w:lvlText w:val="•"/>
      <w:lvlJc w:val="left"/>
      <w:pPr>
        <w:tabs>
          <w:tab w:val="num" w:pos="2160"/>
        </w:tabs>
        <w:ind w:left="2160" w:hanging="360"/>
      </w:pPr>
      <w:rPr>
        <w:rFonts w:ascii="Times New Roman" w:hAnsi="Times New Roman" w:hint="default"/>
      </w:rPr>
    </w:lvl>
    <w:lvl w:ilvl="3" w:tplc="9ACAACB4" w:tentative="1">
      <w:start w:val="1"/>
      <w:numFmt w:val="bullet"/>
      <w:lvlText w:val="•"/>
      <w:lvlJc w:val="left"/>
      <w:pPr>
        <w:tabs>
          <w:tab w:val="num" w:pos="2880"/>
        </w:tabs>
        <w:ind w:left="2880" w:hanging="360"/>
      </w:pPr>
      <w:rPr>
        <w:rFonts w:ascii="Times New Roman" w:hAnsi="Times New Roman" w:hint="default"/>
      </w:rPr>
    </w:lvl>
    <w:lvl w:ilvl="4" w:tplc="1D0CA2CC" w:tentative="1">
      <w:start w:val="1"/>
      <w:numFmt w:val="bullet"/>
      <w:lvlText w:val="•"/>
      <w:lvlJc w:val="left"/>
      <w:pPr>
        <w:tabs>
          <w:tab w:val="num" w:pos="3600"/>
        </w:tabs>
        <w:ind w:left="3600" w:hanging="360"/>
      </w:pPr>
      <w:rPr>
        <w:rFonts w:ascii="Times New Roman" w:hAnsi="Times New Roman" w:hint="default"/>
      </w:rPr>
    </w:lvl>
    <w:lvl w:ilvl="5" w:tplc="0B620724" w:tentative="1">
      <w:start w:val="1"/>
      <w:numFmt w:val="bullet"/>
      <w:lvlText w:val="•"/>
      <w:lvlJc w:val="left"/>
      <w:pPr>
        <w:tabs>
          <w:tab w:val="num" w:pos="4320"/>
        </w:tabs>
        <w:ind w:left="4320" w:hanging="360"/>
      </w:pPr>
      <w:rPr>
        <w:rFonts w:ascii="Times New Roman" w:hAnsi="Times New Roman" w:hint="default"/>
      </w:rPr>
    </w:lvl>
    <w:lvl w:ilvl="6" w:tplc="687A67B8" w:tentative="1">
      <w:start w:val="1"/>
      <w:numFmt w:val="bullet"/>
      <w:lvlText w:val="•"/>
      <w:lvlJc w:val="left"/>
      <w:pPr>
        <w:tabs>
          <w:tab w:val="num" w:pos="5040"/>
        </w:tabs>
        <w:ind w:left="5040" w:hanging="360"/>
      </w:pPr>
      <w:rPr>
        <w:rFonts w:ascii="Times New Roman" w:hAnsi="Times New Roman" w:hint="default"/>
      </w:rPr>
    </w:lvl>
    <w:lvl w:ilvl="7" w:tplc="8F6ED412" w:tentative="1">
      <w:start w:val="1"/>
      <w:numFmt w:val="bullet"/>
      <w:lvlText w:val="•"/>
      <w:lvlJc w:val="left"/>
      <w:pPr>
        <w:tabs>
          <w:tab w:val="num" w:pos="5760"/>
        </w:tabs>
        <w:ind w:left="5760" w:hanging="360"/>
      </w:pPr>
      <w:rPr>
        <w:rFonts w:ascii="Times New Roman" w:hAnsi="Times New Roman" w:hint="default"/>
      </w:rPr>
    </w:lvl>
    <w:lvl w:ilvl="8" w:tplc="3B4AE49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8F334CC"/>
    <w:multiLevelType w:val="hybridMultilevel"/>
    <w:tmpl w:val="5AF83EB0"/>
    <w:lvl w:ilvl="0" w:tplc="629C5F56">
      <w:start w:val="1"/>
      <w:numFmt w:val="bullet"/>
      <w:lvlText w:val="•"/>
      <w:lvlJc w:val="left"/>
      <w:pPr>
        <w:tabs>
          <w:tab w:val="num" w:pos="720"/>
        </w:tabs>
        <w:ind w:left="720" w:hanging="360"/>
      </w:pPr>
      <w:rPr>
        <w:rFonts w:ascii="Times New Roman" w:hAnsi="Times New Roman" w:hint="default"/>
      </w:rPr>
    </w:lvl>
    <w:lvl w:ilvl="1" w:tplc="E15C097C" w:tentative="1">
      <w:start w:val="1"/>
      <w:numFmt w:val="bullet"/>
      <w:lvlText w:val="•"/>
      <w:lvlJc w:val="left"/>
      <w:pPr>
        <w:tabs>
          <w:tab w:val="num" w:pos="1440"/>
        </w:tabs>
        <w:ind w:left="1440" w:hanging="360"/>
      </w:pPr>
      <w:rPr>
        <w:rFonts w:ascii="Times New Roman" w:hAnsi="Times New Roman" w:hint="default"/>
      </w:rPr>
    </w:lvl>
    <w:lvl w:ilvl="2" w:tplc="31D2B12C" w:tentative="1">
      <w:start w:val="1"/>
      <w:numFmt w:val="bullet"/>
      <w:lvlText w:val="•"/>
      <w:lvlJc w:val="left"/>
      <w:pPr>
        <w:tabs>
          <w:tab w:val="num" w:pos="2160"/>
        </w:tabs>
        <w:ind w:left="2160" w:hanging="360"/>
      </w:pPr>
      <w:rPr>
        <w:rFonts w:ascii="Times New Roman" w:hAnsi="Times New Roman" w:hint="default"/>
      </w:rPr>
    </w:lvl>
    <w:lvl w:ilvl="3" w:tplc="5D4ED584" w:tentative="1">
      <w:start w:val="1"/>
      <w:numFmt w:val="bullet"/>
      <w:lvlText w:val="•"/>
      <w:lvlJc w:val="left"/>
      <w:pPr>
        <w:tabs>
          <w:tab w:val="num" w:pos="2880"/>
        </w:tabs>
        <w:ind w:left="2880" w:hanging="360"/>
      </w:pPr>
      <w:rPr>
        <w:rFonts w:ascii="Times New Roman" w:hAnsi="Times New Roman" w:hint="default"/>
      </w:rPr>
    </w:lvl>
    <w:lvl w:ilvl="4" w:tplc="CFD003E8" w:tentative="1">
      <w:start w:val="1"/>
      <w:numFmt w:val="bullet"/>
      <w:lvlText w:val="•"/>
      <w:lvlJc w:val="left"/>
      <w:pPr>
        <w:tabs>
          <w:tab w:val="num" w:pos="3600"/>
        </w:tabs>
        <w:ind w:left="3600" w:hanging="360"/>
      </w:pPr>
      <w:rPr>
        <w:rFonts w:ascii="Times New Roman" w:hAnsi="Times New Roman" w:hint="default"/>
      </w:rPr>
    </w:lvl>
    <w:lvl w:ilvl="5" w:tplc="504A79C8" w:tentative="1">
      <w:start w:val="1"/>
      <w:numFmt w:val="bullet"/>
      <w:lvlText w:val="•"/>
      <w:lvlJc w:val="left"/>
      <w:pPr>
        <w:tabs>
          <w:tab w:val="num" w:pos="4320"/>
        </w:tabs>
        <w:ind w:left="4320" w:hanging="360"/>
      </w:pPr>
      <w:rPr>
        <w:rFonts w:ascii="Times New Roman" w:hAnsi="Times New Roman" w:hint="default"/>
      </w:rPr>
    </w:lvl>
    <w:lvl w:ilvl="6" w:tplc="708660F8" w:tentative="1">
      <w:start w:val="1"/>
      <w:numFmt w:val="bullet"/>
      <w:lvlText w:val="•"/>
      <w:lvlJc w:val="left"/>
      <w:pPr>
        <w:tabs>
          <w:tab w:val="num" w:pos="5040"/>
        </w:tabs>
        <w:ind w:left="5040" w:hanging="360"/>
      </w:pPr>
      <w:rPr>
        <w:rFonts w:ascii="Times New Roman" w:hAnsi="Times New Roman" w:hint="default"/>
      </w:rPr>
    </w:lvl>
    <w:lvl w:ilvl="7" w:tplc="7E424F28" w:tentative="1">
      <w:start w:val="1"/>
      <w:numFmt w:val="bullet"/>
      <w:lvlText w:val="•"/>
      <w:lvlJc w:val="left"/>
      <w:pPr>
        <w:tabs>
          <w:tab w:val="num" w:pos="5760"/>
        </w:tabs>
        <w:ind w:left="5760" w:hanging="360"/>
      </w:pPr>
      <w:rPr>
        <w:rFonts w:ascii="Times New Roman" w:hAnsi="Times New Roman" w:hint="default"/>
      </w:rPr>
    </w:lvl>
    <w:lvl w:ilvl="8" w:tplc="1BFA8DD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6A743F52"/>
    <w:multiLevelType w:val="multilevel"/>
    <w:tmpl w:val="D2520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D74918"/>
    <w:multiLevelType w:val="multilevel"/>
    <w:tmpl w:val="9FD2D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EE64A7"/>
    <w:multiLevelType w:val="multilevel"/>
    <w:tmpl w:val="636A5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184A63"/>
    <w:multiLevelType w:val="multilevel"/>
    <w:tmpl w:val="E76A7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22"/>
  </w:num>
  <w:num w:numId="3">
    <w:abstractNumId w:val="6"/>
  </w:num>
  <w:num w:numId="4">
    <w:abstractNumId w:val="15"/>
  </w:num>
  <w:num w:numId="5">
    <w:abstractNumId w:val="1"/>
  </w:num>
  <w:num w:numId="6">
    <w:abstractNumId w:val="7"/>
  </w:num>
  <w:num w:numId="7">
    <w:abstractNumId w:val="0"/>
  </w:num>
  <w:num w:numId="8">
    <w:abstractNumId w:val="25"/>
  </w:num>
  <w:num w:numId="9">
    <w:abstractNumId w:val="14"/>
  </w:num>
  <w:num w:numId="10">
    <w:abstractNumId w:val="23"/>
  </w:num>
  <w:num w:numId="11">
    <w:abstractNumId w:val="18"/>
  </w:num>
  <w:num w:numId="12">
    <w:abstractNumId w:val="4"/>
  </w:num>
  <w:num w:numId="13">
    <w:abstractNumId w:val="2"/>
  </w:num>
  <w:num w:numId="14">
    <w:abstractNumId w:val="5"/>
  </w:num>
  <w:num w:numId="15">
    <w:abstractNumId w:val="3"/>
  </w:num>
  <w:num w:numId="16">
    <w:abstractNumId w:val="11"/>
  </w:num>
  <w:num w:numId="17">
    <w:abstractNumId w:val="13"/>
  </w:num>
  <w:num w:numId="18">
    <w:abstractNumId w:val="21"/>
  </w:num>
  <w:num w:numId="19">
    <w:abstractNumId w:val="19"/>
  </w:num>
  <w:num w:numId="20">
    <w:abstractNumId w:val="12"/>
  </w:num>
  <w:num w:numId="21">
    <w:abstractNumId w:val="8"/>
  </w:num>
  <w:num w:numId="22">
    <w:abstractNumId w:val="20"/>
  </w:num>
  <w:num w:numId="23">
    <w:abstractNumId w:val="24"/>
  </w:num>
  <w:num w:numId="24">
    <w:abstractNumId w:val="10"/>
  </w:num>
  <w:num w:numId="25">
    <w:abstractNumId w:val="16"/>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2MbYwNbU0MTc0NDRR0lEKTi0uzszPAykwNKoFANgvQoAtAAAA"/>
  </w:docVars>
  <w:rsids>
    <w:rsidRoot w:val="00A930CB"/>
    <w:rsid w:val="000041D6"/>
    <w:rsid w:val="000162A3"/>
    <w:rsid w:val="00016992"/>
    <w:rsid w:val="000178FF"/>
    <w:rsid w:val="00033F0D"/>
    <w:rsid w:val="00035A89"/>
    <w:rsid w:val="00040473"/>
    <w:rsid w:val="0004503C"/>
    <w:rsid w:val="00045627"/>
    <w:rsid w:val="00045C47"/>
    <w:rsid w:val="00055C65"/>
    <w:rsid w:val="000578CE"/>
    <w:rsid w:val="0006008A"/>
    <w:rsid w:val="00067670"/>
    <w:rsid w:val="00071224"/>
    <w:rsid w:val="000760AB"/>
    <w:rsid w:val="000819E1"/>
    <w:rsid w:val="000835E0"/>
    <w:rsid w:val="00085328"/>
    <w:rsid w:val="00085C62"/>
    <w:rsid w:val="00086BB1"/>
    <w:rsid w:val="00091B2C"/>
    <w:rsid w:val="000A3030"/>
    <w:rsid w:val="000A61C9"/>
    <w:rsid w:val="000B0DD5"/>
    <w:rsid w:val="000B2AFB"/>
    <w:rsid w:val="000C5E1B"/>
    <w:rsid w:val="000D135D"/>
    <w:rsid w:val="000D2E4D"/>
    <w:rsid w:val="000E3E70"/>
    <w:rsid w:val="000F17F6"/>
    <w:rsid w:val="001044FC"/>
    <w:rsid w:val="00110418"/>
    <w:rsid w:val="001130F2"/>
    <w:rsid w:val="00124CDE"/>
    <w:rsid w:val="00132F1B"/>
    <w:rsid w:val="001469B3"/>
    <w:rsid w:val="0015027C"/>
    <w:rsid w:val="001550BE"/>
    <w:rsid w:val="001649BA"/>
    <w:rsid w:val="001745C5"/>
    <w:rsid w:val="001755E2"/>
    <w:rsid w:val="001828EE"/>
    <w:rsid w:val="0018320E"/>
    <w:rsid w:val="001836B1"/>
    <w:rsid w:val="00186B3F"/>
    <w:rsid w:val="00190FA3"/>
    <w:rsid w:val="001910BB"/>
    <w:rsid w:val="001935E8"/>
    <w:rsid w:val="001B1152"/>
    <w:rsid w:val="001B482A"/>
    <w:rsid w:val="001C6A75"/>
    <w:rsid w:val="001F152B"/>
    <w:rsid w:val="001F5437"/>
    <w:rsid w:val="002049FE"/>
    <w:rsid w:val="002131BF"/>
    <w:rsid w:val="0021380A"/>
    <w:rsid w:val="00215281"/>
    <w:rsid w:val="00222FBE"/>
    <w:rsid w:val="002326C3"/>
    <w:rsid w:val="0023449F"/>
    <w:rsid w:val="00237194"/>
    <w:rsid w:val="002373CA"/>
    <w:rsid w:val="00250202"/>
    <w:rsid w:val="00250E31"/>
    <w:rsid w:val="00252E68"/>
    <w:rsid w:val="00252F8C"/>
    <w:rsid w:val="00255FC4"/>
    <w:rsid w:val="00272A71"/>
    <w:rsid w:val="00276A31"/>
    <w:rsid w:val="00276E32"/>
    <w:rsid w:val="00282B5D"/>
    <w:rsid w:val="00284720"/>
    <w:rsid w:val="00285D09"/>
    <w:rsid w:val="00296FAF"/>
    <w:rsid w:val="002A0810"/>
    <w:rsid w:val="002A4EAA"/>
    <w:rsid w:val="002B3374"/>
    <w:rsid w:val="002C4CAC"/>
    <w:rsid w:val="002D1793"/>
    <w:rsid w:val="002D69B5"/>
    <w:rsid w:val="002D77B8"/>
    <w:rsid w:val="002F0639"/>
    <w:rsid w:val="002F206D"/>
    <w:rsid w:val="002F2878"/>
    <w:rsid w:val="002F448B"/>
    <w:rsid w:val="0030173B"/>
    <w:rsid w:val="0030202B"/>
    <w:rsid w:val="00305535"/>
    <w:rsid w:val="003064A0"/>
    <w:rsid w:val="00310A1A"/>
    <w:rsid w:val="0031168A"/>
    <w:rsid w:val="0031412F"/>
    <w:rsid w:val="00322C2E"/>
    <w:rsid w:val="00331B7F"/>
    <w:rsid w:val="003371F5"/>
    <w:rsid w:val="003374D2"/>
    <w:rsid w:val="00341510"/>
    <w:rsid w:val="0034378D"/>
    <w:rsid w:val="00347128"/>
    <w:rsid w:val="003752D5"/>
    <w:rsid w:val="003756CE"/>
    <w:rsid w:val="0038607B"/>
    <w:rsid w:val="003860FB"/>
    <w:rsid w:val="00391011"/>
    <w:rsid w:val="00391C6C"/>
    <w:rsid w:val="00397ABC"/>
    <w:rsid w:val="003A310D"/>
    <w:rsid w:val="003B25E1"/>
    <w:rsid w:val="003B32B8"/>
    <w:rsid w:val="003B602D"/>
    <w:rsid w:val="003C2ED8"/>
    <w:rsid w:val="003C3B33"/>
    <w:rsid w:val="003C4A80"/>
    <w:rsid w:val="003D1412"/>
    <w:rsid w:val="003D2D49"/>
    <w:rsid w:val="003D34E8"/>
    <w:rsid w:val="003E70D8"/>
    <w:rsid w:val="003E7448"/>
    <w:rsid w:val="003F64EA"/>
    <w:rsid w:val="003F69D6"/>
    <w:rsid w:val="003F7C1D"/>
    <w:rsid w:val="00406649"/>
    <w:rsid w:val="00411B49"/>
    <w:rsid w:val="004156AC"/>
    <w:rsid w:val="00421C99"/>
    <w:rsid w:val="00422F15"/>
    <w:rsid w:val="00432604"/>
    <w:rsid w:val="004458D5"/>
    <w:rsid w:val="00446FCC"/>
    <w:rsid w:val="00450413"/>
    <w:rsid w:val="00460046"/>
    <w:rsid w:val="0046229B"/>
    <w:rsid w:val="00463029"/>
    <w:rsid w:val="00463DF5"/>
    <w:rsid w:val="00465FC5"/>
    <w:rsid w:val="00471637"/>
    <w:rsid w:val="004770F5"/>
    <w:rsid w:val="00481CB5"/>
    <w:rsid w:val="00484EBD"/>
    <w:rsid w:val="00485534"/>
    <w:rsid w:val="0049021E"/>
    <w:rsid w:val="004C1A26"/>
    <w:rsid w:val="004C2166"/>
    <w:rsid w:val="004E0919"/>
    <w:rsid w:val="004F03CD"/>
    <w:rsid w:val="004F72D2"/>
    <w:rsid w:val="00501201"/>
    <w:rsid w:val="0050363D"/>
    <w:rsid w:val="005060D8"/>
    <w:rsid w:val="0051013F"/>
    <w:rsid w:val="005117A3"/>
    <w:rsid w:val="00513050"/>
    <w:rsid w:val="0051685C"/>
    <w:rsid w:val="00516D7F"/>
    <w:rsid w:val="005225BF"/>
    <w:rsid w:val="00527486"/>
    <w:rsid w:val="005322AC"/>
    <w:rsid w:val="00535441"/>
    <w:rsid w:val="00537C3E"/>
    <w:rsid w:val="005773F5"/>
    <w:rsid w:val="005836BE"/>
    <w:rsid w:val="00586056"/>
    <w:rsid w:val="005860BE"/>
    <w:rsid w:val="0059562E"/>
    <w:rsid w:val="005A1861"/>
    <w:rsid w:val="005C1828"/>
    <w:rsid w:val="005C3A39"/>
    <w:rsid w:val="005D5CE1"/>
    <w:rsid w:val="005F39B6"/>
    <w:rsid w:val="0061336B"/>
    <w:rsid w:val="0062657F"/>
    <w:rsid w:val="00634AE8"/>
    <w:rsid w:val="00642758"/>
    <w:rsid w:val="00653F75"/>
    <w:rsid w:val="0065558B"/>
    <w:rsid w:val="006600F1"/>
    <w:rsid w:val="00670D2E"/>
    <w:rsid w:val="006715A2"/>
    <w:rsid w:val="00671CBC"/>
    <w:rsid w:val="006760B6"/>
    <w:rsid w:val="00687088"/>
    <w:rsid w:val="006A7BA9"/>
    <w:rsid w:val="006B2157"/>
    <w:rsid w:val="006B2B10"/>
    <w:rsid w:val="006D34F1"/>
    <w:rsid w:val="006E51F1"/>
    <w:rsid w:val="006F0A49"/>
    <w:rsid w:val="006F581F"/>
    <w:rsid w:val="00707A94"/>
    <w:rsid w:val="00715A8B"/>
    <w:rsid w:val="007212C9"/>
    <w:rsid w:val="0075131B"/>
    <w:rsid w:val="0075273F"/>
    <w:rsid w:val="007627D0"/>
    <w:rsid w:val="00782A77"/>
    <w:rsid w:val="00782E65"/>
    <w:rsid w:val="00784A9B"/>
    <w:rsid w:val="007852B8"/>
    <w:rsid w:val="00797B82"/>
    <w:rsid w:val="007A0821"/>
    <w:rsid w:val="007A0F0B"/>
    <w:rsid w:val="007A1E49"/>
    <w:rsid w:val="007B56A4"/>
    <w:rsid w:val="007B5731"/>
    <w:rsid w:val="007C0105"/>
    <w:rsid w:val="007C15F2"/>
    <w:rsid w:val="007C6333"/>
    <w:rsid w:val="007E5F0D"/>
    <w:rsid w:val="007E734B"/>
    <w:rsid w:val="007E7B25"/>
    <w:rsid w:val="007F2DBC"/>
    <w:rsid w:val="007F6D91"/>
    <w:rsid w:val="00804EC3"/>
    <w:rsid w:val="00805505"/>
    <w:rsid w:val="008138EC"/>
    <w:rsid w:val="00817FD7"/>
    <w:rsid w:val="00833365"/>
    <w:rsid w:val="008346D5"/>
    <w:rsid w:val="00841B79"/>
    <w:rsid w:val="008428EF"/>
    <w:rsid w:val="0084321A"/>
    <w:rsid w:val="008769A0"/>
    <w:rsid w:val="00885114"/>
    <w:rsid w:val="00887A5E"/>
    <w:rsid w:val="0089165E"/>
    <w:rsid w:val="0089563B"/>
    <w:rsid w:val="00895BBD"/>
    <w:rsid w:val="008A0568"/>
    <w:rsid w:val="008A1155"/>
    <w:rsid w:val="008A1B0D"/>
    <w:rsid w:val="008B2490"/>
    <w:rsid w:val="008B4205"/>
    <w:rsid w:val="008B498D"/>
    <w:rsid w:val="008B5564"/>
    <w:rsid w:val="008B7137"/>
    <w:rsid w:val="008C2930"/>
    <w:rsid w:val="008D67B6"/>
    <w:rsid w:val="008E29F3"/>
    <w:rsid w:val="008F2B5B"/>
    <w:rsid w:val="0090288C"/>
    <w:rsid w:val="00913AA1"/>
    <w:rsid w:val="00915848"/>
    <w:rsid w:val="00923232"/>
    <w:rsid w:val="00953659"/>
    <w:rsid w:val="009537D6"/>
    <w:rsid w:val="009556EE"/>
    <w:rsid w:val="00960811"/>
    <w:rsid w:val="0096358A"/>
    <w:rsid w:val="00964538"/>
    <w:rsid w:val="0097255D"/>
    <w:rsid w:val="00973072"/>
    <w:rsid w:val="00974DA7"/>
    <w:rsid w:val="009A19DC"/>
    <w:rsid w:val="009B06C8"/>
    <w:rsid w:val="009D0524"/>
    <w:rsid w:val="009D3B94"/>
    <w:rsid w:val="009F2384"/>
    <w:rsid w:val="00A06BF4"/>
    <w:rsid w:val="00A074BE"/>
    <w:rsid w:val="00A12F64"/>
    <w:rsid w:val="00A25B6E"/>
    <w:rsid w:val="00A3471E"/>
    <w:rsid w:val="00A42BC5"/>
    <w:rsid w:val="00A42E9A"/>
    <w:rsid w:val="00A4397C"/>
    <w:rsid w:val="00A51F56"/>
    <w:rsid w:val="00A65C2E"/>
    <w:rsid w:val="00A716BB"/>
    <w:rsid w:val="00A90A1F"/>
    <w:rsid w:val="00A91384"/>
    <w:rsid w:val="00A930CB"/>
    <w:rsid w:val="00A976D8"/>
    <w:rsid w:val="00AB4149"/>
    <w:rsid w:val="00AC31B4"/>
    <w:rsid w:val="00AC53FF"/>
    <w:rsid w:val="00AE79EE"/>
    <w:rsid w:val="00B014FD"/>
    <w:rsid w:val="00B02818"/>
    <w:rsid w:val="00B03756"/>
    <w:rsid w:val="00B1031A"/>
    <w:rsid w:val="00B20074"/>
    <w:rsid w:val="00B20992"/>
    <w:rsid w:val="00B26C7E"/>
    <w:rsid w:val="00B31E22"/>
    <w:rsid w:val="00B36C8A"/>
    <w:rsid w:val="00B46EC0"/>
    <w:rsid w:val="00B64399"/>
    <w:rsid w:val="00B6475F"/>
    <w:rsid w:val="00B7588B"/>
    <w:rsid w:val="00B83CCB"/>
    <w:rsid w:val="00B9424D"/>
    <w:rsid w:val="00BA71B1"/>
    <w:rsid w:val="00BB07BE"/>
    <w:rsid w:val="00BB5657"/>
    <w:rsid w:val="00BD3AA5"/>
    <w:rsid w:val="00BD6D9A"/>
    <w:rsid w:val="00BE6545"/>
    <w:rsid w:val="00BE7C15"/>
    <w:rsid w:val="00BF2C08"/>
    <w:rsid w:val="00C002A3"/>
    <w:rsid w:val="00C0479D"/>
    <w:rsid w:val="00C2020C"/>
    <w:rsid w:val="00C21409"/>
    <w:rsid w:val="00C32987"/>
    <w:rsid w:val="00C338E0"/>
    <w:rsid w:val="00C33BCE"/>
    <w:rsid w:val="00C37674"/>
    <w:rsid w:val="00C501F9"/>
    <w:rsid w:val="00C53B1A"/>
    <w:rsid w:val="00C65686"/>
    <w:rsid w:val="00C71DDF"/>
    <w:rsid w:val="00C74EB7"/>
    <w:rsid w:val="00C754FC"/>
    <w:rsid w:val="00C80AF8"/>
    <w:rsid w:val="00C82C23"/>
    <w:rsid w:val="00C93AD2"/>
    <w:rsid w:val="00C93CCE"/>
    <w:rsid w:val="00CA508D"/>
    <w:rsid w:val="00CA6F49"/>
    <w:rsid w:val="00CB1B27"/>
    <w:rsid w:val="00CB5470"/>
    <w:rsid w:val="00CC6920"/>
    <w:rsid w:val="00CD16FC"/>
    <w:rsid w:val="00CD6379"/>
    <w:rsid w:val="00CD6925"/>
    <w:rsid w:val="00CD71D6"/>
    <w:rsid w:val="00CF5C8A"/>
    <w:rsid w:val="00CF644C"/>
    <w:rsid w:val="00D01FF9"/>
    <w:rsid w:val="00D07A0D"/>
    <w:rsid w:val="00D11F9C"/>
    <w:rsid w:val="00D135DF"/>
    <w:rsid w:val="00D15FF5"/>
    <w:rsid w:val="00D22462"/>
    <w:rsid w:val="00D2291D"/>
    <w:rsid w:val="00D331E3"/>
    <w:rsid w:val="00D337A4"/>
    <w:rsid w:val="00D37BFD"/>
    <w:rsid w:val="00D43871"/>
    <w:rsid w:val="00D450BB"/>
    <w:rsid w:val="00D62B28"/>
    <w:rsid w:val="00D67E1F"/>
    <w:rsid w:val="00DA2F53"/>
    <w:rsid w:val="00DA3853"/>
    <w:rsid w:val="00DA4DB4"/>
    <w:rsid w:val="00DA7637"/>
    <w:rsid w:val="00DB2662"/>
    <w:rsid w:val="00DC04FE"/>
    <w:rsid w:val="00DD3304"/>
    <w:rsid w:val="00DE03AB"/>
    <w:rsid w:val="00DE7BBB"/>
    <w:rsid w:val="00DF21D0"/>
    <w:rsid w:val="00E021E2"/>
    <w:rsid w:val="00E04E36"/>
    <w:rsid w:val="00E05CFA"/>
    <w:rsid w:val="00E24560"/>
    <w:rsid w:val="00E3088A"/>
    <w:rsid w:val="00E37588"/>
    <w:rsid w:val="00E4147D"/>
    <w:rsid w:val="00E47B9D"/>
    <w:rsid w:val="00E52BF8"/>
    <w:rsid w:val="00E642D3"/>
    <w:rsid w:val="00E750E6"/>
    <w:rsid w:val="00E7661E"/>
    <w:rsid w:val="00E82EAC"/>
    <w:rsid w:val="00E83773"/>
    <w:rsid w:val="00E87936"/>
    <w:rsid w:val="00E908BF"/>
    <w:rsid w:val="00E9394F"/>
    <w:rsid w:val="00E93A33"/>
    <w:rsid w:val="00E93F4E"/>
    <w:rsid w:val="00E97AF3"/>
    <w:rsid w:val="00EA0CA8"/>
    <w:rsid w:val="00EA65EE"/>
    <w:rsid w:val="00EA708F"/>
    <w:rsid w:val="00EA7480"/>
    <w:rsid w:val="00EB1FDF"/>
    <w:rsid w:val="00EC64A7"/>
    <w:rsid w:val="00EC674C"/>
    <w:rsid w:val="00ED36B3"/>
    <w:rsid w:val="00EF0BDD"/>
    <w:rsid w:val="00EF3AB8"/>
    <w:rsid w:val="00EF3ED4"/>
    <w:rsid w:val="00F03F18"/>
    <w:rsid w:val="00F05097"/>
    <w:rsid w:val="00F334D8"/>
    <w:rsid w:val="00F357C1"/>
    <w:rsid w:val="00F43CAD"/>
    <w:rsid w:val="00F538E7"/>
    <w:rsid w:val="00F53EF8"/>
    <w:rsid w:val="00F746A3"/>
    <w:rsid w:val="00F75D71"/>
    <w:rsid w:val="00F81F36"/>
    <w:rsid w:val="00F95A78"/>
    <w:rsid w:val="00F96C1E"/>
    <w:rsid w:val="00FA3DD1"/>
    <w:rsid w:val="00FA3F78"/>
    <w:rsid w:val="00FB1BB4"/>
    <w:rsid w:val="00FB3CC7"/>
    <w:rsid w:val="00FB42C7"/>
    <w:rsid w:val="00FB541E"/>
    <w:rsid w:val="00FC4F27"/>
    <w:rsid w:val="00FD2FC6"/>
    <w:rsid w:val="00FE6F0A"/>
    <w:rsid w:val="00FF4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5273F"/>
    <w:rPr>
      <w:rFonts w:ascii="Arial" w:hAnsi="Arial"/>
      <w:sz w:val="28"/>
    </w:rPr>
  </w:style>
  <w:style w:type="paragraph" w:styleId="Heading1">
    <w:name w:val="heading 1"/>
    <w:basedOn w:val="Normal"/>
    <w:next w:val="Normal"/>
    <w:link w:val="Heading1Char"/>
    <w:uiPriority w:val="9"/>
    <w:qFormat/>
    <w:rsid w:val="0075273F"/>
    <w:pPr>
      <w:keepNext/>
      <w:keepLines/>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unhideWhenUsed/>
    <w:qFormat/>
    <w:rsid w:val="0075273F"/>
    <w:pPr>
      <w:keepNext/>
      <w:keepLines/>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unhideWhenUsed/>
    <w:qFormat/>
    <w:rsid w:val="0075273F"/>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unhideWhenUsed/>
    <w:qFormat/>
    <w:rsid w:val="00F746A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1168A"/>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5273F"/>
    <w:rPr>
      <w:rFonts w:ascii="Arial" w:eastAsiaTheme="majorEastAsia" w:hAnsi="Arial" w:cstheme="majorBidi"/>
      <w:color w:val="2E74B5" w:themeColor="accent1" w:themeShade="BF"/>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5273F"/>
    <w:rPr>
      <w:rFonts w:ascii="Arial" w:eastAsiaTheme="majorEastAsia" w:hAnsi="Arial" w:cstheme="majorBidi"/>
      <w:color w:val="2E74B5" w:themeColor="accent1" w:themeShade="BF"/>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rsid w:val="0075273F"/>
    <w:rPr>
      <w:rFonts w:ascii="Arial" w:eastAsiaTheme="majorEastAsia" w:hAnsi="Arial" w:cstheme="majorBidi"/>
      <w:color w:val="1F4D78" w:themeColor="accent1" w:themeShade="7F"/>
      <w:sz w:val="28"/>
      <w:szCs w:val="24"/>
    </w:rPr>
  </w:style>
  <w:style w:type="paragraph" w:customStyle="1" w:styleId="DMVMFrPgTableBodyARF">
    <w:name w:val="DMV_M_FrPg_TableBody_ARF"/>
    <w:rsid w:val="00915848"/>
    <w:pPr>
      <w:spacing w:before="40" w:after="40" w:line="240" w:lineRule="auto"/>
    </w:pPr>
    <w:rPr>
      <w:rFonts w:ascii="Arial" w:eastAsia="Arial" w:hAnsi="Arial" w:cs="Arial"/>
      <w:sz w:val="18"/>
      <w:szCs w:val="20"/>
      <w:lang w:eastAsia="en-GB"/>
    </w:rPr>
  </w:style>
  <w:style w:type="character" w:customStyle="1" w:styleId="mntl-sc-block-headingtext">
    <w:name w:val="mntl-sc-block-heading__text"/>
    <w:basedOn w:val="DefaultParagraphFont"/>
    <w:rsid w:val="00CA508D"/>
  </w:style>
  <w:style w:type="paragraph" w:styleId="NormalWeb">
    <w:name w:val="Normal (Web)"/>
    <w:basedOn w:val="Normal"/>
    <w:uiPriority w:val="99"/>
    <w:unhideWhenUsed/>
    <w:rsid w:val="00CA50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F746A3"/>
    <w:rPr>
      <w:rFonts w:asciiTheme="majorHAnsi" w:eastAsiaTheme="majorEastAsia" w:hAnsiTheme="majorHAnsi" w:cstheme="majorBidi"/>
      <w:i/>
      <w:iCs/>
      <w:color w:val="2E74B5" w:themeColor="accent1" w:themeShade="BF"/>
      <w:sz w:val="28"/>
    </w:rPr>
  </w:style>
  <w:style w:type="character" w:styleId="Emphasis">
    <w:name w:val="Emphasis"/>
    <w:basedOn w:val="DefaultParagraphFont"/>
    <w:uiPriority w:val="20"/>
    <w:qFormat/>
    <w:rsid w:val="00F746A3"/>
    <w:rPr>
      <w:i/>
      <w:iCs/>
    </w:rPr>
  </w:style>
  <w:style w:type="character" w:styleId="Strong">
    <w:name w:val="Strong"/>
    <w:basedOn w:val="DefaultParagraphFont"/>
    <w:uiPriority w:val="22"/>
    <w:qFormat/>
    <w:rsid w:val="00F746A3"/>
    <w:rPr>
      <w:b/>
      <w:bCs/>
    </w:rPr>
  </w:style>
  <w:style w:type="character" w:customStyle="1" w:styleId="word">
    <w:name w:val="word"/>
    <w:basedOn w:val="DefaultParagraphFont"/>
    <w:rsid w:val="006E51F1"/>
  </w:style>
  <w:style w:type="character" w:styleId="HTMLDefinition">
    <w:name w:val="HTML Definition"/>
    <w:basedOn w:val="DefaultParagraphFont"/>
    <w:uiPriority w:val="99"/>
    <w:semiHidden/>
    <w:unhideWhenUsed/>
    <w:rsid w:val="00E93A33"/>
    <w:rPr>
      <w:i/>
      <w:iCs/>
    </w:rPr>
  </w:style>
  <w:style w:type="character" w:customStyle="1" w:styleId="Heading5Char">
    <w:name w:val="Heading 5 Char"/>
    <w:basedOn w:val="DefaultParagraphFont"/>
    <w:link w:val="Heading5"/>
    <w:uiPriority w:val="9"/>
    <w:semiHidden/>
    <w:rsid w:val="0031168A"/>
    <w:rPr>
      <w:rFonts w:asciiTheme="majorHAnsi" w:eastAsiaTheme="majorEastAsia" w:hAnsiTheme="majorHAnsi" w:cstheme="majorBidi"/>
      <w:color w:val="2E74B5" w:themeColor="accent1" w:themeShade="BF"/>
      <w:sz w:val="28"/>
    </w:rPr>
  </w:style>
  <w:style w:type="paragraph" w:customStyle="1" w:styleId="text-muted">
    <w:name w:val="text-muted"/>
    <w:basedOn w:val="Normal"/>
    <w:rsid w:val="003116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53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978877">
      <w:bodyDiv w:val="1"/>
      <w:marLeft w:val="0"/>
      <w:marRight w:val="0"/>
      <w:marTop w:val="0"/>
      <w:marBottom w:val="0"/>
      <w:divBdr>
        <w:top w:val="none" w:sz="0" w:space="0" w:color="auto"/>
        <w:left w:val="none" w:sz="0" w:space="0" w:color="auto"/>
        <w:bottom w:val="none" w:sz="0" w:space="0" w:color="auto"/>
        <w:right w:val="none" w:sz="0" w:space="0" w:color="auto"/>
      </w:divBdr>
    </w:div>
    <w:div w:id="135075331">
      <w:bodyDiv w:val="1"/>
      <w:marLeft w:val="0"/>
      <w:marRight w:val="0"/>
      <w:marTop w:val="0"/>
      <w:marBottom w:val="0"/>
      <w:divBdr>
        <w:top w:val="none" w:sz="0" w:space="0" w:color="auto"/>
        <w:left w:val="none" w:sz="0" w:space="0" w:color="auto"/>
        <w:bottom w:val="none" w:sz="0" w:space="0" w:color="auto"/>
        <w:right w:val="none" w:sz="0" w:space="0" w:color="auto"/>
      </w:divBdr>
    </w:div>
    <w:div w:id="168100483">
      <w:bodyDiv w:val="1"/>
      <w:marLeft w:val="0"/>
      <w:marRight w:val="0"/>
      <w:marTop w:val="0"/>
      <w:marBottom w:val="0"/>
      <w:divBdr>
        <w:top w:val="none" w:sz="0" w:space="0" w:color="auto"/>
        <w:left w:val="none" w:sz="0" w:space="0" w:color="auto"/>
        <w:bottom w:val="none" w:sz="0" w:space="0" w:color="auto"/>
        <w:right w:val="none" w:sz="0" w:space="0" w:color="auto"/>
      </w:divBdr>
    </w:div>
    <w:div w:id="198130206">
      <w:bodyDiv w:val="1"/>
      <w:marLeft w:val="0"/>
      <w:marRight w:val="0"/>
      <w:marTop w:val="0"/>
      <w:marBottom w:val="0"/>
      <w:divBdr>
        <w:top w:val="none" w:sz="0" w:space="0" w:color="auto"/>
        <w:left w:val="none" w:sz="0" w:space="0" w:color="auto"/>
        <w:bottom w:val="none" w:sz="0" w:space="0" w:color="auto"/>
        <w:right w:val="none" w:sz="0" w:space="0" w:color="auto"/>
      </w:divBdr>
      <w:divsChild>
        <w:div w:id="1796630198">
          <w:marLeft w:val="547"/>
          <w:marRight w:val="0"/>
          <w:marTop w:val="134"/>
          <w:marBottom w:val="0"/>
          <w:divBdr>
            <w:top w:val="none" w:sz="0" w:space="0" w:color="auto"/>
            <w:left w:val="none" w:sz="0" w:space="0" w:color="auto"/>
            <w:bottom w:val="none" w:sz="0" w:space="0" w:color="auto"/>
            <w:right w:val="none" w:sz="0" w:space="0" w:color="auto"/>
          </w:divBdr>
        </w:div>
      </w:divsChild>
    </w:div>
    <w:div w:id="198397444">
      <w:bodyDiv w:val="1"/>
      <w:marLeft w:val="0"/>
      <w:marRight w:val="0"/>
      <w:marTop w:val="0"/>
      <w:marBottom w:val="0"/>
      <w:divBdr>
        <w:top w:val="none" w:sz="0" w:space="0" w:color="auto"/>
        <w:left w:val="none" w:sz="0" w:space="0" w:color="auto"/>
        <w:bottom w:val="none" w:sz="0" w:space="0" w:color="auto"/>
        <w:right w:val="none" w:sz="0" w:space="0" w:color="auto"/>
      </w:divBdr>
    </w:div>
    <w:div w:id="251208267">
      <w:bodyDiv w:val="1"/>
      <w:marLeft w:val="0"/>
      <w:marRight w:val="0"/>
      <w:marTop w:val="0"/>
      <w:marBottom w:val="0"/>
      <w:divBdr>
        <w:top w:val="none" w:sz="0" w:space="0" w:color="auto"/>
        <w:left w:val="none" w:sz="0" w:space="0" w:color="auto"/>
        <w:bottom w:val="none" w:sz="0" w:space="0" w:color="auto"/>
        <w:right w:val="none" w:sz="0" w:space="0" w:color="auto"/>
      </w:divBdr>
    </w:div>
    <w:div w:id="368915088">
      <w:bodyDiv w:val="1"/>
      <w:marLeft w:val="0"/>
      <w:marRight w:val="0"/>
      <w:marTop w:val="0"/>
      <w:marBottom w:val="0"/>
      <w:divBdr>
        <w:top w:val="none" w:sz="0" w:space="0" w:color="auto"/>
        <w:left w:val="none" w:sz="0" w:space="0" w:color="auto"/>
        <w:bottom w:val="none" w:sz="0" w:space="0" w:color="auto"/>
        <w:right w:val="none" w:sz="0" w:space="0" w:color="auto"/>
      </w:divBdr>
    </w:div>
    <w:div w:id="368915255">
      <w:bodyDiv w:val="1"/>
      <w:marLeft w:val="0"/>
      <w:marRight w:val="0"/>
      <w:marTop w:val="0"/>
      <w:marBottom w:val="0"/>
      <w:divBdr>
        <w:top w:val="none" w:sz="0" w:space="0" w:color="auto"/>
        <w:left w:val="none" w:sz="0" w:space="0" w:color="auto"/>
        <w:bottom w:val="none" w:sz="0" w:space="0" w:color="auto"/>
        <w:right w:val="none" w:sz="0" w:space="0" w:color="auto"/>
      </w:divBdr>
    </w:div>
    <w:div w:id="369846326">
      <w:bodyDiv w:val="1"/>
      <w:marLeft w:val="0"/>
      <w:marRight w:val="0"/>
      <w:marTop w:val="0"/>
      <w:marBottom w:val="0"/>
      <w:divBdr>
        <w:top w:val="none" w:sz="0" w:space="0" w:color="auto"/>
        <w:left w:val="none" w:sz="0" w:space="0" w:color="auto"/>
        <w:bottom w:val="none" w:sz="0" w:space="0" w:color="auto"/>
        <w:right w:val="none" w:sz="0" w:space="0" w:color="auto"/>
      </w:divBdr>
    </w:div>
    <w:div w:id="387845252">
      <w:bodyDiv w:val="1"/>
      <w:marLeft w:val="0"/>
      <w:marRight w:val="0"/>
      <w:marTop w:val="0"/>
      <w:marBottom w:val="0"/>
      <w:divBdr>
        <w:top w:val="none" w:sz="0" w:space="0" w:color="auto"/>
        <w:left w:val="none" w:sz="0" w:space="0" w:color="auto"/>
        <w:bottom w:val="none" w:sz="0" w:space="0" w:color="auto"/>
        <w:right w:val="none" w:sz="0" w:space="0" w:color="auto"/>
      </w:divBdr>
    </w:div>
    <w:div w:id="406879915">
      <w:bodyDiv w:val="1"/>
      <w:marLeft w:val="0"/>
      <w:marRight w:val="0"/>
      <w:marTop w:val="0"/>
      <w:marBottom w:val="0"/>
      <w:divBdr>
        <w:top w:val="none" w:sz="0" w:space="0" w:color="auto"/>
        <w:left w:val="none" w:sz="0" w:space="0" w:color="auto"/>
        <w:bottom w:val="none" w:sz="0" w:space="0" w:color="auto"/>
        <w:right w:val="none" w:sz="0" w:space="0" w:color="auto"/>
      </w:divBdr>
    </w:div>
    <w:div w:id="420415201">
      <w:bodyDiv w:val="1"/>
      <w:marLeft w:val="0"/>
      <w:marRight w:val="0"/>
      <w:marTop w:val="0"/>
      <w:marBottom w:val="0"/>
      <w:divBdr>
        <w:top w:val="none" w:sz="0" w:space="0" w:color="auto"/>
        <w:left w:val="none" w:sz="0" w:space="0" w:color="auto"/>
        <w:bottom w:val="none" w:sz="0" w:space="0" w:color="auto"/>
        <w:right w:val="none" w:sz="0" w:space="0" w:color="auto"/>
      </w:divBdr>
    </w:div>
    <w:div w:id="501744886">
      <w:bodyDiv w:val="1"/>
      <w:marLeft w:val="0"/>
      <w:marRight w:val="0"/>
      <w:marTop w:val="0"/>
      <w:marBottom w:val="0"/>
      <w:divBdr>
        <w:top w:val="none" w:sz="0" w:space="0" w:color="auto"/>
        <w:left w:val="none" w:sz="0" w:space="0" w:color="auto"/>
        <w:bottom w:val="none" w:sz="0" w:space="0" w:color="auto"/>
        <w:right w:val="none" w:sz="0" w:space="0" w:color="auto"/>
      </w:divBdr>
    </w:div>
    <w:div w:id="506016634">
      <w:bodyDiv w:val="1"/>
      <w:marLeft w:val="0"/>
      <w:marRight w:val="0"/>
      <w:marTop w:val="0"/>
      <w:marBottom w:val="0"/>
      <w:divBdr>
        <w:top w:val="none" w:sz="0" w:space="0" w:color="auto"/>
        <w:left w:val="none" w:sz="0" w:space="0" w:color="auto"/>
        <w:bottom w:val="none" w:sz="0" w:space="0" w:color="auto"/>
        <w:right w:val="none" w:sz="0" w:space="0" w:color="auto"/>
      </w:divBdr>
    </w:div>
    <w:div w:id="524711521">
      <w:bodyDiv w:val="1"/>
      <w:marLeft w:val="0"/>
      <w:marRight w:val="0"/>
      <w:marTop w:val="0"/>
      <w:marBottom w:val="0"/>
      <w:divBdr>
        <w:top w:val="none" w:sz="0" w:space="0" w:color="auto"/>
        <w:left w:val="none" w:sz="0" w:space="0" w:color="auto"/>
        <w:bottom w:val="none" w:sz="0" w:space="0" w:color="auto"/>
        <w:right w:val="none" w:sz="0" w:space="0" w:color="auto"/>
      </w:divBdr>
    </w:div>
    <w:div w:id="533732538">
      <w:bodyDiv w:val="1"/>
      <w:marLeft w:val="0"/>
      <w:marRight w:val="0"/>
      <w:marTop w:val="0"/>
      <w:marBottom w:val="0"/>
      <w:divBdr>
        <w:top w:val="none" w:sz="0" w:space="0" w:color="auto"/>
        <w:left w:val="none" w:sz="0" w:space="0" w:color="auto"/>
        <w:bottom w:val="none" w:sz="0" w:space="0" w:color="auto"/>
        <w:right w:val="none" w:sz="0" w:space="0" w:color="auto"/>
      </w:divBdr>
    </w:div>
    <w:div w:id="608197173">
      <w:bodyDiv w:val="1"/>
      <w:marLeft w:val="0"/>
      <w:marRight w:val="0"/>
      <w:marTop w:val="0"/>
      <w:marBottom w:val="0"/>
      <w:divBdr>
        <w:top w:val="none" w:sz="0" w:space="0" w:color="auto"/>
        <w:left w:val="none" w:sz="0" w:space="0" w:color="auto"/>
        <w:bottom w:val="none" w:sz="0" w:space="0" w:color="auto"/>
        <w:right w:val="none" w:sz="0" w:space="0" w:color="auto"/>
      </w:divBdr>
    </w:div>
    <w:div w:id="617180054">
      <w:bodyDiv w:val="1"/>
      <w:marLeft w:val="0"/>
      <w:marRight w:val="0"/>
      <w:marTop w:val="0"/>
      <w:marBottom w:val="0"/>
      <w:divBdr>
        <w:top w:val="none" w:sz="0" w:space="0" w:color="auto"/>
        <w:left w:val="none" w:sz="0" w:space="0" w:color="auto"/>
        <w:bottom w:val="none" w:sz="0" w:space="0" w:color="auto"/>
        <w:right w:val="none" w:sz="0" w:space="0" w:color="auto"/>
      </w:divBdr>
    </w:div>
    <w:div w:id="620763583">
      <w:bodyDiv w:val="1"/>
      <w:marLeft w:val="0"/>
      <w:marRight w:val="0"/>
      <w:marTop w:val="0"/>
      <w:marBottom w:val="0"/>
      <w:divBdr>
        <w:top w:val="none" w:sz="0" w:space="0" w:color="auto"/>
        <w:left w:val="none" w:sz="0" w:space="0" w:color="auto"/>
        <w:bottom w:val="none" w:sz="0" w:space="0" w:color="auto"/>
        <w:right w:val="none" w:sz="0" w:space="0" w:color="auto"/>
      </w:divBdr>
    </w:div>
    <w:div w:id="659433008">
      <w:bodyDiv w:val="1"/>
      <w:marLeft w:val="0"/>
      <w:marRight w:val="0"/>
      <w:marTop w:val="0"/>
      <w:marBottom w:val="0"/>
      <w:divBdr>
        <w:top w:val="none" w:sz="0" w:space="0" w:color="auto"/>
        <w:left w:val="none" w:sz="0" w:space="0" w:color="auto"/>
        <w:bottom w:val="none" w:sz="0" w:space="0" w:color="auto"/>
        <w:right w:val="none" w:sz="0" w:space="0" w:color="auto"/>
      </w:divBdr>
    </w:div>
    <w:div w:id="671108971">
      <w:bodyDiv w:val="1"/>
      <w:marLeft w:val="0"/>
      <w:marRight w:val="0"/>
      <w:marTop w:val="0"/>
      <w:marBottom w:val="0"/>
      <w:divBdr>
        <w:top w:val="none" w:sz="0" w:space="0" w:color="auto"/>
        <w:left w:val="none" w:sz="0" w:space="0" w:color="auto"/>
        <w:bottom w:val="none" w:sz="0" w:space="0" w:color="auto"/>
        <w:right w:val="none" w:sz="0" w:space="0" w:color="auto"/>
      </w:divBdr>
    </w:div>
    <w:div w:id="689260325">
      <w:bodyDiv w:val="1"/>
      <w:marLeft w:val="0"/>
      <w:marRight w:val="0"/>
      <w:marTop w:val="0"/>
      <w:marBottom w:val="0"/>
      <w:divBdr>
        <w:top w:val="none" w:sz="0" w:space="0" w:color="auto"/>
        <w:left w:val="none" w:sz="0" w:space="0" w:color="auto"/>
        <w:bottom w:val="none" w:sz="0" w:space="0" w:color="auto"/>
        <w:right w:val="none" w:sz="0" w:space="0" w:color="auto"/>
      </w:divBdr>
    </w:div>
    <w:div w:id="720901516">
      <w:bodyDiv w:val="1"/>
      <w:marLeft w:val="0"/>
      <w:marRight w:val="0"/>
      <w:marTop w:val="0"/>
      <w:marBottom w:val="0"/>
      <w:divBdr>
        <w:top w:val="none" w:sz="0" w:space="0" w:color="auto"/>
        <w:left w:val="none" w:sz="0" w:space="0" w:color="auto"/>
        <w:bottom w:val="none" w:sz="0" w:space="0" w:color="auto"/>
        <w:right w:val="none" w:sz="0" w:space="0" w:color="auto"/>
      </w:divBdr>
    </w:div>
    <w:div w:id="740179171">
      <w:bodyDiv w:val="1"/>
      <w:marLeft w:val="0"/>
      <w:marRight w:val="0"/>
      <w:marTop w:val="0"/>
      <w:marBottom w:val="0"/>
      <w:divBdr>
        <w:top w:val="none" w:sz="0" w:space="0" w:color="auto"/>
        <w:left w:val="none" w:sz="0" w:space="0" w:color="auto"/>
        <w:bottom w:val="none" w:sz="0" w:space="0" w:color="auto"/>
        <w:right w:val="none" w:sz="0" w:space="0" w:color="auto"/>
      </w:divBdr>
    </w:div>
    <w:div w:id="753939755">
      <w:bodyDiv w:val="1"/>
      <w:marLeft w:val="0"/>
      <w:marRight w:val="0"/>
      <w:marTop w:val="0"/>
      <w:marBottom w:val="0"/>
      <w:divBdr>
        <w:top w:val="none" w:sz="0" w:space="0" w:color="auto"/>
        <w:left w:val="none" w:sz="0" w:space="0" w:color="auto"/>
        <w:bottom w:val="none" w:sz="0" w:space="0" w:color="auto"/>
        <w:right w:val="none" w:sz="0" w:space="0" w:color="auto"/>
      </w:divBdr>
    </w:div>
    <w:div w:id="765880584">
      <w:bodyDiv w:val="1"/>
      <w:marLeft w:val="0"/>
      <w:marRight w:val="0"/>
      <w:marTop w:val="0"/>
      <w:marBottom w:val="0"/>
      <w:divBdr>
        <w:top w:val="none" w:sz="0" w:space="0" w:color="auto"/>
        <w:left w:val="none" w:sz="0" w:space="0" w:color="auto"/>
        <w:bottom w:val="none" w:sz="0" w:space="0" w:color="auto"/>
        <w:right w:val="none" w:sz="0" w:space="0" w:color="auto"/>
      </w:divBdr>
    </w:div>
    <w:div w:id="768280035">
      <w:bodyDiv w:val="1"/>
      <w:marLeft w:val="0"/>
      <w:marRight w:val="0"/>
      <w:marTop w:val="0"/>
      <w:marBottom w:val="0"/>
      <w:divBdr>
        <w:top w:val="none" w:sz="0" w:space="0" w:color="auto"/>
        <w:left w:val="none" w:sz="0" w:space="0" w:color="auto"/>
        <w:bottom w:val="none" w:sz="0" w:space="0" w:color="auto"/>
        <w:right w:val="none" w:sz="0" w:space="0" w:color="auto"/>
      </w:divBdr>
    </w:div>
    <w:div w:id="769005024">
      <w:bodyDiv w:val="1"/>
      <w:marLeft w:val="0"/>
      <w:marRight w:val="0"/>
      <w:marTop w:val="0"/>
      <w:marBottom w:val="0"/>
      <w:divBdr>
        <w:top w:val="none" w:sz="0" w:space="0" w:color="auto"/>
        <w:left w:val="none" w:sz="0" w:space="0" w:color="auto"/>
        <w:bottom w:val="none" w:sz="0" w:space="0" w:color="auto"/>
        <w:right w:val="none" w:sz="0" w:space="0" w:color="auto"/>
      </w:divBdr>
    </w:div>
    <w:div w:id="784079440">
      <w:bodyDiv w:val="1"/>
      <w:marLeft w:val="0"/>
      <w:marRight w:val="0"/>
      <w:marTop w:val="0"/>
      <w:marBottom w:val="0"/>
      <w:divBdr>
        <w:top w:val="none" w:sz="0" w:space="0" w:color="auto"/>
        <w:left w:val="none" w:sz="0" w:space="0" w:color="auto"/>
        <w:bottom w:val="none" w:sz="0" w:space="0" w:color="auto"/>
        <w:right w:val="none" w:sz="0" w:space="0" w:color="auto"/>
      </w:divBdr>
    </w:div>
    <w:div w:id="788429053">
      <w:bodyDiv w:val="1"/>
      <w:marLeft w:val="0"/>
      <w:marRight w:val="0"/>
      <w:marTop w:val="0"/>
      <w:marBottom w:val="0"/>
      <w:divBdr>
        <w:top w:val="none" w:sz="0" w:space="0" w:color="auto"/>
        <w:left w:val="none" w:sz="0" w:space="0" w:color="auto"/>
        <w:bottom w:val="none" w:sz="0" w:space="0" w:color="auto"/>
        <w:right w:val="none" w:sz="0" w:space="0" w:color="auto"/>
      </w:divBdr>
    </w:div>
    <w:div w:id="892038063">
      <w:bodyDiv w:val="1"/>
      <w:marLeft w:val="0"/>
      <w:marRight w:val="0"/>
      <w:marTop w:val="0"/>
      <w:marBottom w:val="0"/>
      <w:divBdr>
        <w:top w:val="none" w:sz="0" w:space="0" w:color="auto"/>
        <w:left w:val="none" w:sz="0" w:space="0" w:color="auto"/>
        <w:bottom w:val="none" w:sz="0" w:space="0" w:color="auto"/>
        <w:right w:val="none" w:sz="0" w:space="0" w:color="auto"/>
      </w:divBdr>
    </w:div>
    <w:div w:id="892933971">
      <w:bodyDiv w:val="1"/>
      <w:marLeft w:val="0"/>
      <w:marRight w:val="0"/>
      <w:marTop w:val="0"/>
      <w:marBottom w:val="0"/>
      <w:divBdr>
        <w:top w:val="none" w:sz="0" w:space="0" w:color="auto"/>
        <w:left w:val="none" w:sz="0" w:space="0" w:color="auto"/>
        <w:bottom w:val="none" w:sz="0" w:space="0" w:color="auto"/>
        <w:right w:val="none" w:sz="0" w:space="0" w:color="auto"/>
      </w:divBdr>
    </w:div>
    <w:div w:id="936445571">
      <w:bodyDiv w:val="1"/>
      <w:marLeft w:val="0"/>
      <w:marRight w:val="0"/>
      <w:marTop w:val="0"/>
      <w:marBottom w:val="0"/>
      <w:divBdr>
        <w:top w:val="none" w:sz="0" w:space="0" w:color="auto"/>
        <w:left w:val="none" w:sz="0" w:space="0" w:color="auto"/>
        <w:bottom w:val="none" w:sz="0" w:space="0" w:color="auto"/>
        <w:right w:val="none" w:sz="0" w:space="0" w:color="auto"/>
      </w:divBdr>
    </w:div>
    <w:div w:id="940454532">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86132897">
      <w:bodyDiv w:val="1"/>
      <w:marLeft w:val="0"/>
      <w:marRight w:val="0"/>
      <w:marTop w:val="0"/>
      <w:marBottom w:val="0"/>
      <w:divBdr>
        <w:top w:val="none" w:sz="0" w:space="0" w:color="auto"/>
        <w:left w:val="none" w:sz="0" w:space="0" w:color="auto"/>
        <w:bottom w:val="none" w:sz="0" w:space="0" w:color="auto"/>
        <w:right w:val="none" w:sz="0" w:space="0" w:color="auto"/>
      </w:divBdr>
    </w:div>
    <w:div w:id="986713639">
      <w:bodyDiv w:val="1"/>
      <w:marLeft w:val="0"/>
      <w:marRight w:val="0"/>
      <w:marTop w:val="0"/>
      <w:marBottom w:val="0"/>
      <w:divBdr>
        <w:top w:val="none" w:sz="0" w:space="0" w:color="auto"/>
        <w:left w:val="none" w:sz="0" w:space="0" w:color="auto"/>
        <w:bottom w:val="none" w:sz="0" w:space="0" w:color="auto"/>
        <w:right w:val="none" w:sz="0" w:space="0" w:color="auto"/>
      </w:divBdr>
    </w:div>
    <w:div w:id="988090453">
      <w:bodyDiv w:val="1"/>
      <w:marLeft w:val="0"/>
      <w:marRight w:val="0"/>
      <w:marTop w:val="0"/>
      <w:marBottom w:val="0"/>
      <w:divBdr>
        <w:top w:val="none" w:sz="0" w:space="0" w:color="auto"/>
        <w:left w:val="none" w:sz="0" w:space="0" w:color="auto"/>
        <w:bottom w:val="none" w:sz="0" w:space="0" w:color="auto"/>
        <w:right w:val="none" w:sz="0" w:space="0" w:color="auto"/>
      </w:divBdr>
    </w:div>
    <w:div w:id="1011302212">
      <w:bodyDiv w:val="1"/>
      <w:marLeft w:val="0"/>
      <w:marRight w:val="0"/>
      <w:marTop w:val="0"/>
      <w:marBottom w:val="0"/>
      <w:divBdr>
        <w:top w:val="none" w:sz="0" w:space="0" w:color="auto"/>
        <w:left w:val="none" w:sz="0" w:space="0" w:color="auto"/>
        <w:bottom w:val="none" w:sz="0" w:space="0" w:color="auto"/>
        <w:right w:val="none" w:sz="0" w:space="0" w:color="auto"/>
      </w:divBdr>
    </w:div>
    <w:div w:id="1031300530">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70806167">
      <w:bodyDiv w:val="1"/>
      <w:marLeft w:val="0"/>
      <w:marRight w:val="0"/>
      <w:marTop w:val="0"/>
      <w:marBottom w:val="0"/>
      <w:divBdr>
        <w:top w:val="none" w:sz="0" w:space="0" w:color="auto"/>
        <w:left w:val="none" w:sz="0" w:space="0" w:color="auto"/>
        <w:bottom w:val="none" w:sz="0" w:space="0" w:color="auto"/>
        <w:right w:val="none" w:sz="0" w:space="0" w:color="auto"/>
      </w:divBdr>
    </w:div>
    <w:div w:id="1074622018">
      <w:bodyDiv w:val="1"/>
      <w:marLeft w:val="0"/>
      <w:marRight w:val="0"/>
      <w:marTop w:val="0"/>
      <w:marBottom w:val="0"/>
      <w:divBdr>
        <w:top w:val="none" w:sz="0" w:space="0" w:color="auto"/>
        <w:left w:val="none" w:sz="0" w:space="0" w:color="auto"/>
        <w:bottom w:val="none" w:sz="0" w:space="0" w:color="auto"/>
        <w:right w:val="none" w:sz="0" w:space="0" w:color="auto"/>
      </w:divBdr>
    </w:div>
    <w:div w:id="1074856049">
      <w:bodyDiv w:val="1"/>
      <w:marLeft w:val="0"/>
      <w:marRight w:val="0"/>
      <w:marTop w:val="0"/>
      <w:marBottom w:val="0"/>
      <w:divBdr>
        <w:top w:val="none" w:sz="0" w:space="0" w:color="auto"/>
        <w:left w:val="none" w:sz="0" w:space="0" w:color="auto"/>
        <w:bottom w:val="none" w:sz="0" w:space="0" w:color="auto"/>
        <w:right w:val="none" w:sz="0" w:space="0" w:color="auto"/>
      </w:divBdr>
      <w:divsChild>
        <w:div w:id="1328364342">
          <w:marLeft w:val="-225"/>
          <w:marRight w:val="-225"/>
          <w:marTop w:val="0"/>
          <w:marBottom w:val="0"/>
          <w:divBdr>
            <w:top w:val="none" w:sz="0" w:space="0" w:color="auto"/>
            <w:left w:val="none" w:sz="0" w:space="0" w:color="auto"/>
            <w:bottom w:val="none" w:sz="0" w:space="0" w:color="auto"/>
            <w:right w:val="none" w:sz="0" w:space="0" w:color="auto"/>
          </w:divBdr>
          <w:divsChild>
            <w:div w:id="942036466">
              <w:marLeft w:val="0"/>
              <w:marRight w:val="0"/>
              <w:marTop w:val="0"/>
              <w:marBottom w:val="0"/>
              <w:divBdr>
                <w:top w:val="none" w:sz="0" w:space="0" w:color="auto"/>
                <w:left w:val="none" w:sz="0" w:space="0" w:color="auto"/>
                <w:bottom w:val="none" w:sz="0" w:space="0" w:color="auto"/>
                <w:right w:val="none" w:sz="0" w:space="0" w:color="auto"/>
              </w:divBdr>
            </w:div>
          </w:divsChild>
        </w:div>
        <w:div w:id="267079781">
          <w:marLeft w:val="0"/>
          <w:marRight w:val="0"/>
          <w:marTop w:val="0"/>
          <w:marBottom w:val="0"/>
          <w:divBdr>
            <w:top w:val="none" w:sz="0" w:space="0" w:color="auto"/>
            <w:left w:val="none" w:sz="0" w:space="0" w:color="auto"/>
            <w:bottom w:val="none" w:sz="0" w:space="0" w:color="auto"/>
            <w:right w:val="none" w:sz="0" w:space="0" w:color="auto"/>
          </w:divBdr>
          <w:divsChild>
            <w:div w:id="479611913">
              <w:marLeft w:val="0"/>
              <w:marRight w:val="0"/>
              <w:marTop w:val="0"/>
              <w:marBottom w:val="120"/>
              <w:divBdr>
                <w:top w:val="single" w:sz="6" w:space="0" w:color="auto"/>
                <w:left w:val="single" w:sz="6" w:space="0" w:color="auto"/>
                <w:bottom w:val="single" w:sz="6" w:space="0" w:color="auto"/>
                <w:right w:val="single" w:sz="6" w:space="0" w:color="auto"/>
              </w:divBdr>
              <w:divsChild>
                <w:div w:id="230819184">
                  <w:marLeft w:val="0"/>
                  <w:marRight w:val="0"/>
                  <w:marTop w:val="0"/>
                  <w:marBottom w:val="0"/>
                  <w:divBdr>
                    <w:top w:val="none" w:sz="0" w:space="0" w:color="auto"/>
                    <w:left w:val="none" w:sz="0" w:space="0" w:color="auto"/>
                    <w:bottom w:val="none" w:sz="0" w:space="0" w:color="auto"/>
                    <w:right w:val="none" w:sz="0" w:space="0" w:color="auto"/>
                  </w:divBdr>
                </w:div>
              </w:divsChild>
            </w:div>
            <w:div w:id="162818719">
              <w:marLeft w:val="0"/>
              <w:marRight w:val="0"/>
              <w:marTop w:val="0"/>
              <w:marBottom w:val="240"/>
              <w:divBdr>
                <w:top w:val="single" w:sz="6" w:space="0" w:color="auto"/>
                <w:left w:val="single" w:sz="6" w:space="0" w:color="auto"/>
                <w:bottom w:val="single" w:sz="6" w:space="0" w:color="auto"/>
                <w:right w:val="single" w:sz="6" w:space="0" w:color="auto"/>
              </w:divBdr>
              <w:divsChild>
                <w:div w:id="576135507">
                  <w:marLeft w:val="0"/>
                  <w:marRight w:val="0"/>
                  <w:marTop w:val="0"/>
                  <w:marBottom w:val="0"/>
                  <w:divBdr>
                    <w:top w:val="none" w:sz="0" w:space="0" w:color="auto"/>
                    <w:left w:val="none" w:sz="0" w:space="0" w:color="auto"/>
                    <w:bottom w:val="none" w:sz="0" w:space="0" w:color="auto"/>
                    <w:right w:val="none" w:sz="0" w:space="0" w:color="auto"/>
                  </w:divBdr>
                </w:div>
                <w:div w:id="973175200">
                  <w:marLeft w:val="0"/>
                  <w:marRight w:val="0"/>
                  <w:marTop w:val="0"/>
                  <w:marBottom w:val="0"/>
                  <w:divBdr>
                    <w:top w:val="none" w:sz="0" w:space="0" w:color="auto"/>
                    <w:left w:val="none" w:sz="0" w:space="0" w:color="auto"/>
                    <w:bottom w:val="none" w:sz="0" w:space="0" w:color="auto"/>
                    <w:right w:val="none" w:sz="0" w:space="0" w:color="auto"/>
                  </w:divBdr>
                  <w:divsChild>
                    <w:div w:id="69831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556659">
      <w:bodyDiv w:val="1"/>
      <w:marLeft w:val="0"/>
      <w:marRight w:val="0"/>
      <w:marTop w:val="0"/>
      <w:marBottom w:val="0"/>
      <w:divBdr>
        <w:top w:val="none" w:sz="0" w:space="0" w:color="auto"/>
        <w:left w:val="none" w:sz="0" w:space="0" w:color="auto"/>
        <w:bottom w:val="none" w:sz="0" w:space="0" w:color="auto"/>
        <w:right w:val="none" w:sz="0" w:space="0" w:color="auto"/>
      </w:divBdr>
    </w:div>
    <w:div w:id="1085998253">
      <w:bodyDiv w:val="1"/>
      <w:marLeft w:val="0"/>
      <w:marRight w:val="0"/>
      <w:marTop w:val="0"/>
      <w:marBottom w:val="0"/>
      <w:divBdr>
        <w:top w:val="none" w:sz="0" w:space="0" w:color="auto"/>
        <w:left w:val="none" w:sz="0" w:space="0" w:color="auto"/>
        <w:bottom w:val="none" w:sz="0" w:space="0" w:color="auto"/>
        <w:right w:val="none" w:sz="0" w:space="0" w:color="auto"/>
      </w:divBdr>
    </w:div>
    <w:div w:id="1150488194">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72588884">
      <w:bodyDiv w:val="1"/>
      <w:marLeft w:val="0"/>
      <w:marRight w:val="0"/>
      <w:marTop w:val="0"/>
      <w:marBottom w:val="0"/>
      <w:divBdr>
        <w:top w:val="none" w:sz="0" w:space="0" w:color="auto"/>
        <w:left w:val="none" w:sz="0" w:space="0" w:color="auto"/>
        <w:bottom w:val="none" w:sz="0" w:space="0" w:color="auto"/>
        <w:right w:val="none" w:sz="0" w:space="0" w:color="auto"/>
      </w:divBdr>
    </w:div>
    <w:div w:id="1280992210">
      <w:bodyDiv w:val="1"/>
      <w:marLeft w:val="0"/>
      <w:marRight w:val="0"/>
      <w:marTop w:val="0"/>
      <w:marBottom w:val="0"/>
      <w:divBdr>
        <w:top w:val="none" w:sz="0" w:space="0" w:color="auto"/>
        <w:left w:val="none" w:sz="0" w:space="0" w:color="auto"/>
        <w:bottom w:val="none" w:sz="0" w:space="0" w:color="auto"/>
        <w:right w:val="none" w:sz="0" w:space="0" w:color="auto"/>
      </w:divBdr>
    </w:div>
    <w:div w:id="1308627103">
      <w:bodyDiv w:val="1"/>
      <w:marLeft w:val="0"/>
      <w:marRight w:val="0"/>
      <w:marTop w:val="0"/>
      <w:marBottom w:val="0"/>
      <w:divBdr>
        <w:top w:val="none" w:sz="0" w:space="0" w:color="auto"/>
        <w:left w:val="none" w:sz="0" w:space="0" w:color="auto"/>
        <w:bottom w:val="none" w:sz="0" w:space="0" w:color="auto"/>
        <w:right w:val="none" w:sz="0" w:space="0" w:color="auto"/>
      </w:divBdr>
    </w:div>
    <w:div w:id="1363943418">
      <w:bodyDiv w:val="1"/>
      <w:marLeft w:val="0"/>
      <w:marRight w:val="0"/>
      <w:marTop w:val="0"/>
      <w:marBottom w:val="0"/>
      <w:divBdr>
        <w:top w:val="none" w:sz="0" w:space="0" w:color="auto"/>
        <w:left w:val="none" w:sz="0" w:space="0" w:color="auto"/>
        <w:bottom w:val="none" w:sz="0" w:space="0" w:color="auto"/>
        <w:right w:val="none" w:sz="0" w:space="0" w:color="auto"/>
      </w:divBdr>
    </w:div>
    <w:div w:id="1365135936">
      <w:bodyDiv w:val="1"/>
      <w:marLeft w:val="0"/>
      <w:marRight w:val="0"/>
      <w:marTop w:val="0"/>
      <w:marBottom w:val="0"/>
      <w:divBdr>
        <w:top w:val="none" w:sz="0" w:space="0" w:color="auto"/>
        <w:left w:val="none" w:sz="0" w:space="0" w:color="auto"/>
        <w:bottom w:val="none" w:sz="0" w:space="0" w:color="auto"/>
        <w:right w:val="none" w:sz="0" w:space="0" w:color="auto"/>
      </w:divBdr>
    </w:div>
    <w:div w:id="1382706864">
      <w:bodyDiv w:val="1"/>
      <w:marLeft w:val="0"/>
      <w:marRight w:val="0"/>
      <w:marTop w:val="0"/>
      <w:marBottom w:val="0"/>
      <w:divBdr>
        <w:top w:val="none" w:sz="0" w:space="0" w:color="auto"/>
        <w:left w:val="none" w:sz="0" w:space="0" w:color="auto"/>
        <w:bottom w:val="none" w:sz="0" w:space="0" w:color="auto"/>
        <w:right w:val="none" w:sz="0" w:space="0" w:color="auto"/>
      </w:divBdr>
    </w:div>
    <w:div w:id="1387491226">
      <w:bodyDiv w:val="1"/>
      <w:marLeft w:val="0"/>
      <w:marRight w:val="0"/>
      <w:marTop w:val="0"/>
      <w:marBottom w:val="0"/>
      <w:divBdr>
        <w:top w:val="none" w:sz="0" w:space="0" w:color="auto"/>
        <w:left w:val="none" w:sz="0" w:space="0" w:color="auto"/>
        <w:bottom w:val="none" w:sz="0" w:space="0" w:color="auto"/>
        <w:right w:val="none" w:sz="0" w:space="0" w:color="auto"/>
      </w:divBdr>
    </w:div>
    <w:div w:id="1400905064">
      <w:bodyDiv w:val="1"/>
      <w:marLeft w:val="0"/>
      <w:marRight w:val="0"/>
      <w:marTop w:val="0"/>
      <w:marBottom w:val="0"/>
      <w:divBdr>
        <w:top w:val="none" w:sz="0" w:space="0" w:color="auto"/>
        <w:left w:val="none" w:sz="0" w:space="0" w:color="auto"/>
        <w:bottom w:val="none" w:sz="0" w:space="0" w:color="auto"/>
        <w:right w:val="none" w:sz="0" w:space="0" w:color="auto"/>
      </w:divBdr>
    </w:div>
    <w:div w:id="1402170912">
      <w:bodyDiv w:val="1"/>
      <w:marLeft w:val="0"/>
      <w:marRight w:val="0"/>
      <w:marTop w:val="0"/>
      <w:marBottom w:val="0"/>
      <w:divBdr>
        <w:top w:val="none" w:sz="0" w:space="0" w:color="auto"/>
        <w:left w:val="none" w:sz="0" w:space="0" w:color="auto"/>
        <w:bottom w:val="none" w:sz="0" w:space="0" w:color="auto"/>
        <w:right w:val="none" w:sz="0" w:space="0" w:color="auto"/>
      </w:divBdr>
    </w:div>
    <w:div w:id="1404445764">
      <w:bodyDiv w:val="1"/>
      <w:marLeft w:val="0"/>
      <w:marRight w:val="0"/>
      <w:marTop w:val="0"/>
      <w:marBottom w:val="0"/>
      <w:divBdr>
        <w:top w:val="none" w:sz="0" w:space="0" w:color="auto"/>
        <w:left w:val="none" w:sz="0" w:space="0" w:color="auto"/>
        <w:bottom w:val="none" w:sz="0" w:space="0" w:color="auto"/>
        <w:right w:val="none" w:sz="0" w:space="0" w:color="auto"/>
      </w:divBdr>
    </w:div>
    <w:div w:id="1416391846">
      <w:bodyDiv w:val="1"/>
      <w:marLeft w:val="0"/>
      <w:marRight w:val="0"/>
      <w:marTop w:val="0"/>
      <w:marBottom w:val="0"/>
      <w:divBdr>
        <w:top w:val="none" w:sz="0" w:space="0" w:color="auto"/>
        <w:left w:val="none" w:sz="0" w:space="0" w:color="auto"/>
        <w:bottom w:val="none" w:sz="0" w:space="0" w:color="auto"/>
        <w:right w:val="none" w:sz="0" w:space="0" w:color="auto"/>
      </w:divBdr>
      <w:divsChild>
        <w:div w:id="1265188587">
          <w:marLeft w:val="547"/>
          <w:marRight w:val="0"/>
          <w:marTop w:val="134"/>
          <w:marBottom w:val="0"/>
          <w:divBdr>
            <w:top w:val="none" w:sz="0" w:space="0" w:color="auto"/>
            <w:left w:val="none" w:sz="0" w:space="0" w:color="auto"/>
            <w:bottom w:val="none" w:sz="0" w:space="0" w:color="auto"/>
            <w:right w:val="none" w:sz="0" w:space="0" w:color="auto"/>
          </w:divBdr>
        </w:div>
      </w:divsChild>
    </w:div>
    <w:div w:id="1423406889">
      <w:bodyDiv w:val="1"/>
      <w:marLeft w:val="0"/>
      <w:marRight w:val="0"/>
      <w:marTop w:val="0"/>
      <w:marBottom w:val="0"/>
      <w:divBdr>
        <w:top w:val="none" w:sz="0" w:space="0" w:color="auto"/>
        <w:left w:val="none" w:sz="0" w:space="0" w:color="auto"/>
        <w:bottom w:val="none" w:sz="0" w:space="0" w:color="auto"/>
        <w:right w:val="none" w:sz="0" w:space="0" w:color="auto"/>
      </w:divBdr>
    </w:div>
    <w:div w:id="1465005324">
      <w:bodyDiv w:val="1"/>
      <w:marLeft w:val="0"/>
      <w:marRight w:val="0"/>
      <w:marTop w:val="0"/>
      <w:marBottom w:val="0"/>
      <w:divBdr>
        <w:top w:val="none" w:sz="0" w:space="0" w:color="auto"/>
        <w:left w:val="none" w:sz="0" w:space="0" w:color="auto"/>
        <w:bottom w:val="none" w:sz="0" w:space="0" w:color="auto"/>
        <w:right w:val="none" w:sz="0" w:space="0" w:color="auto"/>
      </w:divBdr>
    </w:div>
    <w:div w:id="1492721695">
      <w:bodyDiv w:val="1"/>
      <w:marLeft w:val="0"/>
      <w:marRight w:val="0"/>
      <w:marTop w:val="0"/>
      <w:marBottom w:val="0"/>
      <w:divBdr>
        <w:top w:val="none" w:sz="0" w:space="0" w:color="auto"/>
        <w:left w:val="none" w:sz="0" w:space="0" w:color="auto"/>
        <w:bottom w:val="none" w:sz="0" w:space="0" w:color="auto"/>
        <w:right w:val="none" w:sz="0" w:space="0" w:color="auto"/>
      </w:divBdr>
    </w:div>
    <w:div w:id="1506289924">
      <w:bodyDiv w:val="1"/>
      <w:marLeft w:val="0"/>
      <w:marRight w:val="0"/>
      <w:marTop w:val="0"/>
      <w:marBottom w:val="0"/>
      <w:divBdr>
        <w:top w:val="none" w:sz="0" w:space="0" w:color="auto"/>
        <w:left w:val="none" w:sz="0" w:space="0" w:color="auto"/>
        <w:bottom w:val="none" w:sz="0" w:space="0" w:color="auto"/>
        <w:right w:val="none" w:sz="0" w:space="0" w:color="auto"/>
      </w:divBdr>
    </w:div>
    <w:div w:id="155630696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8243382">
      <w:bodyDiv w:val="1"/>
      <w:marLeft w:val="0"/>
      <w:marRight w:val="0"/>
      <w:marTop w:val="0"/>
      <w:marBottom w:val="0"/>
      <w:divBdr>
        <w:top w:val="none" w:sz="0" w:space="0" w:color="auto"/>
        <w:left w:val="none" w:sz="0" w:space="0" w:color="auto"/>
        <w:bottom w:val="none" w:sz="0" w:space="0" w:color="auto"/>
        <w:right w:val="none" w:sz="0" w:space="0" w:color="auto"/>
      </w:divBdr>
    </w:div>
    <w:div w:id="1680546481">
      <w:bodyDiv w:val="1"/>
      <w:marLeft w:val="0"/>
      <w:marRight w:val="0"/>
      <w:marTop w:val="0"/>
      <w:marBottom w:val="0"/>
      <w:divBdr>
        <w:top w:val="none" w:sz="0" w:space="0" w:color="auto"/>
        <w:left w:val="none" w:sz="0" w:space="0" w:color="auto"/>
        <w:bottom w:val="none" w:sz="0" w:space="0" w:color="auto"/>
        <w:right w:val="none" w:sz="0" w:space="0" w:color="auto"/>
      </w:divBdr>
    </w:div>
    <w:div w:id="1716808053">
      <w:bodyDiv w:val="1"/>
      <w:marLeft w:val="0"/>
      <w:marRight w:val="0"/>
      <w:marTop w:val="0"/>
      <w:marBottom w:val="0"/>
      <w:divBdr>
        <w:top w:val="none" w:sz="0" w:space="0" w:color="auto"/>
        <w:left w:val="none" w:sz="0" w:space="0" w:color="auto"/>
        <w:bottom w:val="none" w:sz="0" w:space="0" w:color="auto"/>
        <w:right w:val="none" w:sz="0" w:space="0" w:color="auto"/>
      </w:divBdr>
    </w:div>
    <w:div w:id="1804956288">
      <w:bodyDiv w:val="1"/>
      <w:marLeft w:val="0"/>
      <w:marRight w:val="0"/>
      <w:marTop w:val="0"/>
      <w:marBottom w:val="0"/>
      <w:divBdr>
        <w:top w:val="none" w:sz="0" w:space="0" w:color="auto"/>
        <w:left w:val="none" w:sz="0" w:space="0" w:color="auto"/>
        <w:bottom w:val="none" w:sz="0" w:space="0" w:color="auto"/>
        <w:right w:val="none" w:sz="0" w:space="0" w:color="auto"/>
      </w:divBdr>
    </w:div>
    <w:div w:id="1827434270">
      <w:bodyDiv w:val="1"/>
      <w:marLeft w:val="0"/>
      <w:marRight w:val="0"/>
      <w:marTop w:val="0"/>
      <w:marBottom w:val="0"/>
      <w:divBdr>
        <w:top w:val="none" w:sz="0" w:space="0" w:color="auto"/>
        <w:left w:val="none" w:sz="0" w:space="0" w:color="auto"/>
        <w:bottom w:val="none" w:sz="0" w:space="0" w:color="auto"/>
        <w:right w:val="none" w:sz="0" w:space="0" w:color="auto"/>
      </w:divBdr>
    </w:div>
    <w:div w:id="1832872379">
      <w:bodyDiv w:val="1"/>
      <w:marLeft w:val="0"/>
      <w:marRight w:val="0"/>
      <w:marTop w:val="0"/>
      <w:marBottom w:val="0"/>
      <w:divBdr>
        <w:top w:val="none" w:sz="0" w:space="0" w:color="auto"/>
        <w:left w:val="none" w:sz="0" w:space="0" w:color="auto"/>
        <w:bottom w:val="none" w:sz="0" w:space="0" w:color="auto"/>
        <w:right w:val="none" w:sz="0" w:space="0" w:color="auto"/>
      </w:divBdr>
    </w:div>
    <w:div w:id="1838616981">
      <w:bodyDiv w:val="1"/>
      <w:marLeft w:val="0"/>
      <w:marRight w:val="0"/>
      <w:marTop w:val="0"/>
      <w:marBottom w:val="0"/>
      <w:divBdr>
        <w:top w:val="none" w:sz="0" w:space="0" w:color="auto"/>
        <w:left w:val="none" w:sz="0" w:space="0" w:color="auto"/>
        <w:bottom w:val="none" w:sz="0" w:space="0" w:color="auto"/>
        <w:right w:val="none" w:sz="0" w:space="0" w:color="auto"/>
      </w:divBdr>
    </w:div>
    <w:div w:id="1882404408">
      <w:bodyDiv w:val="1"/>
      <w:marLeft w:val="0"/>
      <w:marRight w:val="0"/>
      <w:marTop w:val="0"/>
      <w:marBottom w:val="0"/>
      <w:divBdr>
        <w:top w:val="none" w:sz="0" w:space="0" w:color="auto"/>
        <w:left w:val="none" w:sz="0" w:space="0" w:color="auto"/>
        <w:bottom w:val="none" w:sz="0" w:space="0" w:color="auto"/>
        <w:right w:val="none" w:sz="0" w:space="0" w:color="auto"/>
      </w:divBdr>
    </w:div>
    <w:div w:id="1883589512">
      <w:bodyDiv w:val="1"/>
      <w:marLeft w:val="0"/>
      <w:marRight w:val="0"/>
      <w:marTop w:val="0"/>
      <w:marBottom w:val="0"/>
      <w:divBdr>
        <w:top w:val="none" w:sz="0" w:space="0" w:color="auto"/>
        <w:left w:val="none" w:sz="0" w:space="0" w:color="auto"/>
        <w:bottom w:val="none" w:sz="0" w:space="0" w:color="auto"/>
        <w:right w:val="none" w:sz="0" w:space="0" w:color="auto"/>
      </w:divBdr>
    </w:div>
    <w:div w:id="1928223226">
      <w:bodyDiv w:val="1"/>
      <w:marLeft w:val="0"/>
      <w:marRight w:val="0"/>
      <w:marTop w:val="0"/>
      <w:marBottom w:val="0"/>
      <w:divBdr>
        <w:top w:val="none" w:sz="0" w:space="0" w:color="auto"/>
        <w:left w:val="none" w:sz="0" w:space="0" w:color="auto"/>
        <w:bottom w:val="none" w:sz="0" w:space="0" w:color="auto"/>
        <w:right w:val="none" w:sz="0" w:space="0" w:color="auto"/>
      </w:divBdr>
    </w:div>
    <w:div w:id="1973363539">
      <w:bodyDiv w:val="1"/>
      <w:marLeft w:val="0"/>
      <w:marRight w:val="0"/>
      <w:marTop w:val="0"/>
      <w:marBottom w:val="0"/>
      <w:divBdr>
        <w:top w:val="none" w:sz="0" w:space="0" w:color="auto"/>
        <w:left w:val="none" w:sz="0" w:space="0" w:color="auto"/>
        <w:bottom w:val="none" w:sz="0" w:space="0" w:color="auto"/>
        <w:right w:val="none" w:sz="0" w:space="0" w:color="auto"/>
      </w:divBdr>
    </w:div>
    <w:div w:id="1974560984">
      <w:bodyDiv w:val="1"/>
      <w:marLeft w:val="0"/>
      <w:marRight w:val="0"/>
      <w:marTop w:val="0"/>
      <w:marBottom w:val="0"/>
      <w:divBdr>
        <w:top w:val="none" w:sz="0" w:space="0" w:color="auto"/>
        <w:left w:val="none" w:sz="0" w:space="0" w:color="auto"/>
        <w:bottom w:val="none" w:sz="0" w:space="0" w:color="auto"/>
        <w:right w:val="none" w:sz="0" w:space="0" w:color="auto"/>
      </w:divBdr>
    </w:div>
    <w:div w:id="1985310382">
      <w:bodyDiv w:val="1"/>
      <w:marLeft w:val="0"/>
      <w:marRight w:val="0"/>
      <w:marTop w:val="0"/>
      <w:marBottom w:val="0"/>
      <w:divBdr>
        <w:top w:val="none" w:sz="0" w:space="0" w:color="auto"/>
        <w:left w:val="none" w:sz="0" w:space="0" w:color="auto"/>
        <w:bottom w:val="none" w:sz="0" w:space="0" w:color="auto"/>
        <w:right w:val="none" w:sz="0" w:space="0" w:color="auto"/>
      </w:divBdr>
    </w:div>
    <w:div w:id="2009406575">
      <w:bodyDiv w:val="1"/>
      <w:marLeft w:val="0"/>
      <w:marRight w:val="0"/>
      <w:marTop w:val="0"/>
      <w:marBottom w:val="0"/>
      <w:divBdr>
        <w:top w:val="none" w:sz="0" w:space="0" w:color="auto"/>
        <w:left w:val="none" w:sz="0" w:space="0" w:color="auto"/>
        <w:bottom w:val="none" w:sz="0" w:space="0" w:color="auto"/>
        <w:right w:val="none" w:sz="0" w:space="0" w:color="auto"/>
      </w:divBdr>
    </w:div>
    <w:div w:id="2013943756">
      <w:bodyDiv w:val="1"/>
      <w:marLeft w:val="0"/>
      <w:marRight w:val="0"/>
      <w:marTop w:val="0"/>
      <w:marBottom w:val="0"/>
      <w:divBdr>
        <w:top w:val="none" w:sz="0" w:space="0" w:color="auto"/>
        <w:left w:val="none" w:sz="0" w:space="0" w:color="auto"/>
        <w:bottom w:val="none" w:sz="0" w:space="0" w:color="auto"/>
        <w:right w:val="none" w:sz="0" w:space="0" w:color="auto"/>
      </w:divBdr>
    </w:div>
    <w:div w:id="2018188624">
      <w:bodyDiv w:val="1"/>
      <w:marLeft w:val="0"/>
      <w:marRight w:val="0"/>
      <w:marTop w:val="0"/>
      <w:marBottom w:val="0"/>
      <w:divBdr>
        <w:top w:val="none" w:sz="0" w:space="0" w:color="auto"/>
        <w:left w:val="none" w:sz="0" w:space="0" w:color="auto"/>
        <w:bottom w:val="none" w:sz="0" w:space="0" w:color="auto"/>
        <w:right w:val="none" w:sz="0" w:space="0" w:color="auto"/>
      </w:divBdr>
    </w:div>
    <w:div w:id="2079857790">
      <w:bodyDiv w:val="1"/>
      <w:marLeft w:val="0"/>
      <w:marRight w:val="0"/>
      <w:marTop w:val="0"/>
      <w:marBottom w:val="0"/>
      <w:divBdr>
        <w:top w:val="none" w:sz="0" w:space="0" w:color="auto"/>
        <w:left w:val="none" w:sz="0" w:space="0" w:color="auto"/>
        <w:bottom w:val="none" w:sz="0" w:space="0" w:color="auto"/>
        <w:right w:val="none" w:sz="0" w:space="0" w:color="auto"/>
      </w:divBdr>
    </w:div>
    <w:div w:id="2116056688">
      <w:bodyDiv w:val="1"/>
      <w:marLeft w:val="0"/>
      <w:marRight w:val="0"/>
      <w:marTop w:val="0"/>
      <w:marBottom w:val="0"/>
      <w:divBdr>
        <w:top w:val="none" w:sz="0" w:space="0" w:color="auto"/>
        <w:left w:val="none" w:sz="0" w:space="0" w:color="auto"/>
        <w:bottom w:val="none" w:sz="0" w:space="0" w:color="auto"/>
        <w:right w:val="none" w:sz="0" w:space="0" w:color="auto"/>
      </w:divBdr>
    </w:div>
    <w:div w:id="212483854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8788737">
      <w:bodyDiv w:val="1"/>
      <w:marLeft w:val="0"/>
      <w:marRight w:val="0"/>
      <w:marTop w:val="0"/>
      <w:marBottom w:val="0"/>
      <w:divBdr>
        <w:top w:val="none" w:sz="0" w:space="0" w:color="auto"/>
        <w:left w:val="none" w:sz="0" w:space="0" w:color="auto"/>
        <w:bottom w:val="none" w:sz="0" w:space="0" w:color="auto"/>
        <w:right w:val="none" w:sz="0" w:space="0" w:color="auto"/>
      </w:divBdr>
    </w:div>
    <w:div w:id="2138987034">
      <w:bodyDiv w:val="1"/>
      <w:marLeft w:val="0"/>
      <w:marRight w:val="0"/>
      <w:marTop w:val="0"/>
      <w:marBottom w:val="0"/>
      <w:divBdr>
        <w:top w:val="none" w:sz="0" w:space="0" w:color="auto"/>
        <w:left w:val="none" w:sz="0" w:space="0" w:color="auto"/>
        <w:bottom w:val="none" w:sz="0" w:space="0" w:color="auto"/>
        <w:right w:val="none" w:sz="0" w:space="0" w:color="auto"/>
      </w:divBdr>
      <w:divsChild>
        <w:div w:id="451169559">
          <w:marLeft w:val="547"/>
          <w:marRight w:val="0"/>
          <w:marTop w:val="134"/>
          <w:marBottom w:val="0"/>
          <w:divBdr>
            <w:top w:val="none" w:sz="0" w:space="0" w:color="auto"/>
            <w:left w:val="none" w:sz="0" w:space="0" w:color="auto"/>
            <w:bottom w:val="none" w:sz="0" w:space="0" w:color="auto"/>
            <w:right w:val="none" w:sz="0" w:space="0" w:color="auto"/>
          </w:divBdr>
        </w:div>
      </w:divsChild>
    </w:div>
    <w:div w:id="214034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2.bin"/><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w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oleObject" Target="embeddings/oleObject1.bin"/><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wmf"/><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Off15</b:Tag>
    <b:SourceType>DocumentFromInternetSite</b:SourceType>
    <b:Guid>{191B438E-BB91-4A25-B7DC-054B48B89258}</b:Guid>
    <b:Title>Retail sales, Great Britain: March 2015 A first estimate of retail sales in volume and value terms, seasonally and non-seasonally</b:Title>
    <b:Year>2015</b:Year>
    <b:Month>April</b:Month>
    <b:Day>23</b:Day>
    <b:YearAccessed>2020</b:YearAccessed>
    <b:MonthAccessed>January</b:MonthAccessed>
    <b:DayAccessed>Saturday</b:DayAccessed>
    <b:URL>https://www.ons.gov.uk/businessindustryandtrade/retailindustry/bulletins/retailsales/2015-04-23</b:URL>
    <b:Author>
      <b:Author>
        <b:NameList>
          <b:Person>
            <b:Last>Statistics</b:Last>
            <b:First>Office</b:First>
            <b:Middle>for National</b:Middle>
          </b:Person>
        </b:NameList>
      </b:Author>
    </b:Author>
    <b:RefOrder>21</b:RefOrder>
  </b:Source>
  <b:Source>
    <b:Tag>Off16</b:Tag>
    <b:SourceType>DocumentFromInternetSite</b:SourceType>
    <b:Guid>{A78F3DAA-21CA-4C41-9E33-6A17CA606187}</b:Guid>
    <b:Author>
      <b:Author>
        <b:NameList>
          <b:Person>
            <b:Last>statisics</b:Last>
            <b:First>Office</b:First>
            <b:Middle>for National</b:Middle>
          </b:Person>
        </b:NameList>
      </b:Author>
    </b:Author>
    <b:Title>Retail sales, Great Britain: March 2016 A first estimate of retail sales in volume and value terms, seasonally and non-seasonally adjusted</b:Title>
    <b:Year>2016</b:Year>
    <b:Month>April</b:Month>
    <b:Day>21</b:Day>
    <b:YearAccessed>2020</b:YearAccessed>
    <b:MonthAccessed>January</b:MonthAccessed>
    <b:DayAccessed>11</b:DayAccessed>
    <b:URL>https://www.ons.gov.uk/businessindustryandtrade/retailindustry/bulletins/retailsales/march2016</b:URL>
    <b:RefOrder>22</b:RefOrder>
  </b:Source>
  <b:Source>
    <b:Tag>Sta17</b:Tag>
    <b:SourceType>DocumentFromInternetSite</b:SourceType>
    <b:Guid>{B9B2330A-D51E-4C2F-8E34-C773A9491091}</b:Guid>
    <b:Author>
      <b:Author>
        <b:NameList>
          <b:Person>
            <b:Last>Statistics</b:Last>
            <b:First>Office</b:First>
            <b:Middle>for National</b:Middle>
          </b:Person>
        </b:NameList>
      </b:Author>
    </b:Author>
    <b:Title>Retail sales, Great Britain: March 2017 A first estimate of retail sales in volume and value terms, seasonally and non-seasonally adjusted.</b:Title>
    <b:Year>2017</b:Year>
    <b:Month>April</b:Month>
    <b:Day>21</b:Day>
    <b:YearAccessed>2020</b:YearAccessed>
    <b:MonthAccessed>January</b:MonthAccessed>
    <b:DayAccessed>11</b:DayAccessed>
    <b:URL>https://www.ons.gov.uk/businessindustryandtrade/retailindustry/bulletins/retailsales/mar2017</b:URL>
    <b:RefOrder>23</b:RefOrder>
  </b:Source>
  <b:Source>
    <b:Tag>Sta18</b:Tag>
    <b:SourceType>DocumentFromInternetSite</b:SourceType>
    <b:Guid>{BD2E3DA6-E731-43AD-BC48-0F1D3D4803B1}</b:Guid>
    <b:Author>
      <b:Author>
        <b:NameList>
          <b:Person>
            <b:Last>Statistics</b:Last>
            <b:First>Office</b:First>
            <b:Middle>for National</b:Middle>
          </b:Person>
        </b:NameList>
      </b:Author>
    </b:Author>
    <b:Title>Retail sales, Great Britain: March 2018 A first estimate of retail sales in volume and value terms, seasonally and non-seasonally adjusted. </b:Title>
    <b:Year>2018</b:Year>
    <b:Month>April</b:Month>
    <b:Day>19</b:Day>
    <b:YearAccessed>2020</b:YearAccessed>
    <b:MonthAccessed>January</b:MonthAccessed>
    <b:DayAccessed>11</b:DayAccessed>
    <b:URL>https://www.ons.gov.uk/businessindustryandtrade/retailindustry/bulletins/retailsales/march2018</b:URL>
    <b:RefOrder>24</b:RefOrder>
  </b:Source>
  <b:Source>
    <b:Tag>Sta19</b:Tag>
    <b:SourceType>DocumentFromInternetSite</b:SourceType>
    <b:Guid>{88808E9D-D129-4225-A047-9A5563B68B8C}</b:Guid>
    <b:Author>
      <b:Author>
        <b:NameList>
          <b:Person>
            <b:Last>Statistics</b:Last>
            <b:First>Office</b:First>
            <b:Middle>for National</b:Middle>
          </b:Person>
        </b:NameList>
      </b:Author>
    </b:Author>
    <b:Title>Retail sales, Great Britain: March 2019</b:Title>
    <b:Year>2019</b:Year>
    <b:Month>April</b:Month>
    <b:Day>18</b:Day>
    <b:YearAccessed>2020</b:YearAccessed>
    <b:MonthAccessed>January</b:MonthAccessed>
    <b:DayAccessed>11</b:DayAccessed>
    <b:URL>https://www.ons.gov.uk/businessindustryandtrade/retailindustry/bulletins/retailsales/march2019</b:URL>
    <b:RefOrder>25</b:RefOrder>
  </b:Source>
  <b:Source>
    <b:Tag>Yah15</b:Tag>
    <b:SourceType>DocumentFromInternetSite</b:SourceType>
    <b:Guid>{F0DAD9C1-F9BC-4884-9013-5F66A6E11FF5}</b:Guid>
    <b:Author>
      <b:Author>
        <b:NameList>
          <b:Person>
            <b:Last>Finance</b:Last>
            <b:First>Yahoo</b:First>
          </b:Person>
        </b:NameList>
      </b:Author>
    </b:Author>
    <b:Title>Dixons Carphone plc (DC.L)</b:Title>
    <b:Year>2015</b:Year>
    <b:Month>August</b:Month>
    <b:YearAccessed>2020</b:YearAccessed>
    <b:MonthAccessed>January</b:MonthAccessed>
    <b:DayAccessed>13</b:DayAccessed>
    <b:URL>https://uk.finance.yahoo.com/quote/DC.L/history?period1=1421107200&amp;period2=1578873600&amp;interval=div%7Csplit&amp;filter=div&amp;frequency=1mo</b:URL>
    <b:RefOrder>26</b:RefOrder>
  </b:Source>
  <b:Source>
    <b:Tag>Nic18</b:Tag>
    <b:SourceType>DocumentFromInternetSite</b:SourceType>
    <b:Guid>{F941AC35-79A8-4147-AC6F-A8E9E168A36A}</b:Guid>
    <b:Author>
      <b:Author>
        <b:NameList>
          <b:Person>
            <b:Last>Slawson</b:Last>
            <b:First>Nicola</b:First>
          </b:Person>
        </b:NameList>
      </b:Author>
    </b:Author>
    <b:Title>Dixons Carphone CEO will step down to run chemist chain Boots</b:Title>
    <b:Year>2018</b:Year>
    <b:Month>January</b:Month>
    <b:Day>20</b:Day>
    <b:YearAccessed>2020</b:YearAccessed>
    <b:MonthAccessed>January</b:MonthAccessed>
    <b:DayAccessed>13</b:DayAccessed>
    <b:URL>https://www.theguardian.com/uk-news/2018/jan/20/dixons-carphone-ceo-sebastian-james-will-step-down-to-run-chemist-chain-boots</b:URL>
    <b:RefOrder>27</b:RefOrder>
  </b:Source>
  <b:Source>
    <b:Tag>BBC14</b:Tag>
    <b:SourceType>DocumentFromInternetSite</b:SourceType>
    <b:Guid>{8C80633B-6539-4F63-9E91-8CB87AA509A3}</b:Guid>
    <b:Author>
      <b:Author>
        <b:NameList>
          <b:Person>
            <b:Last>BBC</b:Last>
          </b:Person>
        </b:NameList>
      </b:Author>
    </b:Author>
    <b:Title>Dixons Carphone unveils new stores</b:Title>
    <b:Year>2014</b:Year>
    <b:Month>August</b:Month>
    <b:Day>7</b:Day>
    <b:YearAccessed>2020</b:YearAccessed>
    <b:MonthAccessed>January</b:MonthAccessed>
    <b:DayAccessed>13</b:DayAccessed>
    <b:URL>https://www.bbc.co.uk/news/av/uk-28689236/dixons-carphone-unveils-new-stores</b:URL>
    <b:RefOrder>3</b:RefOrder>
  </b:Source>
  <b:Source>
    <b:Tag>Han18</b:Tag>
    <b:SourceType>DocumentFromInternetSite</b:SourceType>
    <b:Guid>{CC45835A-C488-461D-AFC9-9B3CA623BAA8}</b:Guid>
    <b:Author>
      <b:Author>
        <b:NameList>
          <b:Person>
            <b:Last>Boland</b:Last>
            <b:First>Hannah</b:First>
          </b:Person>
        </b:NameList>
      </b:Author>
    </b:Author>
    <b:Title>Dixons Carphone hires Shop Direct's Baldock to top role after chief executive quits for Boots</b:Title>
    <b:Year>2018</b:Year>
    <b:Month>January</b:Month>
    <b:Day>19</b:Day>
    <b:YearAccessed>2020</b:YearAccessed>
    <b:MonthAccessed>January</b:MonthAccessed>
    <b:DayAccessed>13</b:DayAccessed>
    <b:URL>https://www.telegraph.co.uk/business/2018/01/19/dixons-carphone-hires-shop-directs-baldock-top-role-chief-executive/</b:URL>
    <b:RefOrder>4</b:RefOrder>
  </b:Source>
  <b:Source>
    <b:Tag>Ben19</b:Tag>
    <b:SourceType>DocumentFromInternetSite</b:SourceType>
    <b:Guid>{C1E943B2-2F19-4B30-ADCB-713A09EDAFC2}</b:Guid>
    <b:Author>
      <b:Author>
        <b:NameList>
          <b:Person>
            <b:Last>Chapman</b:Last>
            <b:First>Ben</b:First>
          </b:Person>
        </b:NameList>
      </b:Author>
    </b:Author>
    <b:Title>Dixons Carphone fined £29m for pushing phone insurance that customers didn’t need</b:Title>
    <b:Year>2019</b:Year>
    <b:Month>March</b:Month>
    <b:Day>13</b:Day>
    <b:YearAccessed>2020</b:YearAccessed>
    <b:MonthAccessed>January</b:MonthAccessed>
    <b:DayAccessed>13</b:DayAccessed>
    <b:URL>https://www.independent.co.uk/news/business/news/dixons-carphone-warehouse-fine-geek-squad-phone-insurance-fca-a8820416.html</b:URL>
    <b:RefOrder>6</b:RefOrder>
  </b:Source>
  <b:Source>
    <b:Tag>Jul19</b:Tag>
    <b:SourceType>DocumentFromInternetSite</b:SourceType>
    <b:Guid>{4D405514-782A-4193-9370-14AA98B2A8E4}</b:Guid>
    <b:Author>
      <b:Author>
        <b:NameList>
          <b:Person>
            <b:Last>Kollewe</b:Last>
            <b:First>Julia</b:First>
          </b:Person>
        </b:NameList>
      </b:Author>
    </b:Author>
    <b:Title>Dixons Carphone reveals big losses at mobile phone shops</b:Title>
    <b:Year>2019</b:Year>
    <b:Month>June</b:Month>
    <b:Day>20</b:Day>
    <b:YearAccessed>2020</b:YearAccessed>
    <b:MonthAccessed>January</b:MonthAccessed>
    <b:DayAccessed>13</b:DayAccessed>
    <b:URL>https://www.theguardian.com/business/2019/jun/20/dixons-carphone-reveals-big-losses-at-mobile-phone-shops</b:URL>
    <b:RefOrder>7</b:RefOrder>
  </b:Source>
  <b:Source>
    <b:Tag>Sop15</b:Tag>
    <b:SourceType>DocumentFromInternetSite</b:SourceType>
    <b:Guid>{67C6E0D2-50F7-43EA-85F3-CFA3473556D6}</b:Guid>
    <b:Author>
      <b:Author>
        <b:NameList>
          <b:Person>
            <b:Last>Curtis</b:Last>
            <b:First>Sophie</b:First>
          </b:Person>
        </b:NameList>
      </b:Author>
    </b:Author>
    <b:Title>Carphone Warehouse reveals pricing plans for iD mobile network</b:Title>
    <b:Year>2015</b:Year>
    <b:Month>May</b:Month>
    <b:Day>11</b:Day>
    <b:YearAccessed>2020</b:YearAccessed>
    <b:MonthAccessed>January</b:MonthAccessed>
    <b:DayAccessed>13</b:DayAccessed>
    <b:URL>https://www.telegraph.co.uk/technology/mobile-phones/11597353/Carphone-Warehouse-reveals-pricing-plans-for-iD-mobile-network.html</b:URL>
    <b:RefOrder>2</b:RefOrder>
  </b:Source>
  <b:Source>
    <b:Tag>Kur17</b:Tag>
    <b:SourceType>BookSection</b:SourceType>
    <b:Guid>{4A50944D-8167-4606-AD50-9A5A784FF54B}</b:Guid>
    <b:Title>Capital Budeting</b:Title>
    <b:Year>2017</b:Year>
    <b:Author>
      <b:Author>
        <b:NameList>
          <b:Person>
            <b:Last>Kuratko</b:Last>
            <b:Middle>F</b:Middle>
            <b:First>Donald</b:First>
          </b:Person>
        </b:NameList>
      </b:Author>
      <b:Editor>
        <b:NameList>
          <b:Person>
            <b:Last>10th</b:Last>
          </b:Person>
        </b:NameList>
      </b:Editor>
    </b:Author>
    <b:BookTitle>Entrepreneurship Theory, Process, Practice</b:BookTitle>
    <b:Pages>266 - 270</b:Pages>
    <b:City>Baston</b:City>
    <b:Publisher>Cengage</b:Publisher>
    <b:RefOrder>17</b:RefOrder>
  </b:Source>
  <b:Source>
    <b:Tag>Kur</b:Tag>
    <b:SourceType>BookSection</b:SourceType>
    <b:Guid>{FFD64BFD-31DE-4B87-A192-178E5EEF0CFC}</b:Guid>
    <b:Title>Ratio Analysis</b:Title>
    <b:BookTitle>Entrepreneurship Theory, Process, Practice</b:BookTitle>
    <b:Author>
      <b:Author>
        <b:NameList>
          <b:Person>
            <b:Last>Kuratko</b:Last>
            <b:Middle>F</b:Middle>
            <b:First>Donald</b:First>
          </b:Person>
        </b:NameList>
      </b:Author>
    </b:Author>
    <b:Year>2017</b:Year>
    <b:Pages>273 - 276</b:Pages>
    <b:City>Boston</b:City>
    <b:Publisher>Cengage</b:Publisher>
    <b:RefOrder>8</b:RefOrder>
  </b:Source>
  <b:Source>
    <b:Tag>Ben18</b:Tag>
    <b:SourceType>DocumentFromInternetSite</b:SourceType>
    <b:Guid>{C85A71D6-F299-4CA5-A338-BCDBD2BF283C}</b:Guid>
    <b:Title>Sweeping changes in Dixons Carphone’s boardroom as new CEO makes his mark</b:Title>
    <b:Year>2018</b:Year>
    <b:Author>
      <b:Author>
        <b:NameList>
          <b:Person>
            <b:Last>Stevens</b:Last>
            <b:First>Ben</b:First>
          </b:Person>
        </b:NameList>
      </b:Author>
    </b:Author>
    <b:Month>May</b:Month>
    <b:Day>1</b:Day>
    <b:YearAccessed>2020</b:YearAccessed>
    <b:MonthAccessed>January</b:MonthAccessed>
    <b:DayAccessed>17</b:DayAccessed>
    <b:URL>https://www.retailgazette.co.uk/blog/2018/05/sweeping-changes-dixons-carphones-boardroom-new-ceo-makes-mark/</b:URL>
    <b:RefOrder>28</b:RefOrder>
  </b:Source>
  <b:Source>
    <b:Tag>Dix18</b:Tag>
    <b:SourceType>Report</b:SourceType>
    <b:Guid>{ED869416-56E8-4089-BA54-79EB7229F76E}</b:Guid>
    <b:Title>Dixons Carphone Interims 18/19 &amp; Strategy Update</b:Title>
    <b:Year>2018</b:Year>
    <b:Author>
      <b:Author>
        <b:NameList>
          <b:Person>
            <b:Last>PLC</b:Last>
            <b:First>Dixons</b:First>
            <b:Middle>Carphone</b:Middle>
          </b:Person>
        </b:NameList>
      </b:Author>
    </b:Author>
    <b:Publisher>FE fundinfo</b:Publisher>
    <b:City>Sydney</b:City>
    <b:RefOrder>5</b:RefOrder>
  </b:Source>
  <b:Source>
    <b:Tag>Ret18</b:Tag>
    <b:SourceType>InternetSite</b:SourceType>
    <b:Guid>{E4AD29D4-C56D-46A6-BCED-BF87890B807B}</b:Guid>
    <b:Title>Consumer Electronics Retailers in Europe - Top consumer electronics retailers in Europe</b:Title>
    <b:Year>2018</b:Year>
    <b:Author>
      <b:Author>
        <b:NameList>
          <b:Person>
            <b:Last>Retail-Index</b:Last>
          </b:Person>
        </b:NameList>
      </b:Author>
    </b:Author>
    <b:YearAccessed>2020</b:YearAccessed>
    <b:MonthAccessed>January</b:MonthAccessed>
    <b:DayAccessed>17</b:DayAccessed>
    <b:URL>https://www.retail-index.com/Sectors/ConsumerElectronicsRetailersinEurope.aspx</b:URL>
    <b:RefOrder>1</b:RefOrder>
  </b:Source>
  <b:Source>
    <b:Tag>Key19</b:Tag>
    <b:SourceType>DocumentFromInternetSite</b:SourceType>
    <b:Guid>{F92BBA52-9AA7-4E0E-A037-E215832602B7}</b:Guid>
    <b:Title>Key Financial Ratios for Retail Companies</b:Title>
    <b:Year>2019</b:Year>
    <b:YearAccessed>2020</b:YearAccessed>
    <b:MonthAccessed>January</b:MonthAccessed>
    <b:DayAccessed>17</b:DayAccessed>
    <b:URL>https://www.investopedia.com/articles/financial-analysis/090616/key-financial-ratios-retail-companies.asp</b:URL>
    <b:Month>August</b:Month>
    <b:Day>26</b:Day>
    <b:Author>
      <b:Author>
        <b:NameList>
          <b:Person>
            <b:Last>Gorton</b:Last>
            <b:First>David</b:First>
          </b:Person>
        </b:NameList>
      </b:Author>
    </b:Author>
    <b:RefOrder>9</b:RefOrder>
  </b:Source>
  <b:Source>
    <b:Tag>Fin05</b:Tag>
    <b:SourceType>BookSection</b:SourceType>
    <b:Guid>{28E528B2-E35C-4529-84F7-4A50CEF9C982}</b:Guid>
    <b:Title>Finding Meaning In Faancial Statements a look behind the numbers</b:Title>
    <b:Year>2005</b:Year>
    <b:BookTitle>The Essentials of Finance and Budgeting</b:BookTitle>
    <b:Pages>44 - 52</b:Pages>
    <b:City>Boston</b:City>
    <b:Publisher>Harvard Business School Press</b:Publisher>
    <b:Author>
      <b:Author>
        <b:NameList>
          <b:Person>
            <b:Last>Press</b:Last>
            <b:First>Harvard</b:First>
            <b:Middle>Business School</b:Middle>
          </b:Person>
          <b:Person>
            <b:Last>management</b:Last>
            <b:First>Society</b:First>
            <b:Middle>of human resource</b:Middle>
          </b:Person>
        </b:NameList>
      </b:Author>
    </b:Author>
    <b:RefOrder>10</b:RefOrder>
  </b:Source>
  <b:Source>
    <b:Tag>CSI151</b:Tag>
    <b:SourceType>InternetSite</b:SourceType>
    <b:Guid>{6B624A14-29D7-44F0-A2A7-687D03A1F464}</b:Guid>
    <b:Title>CSI Market.com</b:Title>
    <b:Year>2015</b:Year>
    <b:YearAccessed>2020</b:YearAccessed>
    <b:MonthAccessed>January</b:MonthAccessed>
    <b:DayAccessed>17</b:DayAccessed>
    <b:URL>https://csimarket.com/Industry/industry_Profitability_Ratios.php?ind=1308</b:URL>
    <b:RefOrder>29</b:RefOrder>
  </b:Source>
  <b:Source>
    <b:Tag>Bri13</b:Tag>
    <b:SourceType>BookSection</b:SourceType>
    <b:Guid>{DFFFC010-7F33-48D4-97FB-003B8F5D0308}</b:Guid>
    <b:Title>Analysts of financial statement</b:Title>
    <b:Year>2013</b:Year>
    <b:City>Mason</b:City>
    <b:Publisher>Cengage Learning</b:Publisher>
    <b:Author>
      <b:Author>
        <b:NameList>
          <b:Person>
            <b:Last>Brigham</b:Last>
            <b:First>Eugene</b:First>
            <b:Middle>F.</b:Middle>
          </b:Person>
          <b:Person>
            <b:Last>Houston</b:Last>
            <b:Middle>F</b:Middle>
            <b:First>Joel </b:First>
          </b:Person>
        </b:NameList>
      </b:Author>
      <b:Editor>
        <b:NameList>
          <b:Person>
            <b:Last>13</b:Last>
          </b:Person>
        </b:NameList>
      </b:Editor>
    </b:Author>
    <b:BookTitle>Fundamentals of Financial Management</b:BookTitle>
    <b:Pages>99 - 101</b:Pages>
    <b:RefOrder>11</b:RefOrder>
  </b:Source>
  <b:Source>
    <b:Tag>Bri</b:Tag>
    <b:SourceType>BookSection</b:SourceType>
    <b:Guid>{23859BD7-81B3-4183-B647-FCD493D39200}</b:Guid>
    <b:BookTitle>Fundamentals of Financial Management</b:BookTitle>
    <b:Publisher>Cengage Learning</b:Publisher>
    <b:Author>
      <b:Author>
        <b:NameList>
          <b:Person>
            <b:Last>Brigham</b:Last>
            <b:Middle>F</b:Middle>
            <b:First>Eugene</b:First>
          </b:Person>
          <b:Person>
            <b:Last>Houston</b:Last>
            <b:Middle>F</b:Middle>
            <b:First>Joel</b:First>
          </b:Person>
        </b:NameList>
      </b:Author>
      <b:Editor>
        <b:NameList>
          <b:Person>
            <b:Last>13</b:Last>
          </b:Person>
        </b:NameList>
      </b:Editor>
    </b:Author>
    <b:Title>Analysts of Financial Statemrnts</b:Title>
    <b:Year>2013</b:Year>
    <b:Pages>96 - 112</b:Pages>
    <b:City>Mason</b:City>
    <b:RefOrder>12</b:RefOrder>
  </b:Source>
  <b:Source>
    <b:Tag>Ric10</b:Tag>
    <b:SourceType>BookSection</b:SourceType>
    <b:Guid>{A064150F-317F-46E5-9C25-3CA7B91BDB96}</b:Guid>
    <b:Title>Analysing the finacial statement with ratio analysis</b:Title>
    <b:BookTitle>Cornerstones of Financial Accounting</b:BookTitle>
    <b:Year>2010</b:Year>
    <b:Pages>633 - 655</b:Pages>
    <b:City>Mason</b:City>
    <b:Publisher>Cengage Learning.</b:Publisher>
    <b:Author>
      <b:Author>
        <b:NameList>
          <b:Person>
            <b:Last>Rich</b:Last>
            <b:First>Jay</b:First>
          </b:Person>
          <b:Person>
            <b:Last>Hansen</b:Last>
            <b:Middle>R</b:Middle>
            <b:First>Don </b:First>
          </b:Person>
          <b:Person>
            <b:Last>Mowen</b:Last>
            <b:First>Maryanne</b:First>
          </b:Person>
          <b:Person>
            <b:Last>Jones</b:Last>
            <b:First>Jeff </b:First>
          </b:Person>
        </b:NameList>
      </b:Author>
    </b:Author>
    <b:RefOrder>13</b:RefOrder>
  </b:Source>
  <b:Source>
    <b:Tag>Ris15</b:Tag>
    <b:SourceType>Book</b:SourceType>
    <b:Guid>{8643DEC4-08F9-4A5F-84E5-E4FE1C4791A2}</b:Guid>
    <b:Title>Financial ratios for executives</b:Title>
    <b:Year>2015</b:Year>
    <b:City>New York</b:City>
    <b:Publisher>Apress</b:Publisher>
    <b:Author>
      <b:Author>
        <b:NameList>
          <b:Person>
            <b:Last>Rist</b:Last>
            <b:First>Michael</b:First>
          </b:Person>
          <b:Person>
            <b:Last>Pizzica</b:Last>
            <b:Middle>J</b:Middle>
            <b:First>Albert</b:First>
          </b:Person>
        </b:NameList>
      </b:Author>
    </b:Author>
    <b:RefOrder>14</b:RefOrder>
  </b:Source>
  <b:Source>
    <b:Tag>Cat11</b:Tag>
    <b:SourceType>BookSection</b:SourceType>
    <b:Guid>{BB6309E4-B5A6-4EE1-AA70-B4F2F7D0F355}</b:Guid>
    <b:Title>Understanding Financial Reports: Using Accounting Ratios</b:Title>
    <b:Year>2011</b:Year>
    <b:City>Mason</b:City>
    <b:Publisher>South-Western Cengage Learning</b:Publisher>
    <b:Author>
      <b:Author>
        <b:NameList>
          <b:Person>
            <b:Last>Growthorpe</b:Last>
            <b:First>Catherine</b:First>
          </b:Person>
        </b:NameList>
      </b:Author>
      <b:Editor>
        <b:NameList>
          <b:Person>
            <b:Last>3rd</b:Last>
          </b:Person>
        </b:NameList>
      </b:Editor>
    </b:Author>
    <b:BookTitle>Bussiness Accounting &amp; Finance</b:BookTitle>
    <b:Pages>202 - 230</b:Pages>
    <b:RefOrder>15</b:RefOrder>
  </b:Source>
  <b:Source>
    <b:Tag>Ada192</b:Tag>
    <b:SourceType>DocumentFromInternetSite</b:SourceType>
    <b:Guid>{CA47E2FE-2A90-4EDF-ABDC-872D20FB8ED7}</b:Guid>
    <b:Title>Debt-To-Equity Ratio – D/E</b:Title>
    <b:Year>2019</b:Year>
    <b:Author>
      <b:Author>
        <b:NameList>
          <b:Person>
            <b:Last>Hayes</b:Last>
            <b:First>Adam</b:First>
          </b:Person>
        </b:NameList>
      </b:Author>
    </b:Author>
    <b:Month>June</b:Month>
    <b:Day>13</b:Day>
    <b:YearAccessed>2020</b:YearAccessed>
    <b:MonthAccessed>January</b:MonthAccessed>
    <b:DayAccessed>20</b:DayAccessed>
    <b:URL>https://www.investopedia.com/terms/d/debtequityratio.asp</b:URL>
    <b:RefOrder>16</b:RefOrder>
  </b:Source>
  <b:Source>
    <b:Tag>Bar19</b:Tag>
    <b:SourceType>DocumentFromInternetSite</b:SourceType>
    <b:Guid>{5A292777-1C09-4401-A031-5ACB37B2C49C}</b:Guid>
    <b:Author>
      <b:Author>
        <b:NameList>
          <b:Person>
            <b:Last>Palmer</b:Last>
            <b:First>Barclay</b:First>
          </b:Person>
        </b:NameList>
      </b:Author>
    </b:Author>
    <b:Title>Should IRR or NPV Be Used in Capital Budgeting?</b:Title>
    <b:Year>2019</b:Year>
    <b:Month>Febuary</b:Month>
    <b:Day>16</b:Day>
    <b:YearAccessed>2020</b:YearAccessed>
    <b:MonthAccessed>January</b:MonthAccessed>
    <b:DayAccessed>20</b:DayAccessed>
    <b:URL>https://www.investopedia.com/ask/answers/05/irrvsnpvcapitalbudgeting.asp</b:URL>
    <b:RefOrder>20</b:RefOrder>
  </b:Source>
  <b:Source>
    <b:Tag>Ada193</b:Tag>
    <b:SourceType>DocumentFromInternetSite</b:SourceType>
    <b:Guid>{34F6485F-0B56-459E-8B20-2352AA136FB7}</b:Guid>
    <b:Author>
      <b:Author>
        <b:NameList>
          <b:Person>
            <b:Last>Hayes</b:Last>
            <b:First>Adam</b:First>
          </b:Person>
        </b:NameList>
      </b:Author>
    </b:Author>
    <b:Title>Internal Rate of Return – IRR</b:Title>
    <b:Year>2019</b:Year>
    <b:Month>June</b:Month>
    <b:Day>25th</b:Day>
    <b:YearAccessed>2020</b:YearAccessed>
    <b:MonthAccessed>January</b:MonthAccessed>
    <b:DayAccessed>20th</b:DayAccessed>
    <b:URL>https://www.investopedia.com/terms/i/irr.asp</b:URL>
    <b:RefOrder>19</b:RefOrder>
  </b:Source>
  <b:Source>
    <b:Tag>Irf19</b:Tag>
    <b:SourceType>DocumentFromInternetSite</b:SourceType>
    <b:Guid>{E3306A86-2EE6-4A3F-90F4-B7F07AFE8807}</b:Guid>
    <b:Author>
      <b:Author>
        <b:NameList>
          <b:Person>
            <b:Last>Jan</b:Last>
            <b:First>Irfanullah</b:First>
          </b:Person>
        </b:NameList>
      </b:Author>
    </b:Author>
    <b:Title>Net Present Value (NPV)</b:Title>
    <b:Year>2019</b:Year>
    <b:Month>June</b:Month>
    <b:Day>21st</b:Day>
    <b:YearAccessed>2020</b:YearAccessed>
    <b:MonthAccessed>January</b:MonthAccessed>
    <b:DayAccessed>20</b:DayAccessed>
    <b:URL>https://xplaind.com/478294/npv</b:URL>
    <b:RefOrder>18</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28B1CA3-C4FD-4EEB-91DC-20C5C26EA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19</Pages>
  <Words>4105</Words>
  <Characters>23401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 Vaughan</cp:lastModifiedBy>
  <cp:revision>5</cp:revision>
  <dcterms:created xsi:type="dcterms:W3CDTF">2020-01-20T20:09:00Z</dcterms:created>
  <dcterms:modified xsi:type="dcterms:W3CDTF">2020-01-20T21:07:00Z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