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E7B184C"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r w:rsidRPr="00736C69">
              <w:rPr>
                <w:rFonts w:ascii="Times New Roman" w:hAnsi="Times New Roman" w:cs="Times New Roman"/>
                <w:b/>
                <w:color w:val="auto"/>
                <w:sz w:val="44"/>
                <w:szCs w:val="44"/>
              </w:rPr>
              <w:t>Learner’s name: Miranda Ellis</w:t>
            </w:r>
          </w:p>
          <w:p w14:paraId="235FE6D7"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p>
          <w:p w14:paraId="312787AB"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r w:rsidRPr="00736C69">
              <w:rPr>
                <w:rFonts w:ascii="Times New Roman" w:hAnsi="Times New Roman" w:cs="Times New Roman"/>
                <w:b/>
                <w:color w:val="auto"/>
                <w:sz w:val="44"/>
                <w:szCs w:val="44"/>
              </w:rPr>
              <w:t>Email address:2420738@student.uwtsd.ac.uk</w:t>
            </w:r>
          </w:p>
          <w:p w14:paraId="548C827D" w14:textId="77777777" w:rsidR="006324E0" w:rsidRPr="00736C69" w:rsidRDefault="006324E0" w:rsidP="006324E0">
            <w:pPr>
              <w:overflowPunct/>
              <w:autoSpaceDE/>
              <w:autoSpaceDN/>
              <w:adjustRightInd/>
              <w:ind w:right="-957"/>
              <w:textAlignment w:val="auto"/>
              <w:rPr>
                <w:rFonts w:ascii="Segoe UI" w:hAnsi="Segoe UI" w:cs="Segoe UI"/>
                <w:color w:val="1D1D1D"/>
                <w:sz w:val="44"/>
                <w:szCs w:val="44"/>
                <w:shd w:val="clear" w:color="auto" w:fill="FFFFFF"/>
              </w:rPr>
            </w:pPr>
            <w:r w:rsidRPr="00736C69">
              <w:rPr>
                <w:rFonts w:ascii="Segoe UI" w:hAnsi="Segoe UI" w:cs="Segoe UI"/>
                <w:color w:val="1D1D1D"/>
                <w:sz w:val="44"/>
                <w:szCs w:val="44"/>
                <w:shd w:val="clear" w:color="auto" w:fill="FFFFFF"/>
              </w:rPr>
              <w:t xml:space="preserve"> </w:t>
            </w:r>
          </w:p>
          <w:p w14:paraId="2D76C74F"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r w:rsidRPr="00736C69">
              <w:rPr>
                <w:rFonts w:ascii="Times New Roman" w:hAnsi="Times New Roman" w:cs="Times New Roman"/>
                <w:b/>
                <w:color w:val="auto"/>
                <w:sz w:val="44"/>
                <w:szCs w:val="44"/>
              </w:rPr>
              <w:t>Learner’s University Registration Number:2420738</w:t>
            </w:r>
          </w:p>
          <w:p w14:paraId="40C8E9A1" w14:textId="77777777" w:rsidR="006324E0" w:rsidRPr="00736C69" w:rsidRDefault="006324E0" w:rsidP="006324E0">
            <w:pPr>
              <w:overflowPunct/>
              <w:autoSpaceDE/>
              <w:autoSpaceDN/>
              <w:adjustRightInd/>
              <w:ind w:right="-957"/>
              <w:textAlignment w:val="auto"/>
              <w:rPr>
                <w:rFonts w:ascii="Times New Roman" w:hAnsi="Times New Roman" w:cs="Times New Roman"/>
                <w:b/>
                <w:color w:val="auto"/>
                <w:sz w:val="44"/>
                <w:szCs w:val="44"/>
              </w:rPr>
            </w:pPr>
          </w:p>
          <w:p w14:paraId="5F84129B" w14:textId="76B7ADB6" w:rsidR="0085230E" w:rsidRPr="005D3F07" w:rsidRDefault="006324E0" w:rsidP="006324E0">
            <w:pPr>
              <w:overflowPunct/>
              <w:autoSpaceDE/>
              <w:autoSpaceDN/>
              <w:adjustRightInd/>
              <w:ind w:right="-957"/>
              <w:textAlignment w:val="auto"/>
              <w:rPr>
                <w:rFonts w:ascii="Times New Roman" w:hAnsi="Times New Roman" w:cs="Times New Roman"/>
                <w:b/>
                <w:color w:val="auto"/>
                <w:sz w:val="48"/>
              </w:rPr>
            </w:pPr>
            <w:r w:rsidRPr="00736C69">
              <w:rPr>
                <w:rFonts w:ascii="Times New Roman" w:hAnsi="Times New Roman" w:cs="Times New Roman"/>
                <w:b/>
                <w:color w:val="auto"/>
                <w:sz w:val="44"/>
                <w:szCs w:val="44"/>
              </w:rPr>
              <w:t>Cohort: 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7D7F1376" w14:textId="77777777" w:rsidR="002B0A35" w:rsidRPr="00066446" w:rsidRDefault="002B0A35" w:rsidP="002B0A35">
            <w:pPr>
              <w:spacing w:line="360" w:lineRule="auto"/>
              <w:jc w:val="both"/>
              <w:rPr>
                <w:sz w:val="24"/>
                <w:szCs w:val="24"/>
              </w:rPr>
            </w:pPr>
            <w:r w:rsidRPr="00066446">
              <w:rPr>
                <w:sz w:val="24"/>
                <w:szCs w:val="24"/>
              </w:rPr>
              <w:t>This discussion will provide a critically reflective case study based upon a piece of adult safeguarding work I have been involved with. The circumstances involved working with an adult who has a complex learning disability; for the purpose of this reflection, they will be referred to as 2. 2 moved to the area with her mother (3) to be closer to her grandparents. It is relevant to note that the family moved to Wales from England and settled within a notably transient community that is one of the most deprived areas in Wales (WG, 2019). The deprivation within the area is entrenched and provides significant insight into the socioeconomic factors that could impact upon 2 and her family. The area faces significant challenges with low income, employment, health, education and community safety.</w:t>
            </w:r>
          </w:p>
          <w:p w14:paraId="0F1A8690" w14:textId="77777777" w:rsidR="002B0A35" w:rsidRPr="00066446" w:rsidRDefault="002B0A35" w:rsidP="002B0A35">
            <w:pPr>
              <w:spacing w:line="360" w:lineRule="auto"/>
              <w:jc w:val="both"/>
              <w:rPr>
                <w:sz w:val="24"/>
                <w:szCs w:val="24"/>
              </w:rPr>
            </w:pPr>
            <w:r w:rsidRPr="00066446">
              <w:rPr>
                <w:sz w:val="24"/>
                <w:szCs w:val="24"/>
              </w:rPr>
              <w:t xml:space="preserve">The work with 2 began within a supportive context, to empower 2 and signpost to relevant organisations and partner agencies. 2 experienced significant low mood had minimal verbal communication and displayed complex behaviours that created significant challenges for 3. The outcomes at this stage were to support 2 to engage in activities to develop her independent living skills; 2 wanted to go to college but would often not leave her bedroom for </w:t>
            </w:r>
            <w:r w:rsidRPr="00066446">
              <w:rPr>
                <w:sz w:val="24"/>
                <w:szCs w:val="24"/>
              </w:rPr>
              <w:lastRenderedPageBreak/>
              <w:t>several days. This piece of work was successful and 2 achieved her goals and developed further outcomes. However, during the course if this work, 3 began a new relationship with 4. In isolation, this is not of concern; however, having previously experienced domestically abusive relationships, the LA were mindful of 3’s vulnerabilities and potential risks this posed to 2. Over the course of time, it became evident that 4 was an incredibly volatile man, with a significant history of offences, targeting vulnerable people and women. As the case progressed and risks continued to increase, the outcome resulted in an application to the Court of Protection for an ex-</w:t>
            </w:r>
            <w:proofErr w:type="spellStart"/>
            <w:r w:rsidRPr="00066446">
              <w:rPr>
                <w:sz w:val="24"/>
                <w:szCs w:val="24"/>
              </w:rPr>
              <w:t>parte</w:t>
            </w:r>
            <w:proofErr w:type="spellEnd"/>
            <w:r w:rsidRPr="00066446">
              <w:rPr>
                <w:sz w:val="24"/>
                <w:szCs w:val="24"/>
              </w:rPr>
              <w:t xml:space="preserve"> removal order; 2 was then removed, without notice to her family to a place of safety. Within the legal frameworks and practice guidance lies a complex chronology of events, embroiled in power, ethical and moral conflicts. This reflection will begin with an outline of key legislation before applying those in context and reflecting upon the myriad of intersecting factors that influenced the formulation of professional judgements and ultimately, decision making.</w:t>
            </w:r>
          </w:p>
          <w:p w14:paraId="07A8FCFC" w14:textId="77777777" w:rsidR="002B0A35" w:rsidRPr="00066446" w:rsidRDefault="002B0A35" w:rsidP="002B0A35">
            <w:pPr>
              <w:spacing w:line="360" w:lineRule="auto"/>
              <w:jc w:val="both"/>
              <w:rPr>
                <w:sz w:val="24"/>
                <w:szCs w:val="24"/>
              </w:rPr>
            </w:pPr>
            <w:r w:rsidRPr="00066446">
              <w:rPr>
                <w:sz w:val="24"/>
                <w:szCs w:val="24"/>
              </w:rPr>
              <w:t>Safeguarding in Wales is governed by the Wales Safeguarding Procedures (WSP, 2025), which support professionals in applying the Social Services and Well-being (Wales) Act 2014 (SSWBWA). These procedures provide practical guidance for protecting individuals at risk and are complemented by the statutory framework Working Together to Safeguard People (Welsh Government, 2019), which promotes multi-agency collaboration and consistent safeguarding responses.</w:t>
            </w:r>
          </w:p>
          <w:p w14:paraId="78FE0BA3" w14:textId="77777777" w:rsidR="002B0A35" w:rsidRPr="00066446" w:rsidRDefault="002B0A35" w:rsidP="002B0A35">
            <w:pPr>
              <w:spacing w:line="360" w:lineRule="auto"/>
              <w:jc w:val="both"/>
              <w:rPr>
                <w:sz w:val="24"/>
                <w:szCs w:val="24"/>
              </w:rPr>
            </w:pPr>
            <w:r w:rsidRPr="00066446">
              <w:rPr>
                <w:sz w:val="24"/>
                <w:szCs w:val="24"/>
              </w:rPr>
              <w:t xml:space="preserve">The SSWBWA (2014) must consider the Human Rights Act (1998), particularly the rights of disabled people. It is underpinned by five principles: voice and control, prevention and early intervention, wellbeing, co-production, and multi-agency working. Wellbeing includes physical and mental health, participation, protection from harm, and autonomy. These align with Article 8 (private and family life), Article 3 (freedom from degrading treatment), and Article 14 (freedom from discrimination). Article 8’s emphasis on autonomy and dignity is reflected in the </w:t>
            </w:r>
            <w:r>
              <w:rPr>
                <w:sz w:val="24"/>
                <w:szCs w:val="24"/>
              </w:rPr>
              <w:t>a</w:t>
            </w:r>
            <w:r w:rsidRPr="00066446">
              <w:rPr>
                <w:sz w:val="24"/>
                <w:szCs w:val="24"/>
              </w:rPr>
              <w:t xml:space="preserve">ct’s focus </w:t>
            </w:r>
            <w:r>
              <w:rPr>
                <w:sz w:val="24"/>
                <w:szCs w:val="24"/>
              </w:rPr>
              <w:t>up</w:t>
            </w:r>
            <w:r w:rsidRPr="00066446">
              <w:rPr>
                <w:sz w:val="24"/>
                <w:szCs w:val="24"/>
              </w:rPr>
              <w:t xml:space="preserve">on voice and control. For individuals with complex learning disabilities, the UN Convention on the Rights of Persons with Disabilities (UNCRPD) must also be considered. SSWBWA (2014) alongside the WSP (2025) define an adult at risk as a person over the age of eighteen who is experiencing or is at risk of abuse or neglect, that has identified care and support needs which as a result renders them unable to protect themselves from harm (WSP, 2025). Within adult safeguarding procedures, consent is central in line with the core objective </w:t>
            </w:r>
            <w:r w:rsidRPr="00066446">
              <w:rPr>
                <w:sz w:val="24"/>
                <w:szCs w:val="24"/>
              </w:rPr>
              <w:lastRenderedPageBreak/>
              <w:t>of co-production. Furthermore, within international contexts, the Equality Act (2010) provides further protection for those with protected characteristics. This legislation supports the principles of dignity, respect and inclusion which compliments SSWBWA (2014) in the protection of adults at risk.</w:t>
            </w:r>
          </w:p>
          <w:p w14:paraId="45115FFB" w14:textId="77777777" w:rsidR="002B0A35" w:rsidRPr="00066446" w:rsidRDefault="002B0A35" w:rsidP="002B0A35">
            <w:pPr>
              <w:spacing w:line="360" w:lineRule="auto"/>
              <w:jc w:val="both"/>
              <w:rPr>
                <w:sz w:val="24"/>
                <w:szCs w:val="24"/>
              </w:rPr>
            </w:pPr>
            <w:r w:rsidRPr="00066446">
              <w:rPr>
                <w:sz w:val="24"/>
                <w:szCs w:val="24"/>
              </w:rPr>
              <w:t>Within adult safeguarding procedures, consent is central</w:t>
            </w:r>
            <w:r>
              <w:rPr>
                <w:sz w:val="24"/>
                <w:szCs w:val="24"/>
              </w:rPr>
              <w:t xml:space="preserve">. </w:t>
            </w:r>
            <w:r w:rsidRPr="00066446">
              <w:rPr>
                <w:sz w:val="24"/>
                <w:szCs w:val="24"/>
              </w:rPr>
              <w:t xml:space="preserve">The Mental Capacity Act (MCA, 2005) outlines that a person’s capacity must be assumed and the guidance for practice document outlines the core principles that must be obtained; to assume capacity, to ensure individuals are supported to make decisions and people are able to make unwise decisions without being deemed to lack capacity. Should a person lack capacity to make the decision, decisions should be made on their behalf, in their best interests in the least restrictive way (Office of The Public Guardian, 2007). Within regional and </w:t>
            </w:r>
            <w:r>
              <w:rPr>
                <w:sz w:val="24"/>
                <w:szCs w:val="24"/>
              </w:rPr>
              <w:t xml:space="preserve">national </w:t>
            </w:r>
            <w:r w:rsidRPr="00066446">
              <w:rPr>
                <w:sz w:val="24"/>
                <w:szCs w:val="24"/>
              </w:rPr>
              <w:t xml:space="preserve">safeguarding adult’s procedures there is a clear emphasis upon consent, person centred practice and advocacy within practice (***Wales Safeguarding Board, 2023). The Welsh Language Measure (2011) within safeguarding contexts is an important consideration in maintaining dignity alongside promoting effective communication and participation within safeguarding processes. Formulating interventions, completing assessments and engaging individuals within such procedures requires their communication needs and identity to be strengthened; a failure to meet this need would undermine the integrity of information gathered and subsequent decision making. </w:t>
            </w:r>
          </w:p>
          <w:p w14:paraId="469BEC16" w14:textId="77777777" w:rsidR="002B0A35" w:rsidRPr="00066446" w:rsidRDefault="002B0A35" w:rsidP="002B0A35">
            <w:pPr>
              <w:spacing w:line="360" w:lineRule="auto"/>
              <w:jc w:val="both"/>
              <w:rPr>
                <w:sz w:val="24"/>
                <w:szCs w:val="24"/>
              </w:rPr>
            </w:pPr>
            <w:r w:rsidRPr="00066446">
              <w:rPr>
                <w:sz w:val="24"/>
                <w:szCs w:val="24"/>
              </w:rPr>
              <w:t>There are similarities within global contexts with a shift away from vulnerable adults to one that reflects a human rights approach to safeguarding people who are at risk. For example, in America, there has been a shift towards rights-based approaches that promote autonomy, dignity and inclusion. Through the development of Adult Protective Services, multi-agency responses that recognise intersectionality of risks have created a safeguarding arena (Administration for Community Living, 2016) that aligns with a HRA (1998) approach as well as some of the core principles within the SSWBWA (2014). Despite the global narrative appearing to provide consensus, this is highly impacted by economic status, culture, beliefs and systemic agendas (Duffy et al, 2025). In the absence of a globally recognised definition of abuse and safeguarding thresholds, variations in responses and policies vary.</w:t>
            </w:r>
          </w:p>
          <w:p w14:paraId="66BCE1E7" w14:textId="77777777" w:rsidR="002B0A35" w:rsidRPr="00066446" w:rsidRDefault="002B0A35" w:rsidP="002B0A35">
            <w:pPr>
              <w:spacing w:line="360" w:lineRule="auto"/>
              <w:jc w:val="both"/>
              <w:rPr>
                <w:sz w:val="24"/>
                <w:szCs w:val="24"/>
              </w:rPr>
            </w:pPr>
          </w:p>
          <w:p w14:paraId="773359EB" w14:textId="77777777" w:rsidR="002B0A35" w:rsidRPr="00066446" w:rsidRDefault="002B0A35" w:rsidP="002B0A35">
            <w:pPr>
              <w:spacing w:line="360" w:lineRule="auto"/>
              <w:jc w:val="both"/>
              <w:rPr>
                <w:sz w:val="24"/>
                <w:szCs w:val="24"/>
              </w:rPr>
            </w:pPr>
          </w:p>
          <w:p w14:paraId="080D8802" w14:textId="77777777" w:rsidR="002B0A35" w:rsidRPr="00066446" w:rsidRDefault="002B0A35" w:rsidP="002B0A35">
            <w:pPr>
              <w:spacing w:line="360" w:lineRule="auto"/>
              <w:jc w:val="both"/>
              <w:rPr>
                <w:sz w:val="24"/>
                <w:szCs w:val="24"/>
              </w:rPr>
            </w:pPr>
          </w:p>
          <w:p w14:paraId="0A275D1E" w14:textId="77777777" w:rsidR="002B0A35" w:rsidRPr="00066446" w:rsidRDefault="002B0A35" w:rsidP="002B0A35">
            <w:pPr>
              <w:spacing w:line="360" w:lineRule="auto"/>
              <w:jc w:val="both"/>
              <w:rPr>
                <w:sz w:val="24"/>
                <w:szCs w:val="24"/>
              </w:rPr>
            </w:pPr>
          </w:p>
          <w:p w14:paraId="232BF7B4" w14:textId="77777777" w:rsidR="002B0A35" w:rsidRPr="00066446" w:rsidRDefault="002B0A35" w:rsidP="002B0A35">
            <w:pPr>
              <w:spacing w:line="360" w:lineRule="auto"/>
              <w:jc w:val="both"/>
              <w:rPr>
                <w:sz w:val="24"/>
                <w:szCs w:val="24"/>
              </w:rPr>
            </w:pPr>
          </w:p>
          <w:p w14:paraId="68CA89E2" w14:textId="77777777" w:rsidR="002B0A35" w:rsidRPr="00066446" w:rsidRDefault="002B0A35" w:rsidP="002B0A35">
            <w:pPr>
              <w:spacing w:line="360" w:lineRule="auto"/>
              <w:jc w:val="both"/>
              <w:rPr>
                <w:sz w:val="24"/>
                <w:szCs w:val="24"/>
              </w:rPr>
            </w:pPr>
            <w:r w:rsidRPr="00066446">
              <w:rPr>
                <w:sz w:val="24"/>
                <w:szCs w:val="24"/>
              </w:rPr>
              <w:t>Effective safeguarding systems place the individual at the centre of care and support (WSP, 2025). Within this case, there were conflicting and competing needs and risks. The complexity within this family dynamic created a context that encapsulated multiple agencies, competing needs, and at times, procedurally opposing agendas. Early work within this family had adopted a whole family approach; working to establish the strengths and outcomes of the whole family from the start. As an unpaid carer, 3 has the right to an assessment in her own right under SSWBA (2014), she also has identified needs that fall within the Violence against Women, Domestic Abuse and Sexual Violence (Wales) Act (2015).</w:t>
            </w:r>
          </w:p>
          <w:p w14:paraId="3D18869B" w14:textId="77777777" w:rsidR="002B0A35" w:rsidRPr="00570002" w:rsidRDefault="002B0A35" w:rsidP="002B0A35">
            <w:pPr>
              <w:spacing w:after="160" w:line="360" w:lineRule="auto"/>
              <w:jc w:val="both"/>
              <w:rPr>
                <w:sz w:val="24"/>
                <w:szCs w:val="24"/>
              </w:rPr>
            </w:pPr>
            <w:r w:rsidRPr="00570002">
              <w:rPr>
                <w:sz w:val="24"/>
                <w:szCs w:val="24"/>
              </w:rPr>
              <w:t>The Wales Safeguarding Procedures (WSP, 2025) ensure that personal outcomes are understood and communicated effectively, and that early support is provided to prevent escalation. Professionals must be well-trained, vigilant to signs of abuse or neglect, and able to share relevant information promptly.</w:t>
            </w:r>
            <w:r>
              <w:rPr>
                <w:sz w:val="24"/>
                <w:szCs w:val="24"/>
              </w:rPr>
              <w:t xml:space="preserve"> </w:t>
            </w:r>
            <w:r w:rsidRPr="00570002">
              <w:rPr>
                <w:sz w:val="24"/>
                <w:szCs w:val="24"/>
              </w:rPr>
              <w:t>In this case, the police responded to a domestic incident involving 2, who was present while 3 and 4 were engaged in a physical altercation. Under regional safeguarding guidelines (***Wales Safeguarding Board, 2020), the police are expected to report such incidents to the local authority (LA). However, this did not occur, resulting in a delay of several weeks before enquiries could begin</w:t>
            </w:r>
            <w:r w:rsidRPr="00066446">
              <w:rPr>
                <w:sz w:val="24"/>
                <w:szCs w:val="24"/>
              </w:rPr>
              <w:t xml:space="preserve">, </w:t>
            </w:r>
            <w:r w:rsidRPr="00570002">
              <w:rPr>
                <w:sz w:val="24"/>
                <w:szCs w:val="24"/>
              </w:rPr>
              <w:t>failing to meet the legal duty to report (WG, 2014). Timely information sharing across agencies is essential to access expert advice and inform decision-making. The delay in this case increased the risks to 2.</w:t>
            </w:r>
          </w:p>
          <w:p w14:paraId="70F0CA89" w14:textId="77777777" w:rsidR="002B0A35" w:rsidRPr="00570002" w:rsidRDefault="002B0A35" w:rsidP="002B0A35">
            <w:pPr>
              <w:spacing w:after="160" w:line="360" w:lineRule="auto"/>
              <w:jc w:val="both"/>
              <w:rPr>
                <w:sz w:val="24"/>
                <w:szCs w:val="24"/>
              </w:rPr>
            </w:pPr>
            <w:r w:rsidRPr="00570002">
              <w:rPr>
                <w:sz w:val="24"/>
                <w:szCs w:val="24"/>
              </w:rPr>
              <w:t>The LA was eventually informed by a member of the public and began enquiries, starting with a conversation with 3. She denied the incident, claiming she had been on the phone during a disagreement with someone else. She engaged positively and gave a credible explanation. In contrast, 2 did not disclose any information, and her presentation did not indicate distress or concern.</w:t>
            </w:r>
          </w:p>
          <w:p w14:paraId="6096EEFE" w14:textId="77777777" w:rsidR="002B0A35" w:rsidRPr="00570002" w:rsidRDefault="002B0A35" w:rsidP="002B0A35">
            <w:pPr>
              <w:spacing w:after="160" w:line="360" w:lineRule="auto"/>
              <w:jc w:val="both"/>
              <w:rPr>
                <w:sz w:val="24"/>
                <w:szCs w:val="24"/>
              </w:rPr>
            </w:pPr>
            <w:r w:rsidRPr="00570002">
              <w:rPr>
                <w:sz w:val="24"/>
                <w:szCs w:val="24"/>
              </w:rPr>
              <w:t>In such situations, disguised compliance (NSPCC, 2025) poses significant risks. Case reviews emphasi</w:t>
            </w:r>
            <w:r>
              <w:rPr>
                <w:sz w:val="24"/>
                <w:szCs w:val="24"/>
              </w:rPr>
              <w:t>s</w:t>
            </w:r>
            <w:r w:rsidRPr="00570002">
              <w:rPr>
                <w:sz w:val="24"/>
                <w:szCs w:val="24"/>
              </w:rPr>
              <w:t xml:space="preserve">e the importance of professional curiosity, reflective practice, and robust information sharing (***Wales Safeguarding Adults Board, 2020). I contacted the police and requested details of the incident. They provided a CID16 report, which included 4’s name. I then </w:t>
            </w:r>
            <w:r w:rsidRPr="00570002">
              <w:rPr>
                <w:sz w:val="24"/>
                <w:szCs w:val="24"/>
              </w:rPr>
              <w:lastRenderedPageBreak/>
              <w:t>submitted a PNC request</w:t>
            </w:r>
            <w:r w:rsidRPr="00066446">
              <w:rPr>
                <w:sz w:val="24"/>
                <w:szCs w:val="24"/>
              </w:rPr>
              <w:t xml:space="preserve"> whereby the police can search the database for information due to the risks posed to a vulnerable adult</w:t>
            </w:r>
            <w:r w:rsidRPr="00570002">
              <w:rPr>
                <w:sz w:val="24"/>
                <w:szCs w:val="24"/>
              </w:rPr>
              <w:t>. The report revealed significant concerns, prompting a referral to the safeguarding team.</w:t>
            </w:r>
          </w:p>
          <w:p w14:paraId="195B5E9E" w14:textId="77777777" w:rsidR="002B0A35" w:rsidRPr="00066446" w:rsidRDefault="002B0A35" w:rsidP="002B0A35">
            <w:pPr>
              <w:spacing w:line="360" w:lineRule="auto"/>
              <w:jc w:val="both"/>
              <w:rPr>
                <w:sz w:val="24"/>
                <w:szCs w:val="24"/>
              </w:rPr>
            </w:pPr>
            <w:r w:rsidRPr="00066446">
              <w:rPr>
                <w:sz w:val="24"/>
                <w:szCs w:val="24"/>
              </w:rPr>
              <w:t>The safeguarding team reviewed the information and action plans already in place. 2 had been assessed as lacking capacity to provide consent to safeguarding interventions under the MCA (2005), she was assessed as being an adult at risk due to her age, support needs and inability to protect herself from harm (WSP, 2025).   This referral initiated the s126 (WG, 2014) enquiries which identified that the LA had reasonable cause to suspect that 2 was at risk of abuse. From here, a strategy meeting was convened with all involved professionals including the police force, health colleagues, social services and probation services. As per regional safeguarding procedures, this MDT approach ensured a coordinated, person-centred approach maintaining a shared responsibility, that required every professional and organisation to contribute. 2 was consulted throughout these processes to ensure that practice and interventions were grounded in a clear understanding of what matters most to them and the outcomes they wish</w:t>
            </w:r>
            <w:r>
              <w:rPr>
                <w:sz w:val="24"/>
                <w:szCs w:val="24"/>
              </w:rPr>
              <w:t>ed</w:t>
            </w:r>
            <w:r w:rsidRPr="00066446">
              <w:rPr>
                <w:sz w:val="24"/>
                <w:szCs w:val="24"/>
              </w:rPr>
              <w:t xml:space="preserve"> to achieve. Strong multi-agency work helps build a complete picture, prevents escalation, and identifies risks to the adult or their family at an early stage (WSP, 2025).  Holding this strategy meeting outlined what steps were to be taken and by whom; at this stage there were no criminal matters for the police to respond to, therefore ongoing information gathering and coordinating was led by the LA. The outcome of this initial strategy meeting was to implement increased care and support planning to reduce the risks posed to 2. This work was to include further capacity assessments, domestic abuse support, Clare’s Law disclosure, and increased care and support. At this stage, due to possible conflicts of interest, it was agreed that it would not be appropriate for 3 to remain as advocate for 2, therefore a referral was completed for an independent advocate under Part 10 of the SSWBWA (2014). This was important to ensure that 2’s voice remain</w:t>
            </w:r>
            <w:r>
              <w:rPr>
                <w:sz w:val="24"/>
                <w:szCs w:val="24"/>
              </w:rPr>
              <w:t>ed</w:t>
            </w:r>
            <w:r w:rsidRPr="00066446">
              <w:rPr>
                <w:sz w:val="24"/>
                <w:szCs w:val="24"/>
              </w:rPr>
              <w:t xml:space="preserve"> central and heard throughout the process.</w:t>
            </w:r>
          </w:p>
          <w:p w14:paraId="61498CCB" w14:textId="77777777" w:rsidR="002B0A35" w:rsidRPr="00066446" w:rsidRDefault="002B0A35" w:rsidP="002B0A35">
            <w:pPr>
              <w:spacing w:line="360" w:lineRule="auto"/>
              <w:jc w:val="both"/>
              <w:rPr>
                <w:sz w:val="24"/>
                <w:szCs w:val="24"/>
              </w:rPr>
            </w:pPr>
            <w:r w:rsidRPr="00066446">
              <w:rPr>
                <w:sz w:val="24"/>
                <w:szCs w:val="24"/>
              </w:rPr>
              <w:t xml:space="preserve">Capacity was assessed in the primary referral stage to determine 2’s capacity to protect herself from harm and to provide consent for safeguarding interventions. The SSWBWA (2014) clearly defines the need for LA’s to recognise the concept of language needs and the requirement for the active offer (WG, 2015) to be embedded within safeguarding processes. </w:t>
            </w:r>
            <w:r w:rsidRPr="00066446">
              <w:rPr>
                <w:sz w:val="24"/>
                <w:szCs w:val="24"/>
              </w:rPr>
              <w:lastRenderedPageBreak/>
              <w:t>This approach should be built into all aspects of service delivery without people having to request it (WG, 2015). Language is an integral element to the care and support people receive and also their identity, to overlook this need would reduce the effectiveness of social work interventions and subsequently increase the risks posed. While in this case, language requirements in regards to the Welsh language were not applicable, the active offer was maintained during early work and the principles within these frameworks were applied in the context of 2’s communication needs. This links to the principles within the Equality Act (2010), to maintain dignity, respect and inclusion; the interventions within this case were specifically tailored to 2’s specific emotional, cognitive and communication needs. Additionally, confidentiality is an essential part of Social Work practice (Parker, 2017) and should be maintained to promote the right to privacy (HRA 1998) alongside GDPR (ICO, ND) and also to maintain trust (SCW, 2019). However, within safeguarding contexts, the need to share information is outlined within SSWBA 2014 and embedded within the Wales Safeguarding Procedures (WSP, 2025). Within this case, sharing of information between all partners was essential in reducing the risks posed to 2 and ensuring that her care and support promoted her dignity, privacy and autonomy as further outlined within the HRA (1998).</w:t>
            </w:r>
          </w:p>
          <w:p w14:paraId="5DAB26D4" w14:textId="77777777" w:rsidR="002B0A35" w:rsidRPr="006412CC" w:rsidRDefault="002B0A35" w:rsidP="002B0A35">
            <w:pPr>
              <w:spacing w:after="160" w:line="360" w:lineRule="auto"/>
              <w:jc w:val="both"/>
              <w:rPr>
                <w:sz w:val="24"/>
                <w:szCs w:val="24"/>
              </w:rPr>
            </w:pPr>
            <w:r w:rsidRPr="006412CC">
              <w:rPr>
                <w:sz w:val="24"/>
                <w:szCs w:val="24"/>
              </w:rPr>
              <w:t>Following the strategy meeting, care and support interventions were implemented and assessments were updated in line with the Social Services and Well-being (Wales) Act 2014 (SSWBWA). These updates reflected the changing risks and included a revised care and support plan. The additional information gathered ensured that safety measures, service adjustments, and advocacy arrangements were clearly documented. Plans were regularly reviewed and updated as the case progressed.</w:t>
            </w:r>
            <w:r>
              <w:rPr>
                <w:sz w:val="24"/>
                <w:szCs w:val="24"/>
              </w:rPr>
              <w:t xml:space="preserve"> </w:t>
            </w:r>
            <w:r w:rsidRPr="006412CC">
              <w:rPr>
                <w:sz w:val="24"/>
                <w:szCs w:val="24"/>
              </w:rPr>
              <w:t>Care and support planning was co-produced with 2, incorporating outcomes she identified</w:t>
            </w:r>
            <w:r w:rsidRPr="00066446">
              <w:rPr>
                <w:sz w:val="24"/>
                <w:szCs w:val="24"/>
              </w:rPr>
              <w:t xml:space="preserve">, </w:t>
            </w:r>
            <w:r w:rsidRPr="006412CC">
              <w:rPr>
                <w:sz w:val="24"/>
                <w:szCs w:val="24"/>
              </w:rPr>
              <w:t>such as attending clubs, receiving 1:1 support, spending time with grandparents, and accessing respite. Despite the high level of risk, safeguarding actions were designed to support 2 in achieving her personal outcomes, in accordance with Part 6 of the SSWBWA. Once the case entered the Court of Protection, any changes to the care plan required judicial approval.</w:t>
            </w:r>
            <w:r>
              <w:rPr>
                <w:sz w:val="24"/>
                <w:szCs w:val="24"/>
              </w:rPr>
              <w:t xml:space="preserve"> </w:t>
            </w:r>
            <w:r w:rsidRPr="006412CC">
              <w:rPr>
                <w:sz w:val="24"/>
                <w:szCs w:val="24"/>
              </w:rPr>
              <w:t xml:space="preserve">Maintaining detailed records helped track the interventions used, the support offered, and the overall journey of the case. This documentation provided insight into the local authority’s efforts to safeguard 2 and demonstrated compliance with Welsh legislation, which emphasises early intervention to </w:t>
            </w:r>
            <w:r w:rsidRPr="006412CC">
              <w:rPr>
                <w:sz w:val="24"/>
                <w:szCs w:val="24"/>
              </w:rPr>
              <w:lastRenderedPageBreak/>
              <w:t>mitigate risk and prevent escalation. The approach also promoted 2’s wellbeing by ensuring actions were proportionate and minimally intrusive (WSP, 2025).</w:t>
            </w:r>
          </w:p>
          <w:p w14:paraId="09FD801D" w14:textId="77777777" w:rsidR="002B0A35" w:rsidRPr="006412CC" w:rsidRDefault="002B0A35" w:rsidP="002B0A35">
            <w:pPr>
              <w:spacing w:after="160" w:line="360" w:lineRule="auto"/>
              <w:jc w:val="both"/>
              <w:rPr>
                <w:sz w:val="24"/>
                <w:szCs w:val="24"/>
              </w:rPr>
            </w:pPr>
            <w:r w:rsidRPr="006412CC">
              <w:rPr>
                <w:sz w:val="24"/>
                <w:szCs w:val="24"/>
              </w:rPr>
              <w:t>As the case developed, regular multi-disciplinary team (MDT) meetings were held to share information and reassess risks. At one point, 3 ended her relationship with 4 and engaged positively with domestic abuse services. However, the relationship later resumed, and 2 disclosed that 4 was present in the home. At this stage, the safeguarding team advised consultation with legal services, which led to an application to the Court.</w:t>
            </w:r>
          </w:p>
          <w:p w14:paraId="5D289DFE" w14:textId="77777777" w:rsidR="002B0A35" w:rsidRPr="00066446" w:rsidRDefault="002B0A35" w:rsidP="002B0A35">
            <w:pPr>
              <w:spacing w:line="360" w:lineRule="auto"/>
              <w:jc w:val="both"/>
              <w:rPr>
                <w:sz w:val="24"/>
                <w:szCs w:val="24"/>
              </w:rPr>
            </w:pPr>
            <w:r w:rsidRPr="00066446">
              <w:rPr>
                <w:sz w:val="24"/>
                <w:szCs w:val="24"/>
              </w:rPr>
              <w:t xml:space="preserve">The legal advice sought was invaluable in this case and evidence of effective partnership working; throughout this process the legal team sought updates from the LA and navigated the court applications and appointment of Counsel and accredited legal representation (ALR). The ALR sought to represent 2 as she lacked capacity and their role was to ensure the decisions made within proceedings were in 2’s best interests. As a part of initial legal proceedings, through multi-agency input and risk assessment, the risks of harm posed to 2 were deemed immediate and therefore an application was made for her removal to a place of safety. The legal powers held by the police in such matters were not utilised in this case as the conveyance plan was formulated to remain the least intrusive and to minimise distress to 2. 2 was supported to attend respite as they usually would and was supported to remain there until further hearings had been concluded. Throughout this piece of work, 2’s voice was paramount. It involved a complex analysis and assessment of information to </w:t>
            </w:r>
            <w:proofErr w:type="spellStart"/>
            <w:r w:rsidRPr="00066446">
              <w:rPr>
                <w:sz w:val="24"/>
                <w:szCs w:val="24"/>
              </w:rPr>
              <w:t>forumalte</w:t>
            </w:r>
            <w:proofErr w:type="spellEnd"/>
            <w:r w:rsidRPr="00066446">
              <w:rPr>
                <w:sz w:val="24"/>
                <w:szCs w:val="24"/>
              </w:rPr>
              <w:t xml:space="preserve"> a decision; 2 wanted to stay at home with her Mum but could not understand the risks posed nor protect herself from harm. As a part of the application, maintaining meaningful contact with her family during the period of removal was stipulated, to reduce the impact upon 2 and to promote her wishes.</w:t>
            </w:r>
          </w:p>
          <w:p w14:paraId="7A4201B8" w14:textId="77777777" w:rsidR="002B0A35" w:rsidRPr="00066446" w:rsidRDefault="002B0A35" w:rsidP="002B0A35">
            <w:pPr>
              <w:spacing w:line="360" w:lineRule="auto"/>
              <w:jc w:val="both"/>
              <w:rPr>
                <w:sz w:val="24"/>
                <w:szCs w:val="24"/>
              </w:rPr>
            </w:pPr>
            <w:r w:rsidRPr="00066446">
              <w:rPr>
                <w:sz w:val="24"/>
                <w:szCs w:val="24"/>
              </w:rPr>
              <w:t xml:space="preserve">As a practitioner within this case, within the early stages of enquiry there was a recurrent reflection upon care and control. The duty to report was upheld and the advice provided was to continue with case work to mitigate and reduce risks. The safeguarding team provided guidance about initial steps, such as referrals through domestic abuse services, multi-agency working, and capacity assessments. Within this period of case work, it highlighted the power held by professionals within this context.  Conversations, at times, felt like ultimatums were being provided which highlighted a real conflict between care and control. Was the support </w:t>
            </w:r>
            <w:r w:rsidRPr="00066446">
              <w:rPr>
                <w:sz w:val="24"/>
                <w:szCs w:val="24"/>
              </w:rPr>
              <w:lastRenderedPageBreak/>
              <w:t>being offered as means of control? Voluntary engagement at this stage required continued relationship-based practice (Ruch, 2018), whilst simultaneously outlining that failure to comply would result in court proceedings; at which stage the Court of Protection would be outlining all requirements for all parties. While maintaining transparency arguably works towards maintaining trust and confidence (SCW, 2017), the legal proceedings, particularly the initial hearing on a without notice basis, created a great sense of mistrust from 3. 2 was removed from her care within proceedings that she was unaware of, and I had to inform her via telephone with outsourced agencies delivering court papers to the address. From this moment within the case, I do not believe that trust and confidence was ever fully restored as I had been a contributing component to what was experienced as a very draconian intervention. In addition to this, upon removal to safety, 3 was then issued with the full bundle of information from the first hearing, inclusive of my witness statement. The statement was extensive and included multiple case notes from visits and observations; while I had always been thoughtful about how I recorded information and ensured I maintained accountability for the quality of my work (SCW, 2017), for such an emotive and traumatic experience, it was difficult for 3 to see all of this information on paper. The Social GGRRAAACCEEESSS (Burnham, 2012) was useful as a reflexive tool while navigating such complex dynamics. There are multiple aspects to identity that shape our experiences and interactions with the world; this model is useful in capturing my own, that of 2, 3 and 4 whilst also reflecting upon how they interact with each other. The socio-economic status of the locality of this family has been briefly outlined; 3 was unemployed, on a low income and living within a deprived area. I was inherently aware that my professional status imbalances power dynamics, alongside my age, physical ability and class. There were other aspects that I felt aided connection, in that I am also a single mother, we had shared neutral faith beliefs and 3 had also pursued similar academic avenues to myself. I found the shared social traits more comfortable, less conscious than those that were differing. Interestingly, I did not feel the weight of social influences so much with 2, but I did note the importance of relationships with her; I was mindful of her cognitive ability to navigate the processes and became motivated to support her to learn and develop resilience through wellbeing and empowerment. With notions of social pedagogy (</w:t>
            </w:r>
            <w:proofErr w:type="spellStart"/>
            <w:r w:rsidRPr="00066446">
              <w:rPr>
                <w:sz w:val="24"/>
                <w:szCs w:val="24"/>
              </w:rPr>
              <w:t>Charfe</w:t>
            </w:r>
            <w:proofErr w:type="spellEnd"/>
            <w:r w:rsidRPr="00066446">
              <w:rPr>
                <w:sz w:val="24"/>
                <w:szCs w:val="24"/>
              </w:rPr>
              <w:t xml:space="preserve">, 2019), the focus with 2 became about supporting her in way that empowered her to become resilient and to find her place of fulfilment within society. Safeguarding work continued but began to adopt an </w:t>
            </w:r>
            <w:r w:rsidRPr="00066446">
              <w:rPr>
                <w:sz w:val="24"/>
                <w:szCs w:val="24"/>
              </w:rPr>
              <w:lastRenderedPageBreak/>
              <w:t xml:space="preserve">approach of 2’s future rather than focussing singularly on the life that had been. This work continued for several months, every facet of which too great to contain within this reflection. However, the outcome was that 2 moved into a supported living project with her peers, she began a second college course, </w:t>
            </w:r>
            <w:r>
              <w:rPr>
                <w:sz w:val="24"/>
                <w:szCs w:val="24"/>
              </w:rPr>
              <w:t xml:space="preserve">secured </w:t>
            </w:r>
            <w:r w:rsidRPr="00066446">
              <w:rPr>
                <w:sz w:val="24"/>
                <w:szCs w:val="24"/>
              </w:rPr>
              <w:t>a job and</w:t>
            </w:r>
            <w:r>
              <w:rPr>
                <w:sz w:val="24"/>
                <w:szCs w:val="24"/>
              </w:rPr>
              <w:t xml:space="preserve"> found</w:t>
            </w:r>
            <w:r w:rsidRPr="00066446">
              <w:rPr>
                <w:sz w:val="24"/>
                <w:szCs w:val="24"/>
              </w:rPr>
              <w:t xml:space="preserve"> a boyfriend. She maintained her relationships with her mother and grandparents in a fashion that was appropriate for a woman of her age.</w:t>
            </w:r>
          </w:p>
          <w:p w14:paraId="5148F7FD" w14:textId="77777777" w:rsidR="002B0A35" w:rsidRPr="00066446" w:rsidRDefault="002B0A35" w:rsidP="002B0A35">
            <w:pPr>
              <w:spacing w:line="360" w:lineRule="auto"/>
              <w:jc w:val="both"/>
              <w:rPr>
                <w:sz w:val="24"/>
                <w:szCs w:val="24"/>
              </w:rPr>
            </w:pPr>
            <w:r w:rsidRPr="00066446">
              <w:rPr>
                <w:sz w:val="24"/>
                <w:szCs w:val="24"/>
              </w:rPr>
              <w:t>As a part of the safeguarding enquiries, Mental Capacity assessments were completed with 2 in relation to her consent to safeguarding interventions, contact and relationships with 3 and 4 alongside her accommodation for the purpose of care and support; the principles of the MCA and the guidance documents were invaluable in ensuring that the assessments were robust and that 2 was supported to fully engage and contribute. Due to communication difficulties, talking mats were utilised and 2 compiled various pictorial stories to communicate her views, thoughts and feelings. To maintain accountability within my work I completed several visits and spent considerable amounts of time working through this aspect with 2. I found the timescales dictated by legal processes were very unsupportive of this approach to practice. However, with the safety of 2 at significant risk, the pressured timescales were understandable albeit in conflict to the guidance set out within the MCA (2005). Decisions within this case were made in 2’s best interests, which should always be the least restrictive action. The LA made proposals for what was believed to be in 2’s best interests, based upon the evidence held at the time; the request was for an order for immediate removal to a place of safety. Despite the risks posed, I recall finding it challenging to consider this to be in the best interest of anyone, and impossible to encapsulate it within the least restrictive contexts. This is where shared decision making becomes invaluable, the role of the IMCA and ALR in this case ensured that 2’s voice was central and that the least restrictive, most proportionate interventions were being applied to reduce the risks posed to her.</w:t>
            </w:r>
          </w:p>
          <w:p w14:paraId="775E8065" w14:textId="77777777" w:rsidR="002B0A35" w:rsidRDefault="002B0A35" w:rsidP="002B0A35">
            <w:pPr>
              <w:spacing w:line="360" w:lineRule="auto"/>
              <w:jc w:val="both"/>
              <w:rPr>
                <w:sz w:val="24"/>
                <w:szCs w:val="24"/>
              </w:rPr>
            </w:pPr>
            <w:r w:rsidRPr="00066446">
              <w:rPr>
                <w:sz w:val="24"/>
                <w:szCs w:val="24"/>
              </w:rPr>
              <w:t xml:space="preserve">Throughout this case, cognitive dissonance (Burke et al, 2017) was a real challenge; it created tension between personal and systemic value and ethics, particularly as the case progressed and I had less opportunity to work autonomously and in a supportive role. Fortunately, the LA legal team were effective in their approach to support the Social Work processes in a collaborative way which enabled time to be taken before decisions were made; this collaboration utilised broad skillsets and knowledgebases. However, once within proceedings, </w:t>
            </w:r>
            <w:r w:rsidRPr="00066446">
              <w:rPr>
                <w:sz w:val="24"/>
                <w:szCs w:val="24"/>
              </w:rPr>
              <w:lastRenderedPageBreak/>
              <w:t>the legal processes took precedent. There was no option for voluntary engagement within the ex-</w:t>
            </w:r>
            <w:proofErr w:type="spellStart"/>
            <w:r w:rsidRPr="00066446">
              <w:rPr>
                <w:sz w:val="24"/>
                <w:szCs w:val="24"/>
              </w:rPr>
              <w:t>parte</w:t>
            </w:r>
            <w:proofErr w:type="spellEnd"/>
            <w:r w:rsidRPr="00066446">
              <w:rPr>
                <w:sz w:val="24"/>
                <w:szCs w:val="24"/>
              </w:rPr>
              <w:t xml:space="preserve"> removal, the family were not aware that the LA had made an application to the courts. Personally, as a mother, and professionally as a practitioner that had worked to establish a relationship based upon trust and transparency, this aspect of the case created a feeling of imbalance about power dynamics. Regarding the legislation this decision to remove 2 from her family significantly impact</w:t>
            </w:r>
            <w:r>
              <w:rPr>
                <w:sz w:val="24"/>
                <w:szCs w:val="24"/>
              </w:rPr>
              <w:t>ed</w:t>
            </w:r>
            <w:r w:rsidRPr="00066446">
              <w:rPr>
                <w:sz w:val="24"/>
                <w:szCs w:val="24"/>
              </w:rPr>
              <w:t xml:space="preserve"> upon her human rights (HRA, 1998), it also conflict</w:t>
            </w:r>
            <w:r>
              <w:rPr>
                <w:sz w:val="24"/>
                <w:szCs w:val="24"/>
              </w:rPr>
              <w:t>ed</w:t>
            </w:r>
            <w:r w:rsidRPr="00066446">
              <w:rPr>
                <w:sz w:val="24"/>
                <w:szCs w:val="24"/>
              </w:rPr>
              <w:t xml:space="preserve"> with the core principles of the SSWBWA (2014). The turmoil in weighing out personal and professional values with the need for connections and relationships alongside the risk and the need for safety created significant conflict within practice. </w:t>
            </w:r>
          </w:p>
          <w:p w14:paraId="7F709A93" w14:textId="77777777" w:rsidR="002B0A35" w:rsidRPr="00066446" w:rsidRDefault="002B0A35" w:rsidP="002B0A35">
            <w:pPr>
              <w:spacing w:line="360" w:lineRule="auto"/>
              <w:jc w:val="both"/>
              <w:rPr>
                <w:sz w:val="24"/>
                <w:szCs w:val="24"/>
              </w:rPr>
            </w:pPr>
            <w:r w:rsidRPr="00066446">
              <w:rPr>
                <w:sz w:val="24"/>
                <w:szCs w:val="24"/>
              </w:rPr>
              <w:t>Reflecting upon this case, the support of management, legal teams, health colleagues and support providers both formally and informally created a mechanism to navigate through this both professionally and personally; it allowed for exploration, reflection and evaluation with insight from various perspectives. This links closely to the SHARE model (Maclean, 2018) and is something that facilitated evidence based and defensible decisions. Within this case, I saw a complex interplay between risk, relationships, and legal processes. I had worked with this family and supported them in navigating several vulnerabilities until such a time whereby the risks posed to 2 were too great and her safety was urgently in question. I also saw the impact of systemic decisions, particularly the ex-</w:t>
            </w:r>
            <w:proofErr w:type="spellStart"/>
            <w:r w:rsidRPr="00066446">
              <w:rPr>
                <w:sz w:val="24"/>
                <w:szCs w:val="24"/>
              </w:rPr>
              <w:t>parte</w:t>
            </w:r>
            <w:proofErr w:type="spellEnd"/>
            <w:r w:rsidRPr="00066446">
              <w:rPr>
                <w:sz w:val="24"/>
                <w:szCs w:val="24"/>
              </w:rPr>
              <w:t xml:space="preserve"> removal on the family’s sense of agency and trust, and as a practitioner, I witnessed how legal frameworks can override relational practice, especially once proceedings began. I heard the voice of the family, throughout; I understood what mattered to them, what their strengths were and the goals they had. I had spent time hearing their story of where they had come from and what life they were trying to build. I also heard my own internal dialogue, my values as a mother and a social worker committed to transparency and trust. I heard the concerns of colleagues, the legal rationale, and the ethical tensions that emerged. The absence of the family’s awareness of the court application was particularly striking, and I heard the silence that followed that decision.</w:t>
            </w:r>
          </w:p>
          <w:p w14:paraId="1DE6EB39" w14:textId="77777777" w:rsidR="002B0A35" w:rsidRPr="00066446" w:rsidRDefault="002B0A35" w:rsidP="002B0A35">
            <w:pPr>
              <w:spacing w:line="360" w:lineRule="auto"/>
              <w:jc w:val="both"/>
              <w:rPr>
                <w:sz w:val="24"/>
                <w:szCs w:val="24"/>
              </w:rPr>
            </w:pPr>
            <w:r w:rsidRPr="00066446">
              <w:rPr>
                <w:sz w:val="24"/>
                <w:szCs w:val="24"/>
              </w:rPr>
              <w:t>The local authority took decisive action to safeguard 2, including applying to the court without informing the family. My role shifted from relational engagement to procedural compliance. This case presented a profound challenge to the balance between relationship-based practice and the procedural demands of safeguarding legislation. The decision to proceed with an ex-</w:t>
            </w:r>
            <w:proofErr w:type="spellStart"/>
            <w:r w:rsidRPr="00066446">
              <w:rPr>
                <w:sz w:val="24"/>
                <w:szCs w:val="24"/>
              </w:rPr>
              <w:lastRenderedPageBreak/>
              <w:t>parte</w:t>
            </w:r>
            <w:proofErr w:type="spellEnd"/>
            <w:r w:rsidRPr="00066446">
              <w:rPr>
                <w:sz w:val="24"/>
                <w:szCs w:val="24"/>
              </w:rPr>
              <w:t xml:space="preserve"> removal was legally justified but emotionally and ethically complex. It disrupted the trust and transparency I had worked hard to build, creating a sense of powerlessness.</w:t>
            </w:r>
          </w:p>
          <w:p w14:paraId="3EDA99E3" w14:textId="77777777" w:rsidR="002B0A35" w:rsidRPr="00066446" w:rsidRDefault="002B0A35" w:rsidP="002B0A35">
            <w:pPr>
              <w:spacing w:after="200" w:line="360" w:lineRule="auto"/>
              <w:jc w:val="both"/>
              <w:rPr>
                <w:sz w:val="24"/>
                <w:szCs w:val="24"/>
              </w:rPr>
            </w:pPr>
            <w:r w:rsidRPr="00066446">
              <w:rPr>
                <w:sz w:val="24"/>
                <w:szCs w:val="24"/>
              </w:rPr>
              <w:t>From a legislative perspective, the action taken, while necessary for immediate safety, conflicted with the core principles of SSWBWA (2014), particularly around promoting voice, choice, and control. It also raised concerns about the proportionality of intervention and the human rights implications of removing a person from their family without any awareness or consent. Professionally, this case highlighted the limits of autonomy within statutory social work once legal proceedings begin. The shift from collaborative, strengths-based practice to a more procedural, risk-driven approach felt abrupt and disempowering. However, the multi-agency involvement ensured a reflective stance, ensuring that decisions were not made in isolation and that diverse perspectives were considered.</w:t>
            </w:r>
          </w:p>
          <w:p w14:paraId="634E6B6F" w14:textId="77777777" w:rsidR="002B0A35" w:rsidRPr="00066446" w:rsidRDefault="002B0A35" w:rsidP="002B0A35">
            <w:pPr>
              <w:spacing w:after="160" w:line="360" w:lineRule="auto"/>
              <w:jc w:val="both"/>
              <w:rPr>
                <w:sz w:val="24"/>
                <w:szCs w:val="24"/>
              </w:rPr>
            </w:pPr>
          </w:p>
          <w:p w14:paraId="527C7696" w14:textId="77777777" w:rsidR="002B0A35" w:rsidRPr="00066446" w:rsidRDefault="002B0A35" w:rsidP="002B0A35">
            <w:pPr>
              <w:spacing w:after="160" w:line="360" w:lineRule="auto"/>
              <w:jc w:val="both"/>
              <w:rPr>
                <w:sz w:val="24"/>
                <w:szCs w:val="24"/>
              </w:rPr>
            </w:pPr>
            <w:r w:rsidRPr="00066446">
              <w:rPr>
                <w:sz w:val="24"/>
                <w:szCs w:val="24"/>
              </w:rPr>
              <w:t xml:space="preserve">This case study has highlighted the intricate and often conflicting demands placed upon social workers operating within adult safeguarding contexts. The journey with 2 and her family exemplifies the complexity of balancing relationship-based practice with the procedural and legal imperatives of safeguarding legislation. While the Social Services and Well-being (Wales) Act 2014 promotes principles of voice, choice, and control, the reality of practice, particularly when risks escalate, can necessitate actions that appear to contradict these values. Across the national and international frameworks, the legislation can appear conflicted and undermined by safeguarding processes and the interventions this can entail. This conflict in practice creates an overwhelming complexity and multiple conflicts that, on reflection, can only be balanced through effective multi-agency, reflective, evidence-based practice. </w:t>
            </w:r>
          </w:p>
          <w:p w14:paraId="0BDE3C9A" w14:textId="77777777" w:rsidR="002B0A35" w:rsidRPr="00066446" w:rsidRDefault="002B0A35" w:rsidP="002B0A35">
            <w:pPr>
              <w:spacing w:after="160" w:line="360" w:lineRule="auto"/>
              <w:jc w:val="both"/>
              <w:rPr>
                <w:sz w:val="24"/>
                <w:szCs w:val="24"/>
              </w:rPr>
            </w:pPr>
            <w:r w:rsidRPr="00066446">
              <w:rPr>
                <w:sz w:val="24"/>
                <w:szCs w:val="24"/>
              </w:rPr>
              <w:t>Throughout the case, multi-agency collaboration was essential in ensuring that decisions were informed, proportionate, and grounded in a shared understanding of risk. The involvement of legal teams, health professionals, and advocacy services helped to mitigate the isolating effects of statutory intervention and ensured that 2’s voice remained central, even when she lacked capacity. The use of tools such as Talking Mats and the appointment of an ALR underlined the importance of inclusive, person-centred practice, particularly when communication needs were complex.</w:t>
            </w:r>
          </w:p>
          <w:p w14:paraId="67C786D5" w14:textId="77777777" w:rsidR="002B0A35" w:rsidRPr="00066446" w:rsidRDefault="002B0A35" w:rsidP="002B0A35">
            <w:pPr>
              <w:spacing w:after="160" w:line="360" w:lineRule="auto"/>
              <w:jc w:val="both"/>
              <w:rPr>
                <w:sz w:val="24"/>
                <w:szCs w:val="24"/>
              </w:rPr>
            </w:pPr>
            <w:r w:rsidRPr="00066446">
              <w:rPr>
                <w:sz w:val="24"/>
                <w:szCs w:val="24"/>
              </w:rPr>
              <w:lastRenderedPageBreak/>
              <w:t>Critically, this case highlighted the emotional and ethical tensions that arise when professional values, such as empowerment, autonomy, and anti-oppressive practice are challenged by systemic constraints. The use of the Social GGRRAAACCEEESSS model supported reflexivity around identity, power, and difference, helping to navigate the relational dynamics between practitioner and family. Similarly, the principles of social pedagogy offered a framework for supporting 2’s development and resilience, focusing not only on protection but also on her future aspirations and wellbeing.</w:t>
            </w:r>
          </w:p>
          <w:p w14:paraId="6C8C7DA1" w14:textId="77777777" w:rsidR="002B0A35" w:rsidRPr="00066446" w:rsidRDefault="002B0A35" w:rsidP="002B0A35">
            <w:pPr>
              <w:spacing w:after="160" w:line="360" w:lineRule="auto"/>
              <w:jc w:val="both"/>
              <w:rPr>
                <w:sz w:val="24"/>
                <w:szCs w:val="24"/>
              </w:rPr>
            </w:pPr>
            <w:r w:rsidRPr="00066446">
              <w:rPr>
                <w:sz w:val="24"/>
                <w:szCs w:val="24"/>
              </w:rPr>
              <w:t>The experience has reinforced the importance of professional curiosity, reflective supervision, and ethical decision-making in safeguarding work. It has also underscored the need to hold space for discomfort, to acknowledge the emotional labour of social work, and to remain critically engaged with the systems they operate within. Going forward, this case will inform my practice by deepening my commitment to advocacy, transparency, and relational integrity, even when navigating the most challenging safeguarding scenarios. Ultimately, safeguarding is not only about protection from harm but also about promoting dignity, rights, and the possibility of a meaningful life, principles that must remain at the heart of social work practice.</w:t>
            </w:r>
          </w:p>
          <w:p w14:paraId="12DC2F24" w14:textId="159E1E39" w:rsidR="00D3203C" w:rsidRPr="002B0A35" w:rsidRDefault="002B0A35" w:rsidP="00FF7EBB">
            <w:pPr>
              <w:jc w:val="both"/>
              <w:rPr>
                <w:b/>
                <w:bCs/>
                <w:i/>
                <w:sz w:val="24"/>
                <w:szCs w:val="24"/>
              </w:rPr>
            </w:pPr>
            <w:r>
              <w:rPr>
                <w:b/>
                <w:bCs/>
                <w:i/>
                <w:sz w:val="24"/>
                <w:szCs w:val="24"/>
              </w:rPr>
              <w:t>Word Count: 4381</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649C5712" w:rsidR="00A5656A" w:rsidRDefault="00A5656A">
    <w:pPr>
      <w:pStyle w:val="Footer"/>
      <w:jc w:val="right"/>
    </w:pPr>
    <w:r>
      <w:fldChar w:fldCharType="begin"/>
    </w:r>
    <w:r>
      <w:instrText xml:space="preserve"> PAGE   \* MERGEFORMAT </w:instrText>
    </w:r>
    <w:r>
      <w:fldChar w:fldCharType="separate"/>
    </w:r>
    <w:r w:rsidR="00C07CB9">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57440150">
    <w:abstractNumId w:val="1"/>
    <w:lvlOverride w:ilvl="0">
      <w:lvl w:ilvl="0">
        <w:start w:val="1"/>
        <w:numFmt w:val="bullet"/>
        <w:lvlText w:val=""/>
        <w:lvlJc w:val="left"/>
        <w:pPr>
          <w:ind w:left="720" w:hanging="360"/>
        </w:pPr>
        <w:rPr>
          <w:rFonts w:ascii="Symbol" w:hAnsi="Symbol" w:hint="default"/>
        </w:rPr>
      </w:lvl>
    </w:lvlOverride>
  </w:num>
  <w:num w:numId="2" w16cid:durableId="1720474907">
    <w:abstractNumId w:val="22"/>
  </w:num>
  <w:num w:numId="3" w16cid:durableId="1807240787">
    <w:abstractNumId w:val="45"/>
  </w:num>
  <w:num w:numId="4" w16cid:durableId="1112163666">
    <w:abstractNumId w:val="47"/>
  </w:num>
  <w:num w:numId="5" w16cid:durableId="82841949">
    <w:abstractNumId w:val="34"/>
  </w:num>
  <w:num w:numId="6" w16cid:durableId="86850641">
    <w:abstractNumId w:val="32"/>
  </w:num>
  <w:num w:numId="7" w16cid:durableId="361789896">
    <w:abstractNumId w:val="29"/>
  </w:num>
  <w:num w:numId="8" w16cid:durableId="434636556">
    <w:abstractNumId w:val="30"/>
  </w:num>
  <w:num w:numId="9" w16cid:durableId="622611731">
    <w:abstractNumId w:val="10"/>
  </w:num>
  <w:num w:numId="10" w16cid:durableId="1152211803">
    <w:abstractNumId w:val="33"/>
  </w:num>
  <w:num w:numId="11" w16cid:durableId="832378719">
    <w:abstractNumId w:val="17"/>
  </w:num>
  <w:num w:numId="12" w16cid:durableId="1493520281">
    <w:abstractNumId w:val="16"/>
  </w:num>
  <w:num w:numId="13" w16cid:durableId="596642801">
    <w:abstractNumId w:val="27"/>
  </w:num>
  <w:num w:numId="14" w16cid:durableId="504826874">
    <w:abstractNumId w:val="8"/>
  </w:num>
  <w:num w:numId="15" w16cid:durableId="84692848">
    <w:abstractNumId w:val="26"/>
  </w:num>
  <w:num w:numId="16" w16cid:durableId="1070227828">
    <w:abstractNumId w:val="15"/>
  </w:num>
  <w:num w:numId="17" w16cid:durableId="1995067611">
    <w:abstractNumId w:val="13"/>
  </w:num>
  <w:num w:numId="18" w16cid:durableId="116589620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8332017">
    <w:abstractNumId w:val="23"/>
  </w:num>
  <w:num w:numId="20" w16cid:durableId="458648113">
    <w:abstractNumId w:val="18"/>
  </w:num>
  <w:num w:numId="21" w16cid:durableId="411511025">
    <w:abstractNumId w:val="14"/>
  </w:num>
  <w:num w:numId="22" w16cid:durableId="1308632479">
    <w:abstractNumId w:val="11"/>
  </w:num>
  <w:num w:numId="23" w16cid:durableId="1916738667">
    <w:abstractNumId w:val="28"/>
  </w:num>
  <w:num w:numId="24" w16cid:durableId="1597638794">
    <w:abstractNumId w:val="19"/>
  </w:num>
  <w:num w:numId="25" w16cid:durableId="598682461">
    <w:abstractNumId w:val="41"/>
  </w:num>
  <w:num w:numId="26" w16cid:durableId="355546108">
    <w:abstractNumId w:val="35"/>
  </w:num>
  <w:num w:numId="27" w16cid:durableId="1715499236">
    <w:abstractNumId w:val="40"/>
  </w:num>
  <w:num w:numId="28" w16cid:durableId="505243935">
    <w:abstractNumId w:val="20"/>
  </w:num>
  <w:num w:numId="29" w16cid:durableId="2123182232">
    <w:abstractNumId w:val="43"/>
  </w:num>
  <w:num w:numId="30" w16cid:durableId="178980042">
    <w:abstractNumId w:val="31"/>
  </w:num>
  <w:num w:numId="31" w16cid:durableId="1539119700">
    <w:abstractNumId w:val="12"/>
  </w:num>
  <w:num w:numId="32" w16cid:durableId="259531412">
    <w:abstractNumId w:val="44"/>
  </w:num>
  <w:num w:numId="33" w16cid:durableId="33698189">
    <w:abstractNumId w:val="39"/>
  </w:num>
  <w:num w:numId="34" w16cid:durableId="999575089">
    <w:abstractNumId w:val="5"/>
  </w:num>
  <w:num w:numId="35" w16cid:durableId="808405380">
    <w:abstractNumId w:val="46"/>
  </w:num>
  <w:num w:numId="36" w16cid:durableId="46222826">
    <w:abstractNumId w:val="42"/>
  </w:num>
  <w:num w:numId="37" w16cid:durableId="658578196">
    <w:abstractNumId w:val="36"/>
  </w:num>
  <w:num w:numId="38" w16cid:durableId="104816101">
    <w:abstractNumId w:val="37"/>
  </w:num>
  <w:num w:numId="39" w16cid:durableId="139156074">
    <w:abstractNumId w:val="4"/>
  </w:num>
  <w:num w:numId="40" w16cid:durableId="1287081695">
    <w:abstractNumId w:val="6"/>
  </w:num>
  <w:num w:numId="41" w16cid:durableId="250941102">
    <w:abstractNumId w:val="25"/>
  </w:num>
  <w:num w:numId="42" w16cid:durableId="712770703">
    <w:abstractNumId w:val="7"/>
  </w:num>
  <w:num w:numId="43" w16cid:durableId="864637341">
    <w:abstractNumId w:val="3"/>
  </w:num>
  <w:num w:numId="44" w16cid:durableId="2071801616">
    <w:abstractNumId w:val="38"/>
  </w:num>
  <w:num w:numId="45" w16cid:durableId="146476332">
    <w:abstractNumId w:val="0"/>
  </w:num>
  <w:num w:numId="46" w16cid:durableId="913508981">
    <w:abstractNumId w:val="14"/>
  </w:num>
  <w:num w:numId="47" w16cid:durableId="1805154159">
    <w:abstractNumId w:val="48"/>
  </w:num>
  <w:num w:numId="48" w16cid:durableId="12942148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18206209">
    <w:abstractNumId w:val="11"/>
  </w:num>
  <w:num w:numId="50" w16cid:durableId="1543593329">
    <w:abstractNumId w:val="28"/>
  </w:num>
  <w:num w:numId="51" w16cid:durableId="1042485151">
    <w:abstractNumId w:val="24"/>
  </w:num>
  <w:num w:numId="52" w16cid:durableId="879124842">
    <w:abstractNumId w:val="21"/>
  </w:num>
  <w:num w:numId="53" w16cid:durableId="154837457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0A35"/>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4E0"/>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492F"/>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7CB9"/>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DF87309C859C4DB782E0C220875A91" ma:contentTypeVersion="8" ma:contentTypeDescription="Create a new document." ma:contentTypeScope="" ma:versionID="7d896699a6d27ea5e1389db9f1968f1b">
  <xsd:schema xmlns:xsd="http://www.w3.org/2001/XMLSchema" xmlns:xs="http://www.w3.org/2001/XMLSchema" xmlns:p="http://schemas.microsoft.com/office/2006/metadata/properties" xmlns:ns3="7fd91fcb-c03c-498a-8823-27608d1eb59b" targetNamespace="http://schemas.microsoft.com/office/2006/metadata/properties" ma:root="true" ma:fieldsID="381051f43b22412a35795f24320522e0" ns3:_="">
    <xsd:import namespace="7fd91fcb-c03c-498a-8823-27608d1eb5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d91fcb-c03c-498a-8823-27608d1eb5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769949-1D92-489A-8F71-D8C93BCE2D64}">
  <ds:schemaRefs>
    <ds:schemaRef ds:uri="http://schemas.openxmlformats.org/officeDocument/2006/bibliography"/>
  </ds:schemaRefs>
</ds:datastoreItem>
</file>

<file path=customXml/itemProps2.xml><?xml version="1.0" encoding="utf-8"?>
<ds:datastoreItem xmlns:ds="http://schemas.openxmlformats.org/officeDocument/2006/customXml" ds:itemID="{AA26CEBF-32CB-432A-9E11-7E84F9DAF7A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7fd91fcb-c03c-498a-8823-27608d1eb59b"/>
    <ds:schemaRef ds:uri="http://www.w3.org/XML/1998/namespace"/>
    <ds:schemaRef ds:uri="http://purl.org/dc/dcmitype/"/>
  </ds:schemaRefs>
</ds:datastoreItem>
</file>

<file path=customXml/itemProps3.xml><?xml version="1.0" encoding="utf-8"?>
<ds:datastoreItem xmlns:ds="http://schemas.openxmlformats.org/officeDocument/2006/customXml" ds:itemID="{3562B7F9-B890-4C0B-8335-916F23641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d91fcb-c03c-498a-8823-27608d1eb5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4581</Words>
  <Characters>25574</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Miranda Ellis</cp:lastModifiedBy>
  <cp:revision>4</cp:revision>
  <cp:lastPrinted>2020-02-11T19:20:00Z</cp:lastPrinted>
  <dcterms:created xsi:type="dcterms:W3CDTF">2025-01-22T14:31:00Z</dcterms:created>
  <dcterms:modified xsi:type="dcterms:W3CDTF">2025-09-27T15:15:00Z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0x01010099DF87309C859C4DB782E0C220875A91</vt:lpwstr>
  </property>
</Properties>
</file>