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r>
        <w:rPr>
          <w:rFonts w:ascii="Times New Roman" w:hAnsi="Times New Roman" w:cs="Times New Roman" w:eastAsia="Times New Roman"/>
          <w:b/>
          <w:color w:val="262626"/>
          <w:spacing w:val="5"/>
          <w:position w:val="0"/>
          <w:sz w:val="36"/>
          <w:shd w:fill="auto" w:val="clear"/>
        </w:rPr>
        <w:t xml:space="preserve">Accounting Fundamentals Assessment 1</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Raveca Cernea</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 1917346</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University of Wales Trinity Saint David</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BAMB Level 4, Group 2 Weekend</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 Name: Emad Elkhashen</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tabs>
          <w:tab w:val="right" w:pos="9350" w:leader="dot"/>
        </w:tabs>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Contents</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Question 1</w:t>
      </w:r>
      <w:r>
        <w:rPr>
          <w:rFonts w:ascii="Times New Roman" w:hAnsi="Times New Roman" w:cs="Times New Roman" w:eastAsia="Times New Roman"/>
          <w:color w:val="auto"/>
          <w:spacing w:val="0"/>
          <w:position w:val="0"/>
          <w:sz w:val="24"/>
          <w:shd w:fill="auto" w:val="clear"/>
        </w:rPr>
        <w:tab/>
        <w:t xml:space="preserve">3</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Question 2</w:t>
      </w:r>
      <w:r>
        <w:rPr>
          <w:rFonts w:ascii="Times New Roman" w:hAnsi="Times New Roman" w:cs="Times New Roman" w:eastAsia="Times New Roman"/>
          <w:color w:val="auto"/>
          <w:spacing w:val="0"/>
          <w:position w:val="0"/>
          <w:sz w:val="24"/>
          <w:shd w:fill="auto" w:val="clear"/>
        </w:rPr>
        <w:tab/>
        <w:t xml:space="preserve">9</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Question 3</w:t>
      </w:r>
      <w:r>
        <w:rPr>
          <w:rFonts w:ascii="Times New Roman" w:hAnsi="Times New Roman" w:cs="Times New Roman" w:eastAsia="Times New Roman"/>
          <w:color w:val="auto"/>
          <w:spacing w:val="0"/>
          <w:position w:val="0"/>
          <w:sz w:val="24"/>
          <w:shd w:fill="auto" w:val="clear"/>
        </w:rPr>
        <w:tab/>
        <w:t xml:space="preserve">12</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Reference List</w:t>
      </w:r>
      <w:r>
        <w:rPr>
          <w:rFonts w:ascii="Times New Roman" w:hAnsi="Times New Roman" w:cs="Times New Roman" w:eastAsia="Times New Roman"/>
          <w:color w:val="auto"/>
          <w:spacing w:val="0"/>
          <w:position w:val="0"/>
          <w:sz w:val="24"/>
          <w:shd w:fill="auto" w:val="clear"/>
        </w:rPr>
        <w:tab/>
        <w:t xml:space="preserve">16</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1</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Prepare Wales plc’s income statement for the year ended 31st December 2019 and a Statement of Financial Position as at that date.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words of Li and Yang (2016), one of the foremost and compulsory activities of all business corporations is the reporting of their financial situation. However, the reporting of financial position is done by the means of certain financial statements, namely the income statement, the cash flows statement and most importantly, the balance sheet. The statement of financial position, otherwise known as the </w:t>
      </w:r>
      <w:r>
        <w:rPr>
          <w:rFonts w:ascii="Times New Roman" w:hAnsi="Times New Roman" w:cs="Times New Roman" w:eastAsia="Times New Roman"/>
          <w:b/>
          <w:i/>
          <w:color w:val="auto"/>
          <w:spacing w:val="0"/>
          <w:position w:val="0"/>
          <w:sz w:val="24"/>
          <w:shd w:fill="auto" w:val="clear"/>
        </w:rPr>
        <w:t xml:space="preserve">balance sheet</w:t>
      </w:r>
      <w:r>
        <w:rPr>
          <w:rFonts w:ascii="Times New Roman" w:hAnsi="Times New Roman" w:cs="Times New Roman" w:eastAsia="Times New Roman"/>
          <w:color w:val="auto"/>
          <w:spacing w:val="0"/>
          <w:position w:val="0"/>
          <w:sz w:val="24"/>
          <w:shd w:fill="auto" w:val="clear"/>
        </w:rPr>
        <w:t xml:space="preserve">, is the financial statement highlighting the wealth as well as financial obligations of a company at a certain time (Daniel et al., 2017). On the other hand, the </w:t>
      </w:r>
      <w:r>
        <w:rPr>
          <w:rFonts w:ascii="Times New Roman" w:hAnsi="Times New Roman" w:cs="Times New Roman" w:eastAsia="Times New Roman"/>
          <w:b/>
          <w:i/>
          <w:color w:val="auto"/>
          <w:spacing w:val="0"/>
          <w:position w:val="0"/>
          <w:sz w:val="24"/>
          <w:shd w:fill="auto" w:val="clear"/>
        </w:rPr>
        <w:t xml:space="preserve">income statement </w:t>
      </w:r>
      <w:r>
        <w:rPr>
          <w:rFonts w:ascii="Times New Roman" w:hAnsi="Times New Roman" w:cs="Times New Roman" w:eastAsia="Times New Roman"/>
          <w:color w:val="auto"/>
          <w:spacing w:val="0"/>
          <w:position w:val="0"/>
          <w:sz w:val="24"/>
          <w:shd w:fill="auto" w:val="clear"/>
        </w:rPr>
        <w:t xml:space="preserve">relates to the statement in which the earnings of a business corporation are calculated by reducing all its costs from its revenues collected (Ivanova, 2018). However, the </w:t>
      </w:r>
      <w:r>
        <w:rPr>
          <w:rFonts w:ascii="Times New Roman" w:hAnsi="Times New Roman" w:cs="Times New Roman" w:eastAsia="Times New Roman"/>
          <w:b/>
          <w:i/>
          <w:color w:val="auto"/>
          <w:spacing w:val="0"/>
          <w:position w:val="0"/>
          <w:sz w:val="24"/>
          <w:shd w:fill="auto" w:val="clear"/>
        </w:rPr>
        <w:t xml:space="preserve">cash flow statement </w:t>
      </w:r>
      <w:r>
        <w:rPr>
          <w:rFonts w:ascii="Times New Roman" w:hAnsi="Times New Roman" w:cs="Times New Roman" w:eastAsia="Times New Roman"/>
          <w:color w:val="auto"/>
          <w:spacing w:val="0"/>
          <w:position w:val="0"/>
          <w:sz w:val="24"/>
          <w:shd w:fill="auto" w:val="clear"/>
        </w:rPr>
        <w:t xml:space="preserve">gives information about the increases or decreases in the cash and cash equivalents of a corporation during a definite period.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Financial reporting is done within organisations in the UK based on certain </w:t>
      </w:r>
      <w:r>
        <w:rPr>
          <w:rFonts w:ascii="Times New Roman" w:hAnsi="Times New Roman" w:cs="Times New Roman" w:eastAsia="Times New Roman"/>
          <w:b/>
          <w:i/>
          <w:color w:val="auto"/>
          <w:spacing w:val="0"/>
          <w:position w:val="0"/>
          <w:sz w:val="24"/>
          <w:shd w:fill="auto" w:val="clear"/>
        </w:rPr>
        <w:t xml:space="preserve">accounting standards</w:t>
      </w:r>
      <w:r>
        <w:rPr>
          <w:rFonts w:ascii="Times New Roman" w:hAnsi="Times New Roman" w:cs="Times New Roman" w:eastAsia="Times New Roman"/>
          <w:color w:val="auto"/>
          <w:spacing w:val="0"/>
          <w:position w:val="0"/>
          <w:sz w:val="24"/>
          <w:shd w:fill="auto" w:val="clear"/>
        </w:rPr>
        <w:t xml:space="preserve"> in the country along with the regulations of the </w:t>
      </w:r>
      <w:r>
        <w:rPr>
          <w:rFonts w:ascii="Times New Roman" w:hAnsi="Times New Roman" w:cs="Times New Roman" w:eastAsia="Times New Roman"/>
          <w:b/>
          <w:i/>
          <w:color w:val="auto"/>
          <w:spacing w:val="0"/>
          <w:position w:val="0"/>
          <w:sz w:val="24"/>
          <w:shd w:fill="auto" w:val="clear"/>
        </w:rPr>
        <w:t xml:space="preserve">Companies Act 2006</w:t>
      </w:r>
      <w:r>
        <w:rPr>
          <w:rFonts w:ascii="Times New Roman" w:hAnsi="Times New Roman" w:cs="Times New Roman" w:eastAsia="Times New Roman"/>
          <w:color w:val="auto"/>
          <w:spacing w:val="0"/>
          <w:position w:val="0"/>
          <w:sz w:val="24"/>
          <w:shd w:fill="auto" w:val="clear"/>
        </w:rPr>
        <w:t xml:space="preserve">. The discussions conducted underneath shows the preparation of two differing financial statements of the organisation Wales plc </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Wales plc’s statement of income for the period ending 31.12.2019</w:t>
      </w:r>
    </w:p>
    <w:tbl>
      <w:tblPr/>
      <w:tblGrid>
        <w:gridCol w:w="5149"/>
        <w:gridCol w:w="1530"/>
        <w:gridCol w:w="1350"/>
        <w:gridCol w:w="1547"/>
      </w:tblGrid>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Items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Amount</w:t>
            </w: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(’000)</w:t>
            </w: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Amount</w:t>
            </w: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(’000)</w:t>
            </w: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Amount</w:t>
            </w: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(’000)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Revenue from sales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30,300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u w:val="single"/>
                <w:shd w:fill="auto" w:val="clear"/>
              </w:rPr>
              <w:t xml:space="preserve">Cost of Goods Sold</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Cost of Sales (Purchases + Beginning stock - Closing stock)</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16,220</w:t>
            </w: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Add - Depreciated value of plant @ 10% per year</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2,560</w:t>
            </w: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18,780</w:t>
            </w: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£ 18,780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Gross profit</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11,520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u w:val="single"/>
                <w:shd w:fill="auto" w:val="clear"/>
              </w:rPr>
              <w:t xml:space="preserve">Cost of operations </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Expenses for distribution of goods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2,160</w:t>
            </w: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Expenses for administrative purposes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2,920</w:t>
            </w: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Add: Depreciated value of buildings @ 2% per year</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320</w:t>
            </w: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Add: Debts irrecoverable (bad debts)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240</w:t>
            </w: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Add: Outstanding insurance fee expenses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w:t>
            </w: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Add: Allowance created on receivables </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160</w:t>
            </w: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4,140</w:t>
            </w: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6,300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Operating profit (Profit Before Interests &amp; Taxes)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5,220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12% interest on debentures for 2024</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240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PBT (Profit Before Taxes)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4,980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Income taxes for the period</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1,600</w:t>
            </w:r>
          </w:p>
        </w:tc>
      </w:tr>
      <w:tr>
        <w:trPr>
          <w:trHeight w:val="300" w:hRule="auto"/>
          <w:jc w:val="left"/>
        </w:trPr>
        <w:tc>
          <w:tcPr>
            <w:tcW w:w="51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PAT (Profit After Taxes)</w:t>
            </w:r>
          </w:p>
        </w:tc>
        <w:tc>
          <w:tcPr>
            <w:tcW w:w="15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5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3,380</w:t>
            </w:r>
          </w:p>
        </w:tc>
      </w:tr>
    </w:tbl>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 Wales plc’s statement of income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Workings</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Depreciated value of plant @ 10% per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Original cost of plant * 10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£ 25600 * 10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£ 2560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(ii) Cost of Sales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Cost of Sales (Purchases + Beginning stock - Closing stock) + Depreciated value of plant @ 10% per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£ 16220 + £ 2560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£ 18780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(iii) Depreciated value of buildings @ 2% per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Original cost of plant * 2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£ 16000 * 2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£ 320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(iv) Allowance created on receivables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(Debtors or trade receivables - Debts irrecoverable) * 2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(£ 8240 - £ 240) * 2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£ 8000 * 2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 Expenses for administrative purposes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Expenses for administrative purposes + Depreciated value of buildings @ 2% per year + Debts irrecoverable (bad debts) + Outstanding insurance fee expenses + Allowance created on receivables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£ 2920 + £ 320 + £ 240 + £ 500 + £ 160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£ 4140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 In the above income statement, the net profit of the company has been calculated without the consideration of dividends paid to its stockholders. This is because dividends that are paid to shareholders are a part of a company’s net profit and they are not any expense to be charged in the income statement.</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Wales plc’s statement of financial position as on 31.12.2019</w:t>
      </w:r>
    </w:p>
    <w:tbl>
      <w:tblPr/>
      <w:tblGrid>
        <w:gridCol w:w="6314"/>
        <w:gridCol w:w="1632"/>
        <w:gridCol w:w="1630"/>
      </w:tblGrid>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Items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Amount</w:t>
            </w: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(’000)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Amount</w:t>
            </w: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(’000)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 ASSETS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 Fixed Assets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Original cost of land</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15,000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Add: Increase value of Land</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20,000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Original cost of buildings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16,000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Accumulated value of depreciation of buildings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4,260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Depreciated value of buildings @ 2% per year</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320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11,420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Original cost of plant</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25,600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Accumulated value of depreciation of plant</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4,960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Depreciated value of plant @ 10% per year</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2,560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18,080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fixed assets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49,500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(ii) Short-Term Assets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Bank</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320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Inventories as on Dec 31st, 2019</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3,120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Debtors or trade receivables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8,240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Debts irrecoverable (bad debts)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240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Allowance created on receivables </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160</w:t>
            </w: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7,840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short-term assets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11,280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Assets [i + ii]</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60,780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 LIABILITIES AND SHAREHOLDERS' FUNDS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 Non-current liability</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Debentures @ 12% due in 2024</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4,000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non-current liability</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4,000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(ii) Current Liability</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Outstanding insurance fee expenses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Accruals for the year</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3,880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Creditors or trade payables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4,480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Income tax liabilities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current liability</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10,460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Net Asset</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50,320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(iii) Shareholders' funds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Retained profits as on Dec 31st, 2019</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12,320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Share premium value</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Ordinary shares (1 for each share)</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29,000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shareholders' funds</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46,320</w:t>
            </w:r>
          </w:p>
        </w:tc>
      </w:tr>
      <w:tr>
        <w:trPr>
          <w:trHeight w:val="300" w:hRule="auto"/>
          <w:jc w:val="left"/>
        </w:trPr>
        <w:tc>
          <w:tcPr>
            <w:tcW w:w="63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equity and liabilities [i + ii + iii]</w:t>
            </w:r>
          </w:p>
        </w:tc>
        <w:tc>
          <w:tcPr>
            <w:tcW w:w="16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16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60,780</w:t>
            </w:r>
          </w:p>
        </w:tc>
      </w:tr>
    </w:tbl>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2: Wales plc’s statement of financial position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Workings</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(vii) Value of land at the end of the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Original cost of land + Increase value of Land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£ 15000 + £ 5000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(viii) Value of building at the end of the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Original cost of buildings - Accumulated value of depreciation of buildings - Depreciated value of buildings @ 2% per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£ 16000 - £ 4260 - £ 320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£ 11420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(ix) Value of plant at the end of the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Original cost of plant - Accumulated value of depreciation of plant - Depreciated value of plant @ 10% per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£ 25600 - £ 4960 - £ 2560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£ 18080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 Debtors or trade receivables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Debtors or trade receivables - Debts irrecoverable (bad debts) - Allowance created on receivables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£ 8240 - £ 240 - £ 160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£ 7840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(xi) Net assets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Fixed Assets + Short-term assets - Non-current liability - Current liability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£ 49500 + £ 11280 - £ 4000 - £ 10460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£ 60780 - £ 14460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£ 46320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(xii) Since it could be derived that the income taxes that Wales plc was liable to pay during the year 2019 has not been paid. However, this amount is one of the outstanding expenses of a company and this has to be cleared during the short-term. Due to this, this amount has been considered as the company’s current liability.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(xiii) Retained profits as on Dec 31st, 2019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Retained profits as on January 1st, 2019 + Dividends paid for ordinary shares + Net profit earned during the year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£ 8380 + £ 560 + £ 3380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£ 12320</w:t>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2</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Calculating ratios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field of accounting, </w:t>
      </w:r>
      <w:r>
        <w:rPr>
          <w:rFonts w:ascii="Times New Roman" w:hAnsi="Times New Roman" w:cs="Times New Roman" w:eastAsia="Times New Roman"/>
          <w:b/>
          <w:i/>
          <w:color w:val="auto"/>
          <w:spacing w:val="0"/>
          <w:position w:val="0"/>
          <w:sz w:val="24"/>
          <w:shd w:fill="auto" w:val="clear"/>
        </w:rPr>
        <w:t xml:space="preserve">ratios </w:t>
      </w:r>
      <w:r>
        <w:rPr>
          <w:rFonts w:ascii="Times New Roman" w:hAnsi="Times New Roman" w:cs="Times New Roman" w:eastAsia="Times New Roman"/>
          <w:color w:val="auto"/>
          <w:spacing w:val="0"/>
          <w:position w:val="0"/>
          <w:sz w:val="24"/>
          <w:shd w:fill="auto" w:val="clear"/>
        </w:rPr>
        <w:t xml:space="preserve">are the quantitative values or methods, which are utilised for developing insight into the performance and financial situation of companies (Hilkevics and Semakina, 2019). The entity Jerry plc refers to a company that is concerned about the production of a range of personal care items along with household goods. These products are then supplied to supermarket chains and several large retailers in both European countries in addition to UK. The following is the calculations of ratios of Jerry plc for the past two years -</w:t>
      </w:r>
    </w:p>
    <w:tbl>
      <w:tblPr/>
      <w:tblGrid>
        <w:gridCol w:w="2358"/>
        <w:gridCol w:w="2341"/>
        <w:gridCol w:w="2448"/>
        <w:gridCol w:w="2446"/>
      </w:tblGrid>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Type of ratio</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Formula</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2018</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2019</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93"/>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Return on capital employed</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EBT (Earnings before tax) / Total value of employed assets * 100%</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29.7 millions / (293.8 millions -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148.4 millions) * 100%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20.426</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20.43%</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23 millions / (286.1 millions -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151 millions) * 100%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17.024</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17.02%</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96"/>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Return on equity</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EAT (Earnings after tax) / Share Capital + Total reserves * 100%</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18.3 millions / 80.3 millions * 100%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22.789</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22.79%</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12.9 millions / 93.2 millions * 100%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13.841</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13.84% </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99"/>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EPS</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EAT (Earnings after tax) / Number of ordinary shares outstanding</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18.3 millions / 17.8 millions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1.028</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1.03 pence</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12.9 millions / 17.8 millions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0.724</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0.72 pence</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02"/>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Gross profit margin</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Gross profit / Net sales revenue * 100%</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186.9 millions / 486.8 millions * 100%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38.393</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38.39%</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191.8 millions / 501.3 millions * 100%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38.260</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38.26%</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05"/>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Asset turnover ratio </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sales turnover / Total value of employed assets</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468.8 millions / 293.8 millions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0.062</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0.06</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501.3 millions / 286.1 millions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0.045</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0.05</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08"/>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Stock holding period</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stock in hand / Cost of sales * 365 </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41.1 millions / 299.9 millions * 365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50.021</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50.02 days</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38.8 millions / 309.5 millions * 365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45.757</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45.76 days</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11"/>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Debtors collection period</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debtors / Credit sales revenues * 365 </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114.7 millions / 468.8 millions * 365 days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86.001</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86 days</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114.9 millions / 501.3 millions * 365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83.659</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83.66 days</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14"/>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Current  ratio</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Current assets / Current debts</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156.5 millions / 148.4 millions</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1.05</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153.9 millions / 151 millions</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1.02</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17"/>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Gearing ratio</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liability / Total liability + Total shareholders’ funds * 100%</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213.5 millions / 213.5 millions +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80.3 millions * 100%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72.668</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72.67%</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192.9 millions / 192.9 millions +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93.2 millions * 100%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67.423</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67.42%</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20"/>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Interest cover </w:t>
            </w:r>
          </w:p>
        </w:tc>
        <w:tc>
          <w:tcPr>
            <w:tcW w:w="23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EBIT (Earnings before interest and tax) / Interest related expenses</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29.7 millions / 3.5 millions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8.485</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8.49 times</w:t>
            </w:r>
          </w:p>
        </w:tc>
        <w:tc>
          <w:tcPr>
            <w:tcW w:w="24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23 millions / 0.2 millions</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115 times</w:t>
            </w:r>
          </w:p>
        </w:tc>
      </w:tr>
    </w:tbl>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3: Jerry plc’s ratio calculation</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 </w:t>
      </w:r>
      <w:r>
        <w:rPr>
          <w:rFonts w:ascii="Times New Roman" w:hAnsi="Times New Roman" w:cs="Times New Roman" w:eastAsia="Times New Roman"/>
          <w:b/>
          <w:color w:val="000000"/>
          <w:spacing w:val="0"/>
          <w:position w:val="0"/>
          <w:sz w:val="24"/>
          <w:shd w:fill="auto" w:val="clear"/>
        </w:rPr>
        <w:t xml:space="preserve">Discuss the situation revealed by the ratios calculated in (a).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reveal a company’s current financial standing, </w:t>
      </w:r>
      <w:r>
        <w:rPr>
          <w:rFonts w:ascii="Times New Roman" w:hAnsi="Times New Roman" w:cs="Times New Roman" w:eastAsia="Times New Roman"/>
          <w:b/>
          <w:i/>
          <w:color w:val="auto"/>
          <w:spacing w:val="0"/>
          <w:position w:val="0"/>
          <w:sz w:val="24"/>
          <w:shd w:fill="auto" w:val="clear"/>
        </w:rPr>
        <w:t xml:space="preserve">ratio analysis </w:t>
      </w:r>
      <w:r>
        <w:rPr>
          <w:rFonts w:ascii="Times New Roman" w:hAnsi="Times New Roman" w:cs="Times New Roman" w:eastAsia="Times New Roman"/>
          <w:color w:val="auto"/>
          <w:spacing w:val="0"/>
          <w:position w:val="0"/>
          <w:sz w:val="24"/>
          <w:shd w:fill="auto" w:val="clear"/>
        </w:rPr>
        <w:t xml:space="preserve">is of great significance (Kourtis et al., 2019). The analysis of Jerry plc’s </w:t>
      </w:r>
      <w:r>
        <w:rPr>
          <w:rFonts w:ascii="Times New Roman" w:hAnsi="Times New Roman" w:cs="Times New Roman" w:eastAsia="Times New Roman"/>
          <w:b/>
          <w:i/>
          <w:color w:val="auto"/>
          <w:spacing w:val="0"/>
          <w:position w:val="0"/>
          <w:sz w:val="24"/>
          <w:shd w:fill="auto" w:val="clear"/>
        </w:rPr>
        <w:t xml:space="preserve">return on capital employed</w:t>
      </w:r>
      <w:r>
        <w:rPr>
          <w:rFonts w:ascii="Times New Roman" w:hAnsi="Times New Roman" w:cs="Times New Roman" w:eastAsia="Times New Roman"/>
          <w:color w:val="auto"/>
          <w:spacing w:val="0"/>
          <w:position w:val="0"/>
          <w:sz w:val="24"/>
          <w:shd w:fill="auto" w:val="clear"/>
        </w:rPr>
        <w:t xml:space="preserve"> shows that the company had returns of about 20.42% on each £100 invested on capital during 2018. This ratio has reduced to 17.02% during the year 2019. At the same time, the company’s </w:t>
      </w:r>
      <w:r>
        <w:rPr>
          <w:rFonts w:ascii="Times New Roman" w:hAnsi="Times New Roman" w:cs="Times New Roman" w:eastAsia="Times New Roman"/>
          <w:b/>
          <w:i/>
          <w:color w:val="auto"/>
          <w:spacing w:val="0"/>
          <w:position w:val="0"/>
          <w:sz w:val="24"/>
          <w:shd w:fill="auto" w:val="clear"/>
        </w:rPr>
        <w:t xml:space="preserve">return on equity</w:t>
      </w:r>
      <w:r>
        <w:rPr>
          <w:rFonts w:ascii="Times New Roman" w:hAnsi="Times New Roman" w:cs="Times New Roman" w:eastAsia="Times New Roman"/>
          <w:color w:val="auto"/>
          <w:spacing w:val="0"/>
          <w:position w:val="0"/>
          <w:sz w:val="24"/>
          <w:shd w:fill="auto" w:val="clear"/>
        </w:rPr>
        <w:t xml:space="preserve"> indicates that during 2018, there were returns of 22.79% on each £100 invested on equity. This ratio changed to 13.84% during 2019. On the other hand, the interpretation of the </w:t>
      </w:r>
      <w:r>
        <w:rPr>
          <w:rFonts w:ascii="Times New Roman" w:hAnsi="Times New Roman" w:cs="Times New Roman" w:eastAsia="Times New Roman"/>
          <w:b/>
          <w:i/>
          <w:color w:val="auto"/>
          <w:spacing w:val="0"/>
          <w:position w:val="0"/>
          <w:sz w:val="24"/>
          <w:shd w:fill="auto" w:val="clear"/>
        </w:rPr>
        <w:t xml:space="preserve">EPS</w:t>
      </w:r>
      <w:r>
        <w:rPr>
          <w:rFonts w:ascii="Times New Roman" w:hAnsi="Times New Roman" w:cs="Times New Roman" w:eastAsia="Times New Roman"/>
          <w:color w:val="auto"/>
          <w:spacing w:val="0"/>
          <w:position w:val="0"/>
          <w:sz w:val="24"/>
          <w:shd w:fill="auto" w:val="clear"/>
        </w:rPr>
        <w:t xml:space="preserve"> of the company shows considerable decrease of about 29.51% between these two years. Thus, these three investment ratios of the organisation Jerry plc show decreases in the company’s investment potential from 2018 to 2019. In spite of these decreases, the investment potential held within the organisation is still quite favourable and show a good financial position in it.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the evaluation of the profit situation of Jerry plc, the </w:t>
      </w:r>
      <w:r>
        <w:rPr>
          <w:rFonts w:ascii="Times New Roman" w:hAnsi="Times New Roman" w:cs="Times New Roman" w:eastAsia="Times New Roman"/>
          <w:b/>
          <w:i/>
          <w:color w:val="auto"/>
          <w:spacing w:val="0"/>
          <w:position w:val="0"/>
          <w:sz w:val="24"/>
          <w:shd w:fill="auto" w:val="clear"/>
        </w:rPr>
        <w:t xml:space="preserve">gross profit margin</w:t>
      </w:r>
      <w:r>
        <w:rPr>
          <w:rFonts w:ascii="Times New Roman" w:hAnsi="Times New Roman" w:cs="Times New Roman" w:eastAsia="Times New Roman"/>
          <w:color w:val="auto"/>
          <w:spacing w:val="0"/>
          <w:position w:val="0"/>
          <w:sz w:val="24"/>
          <w:shd w:fill="auto" w:val="clear"/>
        </w:rPr>
        <w:t xml:space="preserve"> has been selected as the profitability ratio. In case of this ratio, it can be observed that about 38.39% gross profit was achieved in the company on the spending of every £100. This margin shows a negligible change to 38.26% during 2019. However, both the margins during 2018 and 2019 are quite favourable and show good profitability of the company. As a result, Jerry plc is noticed to have a good profitability. However, in terms of liquidity ratios, the </w:t>
      </w:r>
      <w:r>
        <w:rPr>
          <w:rFonts w:ascii="Times New Roman" w:hAnsi="Times New Roman" w:cs="Times New Roman" w:eastAsia="Times New Roman"/>
          <w:b/>
          <w:i/>
          <w:color w:val="auto"/>
          <w:spacing w:val="0"/>
          <w:position w:val="0"/>
          <w:sz w:val="24"/>
          <w:shd w:fill="auto" w:val="clear"/>
        </w:rPr>
        <w:t xml:space="preserve">current ratio</w:t>
      </w:r>
      <w:r>
        <w:rPr>
          <w:rFonts w:ascii="Times New Roman" w:hAnsi="Times New Roman" w:cs="Times New Roman" w:eastAsia="Times New Roman"/>
          <w:color w:val="auto"/>
          <w:spacing w:val="0"/>
          <w:position w:val="0"/>
          <w:sz w:val="24"/>
          <w:shd w:fill="auto" w:val="clear"/>
        </w:rPr>
        <w:t xml:space="preserve"> of Jerry plc has been considered. Based upon the current ratio of Jerry plc, it can be observed that this ratio is above 1.0 during both 2018 and 2019. This shows that the liquidity of the company is quite stable and there has not been any considerable change in this ratio during these two years. Due to this, it can be said that the financial situation of the company as per liquidity is quite good.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evaluate the operating capacity of the company, there are three efficiency ratios used. For example, the </w:t>
      </w:r>
      <w:r>
        <w:rPr>
          <w:rFonts w:ascii="Times New Roman" w:hAnsi="Times New Roman" w:cs="Times New Roman" w:eastAsia="Times New Roman"/>
          <w:b/>
          <w:i/>
          <w:color w:val="auto"/>
          <w:spacing w:val="0"/>
          <w:position w:val="0"/>
          <w:sz w:val="24"/>
          <w:shd w:fill="auto" w:val="clear"/>
        </w:rPr>
        <w:t xml:space="preserve">asset turnover</w:t>
      </w:r>
      <w:r>
        <w:rPr>
          <w:rFonts w:ascii="Times New Roman" w:hAnsi="Times New Roman" w:cs="Times New Roman" w:eastAsia="Times New Roman"/>
          <w:color w:val="auto"/>
          <w:spacing w:val="0"/>
          <w:position w:val="0"/>
          <w:sz w:val="24"/>
          <w:shd w:fill="auto" w:val="clear"/>
        </w:rPr>
        <w:t xml:space="preserve"> determined for Jerry plc has been quite low during the both the years. There has also not been any remarkable change in this ratio. However, improvements are needed in this ratio in order to enhance the efficiency of the company. On the other hand, the </w:t>
      </w:r>
      <w:r>
        <w:rPr>
          <w:rFonts w:ascii="Times New Roman" w:hAnsi="Times New Roman" w:cs="Times New Roman" w:eastAsia="Times New Roman"/>
          <w:b/>
          <w:i/>
          <w:color w:val="auto"/>
          <w:spacing w:val="0"/>
          <w:position w:val="0"/>
          <w:sz w:val="24"/>
          <w:shd w:fill="auto" w:val="clear"/>
        </w:rPr>
        <w:t xml:space="preserve">stock holding period </w:t>
      </w:r>
      <w:r>
        <w:rPr>
          <w:rFonts w:ascii="Times New Roman" w:hAnsi="Times New Roman" w:cs="Times New Roman" w:eastAsia="Times New Roman"/>
          <w:color w:val="auto"/>
          <w:spacing w:val="0"/>
          <w:position w:val="0"/>
          <w:sz w:val="24"/>
          <w:shd w:fill="auto" w:val="clear"/>
        </w:rPr>
        <w:t xml:space="preserve">computed for Jerry plc shows that the inventory turnover in the company has decreased in 2018 from 2019. A lower stock holding period is always favourable for a company, as it reduces the holding costs as well as the chances of inventory obsolescence within it. At the same time, it can be noticed that the </w:t>
      </w:r>
      <w:r>
        <w:rPr>
          <w:rFonts w:ascii="Times New Roman" w:hAnsi="Times New Roman" w:cs="Times New Roman" w:eastAsia="Times New Roman"/>
          <w:b/>
          <w:i/>
          <w:color w:val="auto"/>
          <w:spacing w:val="0"/>
          <w:position w:val="0"/>
          <w:sz w:val="24"/>
          <w:shd w:fill="auto" w:val="clear"/>
        </w:rPr>
        <w:t xml:space="preserve">debtors’ collection period </w:t>
      </w:r>
      <w:r>
        <w:rPr>
          <w:rFonts w:ascii="Times New Roman" w:hAnsi="Times New Roman" w:cs="Times New Roman" w:eastAsia="Times New Roman"/>
          <w:color w:val="auto"/>
          <w:spacing w:val="0"/>
          <w:position w:val="0"/>
          <w:sz w:val="24"/>
          <w:shd w:fill="auto" w:val="clear"/>
        </w:rPr>
        <w:t xml:space="preserve">of the company has reduced, which is yet again an indication of better operational efficiency of Jerry plc. In terms of financing ratios, the </w:t>
      </w:r>
      <w:r>
        <w:rPr>
          <w:rFonts w:ascii="Times New Roman" w:hAnsi="Times New Roman" w:cs="Times New Roman" w:eastAsia="Times New Roman"/>
          <w:b/>
          <w:i/>
          <w:color w:val="auto"/>
          <w:spacing w:val="0"/>
          <w:position w:val="0"/>
          <w:sz w:val="24"/>
          <w:shd w:fill="auto" w:val="clear"/>
        </w:rPr>
        <w:t xml:space="preserve">interest cover </w:t>
      </w:r>
      <w:r>
        <w:rPr>
          <w:rFonts w:ascii="Times New Roman" w:hAnsi="Times New Roman" w:cs="Times New Roman" w:eastAsia="Times New Roman"/>
          <w:color w:val="auto"/>
          <w:spacing w:val="0"/>
          <w:position w:val="0"/>
          <w:sz w:val="24"/>
          <w:shd w:fill="auto" w:val="clear"/>
        </w:rPr>
        <w:t xml:space="preserve">and </w:t>
      </w:r>
      <w:r>
        <w:rPr>
          <w:rFonts w:ascii="Times New Roman" w:hAnsi="Times New Roman" w:cs="Times New Roman" w:eastAsia="Times New Roman"/>
          <w:b/>
          <w:i/>
          <w:color w:val="auto"/>
          <w:spacing w:val="0"/>
          <w:position w:val="0"/>
          <w:sz w:val="24"/>
          <w:shd w:fill="auto" w:val="clear"/>
        </w:rPr>
        <w:t xml:space="preserve">gearing </w:t>
      </w:r>
      <w:r>
        <w:rPr>
          <w:rFonts w:ascii="Times New Roman" w:hAnsi="Times New Roman" w:cs="Times New Roman" w:eastAsia="Times New Roman"/>
          <w:color w:val="auto"/>
          <w:spacing w:val="0"/>
          <w:position w:val="0"/>
          <w:sz w:val="24"/>
          <w:shd w:fill="auto" w:val="clear"/>
        </w:rPr>
        <w:t xml:space="preserve">ratio of the company have been calculated. These two ratios also indicate that the financial situation of Jerry plc has been improving from 2018 to 2019. Hence, evaluation of all the ten ratios shows a stable and strong financial situation existing in Jerry plc.</w:t>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3</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Identify three different user groups of company accounts and discuss why these user groups are interested in the information provided in financial statements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financial statements and accounts, which a company publishes, are of great usage to a large number of user groups. These groups are not only present inside a company but also present outside it. The three major groups of users of a company’s accounts have been discussed underneath -</w:t>
      </w:r>
    </w:p>
    <w:p>
      <w:pPr>
        <w:numPr>
          <w:ilvl w:val="0"/>
          <w:numId w:val="229"/>
        </w:numPr>
        <w:spacing w:before="0" w:after="200" w:line="360"/>
        <w:ind w:right="0" w:left="78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Employees and managers</w:t>
      </w:r>
      <w:r>
        <w:rPr>
          <w:rFonts w:ascii="Times New Roman" w:hAnsi="Times New Roman" w:cs="Times New Roman" w:eastAsia="Times New Roman"/>
          <w:color w:val="auto"/>
          <w:spacing w:val="0"/>
          <w:position w:val="0"/>
          <w:sz w:val="24"/>
          <w:shd w:fill="auto" w:val="clear"/>
        </w:rPr>
        <w:t xml:space="preserve"> - Both employees and managers are internal user groups of company accounts (Bahri et al., 2017). While employees use them for analysing capacity of a company for payment of salaries along with other employee benefits, managers use them for decision-making. Managers make planning decisions, cost control decisions and various others depending on a company’s accounts. They also examine the performance of a company depending upon the targets they had set.</w:t>
      </w:r>
    </w:p>
    <w:p>
      <w:pPr>
        <w:numPr>
          <w:ilvl w:val="0"/>
          <w:numId w:val="229"/>
        </w:numPr>
        <w:spacing w:before="0" w:after="200" w:line="360"/>
        <w:ind w:right="0" w:left="78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Owners and investors</w:t>
      </w:r>
      <w:r>
        <w:rPr>
          <w:rFonts w:ascii="Times New Roman" w:hAnsi="Times New Roman" w:cs="Times New Roman" w:eastAsia="Times New Roman"/>
          <w:color w:val="auto"/>
          <w:spacing w:val="0"/>
          <w:position w:val="0"/>
          <w:sz w:val="24"/>
          <w:shd w:fill="auto" w:val="clear"/>
        </w:rPr>
        <w:t xml:space="preserve"> - The accounts of a company are used its owners, who are its stockholders, in terms of analysing the performance of a company (Gandziuk, 2016). Prospective investors in a market also use company accounts for the same purpose. The owners or stockholders use the accounts in order to evaluate and decide on keeping, removing or enlarging their shareholding in a company. However, prospective investors evaluate financial statements of a company in order to finalise their decision on investing on the shares in it.</w:t>
      </w:r>
    </w:p>
    <w:p>
      <w:pPr>
        <w:numPr>
          <w:ilvl w:val="0"/>
          <w:numId w:val="229"/>
        </w:numPr>
        <w:spacing w:before="0" w:after="200" w:line="360"/>
        <w:ind w:right="0" w:left="78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Trade creditors and suppliers</w:t>
      </w:r>
      <w:r>
        <w:rPr>
          <w:rFonts w:ascii="Times New Roman" w:hAnsi="Times New Roman" w:cs="Times New Roman" w:eastAsia="Times New Roman"/>
          <w:color w:val="auto"/>
          <w:spacing w:val="0"/>
          <w:position w:val="0"/>
          <w:sz w:val="24"/>
          <w:shd w:fill="auto" w:val="clear"/>
        </w:rPr>
        <w:t xml:space="preserve"> - A company’s accounts is of great help in terms of measuring the creditworthiness and financial situation in it (Kawugana and Faruna, 2019).  The trade creditors and suppliers use the accounts of a company for evaluation of its capacity of repaying the credit taken by them. Based on this, they make their decisions on supplying goods to the company on credit.</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 Discuss the advantages and disadvantages of a highly regulated financial reporting regime.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differing sorts of financial reporting regimes set up in a country, which help in enhancing the transparency and accuracy of financial reports presented by the businesses in it (Leuz and Wysocki, 2016). Thus, it is considered as essential to have a strongly regulated regime for financial reporting. Such strong regimes, however, have both pros and cons, which have been evaluated underneath from two differing perspectives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From the viewpoint of financial statement preparers:</w:t>
      </w:r>
    </w:p>
    <w:p>
      <w:pPr>
        <w:spacing w:before="0" w:after="20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Benefits</w:t>
      </w:r>
    </w:p>
    <w:p>
      <w:pPr>
        <w:numPr>
          <w:ilvl w:val="0"/>
          <w:numId w:val="232"/>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Strongly regulated regime for financial reporting followed by companies make it easy for them to operate effectively even in an ineffective free market.</w:t>
      </w:r>
    </w:p>
    <w:p>
      <w:pPr>
        <w:numPr>
          <w:ilvl w:val="0"/>
          <w:numId w:val="232"/>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capacity of financial statement preparers for attracting both employees and investments in the future also increases because of these regimes.</w:t>
      </w:r>
    </w:p>
    <w:p>
      <w:pPr>
        <w:numPr>
          <w:ilvl w:val="0"/>
          <w:numId w:val="232"/>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these regulations serve as the guide for each financial statement preparer when creating financial statements of a company.</w:t>
      </w:r>
    </w:p>
    <w:p>
      <w:pPr>
        <w:spacing w:before="0" w:after="20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Drawbacks</w:t>
      </w:r>
    </w:p>
    <w:p>
      <w:pPr>
        <w:numPr>
          <w:ilvl w:val="0"/>
          <w:numId w:val="234"/>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costs and expenses incurred in order to adhere with such regimes are considerably high (Breuer et al., 2019).</w:t>
      </w:r>
    </w:p>
    <w:p>
      <w:pPr>
        <w:numPr>
          <w:ilvl w:val="0"/>
          <w:numId w:val="234"/>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Accounting treatments stated under strongly regulated regime for financial reporting are often inadequate for covering all financial situations of a company.</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From the viewpoint of financial statement users:</w:t>
      </w:r>
    </w:p>
    <w:p>
      <w:pPr>
        <w:spacing w:before="0" w:after="20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Benefits</w:t>
      </w:r>
    </w:p>
    <w:p>
      <w:pPr>
        <w:numPr>
          <w:ilvl w:val="0"/>
          <w:numId w:val="23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relevance and reliability of financial statements of a company increase for users due to presence of strongly regulated regime for financial reporting (Gaynor et al., 2016). It is because such strong regulations lead to the enhancement of quality of a company’s accounts.</w:t>
      </w:r>
    </w:p>
    <w:p>
      <w:pPr>
        <w:numPr>
          <w:ilvl w:val="0"/>
          <w:numId w:val="23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Existence of such sort of regime also makes it easy for users to interpret the financial accounts of a company. This is because as all companies are ought to follow such regimes, comparability of financial statements enhance.</w:t>
      </w:r>
    </w:p>
    <w:p>
      <w:pPr>
        <w:numPr>
          <w:ilvl w:val="0"/>
          <w:numId w:val="23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requirements of all financial statement users are also met even when there occurs a conflict.</w:t>
      </w:r>
    </w:p>
    <w:p>
      <w:pPr>
        <w:spacing w:before="0" w:after="20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Drawbacks</w:t>
      </w:r>
    </w:p>
    <w:p>
      <w:pPr>
        <w:numPr>
          <w:ilvl w:val="0"/>
          <w:numId w:val="23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Complexity of accounting treatments increase due to strongly regulated regime for financial reporting. This often makes it tough for the users to evaluate financial statements of a company.</w:t>
      </w:r>
    </w:p>
    <w:p>
      <w:pPr>
        <w:numPr>
          <w:ilvl w:val="0"/>
          <w:numId w:val="23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regimes often make financial statements lengthy as well as less useful due to failure of presenting information suitably.</w:t>
      </w:r>
    </w:p>
    <w:p>
      <w:pPr>
        <w:numPr>
          <w:ilvl w:val="0"/>
          <w:numId w:val="23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Economic consequences on aspects such as research and development (R&amp;D) along with pensions are also high because of these regimes.</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 Discuss the limitations of financial statements.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to a range of benefits or ways in which financial statements aid companies, there are various limitations of these statements as well (Atrill and McLaney, 2006). The below is a list of the few common limitations connected with financial statements -</w:t>
      </w:r>
    </w:p>
    <w:p>
      <w:pPr>
        <w:numPr>
          <w:ilvl w:val="0"/>
          <w:numId w:val="24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Agha (2019), </w:t>
      </w:r>
      <w:r>
        <w:rPr>
          <w:rFonts w:ascii="Times New Roman" w:hAnsi="Times New Roman" w:cs="Times New Roman" w:eastAsia="Times New Roman"/>
          <w:b/>
          <w:i/>
          <w:color w:val="auto"/>
          <w:spacing w:val="0"/>
          <w:position w:val="0"/>
          <w:sz w:val="24"/>
          <w:shd w:fill="auto" w:val="clear"/>
        </w:rPr>
        <w:t xml:space="preserve">effects of the rate of inflation </w:t>
      </w:r>
      <w:r>
        <w:rPr>
          <w:rFonts w:ascii="Times New Roman" w:hAnsi="Times New Roman" w:cs="Times New Roman" w:eastAsia="Times New Roman"/>
          <w:color w:val="auto"/>
          <w:spacing w:val="0"/>
          <w:position w:val="0"/>
          <w:sz w:val="24"/>
          <w:shd w:fill="auto" w:val="clear"/>
        </w:rPr>
        <w:t xml:space="preserve">in a country on financial statements are one of the key drawbacks associated with them. This is because financial statements developed in a business show the failure of adjusting with the inflation in the economy. Due to this, there is an inordinate undervaluation of the assets and other numerical figures recorded within the balance sheet of a business.</w:t>
      </w:r>
    </w:p>
    <w:p>
      <w:pPr>
        <w:numPr>
          <w:ilvl w:val="0"/>
          <w:numId w:val="24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financial statements show the </w:t>
      </w:r>
      <w:r>
        <w:rPr>
          <w:rFonts w:ascii="Times New Roman" w:hAnsi="Times New Roman" w:cs="Times New Roman" w:eastAsia="Times New Roman"/>
          <w:b/>
          <w:i/>
          <w:color w:val="auto"/>
          <w:spacing w:val="0"/>
          <w:position w:val="0"/>
          <w:sz w:val="24"/>
          <w:shd w:fill="auto" w:val="clear"/>
        </w:rPr>
        <w:t xml:space="preserve">ignorance of non-financial issues </w:t>
      </w:r>
      <w:r>
        <w:rPr>
          <w:rFonts w:ascii="Times New Roman" w:hAnsi="Times New Roman" w:cs="Times New Roman" w:eastAsia="Times New Roman"/>
          <w:color w:val="auto"/>
          <w:spacing w:val="0"/>
          <w:position w:val="0"/>
          <w:sz w:val="24"/>
          <w:shd w:fill="auto" w:val="clear"/>
        </w:rPr>
        <w:t xml:space="preserve">that are encountered within businesses, thereby serving as a disadvantage. It is because there are several non-financial issues or threats encountered in businesses, for example, the rapidly changing business environment. However, none of these issues is highlighted or can be found out by users within financial statements, even though their effects are considerable.</w:t>
      </w:r>
    </w:p>
    <w:p>
      <w:pPr>
        <w:numPr>
          <w:ilvl w:val="0"/>
          <w:numId w:val="24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Financial statements have remarkable </w:t>
      </w:r>
      <w:r>
        <w:rPr>
          <w:rFonts w:ascii="Times New Roman" w:hAnsi="Times New Roman" w:cs="Times New Roman" w:eastAsia="Times New Roman"/>
          <w:b/>
          <w:i/>
          <w:color w:val="auto"/>
          <w:spacing w:val="0"/>
          <w:position w:val="0"/>
          <w:sz w:val="24"/>
          <w:shd w:fill="auto" w:val="clear"/>
        </w:rPr>
        <w:t xml:space="preserve">dependence over historical costs</w:t>
      </w:r>
      <w:r>
        <w:rPr>
          <w:rFonts w:ascii="Times New Roman" w:hAnsi="Times New Roman" w:cs="Times New Roman" w:eastAsia="Times New Roman"/>
          <w:color w:val="auto"/>
          <w:spacing w:val="0"/>
          <w:position w:val="0"/>
          <w:sz w:val="24"/>
          <w:shd w:fill="auto" w:val="clear"/>
        </w:rPr>
        <w:t xml:space="preserve">, which also includes as its limitation (Wen and Zhu, 2019). It is because all transactions recorded within books of accounts are based upon historical costs and these costs are considered for financial statement preparation. However, the value of assets and liabilities change over time, which remains unconsidered in financial statements.</w:t>
      </w:r>
    </w:p>
    <w:p>
      <w:pPr>
        <w:numPr>
          <w:ilvl w:val="0"/>
          <w:numId w:val="24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various instances, it is found that there are several intangible asset expenses recorded in the financial statements of a company (Emmanouil and Dimitrios, 2017). However, these </w:t>
      </w:r>
      <w:r>
        <w:rPr>
          <w:rFonts w:ascii="Times New Roman" w:hAnsi="Times New Roman" w:cs="Times New Roman" w:eastAsia="Times New Roman"/>
          <w:b/>
          <w:i/>
          <w:color w:val="auto"/>
          <w:spacing w:val="0"/>
          <w:position w:val="0"/>
          <w:sz w:val="24"/>
          <w:shd w:fill="auto" w:val="clear"/>
        </w:rPr>
        <w:t xml:space="preserve">intangible assets remain unrecorded </w:t>
      </w:r>
      <w:r>
        <w:rPr>
          <w:rFonts w:ascii="Times New Roman" w:hAnsi="Times New Roman" w:cs="Times New Roman" w:eastAsia="Times New Roman"/>
          <w:color w:val="auto"/>
          <w:spacing w:val="0"/>
          <w:position w:val="0"/>
          <w:sz w:val="24"/>
          <w:shd w:fill="auto" w:val="clear"/>
        </w:rPr>
        <w:t xml:space="preserve">within its statement of financial position, thereby resulting to improper asset valuation within businesses.</w:t>
        <w:t xml:space="preserve"> </w:t>
      </w:r>
    </w:p>
    <w:p>
      <w:pPr>
        <w:numPr>
          <w:ilvl w:val="0"/>
          <w:numId w:val="24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Agha, S.R. (2019) How the Economic Inflation Affects the Financial Statement. </w:t>
      </w:r>
      <w:r>
        <w:rPr>
          <w:rFonts w:ascii="Times New Roman" w:hAnsi="Times New Roman" w:cs="Times New Roman" w:eastAsia="Times New Roman"/>
          <w:i/>
          <w:color w:val="auto"/>
          <w:spacing w:val="0"/>
          <w:position w:val="0"/>
          <w:sz w:val="24"/>
          <w:shd w:fill="auto" w:val="clear"/>
        </w:rPr>
        <w:t xml:space="preserve">International Journal of Multicultural and Multireligious Understanding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(6), pp.526-539.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Atrill, P. and McLaney, E.J. (2006) Chapter 1 - </w:t>
      </w:r>
      <w:r>
        <w:rPr>
          <w:rFonts w:ascii="Times New Roman" w:hAnsi="Times New Roman" w:cs="Times New Roman" w:eastAsia="Times New Roman"/>
          <w:i/>
          <w:color w:val="auto"/>
          <w:spacing w:val="0"/>
          <w:position w:val="0"/>
          <w:sz w:val="24"/>
          <w:shd w:fill="auto" w:val="clear"/>
        </w:rPr>
        <w:t xml:space="preserve">Accounting and Finance for Non-specialists</w:t>
      </w:r>
      <w:r>
        <w:rPr>
          <w:rFonts w:ascii="Times New Roman" w:hAnsi="Times New Roman" w:cs="Times New Roman" w:eastAsia="Times New Roman"/>
          <w:color w:val="auto"/>
          <w:spacing w:val="0"/>
          <w:position w:val="0"/>
          <w:sz w:val="24"/>
          <w:shd w:fill="auto" w:val="clear"/>
        </w:rPr>
        <w:t xml:space="preserve">. Pearson Education.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Bahri, M., St-Pierre, J. and Sakka, O. (2017) Performance measurement and management for manufacturing SMEs: a financial statement-based system. </w:t>
      </w:r>
      <w:r>
        <w:rPr>
          <w:rFonts w:ascii="Times New Roman" w:hAnsi="Times New Roman" w:cs="Times New Roman" w:eastAsia="Times New Roman"/>
          <w:i/>
          <w:color w:val="auto"/>
          <w:spacing w:val="0"/>
          <w:position w:val="0"/>
          <w:sz w:val="24"/>
          <w:shd w:fill="auto" w:val="clear"/>
        </w:rPr>
        <w:t xml:space="preserve">Measuring Business Excellence</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Breuer, M., Leuz, C. and Vanhaverbeke, S. (2019) </w:t>
      </w:r>
      <w:r>
        <w:rPr>
          <w:rFonts w:ascii="Times New Roman" w:hAnsi="Times New Roman" w:cs="Times New Roman" w:eastAsia="Times New Roman"/>
          <w:i/>
          <w:color w:val="auto"/>
          <w:spacing w:val="0"/>
          <w:position w:val="0"/>
          <w:sz w:val="24"/>
          <w:shd w:fill="auto" w:val="clear"/>
        </w:rPr>
        <w:t xml:space="preserve">Mandated Financial Reporting and Corporate Innovation</w:t>
      </w:r>
      <w:r>
        <w:rPr>
          <w:rFonts w:ascii="Times New Roman" w:hAnsi="Times New Roman" w:cs="Times New Roman" w:eastAsia="Times New Roman"/>
          <w:color w:val="auto"/>
          <w:spacing w:val="0"/>
          <w:position w:val="0"/>
          <w:sz w:val="24"/>
          <w:shd w:fill="auto" w:val="clear"/>
        </w:rPr>
        <w:t xml:space="preserve"> (No. w26291). National Bureau of Economic Research.</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Daniel, A.C., Marioara, A. and Isabela, D. (2017) Annual Financial Statements as a Financial Communication Support. </w:t>
      </w:r>
      <w:r>
        <w:rPr>
          <w:rFonts w:ascii="Times New Roman" w:hAnsi="Times New Roman" w:cs="Times New Roman" w:eastAsia="Times New Roman"/>
          <w:i/>
          <w:color w:val="auto"/>
          <w:spacing w:val="0"/>
          <w:position w:val="0"/>
          <w:sz w:val="24"/>
          <w:shd w:fill="auto" w:val="clear"/>
        </w:rPr>
        <w:t xml:space="preserve">Ovidius University Annals, Economic Sciences Series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17</w:t>
      </w:r>
      <w:r>
        <w:rPr>
          <w:rFonts w:ascii="Times New Roman" w:hAnsi="Times New Roman" w:cs="Times New Roman" w:eastAsia="Times New Roman"/>
          <w:color w:val="auto"/>
          <w:spacing w:val="0"/>
          <w:position w:val="0"/>
          <w:sz w:val="24"/>
          <w:shd w:fill="auto" w:val="clear"/>
        </w:rPr>
        <w:t xml:space="preserve">(1), pp.403-406.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Emmanouil, G. and Dimitrios, G. (2017) Measure the Unmeasurable? Intangible Assets as the Major Strategic Keys of Enterprises, Their Contribution, Difficulties and Proposals for Reliable Financial Statements. </w:t>
      </w:r>
      <w:r>
        <w:rPr>
          <w:rFonts w:ascii="Times New Roman" w:hAnsi="Times New Roman" w:cs="Times New Roman" w:eastAsia="Times New Roman"/>
          <w:i/>
          <w:color w:val="auto"/>
          <w:spacing w:val="0"/>
          <w:position w:val="0"/>
          <w:sz w:val="24"/>
          <w:shd w:fill="auto" w:val="clear"/>
        </w:rPr>
        <w:t xml:space="preserve">David Publishing Company www. davidpublisher. com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16</w:t>
      </w:r>
      <w:r>
        <w:rPr>
          <w:rFonts w:ascii="Times New Roman" w:hAnsi="Times New Roman" w:cs="Times New Roman" w:eastAsia="Times New Roman"/>
          <w:color w:val="auto"/>
          <w:spacing w:val="0"/>
          <w:position w:val="0"/>
          <w:sz w:val="24"/>
          <w:shd w:fill="auto" w:val="clear"/>
        </w:rPr>
        <w:t xml:space="preserve">(12), pp.594-608.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Gandziuk, O. (2016) The financial statements of user requirements. </w:t>
      </w:r>
      <w:r>
        <w:rPr>
          <w:rFonts w:ascii="Times New Roman" w:hAnsi="Times New Roman" w:cs="Times New Roman" w:eastAsia="Times New Roman"/>
          <w:i/>
          <w:color w:val="auto"/>
          <w:spacing w:val="0"/>
          <w:position w:val="0"/>
          <w:sz w:val="24"/>
          <w:shd w:fill="auto" w:val="clear"/>
        </w:rPr>
        <w:t xml:space="preserve">Baltic Journal of Economic Studies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Gaynor, L.M., Kelton, A.S., Mercer, M. and Yohn, T.L. (2016) Understanding the relation between financial reporting quality and audit quality. </w:t>
      </w:r>
      <w:r>
        <w:rPr>
          <w:rFonts w:ascii="Times New Roman" w:hAnsi="Times New Roman" w:cs="Times New Roman" w:eastAsia="Times New Roman"/>
          <w:i/>
          <w:color w:val="auto"/>
          <w:spacing w:val="0"/>
          <w:position w:val="0"/>
          <w:sz w:val="24"/>
          <w:shd w:fill="auto" w:val="clear"/>
        </w:rPr>
        <w:t xml:space="preserve">Auditing: A Journal of Practice &amp; Theory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35</w:t>
      </w:r>
      <w:r>
        <w:rPr>
          <w:rFonts w:ascii="Times New Roman" w:hAnsi="Times New Roman" w:cs="Times New Roman" w:eastAsia="Times New Roman"/>
          <w:color w:val="auto"/>
          <w:spacing w:val="0"/>
          <w:position w:val="0"/>
          <w:sz w:val="24"/>
          <w:shd w:fill="auto" w:val="clear"/>
        </w:rPr>
        <w:t xml:space="preserve">(4), pp.1-22.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Hilkevics, S. and Semakina, V. (2019) The classification and comparison of business ratios analysis methods.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Ivanova, R. (2018) Statement of Income and Expenses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Source of Information for the Analysis of Enterprise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Business Efficiency.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Knowledge International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23</w:t>
      </w:r>
      <w:r>
        <w:rPr>
          <w:rFonts w:ascii="Times New Roman" w:hAnsi="Times New Roman" w:cs="Times New Roman" w:eastAsia="Times New Roman"/>
          <w:color w:val="auto"/>
          <w:spacing w:val="0"/>
          <w:position w:val="0"/>
          <w:sz w:val="24"/>
          <w:shd w:fill="auto" w:val="clear"/>
        </w:rPr>
        <w:t xml:space="preserve">(1), pp.227-232.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Kawugana, A. and Faruna, F.S. (2019) Role of financial statement in investment decision making. </w:t>
      </w:r>
      <w:r>
        <w:rPr>
          <w:rFonts w:ascii="Times New Roman" w:hAnsi="Times New Roman" w:cs="Times New Roman" w:eastAsia="Times New Roman"/>
          <w:i/>
          <w:color w:val="auto"/>
          <w:spacing w:val="0"/>
          <w:position w:val="0"/>
          <w:sz w:val="24"/>
          <w:shd w:fill="auto" w:val="clear"/>
        </w:rPr>
        <w:t xml:space="preserve">International Journal in Management &amp; Social Science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(1), pp.87-99.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Kourtis, E., Kourtis, G. and Curtis, P. (2019) </w:t>
      </w:r>
      <w:r>
        <w:rPr>
          <w:rFonts w:ascii="Times New Roman" w:hAnsi="Times New Roman" w:cs="Times New Roman" w:eastAsia="Times New Roman"/>
          <w:color w:val="auto"/>
          <w:spacing w:val="0"/>
          <w:position w:val="0"/>
          <w:sz w:val="24"/>
          <w:shd w:fill="auto" w:val="clear"/>
        </w:rPr>
        <w:t xml:space="preserve">Αn Integrated Financial Ratio Analysis as a Navigation Compass through the Fraudulent Reporting Conundrum: Α Case Study. </w:t>
      </w:r>
      <w:r>
        <w:rPr>
          <w:rFonts w:ascii="Times New Roman" w:hAnsi="Times New Roman" w:cs="Times New Roman" w:eastAsia="Times New Roman"/>
          <w:i/>
          <w:color w:val="auto"/>
          <w:spacing w:val="0"/>
          <w:position w:val="0"/>
          <w:sz w:val="24"/>
          <w:shd w:fill="auto" w:val="clear"/>
        </w:rPr>
        <w:t xml:space="preserve">International Journal of Finance, Insurance and Risk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w:t>
      </w:r>
      <w:r>
        <w:rPr>
          <w:rFonts w:ascii="Times New Roman" w:hAnsi="Times New Roman" w:cs="Times New Roman" w:eastAsia="Times New Roman"/>
          <w:color w:val="auto"/>
          <w:spacing w:val="0"/>
          <w:position w:val="0"/>
          <w:sz w:val="24"/>
          <w:shd w:fill="auto" w:val="clear"/>
        </w:rPr>
        <w:t xml:space="preserve">(1-2), pp.3-20.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Leuz, C. and Wysocki, P.D. (2016) The economics of disclosure and financial reporting regulation: Evidence and suggestions for future research. </w:t>
      </w:r>
      <w:r>
        <w:rPr>
          <w:rFonts w:ascii="Times New Roman" w:hAnsi="Times New Roman" w:cs="Times New Roman" w:eastAsia="Times New Roman"/>
          <w:i/>
          <w:color w:val="auto"/>
          <w:spacing w:val="0"/>
          <w:position w:val="0"/>
          <w:sz w:val="24"/>
          <w:shd w:fill="auto" w:val="clear"/>
        </w:rPr>
        <w:t xml:space="preserve">Journal of accounting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54</w:t>
      </w:r>
      <w:r>
        <w:rPr>
          <w:rFonts w:ascii="Times New Roman" w:hAnsi="Times New Roman" w:cs="Times New Roman" w:eastAsia="Times New Roman"/>
          <w:color w:val="auto"/>
          <w:spacing w:val="0"/>
          <w:position w:val="0"/>
          <w:sz w:val="24"/>
          <w:shd w:fill="auto" w:val="clear"/>
        </w:rPr>
        <w:t xml:space="preserve">(2), pp.525-622.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 X. and Yang, H.I. (2016) Mandatory financial reporting and voluntary disclosure: The effect of mandatory IFRS adoption on management forecasts. </w:t>
      </w:r>
      <w:r>
        <w:rPr>
          <w:rFonts w:ascii="Times New Roman" w:hAnsi="Times New Roman" w:cs="Times New Roman" w:eastAsia="Times New Roman"/>
          <w:i/>
          <w:color w:val="auto"/>
          <w:spacing w:val="0"/>
          <w:position w:val="0"/>
          <w:sz w:val="24"/>
          <w:shd w:fill="auto" w:val="clear"/>
        </w:rPr>
        <w:t xml:space="preserve">The Accounting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91</w:t>
      </w:r>
      <w:r>
        <w:rPr>
          <w:rFonts w:ascii="Times New Roman" w:hAnsi="Times New Roman" w:cs="Times New Roman" w:eastAsia="Times New Roman"/>
          <w:color w:val="auto"/>
          <w:spacing w:val="0"/>
          <w:position w:val="0"/>
          <w:sz w:val="24"/>
          <w:shd w:fill="auto" w:val="clear"/>
        </w:rPr>
        <w:t xml:space="preserve">(3), pp.933-953.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Wen, H. and Zhu, T. (2019) Interpretation of Financial Statements.</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num w:numId="193">
    <w:abstractNumId w:val="90"/>
  </w:num>
  <w:num w:numId="196">
    <w:abstractNumId w:val="84"/>
  </w:num>
  <w:num w:numId="199">
    <w:abstractNumId w:val="78"/>
  </w:num>
  <w:num w:numId="202">
    <w:abstractNumId w:val="72"/>
  </w:num>
  <w:num w:numId="205">
    <w:abstractNumId w:val="66"/>
  </w:num>
  <w:num w:numId="208">
    <w:abstractNumId w:val="60"/>
  </w:num>
  <w:num w:numId="211">
    <w:abstractNumId w:val="54"/>
  </w:num>
  <w:num w:numId="214">
    <w:abstractNumId w:val="48"/>
  </w:num>
  <w:num w:numId="217">
    <w:abstractNumId w:val="42"/>
  </w:num>
  <w:num w:numId="220">
    <w:abstractNumId w:val="36"/>
  </w:num>
  <w:num w:numId="229">
    <w:abstractNumId w:val="30"/>
  </w:num>
  <w:num w:numId="232">
    <w:abstractNumId w:val="24"/>
  </w:num>
  <w:num w:numId="234">
    <w:abstractNumId w:val="18"/>
  </w:num>
  <w:num w:numId="236">
    <w:abstractNumId w:val="12"/>
  </w:num>
  <w:num w:numId="238">
    <w:abstractNumId w:val="6"/>
  </w:num>
  <w:num w:numId="24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