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BED4B" w14:textId="28B456F0" w:rsidR="00551469" w:rsidRPr="00616101" w:rsidRDefault="00551469" w:rsidP="009E1676">
      <w:pPr>
        <w:spacing w:before="240" w:line="360" w:lineRule="auto"/>
        <w:jc w:val="center"/>
        <w:rPr>
          <w:rFonts w:ascii="Times New Roman" w:hAnsi="Times New Roman" w:cs="Times New Roman"/>
          <w:sz w:val="28"/>
          <w:szCs w:val="28"/>
        </w:rPr>
      </w:pPr>
      <w:r w:rsidRPr="00616101">
        <w:rPr>
          <w:rFonts w:ascii="Times New Roman" w:hAnsi="Times New Roman" w:cs="Times New Roman"/>
          <w:sz w:val="28"/>
          <w:szCs w:val="28"/>
        </w:rPr>
        <w:t xml:space="preserve">Review of Alfred K. Siewers, “Writing an Icon of the Land: The </w:t>
      </w:r>
      <w:r w:rsidRPr="00616101">
        <w:rPr>
          <w:rFonts w:ascii="Times New Roman" w:hAnsi="Times New Roman" w:cs="Times New Roman"/>
          <w:i/>
          <w:iCs/>
          <w:sz w:val="28"/>
          <w:szCs w:val="28"/>
        </w:rPr>
        <w:t>Mabinogi</w:t>
      </w:r>
      <w:r w:rsidRPr="00616101">
        <w:rPr>
          <w:rFonts w:ascii="Times New Roman" w:hAnsi="Times New Roman" w:cs="Times New Roman"/>
          <w:sz w:val="28"/>
          <w:szCs w:val="28"/>
        </w:rPr>
        <w:t xml:space="preserve"> as a Mystagogy of Landscape”. </w:t>
      </w:r>
      <w:r w:rsidRPr="00616101">
        <w:rPr>
          <w:rFonts w:ascii="Times New Roman" w:hAnsi="Times New Roman" w:cs="Times New Roman"/>
          <w:i/>
          <w:iCs/>
          <w:sz w:val="28"/>
          <w:szCs w:val="28"/>
        </w:rPr>
        <w:t>Peritia</w:t>
      </w:r>
      <w:r w:rsidRPr="00616101">
        <w:rPr>
          <w:rFonts w:ascii="Times New Roman" w:hAnsi="Times New Roman" w:cs="Times New Roman"/>
          <w:sz w:val="28"/>
          <w:szCs w:val="28"/>
        </w:rPr>
        <w:t xml:space="preserve"> 19 (2023), 193-228. </w:t>
      </w:r>
    </w:p>
    <w:p w14:paraId="1AB4EDF2" w14:textId="60C8E10A" w:rsidR="006730B6" w:rsidRDefault="009E351C" w:rsidP="009E1676">
      <w:pPr>
        <w:autoSpaceDE w:val="0"/>
        <w:autoSpaceDN w:val="0"/>
        <w:adjustRightInd w:val="0"/>
        <w:spacing w:before="240" w:after="0" w:line="360" w:lineRule="auto"/>
        <w:rPr>
          <w:rFonts w:ascii="Times New Roman" w:hAnsi="Times New Roman" w:cs="Times New Roman"/>
          <w:kern w:val="0"/>
          <w:sz w:val="24"/>
          <w:szCs w:val="24"/>
        </w:rPr>
      </w:pPr>
      <w:r w:rsidRPr="00F4248D">
        <w:rPr>
          <w:rFonts w:ascii="Times New Roman" w:hAnsi="Times New Roman" w:cs="Times New Roman"/>
          <w:sz w:val="24"/>
          <w:szCs w:val="24"/>
        </w:rPr>
        <w:t xml:space="preserve">The central thesis of </w:t>
      </w:r>
      <w:r w:rsidR="00A50898" w:rsidRPr="00F4248D">
        <w:rPr>
          <w:rFonts w:ascii="Times New Roman" w:hAnsi="Times New Roman" w:cs="Times New Roman"/>
          <w:sz w:val="24"/>
          <w:szCs w:val="24"/>
        </w:rPr>
        <w:t>“</w:t>
      </w:r>
      <w:r w:rsidRPr="00F4248D">
        <w:rPr>
          <w:rFonts w:ascii="Times New Roman" w:hAnsi="Times New Roman" w:cs="Times New Roman"/>
          <w:sz w:val="24"/>
          <w:szCs w:val="24"/>
        </w:rPr>
        <w:t>Writing an Icon of the Land</w:t>
      </w:r>
      <w:r w:rsidR="006A13CD" w:rsidRPr="00F4248D">
        <w:rPr>
          <w:rFonts w:ascii="Times New Roman" w:hAnsi="Times New Roman" w:cs="Times New Roman"/>
          <w:sz w:val="24"/>
          <w:szCs w:val="24"/>
        </w:rPr>
        <w:t xml:space="preserve">: The </w:t>
      </w:r>
      <w:r w:rsidR="006A13CD" w:rsidRPr="00F4248D">
        <w:rPr>
          <w:rFonts w:ascii="Times New Roman" w:hAnsi="Times New Roman" w:cs="Times New Roman"/>
          <w:i/>
          <w:iCs/>
          <w:sz w:val="24"/>
          <w:szCs w:val="24"/>
        </w:rPr>
        <w:t>Mabinogi</w:t>
      </w:r>
      <w:r w:rsidR="006A13CD" w:rsidRPr="00F4248D">
        <w:rPr>
          <w:rFonts w:ascii="Times New Roman" w:hAnsi="Times New Roman" w:cs="Times New Roman"/>
          <w:sz w:val="24"/>
          <w:szCs w:val="24"/>
        </w:rPr>
        <w:t xml:space="preserve"> as a Mystagogy of Landscape</w:t>
      </w:r>
      <w:r w:rsidR="00A50898" w:rsidRPr="00F4248D">
        <w:rPr>
          <w:rFonts w:ascii="Times New Roman" w:hAnsi="Times New Roman" w:cs="Times New Roman"/>
          <w:sz w:val="24"/>
          <w:szCs w:val="24"/>
        </w:rPr>
        <w:t>”</w:t>
      </w:r>
      <w:r w:rsidRPr="00F4248D">
        <w:rPr>
          <w:rFonts w:ascii="Times New Roman" w:hAnsi="Times New Roman" w:cs="Times New Roman"/>
          <w:sz w:val="24"/>
          <w:szCs w:val="24"/>
        </w:rPr>
        <w:t xml:space="preserve"> is that the</w:t>
      </w:r>
      <w:r w:rsidR="009545A7" w:rsidRPr="00F4248D">
        <w:rPr>
          <w:rFonts w:ascii="Times New Roman" w:hAnsi="Times New Roman" w:cs="Times New Roman"/>
          <w:sz w:val="24"/>
          <w:szCs w:val="24"/>
        </w:rPr>
        <w:t xml:space="preserve"> </w:t>
      </w:r>
      <w:r w:rsidR="00F4248D" w:rsidRPr="00F4248D">
        <w:rPr>
          <w:rFonts w:ascii="Times New Roman" w:hAnsi="Times New Roman" w:cs="Times New Roman"/>
          <w:sz w:val="24"/>
          <w:szCs w:val="24"/>
        </w:rPr>
        <w:t>main</w:t>
      </w:r>
      <w:r w:rsidR="009545A7" w:rsidRPr="00F4248D">
        <w:rPr>
          <w:rFonts w:ascii="Times New Roman" w:hAnsi="Times New Roman" w:cs="Times New Roman"/>
          <w:sz w:val="24"/>
          <w:szCs w:val="24"/>
        </w:rPr>
        <w:t xml:space="preserve"> ‘character’ of the </w:t>
      </w:r>
      <w:r w:rsidR="009545A7" w:rsidRPr="00F4248D">
        <w:rPr>
          <w:rFonts w:ascii="Times New Roman" w:hAnsi="Times New Roman" w:cs="Times New Roman"/>
          <w:i/>
          <w:iCs/>
          <w:sz w:val="24"/>
          <w:szCs w:val="24"/>
        </w:rPr>
        <w:t>Mabinogi</w:t>
      </w:r>
      <w:r w:rsidR="009545A7" w:rsidRPr="00F4248D">
        <w:rPr>
          <w:rFonts w:ascii="Times New Roman" w:hAnsi="Times New Roman" w:cs="Times New Roman"/>
          <w:sz w:val="24"/>
          <w:szCs w:val="24"/>
        </w:rPr>
        <w:t xml:space="preserve"> is the Welsh landscape itself, </w:t>
      </w:r>
      <w:r w:rsidR="00515A4B">
        <w:rPr>
          <w:rFonts w:ascii="Times New Roman" w:hAnsi="Times New Roman" w:cs="Times New Roman"/>
          <w:sz w:val="24"/>
          <w:szCs w:val="24"/>
        </w:rPr>
        <w:t>rather than</w:t>
      </w:r>
      <w:r w:rsidR="009545A7" w:rsidRPr="00F4248D">
        <w:rPr>
          <w:rFonts w:ascii="Times New Roman" w:hAnsi="Times New Roman" w:cs="Times New Roman"/>
          <w:sz w:val="24"/>
          <w:szCs w:val="24"/>
        </w:rPr>
        <w:t xml:space="preserve"> the people within that landscape. He argues that the </w:t>
      </w:r>
      <w:r w:rsidR="009545A7" w:rsidRPr="00F4248D">
        <w:rPr>
          <w:rFonts w:ascii="Times New Roman" w:hAnsi="Times New Roman" w:cs="Times New Roman"/>
          <w:i/>
          <w:iCs/>
          <w:sz w:val="24"/>
          <w:szCs w:val="24"/>
        </w:rPr>
        <w:t>Mabinogi’s</w:t>
      </w:r>
      <w:r w:rsidR="009545A7" w:rsidRPr="00F4248D">
        <w:rPr>
          <w:rFonts w:ascii="Times New Roman" w:hAnsi="Times New Roman" w:cs="Times New Roman"/>
          <w:sz w:val="24"/>
          <w:szCs w:val="24"/>
        </w:rPr>
        <w:t xml:space="preserve"> sophisticated blending of real locations</w:t>
      </w:r>
      <w:r w:rsidR="00515A4B">
        <w:rPr>
          <w:rFonts w:ascii="Times New Roman" w:hAnsi="Times New Roman" w:cs="Times New Roman"/>
          <w:sz w:val="24"/>
          <w:szCs w:val="24"/>
        </w:rPr>
        <w:t xml:space="preserve"> – such as the village of Nantlle, or Nantlleu in the </w:t>
      </w:r>
      <w:r w:rsidR="00515A4B" w:rsidRPr="00515A4B">
        <w:rPr>
          <w:rFonts w:ascii="Times New Roman" w:hAnsi="Times New Roman" w:cs="Times New Roman"/>
          <w:i/>
          <w:iCs/>
          <w:sz w:val="24"/>
          <w:szCs w:val="24"/>
        </w:rPr>
        <w:t>Mabinogi</w:t>
      </w:r>
      <w:r w:rsidR="00515A4B">
        <w:rPr>
          <w:rFonts w:ascii="Times New Roman" w:hAnsi="Times New Roman" w:cs="Times New Roman"/>
          <w:sz w:val="24"/>
          <w:szCs w:val="24"/>
        </w:rPr>
        <w:t xml:space="preserve"> – </w:t>
      </w:r>
      <w:r w:rsidR="009545A7" w:rsidRPr="00F4248D">
        <w:rPr>
          <w:rFonts w:ascii="Times New Roman" w:hAnsi="Times New Roman" w:cs="Times New Roman"/>
          <w:sz w:val="24"/>
          <w:szCs w:val="24"/>
        </w:rPr>
        <w:t>with the ephemeral Celtic ‘Otherworld’ help</w:t>
      </w:r>
      <w:r w:rsidR="00A50898" w:rsidRPr="00F4248D">
        <w:rPr>
          <w:rFonts w:ascii="Times New Roman" w:hAnsi="Times New Roman" w:cs="Times New Roman"/>
          <w:sz w:val="24"/>
          <w:szCs w:val="24"/>
        </w:rPr>
        <w:t>s</w:t>
      </w:r>
      <w:r w:rsidR="009545A7" w:rsidRPr="00F4248D">
        <w:rPr>
          <w:rFonts w:ascii="Times New Roman" w:hAnsi="Times New Roman" w:cs="Times New Roman"/>
          <w:sz w:val="24"/>
          <w:szCs w:val="24"/>
        </w:rPr>
        <w:t xml:space="preserve"> to preserve pre-Norman Welsh </w:t>
      </w:r>
      <w:r w:rsidR="00CC7F60" w:rsidRPr="00F4248D">
        <w:rPr>
          <w:rFonts w:ascii="Times New Roman" w:hAnsi="Times New Roman" w:cs="Times New Roman"/>
          <w:sz w:val="24"/>
          <w:szCs w:val="24"/>
        </w:rPr>
        <w:t>beliefs</w:t>
      </w:r>
      <w:r w:rsidR="00515A4B">
        <w:rPr>
          <w:rFonts w:ascii="Times New Roman" w:hAnsi="Times New Roman" w:cs="Times New Roman"/>
          <w:sz w:val="24"/>
          <w:szCs w:val="24"/>
        </w:rPr>
        <w:t>. Siewers writes: “Real castles appearing as if from nowhere in the era of the Mabinogi’s composition formed the network of strongholds being constructed by the Norman invaders, altering the Welsh cultural landscape”.</w:t>
      </w:r>
      <w:r w:rsidR="00616101">
        <w:rPr>
          <w:rFonts w:ascii="Times New Roman" w:hAnsi="Times New Roman" w:cs="Times New Roman"/>
          <w:sz w:val="24"/>
          <w:szCs w:val="24"/>
        </w:rPr>
        <w:t xml:space="preserve"> </w:t>
      </w:r>
      <w:r w:rsidR="00616101">
        <w:rPr>
          <w:rFonts w:ascii="Times New Roman" w:hAnsi="Times New Roman" w:cs="Times New Roman"/>
          <w:sz w:val="24"/>
          <w:szCs w:val="24"/>
        </w:rPr>
        <w:fldChar w:fldCharType="begin"/>
      </w:r>
      <w:r w:rsidR="00616101">
        <w:rPr>
          <w:rFonts w:ascii="Times New Roman" w:hAnsi="Times New Roman" w:cs="Times New Roman"/>
          <w:sz w:val="24"/>
          <w:szCs w:val="24"/>
        </w:rPr>
        <w:instrText xml:space="preserve"> ADDIN ZOTERO_ITEM CSL_CITATION {"citationID":"Cs0bAm04","properties":{"formattedCitation":"(Siewers 2005)","plainCitation":"(Siewers 2005)","noteIndex":0},"citationItems":[{"id":115,"uris":["http://zotero.org/users/local/VhgDsqkD/items/3TGUGIQW"],"itemData":{"id":115,"type":"article-journal","abstract":"Reading the landscape of Wales as the central character of Pedeir Keinc y Mabinogi supports an interpretation of the Four Branches as a type of textual icon, integrating topography and twelfth-century cultural realms in a landscape-narrative. This reading views the Mabinogi as a sophisticated if harshly playful expression of early-medieval christian incarnational cosmology, set in dialogue with reconstructed older narratives of ancestral relations to the land. The composer envisioned a type of Welsh Old Testament, anchored in a union of topography and traditions, but as a ‘map’ of cultural identity resisting amalgamation into the conquering Norman culture. The fourfold landscape structure of the cycle, reflecting early-medieval cosmic tetrych designs, supports this iconographic reading of the text, with surprising parallels with Gregory the Great’s exegesis of the four creatures of Ezekiel as related to four aspects of christian life. Such structural parallels suggest a ‘retro’ christian reshaping of Celtic British learned tradition into a landscape based in ancestral romanitas and antediluvian roots in the land, a showcasing of native tradition as an act of narrative resistance.","container-title":"Peritia","DOI":"10.1484/J.Peri.3.576","ISSN":"0332-1592","note":"publisher: Brepols Publishers","page":"193-228","source":"brepolsonline.net (Atypon)","title":"Writing an icon of the land: the Mabinogi as a mystagogy of landscape","title-short":"Writing an icon of the land","volume":"19","author":[{"family":"Siewers","given":"Alfred K."}],"issued":{"date-parts":[["2005",1]]}}}],"schema":"https://github.com/citation-style-language/schema/raw/master/csl-citation.json"} </w:instrText>
      </w:r>
      <w:r w:rsidR="00616101">
        <w:rPr>
          <w:rFonts w:ascii="Times New Roman" w:hAnsi="Times New Roman" w:cs="Times New Roman"/>
          <w:sz w:val="24"/>
          <w:szCs w:val="24"/>
        </w:rPr>
        <w:fldChar w:fldCharType="separate"/>
      </w:r>
      <w:r w:rsidR="00616101" w:rsidRPr="00616101">
        <w:rPr>
          <w:rFonts w:ascii="Times New Roman" w:hAnsi="Times New Roman" w:cs="Times New Roman"/>
          <w:sz w:val="24"/>
        </w:rPr>
        <w:t>(Siewers 2005</w:t>
      </w:r>
      <w:r w:rsidR="00616101">
        <w:rPr>
          <w:rFonts w:ascii="Times New Roman" w:hAnsi="Times New Roman" w:cs="Times New Roman"/>
          <w:sz w:val="24"/>
        </w:rPr>
        <w:t>, 16</w:t>
      </w:r>
      <w:r w:rsidR="00616101" w:rsidRPr="00616101">
        <w:rPr>
          <w:rFonts w:ascii="Times New Roman" w:hAnsi="Times New Roman" w:cs="Times New Roman"/>
          <w:sz w:val="24"/>
        </w:rPr>
        <w:t>)</w:t>
      </w:r>
      <w:r w:rsidR="00616101">
        <w:rPr>
          <w:rFonts w:ascii="Times New Roman" w:hAnsi="Times New Roman" w:cs="Times New Roman"/>
          <w:sz w:val="24"/>
          <w:szCs w:val="24"/>
        </w:rPr>
        <w:fldChar w:fldCharType="end"/>
      </w:r>
      <w:r w:rsidR="00515A4B">
        <w:rPr>
          <w:rFonts w:ascii="Times New Roman" w:hAnsi="Times New Roman" w:cs="Times New Roman"/>
          <w:sz w:val="24"/>
          <w:szCs w:val="24"/>
        </w:rPr>
        <w:t xml:space="preserve"> </w:t>
      </w:r>
      <w:r w:rsidR="006730B6">
        <w:rPr>
          <w:rFonts w:ascii="Times New Roman" w:hAnsi="Times New Roman" w:cs="Times New Roman"/>
          <w:sz w:val="24"/>
          <w:szCs w:val="24"/>
        </w:rPr>
        <w:t xml:space="preserve">This </w:t>
      </w:r>
      <w:r w:rsidR="00123B1F" w:rsidRPr="00F4248D">
        <w:rPr>
          <w:rFonts w:ascii="Times New Roman" w:hAnsi="Times New Roman" w:cs="Times New Roman"/>
          <w:sz w:val="24"/>
          <w:szCs w:val="24"/>
        </w:rPr>
        <w:t>invit</w:t>
      </w:r>
      <w:r w:rsidR="006730B6">
        <w:rPr>
          <w:rFonts w:ascii="Times New Roman" w:hAnsi="Times New Roman" w:cs="Times New Roman"/>
          <w:sz w:val="24"/>
          <w:szCs w:val="24"/>
        </w:rPr>
        <w:t>es the</w:t>
      </w:r>
      <w:r w:rsidR="009545A7" w:rsidRPr="00F4248D">
        <w:rPr>
          <w:rFonts w:ascii="Times New Roman" w:hAnsi="Times New Roman" w:cs="Times New Roman"/>
          <w:sz w:val="24"/>
          <w:szCs w:val="24"/>
        </w:rPr>
        <w:t xml:space="preserve"> modern reader to imagine what life was like for Celtic peoples </w:t>
      </w:r>
      <w:r w:rsidR="00123B1F" w:rsidRPr="00F4248D">
        <w:rPr>
          <w:rFonts w:ascii="Times New Roman" w:hAnsi="Times New Roman" w:cs="Times New Roman"/>
          <w:sz w:val="24"/>
          <w:szCs w:val="24"/>
        </w:rPr>
        <w:t>amid</w:t>
      </w:r>
      <w:r w:rsidR="009545A7" w:rsidRPr="00F4248D">
        <w:rPr>
          <w:rFonts w:ascii="Times New Roman" w:hAnsi="Times New Roman" w:cs="Times New Roman"/>
          <w:sz w:val="24"/>
          <w:szCs w:val="24"/>
        </w:rPr>
        <w:t xml:space="preserve"> Norman inv</w:t>
      </w:r>
      <w:r w:rsidR="006730B6">
        <w:rPr>
          <w:rFonts w:ascii="Times New Roman" w:hAnsi="Times New Roman" w:cs="Times New Roman"/>
          <w:sz w:val="24"/>
          <w:szCs w:val="24"/>
        </w:rPr>
        <w:t>a</w:t>
      </w:r>
      <w:r w:rsidR="009545A7" w:rsidRPr="00F4248D">
        <w:rPr>
          <w:rFonts w:ascii="Times New Roman" w:hAnsi="Times New Roman" w:cs="Times New Roman"/>
          <w:sz w:val="24"/>
          <w:szCs w:val="24"/>
        </w:rPr>
        <w:t>sion</w:t>
      </w:r>
      <w:r w:rsidR="006730B6">
        <w:rPr>
          <w:rFonts w:ascii="Times New Roman" w:hAnsi="Times New Roman" w:cs="Times New Roman"/>
          <w:sz w:val="24"/>
          <w:szCs w:val="24"/>
        </w:rPr>
        <w:t xml:space="preserve">. </w:t>
      </w:r>
      <w:r w:rsidR="00F4248D" w:rsidRPr="00F4248D">
        <w:rPr>
          <w:rFonts w:ascii="Times New Roman" w:hAnsi="Times New Roman" w:cs="Times New Roman"/>
          <w:sz w:val="24"/>
          <w:szCs w:val="24"/>
        </w:rPr>
        <w:t xml:space="preserve">Siewers acknowledges that there is debate among scholars as to the central focus of the </w:t>
      </w:r>
      <w:r w:rsidR="00F4248D" w:rsidRPr="00F4248D">
        <w:rPr>
          <w:rFonts w:ascii="Times New Roman" w:hAnsi="Times New Roman" w:cs="Times New Roman"/>
          <w:i/>
          <w:iCs/>
          <w:sz w:val="24"/>
          <w:szCs w:val="24"/>
        </w:rPr>
        <w:t>Mabinogi</w:t>
      </w:r>
      <w:r w:rsidR="00F4248D" w:rsidRPr="00F4248D">
        <w:rPr>
          <w:rFonts w:ascii="Times New Roman" w:hAnsi="Times New Roman" w:cs="Times New Roman"/>
          <w:sz w:val="24"/>
          <w:szCs w:val="24"/>
        </w:rPr>
        <w:t>, arguing that the difficult</w:t>
      </w:r>
      <w:r w:rsidR="006730B6">
        <w:rPr>
          <w:rFonts w:ascii="Times New Roman" w:hAnsi="Times New Roman" w:cs="Times New Roman"/>
          <w:sz w:val="24"/>
          <w:szCs w:val="24"/>
        </w:rPr>
        <w:t>y</w:t>
      </w:r>
      <w:r w:rsidR="00F4248D" w:rsidRPr="00F4248D">
        <w:rPr>
          <w:rFonts w:ascii="Times New Roman" w:hAnsi="Times New Roman" w:cs="Times New Roman"/>
          <w:sz w:val="24"/>
          <w:szCs w:val="24"/>
        </w:rPr>
        <w:t xml:space="preserve"> in ascribing concrete meaning ‘</w:t>
      </w:r>
      <w:r w:rsidR="00F4248D" w:rsidRPr="00F4248D">
        <w:rPr>
          <w:rFonts w:ascii="Times New Roman" w:hAnsi="Times New Roman" w:cs="Times New Roman"/>
          <w:kern w:val="0"/>
          <w:sz w:val="24"/>
          <w:szCs w:val="24"/>
        </w:rPr>
        <w:t xml:space="preserve">has been a failure to recognize the central character as neither Pryderi nor the pantheon of some lost Celtic </w:t>
      </w:r>
      <w:r w:rsidR="00F4248D" w:rsidRPr="00F4248D">
        <w:rPr>
          <w:rFonts w:ascii="Times New Roman" w:hAnsi="Times New Roman" w:cs="Times New Roman"/>
          <w:i/>
          <w:iCs/>
          <w:kern w:val="0"/>
          <w:sz w:val="24"/>
          <w:szCs w:val="24"/>
        </w:rPr>
        <w:t>Theogony</w:t>
      </w:r>
      <w:r w:rsidR="00F4248D" w:rsidRPr="00F4248D">
        <w:rPr>
          <w:rFonts w:ascii="Times New Roman" w:hAnsi="Times New Roman" w:cs="Times New Roman"/>
          <w:kern w:val="0"/>
          <w:sz w:val="24"/>
          <w:szCs w:val="24"/>
        </w:rPr>
        <w:t>, but the Welsh landscape itself’. (</w:t>
      </w:r>
      <w:r w:rsidR="00616101">
        <w:rPr>
          <w:rFonts w:ascii="Times New Roman" w:hAnsi="Times New Roman" w:cs="Times New Roman"/>
          <w:kern w:val="0"/>
          <w:sz w:val="24"/>
          <w:szCs w:val="24"/>
        </w:rPr>
        <w:t>Siewers 2005, 2)</w:t>
      </w:r>
      <w:r w:rsidR="00F4248D" w:rsidRPr="00F4248D">
        <w:rPr>
          <w:rFonts w:ascii="Times New Roman" w:hAnsi="Times New Roman" w:cs="Times New Roman"/>
          <w:kern w:val="0"/>
          <w:sz w:val="24"/>
          <w:szCs w:val="24"/>
        </w:rPr>
        <w:t xml:space="preserve"> </w:t>
      </w:r>
    </w:p>
    <w:p w14:paraId="65056B24" w14:textId="5D5A850F" w:rsidR="006730B6" w:rsidRDefault="006730B6" w:rsidP="009E1676">
      <w:pPr>
        <w:autoSpaceDE w:val="0"/>
        <w:autoSpaceDN w:val="0"/>
        <w:adjustRightInd w:val="0"/>
        <w:spacing w:before="240" w:after="0" w:line="360" w:lineRule="auto"/>
        <w:rPr>
          <w:rFonts w:ascii="Times New Roman" w:hAnsi="Times New Roman" w:cs="Times New Roman"/>
          <w:sz w:val="24"/>
          <w:szCs w:val="24"/>
        </w:rPr>
      </w:pPr>
      <w:r>
        <w:rPr>
          <w:rFonts w:ascii="Times New Roman" w:hAnsi="Times New Roman" w:cs="Times New Roman"/>
          <w:sz w:val="24"/>
          <w:szCs w:val="24"/>
        </w:rPr>
        <w:t xml:space="preserve">The article is densely packed with information, indicating the knowledge and dedication Siewers holds for the topic. He references himself, demonstrating his own expertise in the field. He also references a wide range of both academic and theological sources throughout the article, drawing from disciplines </w:t>
      </w:r>
      <w:r w:rsidR="00616101">
        <w:rPr>
          <w:rFonts w:ascii="Times New Roman" w:hAnsi="Times New Roman" w:cs="Times New Roman"/>
          <w:sz w:val="24"/>
          <w:szCs w:val="24"/>
        </w:rPr>
        <w:t>such as</w:t>
      </w:r>
      <w:r>
        <w:rPr>
          <w:rFonts w:ascii="Times New Roman" w:hAnsi="Times New Roman" w:cs="Times New Roman"/>
          <w:sz w:val="24"/>
          <w:szCs w:val="24"/>
        </w:rPr>
        <w:t xml:space="preserve"> </w:t>
      </w:r>
      <w:r w:rsidR="00616101">
        <w:rPr>
          <w:rFonts w:ascii="Times New Roman" w:hAnsi="Times New Roman" w:cs="Times New Roman"/>
          <w:sz w:val="24"/>
          <w:szCs w:val="24"/>
        </w:rPr>
        <w:t>Medieval Celtic</w:t>
      </w:r>
      <w:r>
        <w:rPr>
          <w:rFonts w:ascii="Times New Roman" w:hAnsi="Times New Roman" w:cs="Times New Roman"/>
          <w:sz w:val="24"/>
          <w:szCs w:val="24"/>
        </w:rPr>
        <w:t xml:space="preserve"> studies, anthropology and archaeology. He uses theological language throughout the article, reading the </w:t>
      </w:r>
      <w:r w:rsidRPr="00616101">
        <w:rPr>
          <w:rFonts w:ascii="Times New Roman" w:hAnsi="Times New Roman" w:cs="Times New Roman"/>
          <w:i/>
          <w:iCs/>
          <w:sz w:val="24"/>
          <w:szCs w:val="24"/>
        </w:rPr>
        <w:t>Mabinogi</w:t>
      </w:r>
      <w:r>
        <w:rPr>
          <w:rFonts w:ascii="Times New Roman" w:hAnsi="Times New Roman" w:cs="Times New Roman"/>
          <w:sz w:val="24"/>
          <w:szCs w:val="24"/>
        </w:rPr>
        <w:t xml:space="preserve"> as a sacred text, and identifying both Christian and Pagan motifs throughout. From a layperson’s perspective, the article can be difficult to follow at times, as the specialised language can </w:t>
      </w:r>
      <w:r w:rsidR="00616101">
        <w:rPr>
          <w:rFonts w:ascii="Times New Roman" w:hAnsi="Times New Roman" w:cs="Times New Roman"/>
          <w:sz w:val="24"/>
          <w:szCs w:val="24"/>
        </w:rPr>
        <w:t xml:space="preserve">be context-dependent; for instance, the word ‘mystagogy’, used throughout, can have subtly different definitions depending on contextual factors. However, the article is clearly aimed at an academic audience who would have knowledge of theological language and context, and Siewers writes very well through this medium. </w:t>
      </w:r>
    </w:p>
    <w:p w14:paraId="4478C5C8" w14:textId="223BA3BE" w:rsidR="00F4248D" w:rsidRDefault="006730B6" w:rsidP="009E1676">
      <w:pPr>
        <w:autoSpaceDE w:val="0"/>
        <w:autoSpaceDN w:val="0"/>
        <w:adjustRightInd w:val="0"/>
        <w:spacing w:before="240" w:after="0" w:line="360" w:lineRule="auto"/>
        <w:rPr>
          <w:rFonts w:ascii="Times New Roman" w:hAnsi="Times New Roman" w:cs="Times New Roman"/>
          <w:sz w:val="24"/>
          <w:szCs w:val="24"/>
        </w:rPr>
      </w:pPr>
      <w:r>
        <w:rPr>
          <w:rFonts w:ascii="Times New Roman" w:hAnsi="Times New Roman" w:cs="Times New Roman"/>
          <w:sz w:val="24"/>
          <w:szCs w:val="24"/>
        </w:rPr>
        <w:t xml:space="preserve">Throughout the article, </w:t>
      </w:r>
      <w:r w:rsidR="009545A7" w:rsidRPr="00F4248D">
        <w:rPr>
          <w:rFonts w:ascii="Times New Roman" w:hAnsi="Times New Roman" w:cs="Times New Roman"/>
          <w:sz w:val="24"/>
          <w:szCs w:val="24"/>
        </w:rPr>
        <w:t xml:space="preserve">Siewers also argues that the </w:t>
      </w:r>
      <w:r w:rsidR="009545A7" w:rsidRPr="00F4248D">
        <w:rPr>
          <w:rFonts w:ascii="Times New Roman" w:hAnsi="Times New Roman" w:cs="Times New Roman"/>
          <w:i/>
          <w:iCs/>
          <w:sz w:val="24"/>
          <w:szCs w:val="24"/>
        </w:rPr>
        <w:t>Mabinogi</w:t>
      </w:r>
      <w:r w:rsidR="009545A7" w:rsidRPr="00F4248D">
        <w:rPr>
          <w:rFonts w:ascii="Times New Roman" w:hAnsi="Times New Roman" w:cs="Times New Roman"/>
          <w:sz w:val="24"/>
          <w:szCs w:val="24"/>
        </w:rPr>
        <w:t xml:space="preserve"> was a way of expressing Christian sentiment, drawing </w:t>
      </w:r>
      <w:r>
        <w:rPr>
          <w:rFonts w:ascii="Times New Roman" w:hAnsi="Times New Roman" w:cs="Times New Roman"/>
          <w:sz w:val="24"/>
          <w:szCs w:val="24"/>
        </w:rPr>
        <w:t>interesting parallels.</w:t>
      </w:r>
      <w:r w:rsidR="009545A7" w:rsidRPr="00F4248D">
        <w:rPr>
          <w:rFonts w:ascii="Times New Roman" w:hAnsi="Times New Roman" w:cs="Times New Roman"/>
          <w:sz w:val="24"/>
          <w:szCs w:val="24"/>
        </w:rPr>
        <w:t xml:space="preserve"> </w:t>
      </w:r>
      <w:r>
        <w:rPr>
          <w:rFonts w:ascii="Times New Roman" w:hAnsi="Times New Roman" w:cs="Times New Roman"/>
          <w:sz w:val="24"/>
          <w:szCs w:val="24"/>
        </w:rPr>
        <w:t xml:space="preserve">One example is his connecting of the transformation of Lleu into an eagle in the Fourth Branch of the </w:t>
      </w:r>
      <w:r w:rsidRPr="00616101">
        <w:rPr>
          <w:rFonts w:ascii="Times New Roman" w:hAnsi="Times New Roman" w:cs="Times New Roman"/>
          <w:i/>
          <w:iCs/>
          <w:sz w:val="24"/>
          <w:szCs w:val="24"/>
        </w:rPr>
        <w:t>Mabinogi</w:t>
      </w:r>
      <w:r>
        <w:rPr>
          <w:rFonts w:ascii="Times New Roman" w:hAnsi="Times New Roman" w:cs="Times New Roman"/>
          <w:sz w:val="24"/>
          <w:szCs w:val="24"/>
        </w:rPr>
        <w:t xml:space="preserve"> with Gregory the Great’s writings on the eagle symbolising Christ’s ascension. Siewers elaborates: </w:t>
      </w:r>
    </w:p>
    <w:p w14:paraId="170A614F" w14:textId="3EEBA6CA" w:rsidR="006730B6" w:rsidRPr="006730B6" w:rsidRDefault="006730B6" w:rsidP="006730B6">
      <w:pPr>
        <w:autoSpaceDE w:val="0"/>
        <w:autoSpaceDN w:val="0"/>
        <w:adjustRightInd w:val="0"/>
        <w:spacing w:before="240" w:after="0" w:line="360" w:lineRule="auto"/>
        <w:ind w:left="567"/>
        <w:rPr>
          <w:rFonts w:ascii="Times New Roman" w:hAnsi="Times New Roman" w:cs="Times New Roman"/>
          <w:kern w:val="0"/>
          <w:sz w:val="24"/>
          <w:szCs w:val="24"/>
        </w:rPr>
      </w:pPr>
      <w:r>
        <w:rPr>
          <w:rFonts w:ascii="Times New Roman" w:hAnsi="Times New Roman" w:cs="Times New Roman"/>
          <w:kern w:val="0"/>
          <w:sz w:val="24"/>
          <w:szCs w:val="24"/>
        </w:rPr>
        <w:lastRenderedPageBreak/>
        <w:t>T</w:t>
      </w:r>
      <w:r w:rsidRPr="00552086">
        <w:rPr>
          <w:rFonts w:ascii="Times New Roman" w:hAnsi="Times New Roman" w:cs="Times New Roman"/>
          <w:kern w:val="0"/>
          <w:sz w:val="24"/>
          <w:szCs w:val="24"/>
        </w:rPr>
        <w:t>he narrative-landscape of the Mabinogi functions similarly to Byzantine</w:t>
      </w:r>
      <w:r>
        <w:rPr>
          <w:rFonts w:ascii="Times New Roman" w:hAnsi="Times New Roman" w:cs="Times New Roman"/>
          <w:kern w:val="0"/>
          <w:sz w:val="24"/>
          <w:szCs w:val="24"/>
        </w:rPr>
        <w:t xml:space="preserve"> </w:t>
      </w:r>
      <w:r w:rsidRPr="00552086">
        <w:rPr>
          <w:rFonts w:ascii="Times New Roman" w:hAnsi="Times New Roman" w:cs="Times New Roman"/>
          <w:kern w:val="0"/>
          <w:sz w:val="24"/>
          <w:szCs w:val="24"/>
        </w:rPr>
        <w:t>visual iconography in direct engagement of imaginative and physical worlds, the worlds</w:t>
      </w:r>
      <w:r>
        <w:rPr>
          <w:rFonts w:ascii="Times New Roman" w:hAnsi="Times New Roman" w:cs="Times New Roman"/>
          <w:kern w:val="0"/>
          <w:sz w:val="24"/>
          <w:szCs w:val="24"/>
        </w:rPr>
        <w:t xml:space="preserve"> </w:t>
      </w:r>
      <w:r w:rsidRPr="00552086">
        <w:rPr>
          <w:rFonts w:ascii="Times New Roman" w:hAnsi="Times New Roman" w:cs="Times New Roman"/>
          <w:kern w:val="0"/>
          <w:sz w:val="24"/>
          <w:szCs w:val="24"/>
        </w:rPr>
        <w:t>of human tradition and the landscape of Wales. Nature is less a book as text to be</w:t>
      </w:r>
      <w:r>
        <w:rPr>
          <w:rFonts w:ascii="Times New Roman" w:hAnsi="Times New Roman" w:cs="Times New Roman"/>
          <w:kern w:val="0"/>
          <w:sz w:val="24"/>
          <w:szCs w:val="24"/>
        </w:rPr>
        <w:t xml:space="preserve"> </w:t>
      </w:r>
      <w:r w:rsidRPr="00552086">
        <w:rPr>
          <w:rFonts w:ascii="Times New Roman" w:hAnsi="Times New Roman" w:cs="Times New Roman"/>
          <w:kern w:val="0"/>
          <w:sz w:val="24"/>
          <w:szCs w:val="24"/>
        </w:rPr>
        <w:t>decoded (in an Augustinian sense</w:t>
      </w:r>
      <w:r>
        <w:rPr>
          <w:rFonts w:ascii="Times New Roman" w:hAnsi="Times New Roman" w:cs="Times New Roman"/>
          <w:kern w:val="0"/>
          <w:sz w:val="24"/>
          <w:szCs w:val="24"/>
        </w:rPr>
        <w:t xml:space="preserve">) </w:t>
      </w:r>
      <w:r w:rsidRPr="00552086">
        <w:rPr>
          <w:rFonts w:ascii="Times New Roman" w:hAnsi="Times New Roman" w:cs="Times New Roman"/>
          <w:kern w:val="0"/>
          <w:sz w:val="24"/>
          <w:szCs w:val="24"/>
        </w:rPr>
        <w:t>than an iconic manuscript like early Insular</w:t>
      </w:r>
      <w:r>
        <w:rPr>
          <w:rFonts w:ascii="Times New Roman" w:hAnsi="Times New Roman" w:cs="Times New Roman"/>
          <w:kern w:val="0"/>
          <w:sz w:val="24"/>
          <w:szCs w:val="24"/>
        </w:rPr>
        <w:t xml:space="preserve"> </w:t>
      </w:r>
      <w:r w:rsidRPr="00552086">
        <w:rPr>
          <w:rFonts w:ascii="Times New Roman" w:hAnsi="Times New Roman" w:cs="Times New Roman"/>
          <w:kern w:val="0"/>
          <w:sz w:val="24"/>
          <w:szCs w:val="24"/>
        </w:rPr>
        <w:t>illuminated books in which the reader participates more directly both imaginatively and</w:t>
      </w:r>
      <w:r>
        <w:rPr>
          <w:rFonts w:ascii="Times New Roman" w:hAnsi="Times New Roman" w:cs="Times New Roman"/>
          <w:kern w:val="0"/>
          <w:sz w:val="24"/>
          <w:szCs w:val="24"/>
        </w:rPr>
        <w:t xml:space="preserve"> </w:t>
      </w:r>
      <w:r w:rsidRPr="00552086">
        <w:rPr>
          <w:rFonts w:ascii="Times New Roman" w:hAnsi="Times New Roman" w:cs="Times New Roman"/>
          <w:kern w:val="0"/>
          <w:sz w:val="24"/>
          <w:szCs w:val="24"/>
        </w:rPr>
        <w:t>physically.</w:t>
      </w:r>
      <w:r>
        <w:rPr>
          <w:rFonts w:ascii="Times New Roman" w:hAnsi="Times New Roman" w:cs="Times New Roman"/>
          <w:kern w:val="0"/>
          <w:sz w:val="24"/>
          <w:szCs w:val="24"/>
        </w:rPr>
        <w:t xml:space="preserve"> (</w:t>
      </w:r>
      <w:r w:rsidR="00616101">
        <w:rPr>
          <w:rFonts w:ascii="Times New Roman" w:hAnsi="Times New Roman" w:cs="Times New Roman"/>
          <w:kern w:val="0"/>
          <w:sz w:val="24"/>
          <w:szCs w:val="24"/>
        </w:rPr>
        <w:t>Siewers 2005, 27)</w:t>
      </w:r>
    </w:p>
    <w:p w14:paraId="21F21755" w14:textId="09336BCB" w:rsidR="006730B6" w:rsidRPr="006730B6" w:rsidRDefault="006730B6" w:rsidP="006730B6">
      <w:pPr>
        <w:tabs>
          <w:tab w:val="left" w:pos="1092"/>
        </w:tabs>
        <w:autoSpaceDE w:val="0"/>
        <w:autoSpaceDN w:val="0"/>
        <w:adjustRightInd w:val="0"/>
        <w:spacing w:before="240" w:after="0" w:line="360" w:lineRule="auto"/>
        <w:rPr>
          <w:rFonts w:ascii="Times New Roman" w:hAnsi="Times New Roman" w:cs="Times New Roman"/>
          <w:kern w:val="0"/>
          <w:sz w:val="24"/>
          <w:szCs w:val="24"/>
        </w:rPr>
      </w:pPr>
      <w:r w:rsidRPr="006730B6">
        <w:rPr>
          <w:rStyle w:val="normaltextrun"/>
          <w:rFonts w:ascii="Times New Roman" w:hAnsi="Times New Roman" w:cs="Times New Roman"/>
          <w:color w:val="000000"/>
          <w:sz w:val="24"/>
          <w:szCs w:val="24"/>
          <w:shd w:val="clear" w:color="auto" w:fill="FFFFFF"/>
        </w:rPr>
        <w:t xml:space="preserve">In this way, the </w:t>
      </w:r>
      <w:r w:rsidRPr="00385C2B">
        <w:rPr>
          <w:rStyle w:val="normaltextrun"/>
          <w:rFonts w:ascii="Times New Roman" w:hAnsi="Times New Roman" w:cs="Times New Roman"/>
          <w:i/>
          <w:iCs/>
          <w:color w:val="000000"/>
          <w:sz w:val="24"/>
          <w:szCs w:val="24"/>
          <w:shd w:val="clear" w:color="auto" w:fill="FFFFFF"/>
        </w:rPr>
        <w:t>Mabinogi</w:t>
      </w:r>
      <w:r w:rsidRPr="006730B6">
        <w:rPr>
          <w:rStyle w:val="normaltextrun"/>
          <w:rFonts w:ascii="Times New Roman" w:hAnsi="Times New Roman" w:cs="Times New Roman"/>
          <w:color w:val="000000"/>
          <w:sz w:val="24"/>
          <w:szCs w:val="24"/>
          <w:shd w:val="clear" w:color="auto" w:fill="FFFFFF"/>
        </w:rPr>
        <w:t xml:space="preserve"> can be seen as a mystagogy, in that it instructs the reader in spiritual knowledge through stories and imagery of the land of Wales. It is insights like this that make for a truly fascinating </w:t>
      </w:r>
      <w:r w:rsidR="00616101">
        <w:rPr>
          <w:rStyle w:val="normaltextrun"/>
          <w:rFonts w:ascii="Times New Roman" w:hAnsi="Times New Roman" w:cs="Times New Roman"/>
          <w:color w:val="000000"/>
          <w:sz w:val="24"/>
          <w:szCs w:val="24"/>
          <w:shd w:val="clear" w:color="auto" w:fill="FFFFFF"/>
        </w:rPr>
        <w:t>work</w:t>
      </w:r>
      <w:r w:rsidRPr="006730B6">
        <w:rPr>
          <w:rStyle w:val="normaltextrun"/>
          <w:rFonts w:ascii="Times New Roman" w:hAnsi="Times New Roman" w:cs="Times New Roman"/>
          <w:color w:val="000000"/>
          <w:sz w:val="24"/>
          <w:szCs w:val="24"/>
          <w:shd w:val="clear" w:color="auto" w:fill="FFFFFF"/>
        </w:rPr>
        <w:t>. </w:t>
      </w:r>
      <w:r w:rsidRPr="006730B6">
        <w:rPr>
          <w:rStyle w:val="eop"/>
          <w:rFonts w:ascii="Times New Roman" w:hAnsi="Times New Roman" w:cs="Times New Roman"/>
          <w:color w:val="000000"/>
          <w:sz w:val="24"/>
          <w:szCs w:val="24"/>
          <w:shd w:val="clear" w:color="auto" w:fill="FFFFFF"/>
        </w:rPr>
        <w:t> </w:t>
      </w:r>
    </w:p>
    <w:p w14:paraId="0637479D" w14:textId="3970F491" w:rsidR="00385C2B" w:rsidRDefault="006730B6" w:rsidP="00552086">
      <w:pPr>
        <w:autoSpaceDE w:val="0"/>
        <w:autoSpaceDN w:val="0"/>
        <w:adjustRightInd w:val="0"/>
        <w:spacing w:before="240" w:after="0" w:line="360" w:lineRule="auto"/>
        <w:rPr>
          <w:rFonts w:ascii="Times New Roman" w:hAnsi="Times New Roman" w:cs="Times New Roman"/>
          <w:kern w:val="0"/>
          <w:sz w:val="24"/>
          <w:szCs w:val="24"/>
        </w:rPr>
      </w:pPr>
      <w:r>
        <w:rPr>
          <w:rFonts w:ascii="Times New Roman" w:hAnsi="Times New Roman" w:cs="Times New Roman"/>
          <w:kern w:val="0"/>
          <w:sz w:val="24"/>
          <w:szCs w:val="24"/>
        </w:rPr>
        <w:t xml:space="preserve">The article is stimulating and impressive, bringing complicated ideas together and making </w:t>
      </w:r>
      <w:r w:rsidR="00616101">
        <w:rPr>
          <w:rFonts w:ascii="Times New Roman" w:hAnsi="Times New Roman" w:cs="Times New Roman"/>
          <w:kern w:val="0"/>
          <w:sz w:val="24"/>
          <w:szCs w:val="24"/>
        </w:rPr>
        <w:t>interesting</w:t>
      </w:r>
      <w:r>
        <w:rPr>
          <w:rFonts w:ascii="Times New Roman" w:hAnsi="Times New Roman" w:cs="Times New Roman"/>
          <w:kern w:val="0"/>
          <w:sz w:val="24"/>
          <w:szCs w:val="24"/>
        </w:rPr>
        <w:t xml:space="preserve"> connections. It can at times feel overwhelming with the volume of information given. Despite being a challenging read however, it is well worth the investment and would appeal to scholars and students alike. </w:t>
      </w:r>
    </w:p>
    <w:p w14:paraId="3D63439B" w14:textId="77777777" w:rsidR="00385C2B" w:rsidRDefault="00385C2B">
      <w:pPr>
        <w:rPr>
          <w:rFonts w:ascii="Times New Roman" w:hAnsi="Times New Roman" w:cs="Times New Roman"/>
          <w:kern w:val="0"/>
          <w:sz w:val="24"/>
          <w:szCs w:val="24"/>
        </w:rPr>
      </w:pPr>
      <w:r>
        <w:rPr>
          <w:rFonts w:ascii="Times New Roman" w:hAnsi="Times New Roman" w:cs="Times New Roman"/>
          <w:kern w:val="0"/>
          <w:sz w:val="24"/>
          <w:szCs w:val="24"/>
        </w:rPr>
        <w:br w:type="page"/>
      </w:r>
    </w:p>
    <w:p w14:paraId="764B14FC" w14:textId="185C0E87" w:rsidR="00552086" w:rsidRPr="00385C2B" w:rsidRDefault="00385C2B" w:rsidP="00385C2B">
      <w:pPr>
        <w:autoSpaceDE w:val="0"/>
        <w:autoSpaceDN w:val="0"/>
        <w:adjustRightInd w:val="0"/>
        <w:spacing w:before="240" w:after="0" w:line="360" w:lineRule="auto"/>
        <w:jc w:val="center"/>
        <w:rPr>
          <w:rFonts w:ascii="Times New Roman" w:hAnsi="Times New Roman" w:cs="Times New Roman"/>
          <w:kern w:val="0"/>
          <w:sz w:val="28"/>
          <w:szCs w:val="28"/>
          <w:u w:val="single"/>
        </w:rPr>
      </w:pPr>
      <w:r w:rsidRPr="00385C2B">
        <w:rPr>
          <w:rFonts w:ascii="Times New Roman" w:hAnsi="Times New Roman" w:cs="Times New Roman"/>
          <w:kern w:val="0"/>
          <w:sz w:val="28"/>
          <w:szCs w:val="28"/>
          <w:u w:val="single"/>
        </w:rPr>
        <w:lastRenderedPageBreak/>
        <w:t>Bibliography</w:t>
      </w:r>
    </w:p>
    <w:p w14:paraId="4CC157C1" w14:textId="4683AD9E" w:rsidR="00385C2B" w:rsidRPr="00385C2B" w:rsidRDefault="00385C2B" w:rsidP="00385C2B">
      <w:pPr>
        <w:spacing w:before="240" w:line="360" w:lineRule="auto"/>
        <w:rPr>
          <w:rFonts w:ascii="Times New Roman" w:hAnsi="Times New Roman" w:cs="Times New Roman"/>
          <w:sz w:val="24"/>
          <w:szCs w:val="24"/>
        </w:rPr>
      </w:pPr>
      <w:r w:rsidRPr="00385C2B">
        <w:rPr>
          <w:rFonts w:ascii="Times New Roman" w:hAnsi="Times New Roman" w:cs="Times New Roman"/>
          <w:kern w:val="0"/>
          <w:sz w:val="24"/>
          <w:szCs w:val="24"/>
        </w:rPr>
        <w:t>Siewers, A</w:t>
      </w:r>
      <w:r w:rsidR="009B53FF">
        <w:rPr>
          <w:rFonts w:ascii="Times New Roman" w:hAnsi="Times New Roman" w:cs="Times New Roman"/>
          <w:kern w:val="0"/>
          <w:sz w:val="24"/>
          <w:szCs w:val="24"/>
        </w:rPr>
        <w:t>lfred</w:t>
      </w:r>
      <w:r w:rsidRPr="00385C2B">
        <w:rPr>
          <w:rFonts w:ascii="Times New Roman" w:hAnsi="Times New Roman" w:cs="Times New Roman"/>
          <w:kern w:val="0"/>
          <w:sz w:val="24"/>
          <w:szCs w:val="24"/>
        </w:rPr>
        <w:t xml:space="preserve"> K., 2005. “Writing an Icon of the Land: The Mabinogi as a Mystagogy of Landscape</w:t>
      </w:r>
      <w:r w:rsidR="009B53FF">
        <w:rPr>
          <w:rFonts w:ascii="Times New Roman" w:hAnsi="Times New Roman" w:cs="Times New Roman"/>
          <w:kern w:val="0"/>
          <w:sz w:val="24"/>
          <w:szCs w:val="24"/>
        </w:rPr>
        <w:t>.</w:t>
      </w:r>
      <w:r w:rsidRPr="00385C2B">
        <w:rPr>
          <w:rFonts w:ascii="Times New Roman" w:hAnsi="Times New Roman" w:cs="Times New Roman"/>
          <w:kern w:val="0"/>
          <w:sz w:val="24"/>
          <w:szCs w:val="24"/>
        </w:rPr>
        <w:t xml:space="preserve">” </w:t>
      </w:r>
      <w:r w:rsidRPr="00385C2B">
        <w:rPr>
          <w:rFonts w:ascii="Times New Roman" w:hAnsi="Times New Roman" w:cs="Times New Roman"/>
          <w:i/>
          <w:iCs/>
          <w:sz w:val="24"/>
          <w:szCs w:val="24"/>
        </w:rPr>
        <w:t>Peritia</w:t>
      </w:r>
      <w:r w:rsidRPr="00385C2B">
        <w:rPr>
          <w:rFonts w:ascii="Times New Roman" w:hAnsi="Times New Roman" w:cs="Times New Roman"/>
          <w:sz w:val="24"/>
          <w:szCs w:val="24"/>
        </w:rPr>
        <w:t xml:space="preserve"> 19 (2023), 193-228. </w:t>
      </w:r>
      <w:hyperlink r:id="rId4" w:history="1">
        <w:r w:rsidRPr="00385C2B">
          <w:rPr>
            <w:rStyle w:val="Hyperlink"/>
            <w:rFonts w:ascii="Times New Roman" w:hAnsi="Times New Roman" w:cs="Times New Roman"/>
            <w:sz w:val="24"/>
            <w:szCs w:val="24"/>
          </w:rPr>
          <w:t>https://doi.org/10.1484/J.Peri.3.576</w:t>
        </w:r>
      </w:hyperlink>
      <w:r w:rsidRPr="00385C2B">
        <w:rPr>
          <w:rFonts w:ascii="Times New Roman" w:hAnsi="Times New Roman" w:cs="Times New Roman"/>
          <w:sz w:val="24"/>
          <w:szCs w:val="24"/>
        </w:rPr>
        <w:t xml:space="preserve"> </w:t>
      </w:r>
    </w:p>
    <w:p w14:paraId="7DE1F20F" w14:textId="30506C6B" w:rsidR="00385C2B" w:rsidRPr="009E1676" w:rsidRDefault="00385C2B" w:rsidP="00552086">
      <w:pPr>
        <w:autoSpaceDE w:val="0"/>
        <w:autoSpaceDN w:val="0"/>
        <w:adjustRightInd w:val="0"/>
        <w:spacing w:before="240" w:after="0" w:line="360" w:lineRule="auto"/>
        <w:rPr>
          <w:rFonts w:ascii="Times New Roman" w:hAnsi="Times New Roman" w:cs="Times New Roman"/>
          <w:kern w:val="0"/>
          <w:sz w:val="24"/>
          <w:szCs w:val="24"/>
        </w:rPr>
      </w:pPr>
    </w:p>
    <w:sectPr w:rsidR="00385C2B" w:rsidRPr="009E16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51C"/>
    <w:rsid w:val="00123B1F"/>
    <w:rsid w:val="001910D1"/>
    <w:rsid w:val="0036353B"/>
    <w:rsid w:val="00385C2B"/>
    <w:rsid w:val="004E550A"/>
    <w:rsid w:val="00515A4B"/>
    <w:rsid w:val="00551469"/>
    <w:rsid w:val="00552086"/>
    <w:rsid w:val="005775B3"/>
    <w:rsid w:val="00616101"/>
    <w:rsid w:val="006730B6"/>
    <w:rsid w:val="006A13CD"/>
    <w:rsid w:val="006D3AC9"/>
    <w:rsid w:val="007B1696"/>
    <w:rsid w:val="009545A7"/>
    <w:rsid w:val="009B53FF"/>
    <w:rsid w:val="009E1676"/>
    <w:rsid w:val="009E351C"/>
    <w:rsid w:val="00A50898"/>
    <w:rsid w:val="00A53654"/>
    <w:rsid w:val="00AE0B98"/>
    <w:rsid w:val="00C308CE"/>
    <w:rsid w:val="00CC7F60"/>
    <w:rsid w:val="00DB10F8"/>
    <w:rsid w:val="00F4245D"/>
    <w:rsid w:val="00F4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6F2FA"/>
  <w15:chartTrackingRefBased/>
  <w15:docId w15:val="{D543ADB8-3540-4D2C-A4D5-F9E0F636B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50898"/>
    <w:rPr>
      <w:sz w:val="16"/>
      <w:szCs w:val="16"/>
    </w:rPr>
  </w:style>
  <w:style w:type="paragraph" w:styleId="CommentText">
    <w:name w:val="annotation text"/>
    <w:basedOn w:val="Normal"/>
    <w:link w:val="CommentTextChar"/>
    <w:uiPriority w:val="99"/>
    <w:unhideWhenUsed/>
    <w:rsid w:val="00A50898"/>
    <w:pPr>
      <w:spacing w:line="240" w:lineRule="auto"/>
    </w:pPr>
    <w:rPr>
      <w:sz w:val="20"/>
      <w:szCs w:val="20"/>
    </w:rPr>
  </w:style>
  <w:style w:type="character" w:customStyle="1" w:styleId="CommentTextChar">
    <w:name w:val="Comment Text Char"/>
    <w:basedOn w:val="DefaultParagraphFont"/>
    <w:link w:val="CommentText"/>
    <w:uiPriority w:val="99"/>
    <w:rsid w:val="00A50898"/>
    <w:rPr>
      <w:sz w:val="20"/>
      <w:szCs w:val="20"/>
    </w:rPr>
  </w:style>
  <w:style w:type="paragraph" w:styleId="CommentSubject">
    <w:name w:val="annotation subject"/>
    <w:basedOn w:val="CommentText"/>
    <w:next w:val="CommentText"/>
    <w:link w:val="CommentSubjectChar"/>
    <w:uiPriority w:val="99"/>
    <w:semiHidden/>
    <w:unhideWhenUsed/>
    <w:rsid w:val="00A50898"/>
    <w:rPr>
      <w:b/>
      <w:bCs/>
    </w:rPr>
  </w:style>
  <w:style w:type="character" w:customStyle="1" w:styleId="CommentSubjectChar">
    <w:name w:val="Comment Subject Char"/>
    <w:basedOn w:val="CommentTextChar"/>
    <w:link w:val="CommentSubject"/>
    <w:uiPriority w:val="99"/>
    <w:semiHidden/>
    <w:rsid w:val="00A50898"/>
    <w:rPr>
      <w:b/>
      <w:bCs/>
      <w:sz w:val="20"/>
      <w:szCs w:val="20"/>
    </w:rPr>
  </w:style>
  <w:style w:type="character" w:customStyle="1" w:styleId="normaltextrun">
    <w:name w:val="normaltextrun"/>
    <w:basedOn w:val="DefaultParagraphFont"/>
    <w:rsid w:val="006730B6"/>
  </w:style>
  <w:style w:type="character" w:customStyle="1" w:styleId="eop">
    <w:name w:val="eop"/>
    <w:basedOn w:val="DefaultParagraphFont"/>
    <w:rsid w:val="006730B6"/>
  </w:style>
  <w:style w:type="character" w:styleId="Hyperlink">
    <w:name w:val="Hyperlink"/>
    <w:basedOn w:val="DefaultParagraphFont"/>
    <w:uiPriority w:val="99"/>
    <w:unhideWhenUsed/>
    <w:rsid w:val="00385C2B"/>
    <w:rPr>
      <w:color w:val="0563C1" w:themeColor="hyperlink"/>
      <w:u w:val="single"/>
    </w:rPr>
  </w:style>
  <w:style w:type="character" w:styleId="UnresolvedMention">
    <w:name w:val="Unresolved Mention"/>
    <w:basedOn w:val="DefaultParagraphFont"/>
    <w:uiPriority w:val="99"/>
    <w:semiHidden/>
    <w:unhideWhenUsed/>
    <w:rsid w:val="00385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484/J.Peri.3.5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7467</TotalTime>
  <Pages>3</Pages>
  <Words>857</Words>
  <Characters>4890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Webb</dc:creator>
  <cp:keywords/>
  <dc:description/>
  <cp:lastModifiedBy>Kira Webb</cp:lastModifiedBy>
  <cp:revision>7</cp:revision>
  <dcterms:created xsi:type="dcterms:W3CDTF">2024-02-19T13:52:00Z</dcterms:created>
  <dcterms:modified xsi:type="dcterms:W3CDTF">2024-02-27T18:47:00Z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id="z6kXBKtw"/&gt;&lt;style id="http://www.zotero.org/styles/chicago-author-date" locale="en-GB" hasBibliography="1" bibliographyStyleHasBeenSet="0"/&gt;&lt;prefs&gt;&lt;pref name="fieldType" value="Field"/&gt;&lt;/prefs&gt;&lt;/</vt:lpwstr>
  </property>
  <property fmtid="{D5CDD505-2E9C-101B-9397-08002B2CF9AE}" pid="3" name="ZOTERO_PREF_2">
    <vt:lpwstr>data&gt;</vt:lpwstr>
  </property>
</Properties>
</file>