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CBF7D" w14:textId="121C8A8B" w:rsidR="00304A7F" w:rsidRPr="00304A7F" w:rsidRDefault="00304A7F" w:rsidP="00304A7F">
      <w:pPr>
        <w:spacing w:line="360" w:lineRule="auto"/>
        <w:jc w:val="center"/>
        <w:rPr>
          <w:rFonts w:ascii="Arial" w:hAnsi="Arial" w:cs="Arial"/>
          <w:b/>
          <w:bCs/>
          <w:sz w:val="28"/>
          <w:szCs w:val="28"/>
        </w:rPr>
      </w:pPr>
      <w:r w:rsidRPr="00304A7F">
        <w:rPr>
          <w:rFonts w:ascii="Arial" w:hAnsi="Arial" w:cs="Arial"/>
          <w:b/>
          <w:bCs/>
          <w:sz w:val="28"/>
          <w:szCs w:val="28"/>
        </w:rPr>
        <w:t>Inter</w:t>
      </w:r>
      <w:r>
        <w:rPr>
          <w:rFonts w:ascii="Arial" w:hAnsi="Arial" w:cs="Arial"/>
          <w:b/>
          <w:bCs/>
          <w:sz w:val="28"/>
          <w:szCs w:val="28"/>
        </w:rPr>
        <w:t>C</w:t>
      </w:r>
      <w:r w:rsidRPr="00304A7F">
        <w:rPr>
          <w:rFonts w:ascii="Arial" w:hAnsi="Arial" w:cs="Arial"/>
          <w:b/>
          <w:bCs/>
          <w:sz w:val="28"/>
          <w:szCs w:val="28"/>
        </w:rPr>
        <w:t>ontinental Hotel Group (IHG)</w:t>
      </w:r>
    </w:p>
    <w:p w14:paraId="6DEC1F71" w14:textId="77777777" w:rsidR="00304A7F" w:rsidRDefault="00304A7F" w:rsidP="006D773C">
      <w:pPr>
        <w:spacing w:line="360" w:lineRule="auto"/>
        <w:jc w:val="both"/>
        <w:rPr>
          <w:rFonts w:ascii="Arial" w:hAnsi="Arial" w:cs="Arial"/>
          <w:b/>
          <w:bCs/>
          <w:sz w:val="24"/>
          <w:szCs w:val="24"/>
        </w:rPr>
      </w:pPr>
    </w:p>
    <w:p w14:paraId="24EC2513" w14:textId="77777777" w:rsidR="00304A7F" w:rsidRDefault="00304A7F" w:rsidP="006D773C">
      <w:pPr>
        <w:spacing w:line="360" w:lineRule="auto"/>
        <w:jc w:val="both"/>
        <w:rPr>
          <w:rFonts w:ascii="Arial" w:hAnsi="Arial" w:cs="Arial"/>
          <w:b/>
          <w:bCs/>
          <w:sz w:val="24"/>
          <w:szCs w:val="24"/>
        </w:rPr>
      </w:pPr>
    </w:p>
    <w:p w14:paraId="0AE07BF5" w14:textId="77777777" w:rsidR="00304A7F" w:rsidRDefault="00304A7F" w:rsidP="00304A7F">
      <w:pPr>
        <w:spacing w:line="360" w:lineRule="auto"/>
        <w:rPr>
          <w:rFonts w:ascii="Arial" w:eastAsia="Aptos" w:hAnsi="Arial" w:cs="Arial"/>
          <w:b/>
          <w:bCs/>
          <w:sz w:val="28"/>
          <w:szCs w:val="28"/>
        </w:rPr>
      </w:pPr>
    </w:p>
    <w:p w14:paraId="5DCF9EFB" w14:textId="77777777" w:rsidR="00304A7F" w:rsidRDefault="00304A7F" w:rsidP="00304A7F">
      <w:pPr>
        <w:spacing w:line="360" w:lineRule="auto"/>
        <w:rPr>
          <w:rFonts w:ascii="Arial" w:eastAsia="Aptos" w:hAnsi="Arial" w:cs="Arial"/>
          <w:b/>
          <w:bCs/>
          <w:sz w:val="28"/>
          <w:szCs w:val="28"/>
        </w:rPr>
      </w:pPr>
    </w:p>
    <w:p w14:paraId="4E090615" w14:textId="77777777" w:rsidR="00304A7F" w:rsidRDefault="00304A7F" w:rsidP="00304A7F">
      <w:pPr>
        <w:spacing w:line="360" w:lineRule="auto"/>
        <w:rPr>
          <w:rFonts w:ascii="Arial" w:eastAsia="Aptos" w:hAnsi="Arial" w:cs="Arial"/>
          <w:b/>
          <w:bCs/>
          <w:sz w:val="28"/>
          <w:szCs w:val="28"/>
        </w:rPr>
      </w:pPr>
    </w:p>
    <w:p w14:paraId="36DF2228" w14:textId="77777777" w:rsidR="00304A7F" w:rsidRDefault="00304A7F" w:rsidP="00304A7F">
      <w:pPr>
        <w:spacing w:line="360" w:lineRule="auto"/>
        <w:rPr>
          <w:rFonts w:ascii="Arial" w:eastAsia="Aptos" w:hAnsi="Arial" w:cs="Arial"/>
          <w:b/>
          <w:bCs/>
          <w:sz w:val="28"/>
          <w:szCs w:val="28"/>
        </w:rPr>
      </w:pPr>
    </w:p>
    <w:p w14:paraId="110D693F" w14:textId="4B3B23F4" w:rsidR="00304A7F" w:rsidRDefault="00304A7F" w:rsidP="00304A7F">
      <w:pPr>
        <w:spacing w:line="360" w:lineRule="auto"/>
        <w:rPr>
          <w:rFonts w:ascii="Arial" w:eastAsia="Aptos" w:hAnsi="Arial" w:cs="Arial"/>
          <w:b/>
          <w:bCs/>
          <w:sz w:val="28"/>
          <w:szCs w:val="28"/>
        </w:rPr>
      </w:pPr>
      <w:r w:rsidRPr="0083257F">
        <w:rPr>
          <w:rFonts w:ascii="Arial" w:eastAsia="Aptos" w:hAnsi="Arial" w:cs="Arial"/>
          <w:b/>
          <w:bCs/>
          <w:sz w:val="28"/>
          <w:szCs w:val="28"/>
        </w:rPr>
        <w:t>Management and Organisational Behaviour</w:t>
      </w:r>
      <w:r>
        <w:rPr>
          <w:rFonts w:ascii="Arial" w:eastAsia="Aptos" w:hAnsi="Arial" w:cs="Arial"/>
          <w:b/>
          <w:bCs/>
          <w:sz w:val="28"/>
          <w:szCs w:val="28"/>
        </w:rPr>
        <w:t xml:space="preserve">, </w:t>
      </w:r>
      <w:r w:rsidRPr="0083257F">
        <w:rPr>
          <w:rFonts w:ascii="Arial" w:eastAsia="Aptos" w:hAnsi="Arial" w:cs="Arial"/>
          <w:b/>
          <w:bCs/>
          <w:sz w:val="28"/>
          <w:szCs w:val="28"/>
        </w:rPr>
        <w:t>BMIH5004</w:t>
      </w:r>
    </w:p>
    <w:p w14:paraId="4A8B405F" w14:textId="77777777" w:rsidR="00304A7F" w:rsidRDefault="00304A7F" w:rsidP="00304A7F">
      <w:pPr>
        <w:spacing w:line="360" w:lineRule="auto"/>
        <w:jc w:val="center"/>
        <w:rPr>
          <w:rFonts w:ascii="Arial" w:eastAsia="Aptos" w:hAnsi="Arial" w:cs="Arial"/>
          <w:b/>
          <w:bCs/>
          <w:sz w:val="28"/>
          <w:szCs w:val="28"/>
        </w:rPr>
      </w:pPr>
    </w:p>
    <w:p w14:paraId="5B3155FA" w14:textId="77777777" w:rsidR="00304A7F" w:rsidRDefault="00304A7F" w:rsidP="00304A7F">
      <w:pPr>
        <w:spacing w:line="360" w:lineRule="auto"/>
        <w:rPr>
          <w:rFonts w:ascii="Arial" w:eastAsia="Aptos" w:hAnsi="Arial" w:cs="Arial"/>
          <w:b/>
          <w:bCs/>
          <w:sz w:val="28"/>
          <w:szCs w:val="28"/>
        </w:rPr>
      </w:pPr>
      <w:r>
        <w:rPr>
          <w:rFonts w:ascii="Arial" w:eastAsia="Aptos" w:hAnsi="Arial" w:cs="Arial"/>
          <w:b/>
          <w:bCs/>
          <w:sz w:val="28"/>
          <w:szCs w:val="28"/>
        </w:rPr>
        <w:t>Julia Ault</w:t>
      </w:r>
      <w:r>
        <w:rPr>
          <w:rFonts w:ascii="Arial" w:eastAsia="Aptos" w:hAnsi="Arial" w:cs="Arial"/>
          <w:b/>
          <w:bCs/>
          <w:sz w:val="28"/>
          <w:szCs w:val="28"/>
        </w:rPr>
        <w:br/>
      </w:r>
    </w:p>
    <w:p w14:paraId="0EBC2D04" w14:textId="77777777" w:rsidR="00304A7F" w:rsidRDefault="00304A7F" w:rsidP="00304A7F">
      <w:pPr>
        <w:spacing w:line="360" w:lineRule="auto"/>
        <w:rPr>
          <w:rFonts w:ascii="Arial" w:eastAsia="Aptos" w:hAnsi="Arial" w:cs="Arial"/>
          <w:b/>
          <w:bCs/>
          <w:sz w:val="28"/>
          <w:szCs w:val="28"/>
        </w:rPr>
      </w:pPr>
      <w:r>
        <w:rPr>
          <w:rFonts w:ascii="Arial" w:eastAsia="Aptos" w:hAnsi="Arial" w:cs="Arial"/>
          <w:b/>
          <w:bCs/>
          <w:sz w:val="28"/>
          <w:szCs w:val="28"/>
        </w:rPr>
        <w:t>Denis Buzdugan</w:t>
      </w:r>
    </w:p>
    <w:p w14:paraId="6417BA15" w14:textId="77777777" w:rsidR="00304A7F" w:rsidRDefault="00304A7F" w:rsidP="00304A7F">
      <w:pPr>
        <w:spacing w:line="360" w:lineRule="auto"/>
        <w:rPr>
          <w:rFonts w:ascii="Arial" w:eastAsia="Aptos" w:hAnsi="Arial" w:cs="Arial"/>
          <w:b/>
          <w:bCs/>
          <w:sz w:val="28"/>
          <w:szCs w:val="28"/>
        </w:rPr>
      </w:pPr>
      <w:r>
        <w:rPr>
          <w:rFonts w:ascii="Arial" w:eastAsia="Aptos" w:hAnsi="Arial" w:cs="Arial"/>
          <w:b/>
          <w:bCs/>
          <w:sz w:val="28"/>
          <w:szCs w:val="28"/>
        </w:rPr>
        <w:t>2130036</w:t>
      </w:r>
    </w:p>
    <w:p w14:paraId="3103843A" w14:textId="1EDCB9CE" w:rsidR="00304A7F" w:rsidRDefault="00304A7F" w:rsidP="00304A7F">
      <w:pPr>
        <w:spacing w:line="360" w:lineRule="auto"/>
        <w:jc w:val="both"/>
        <w:rPr>
          <w:rFonts w:ascii="Arial" w:hAnsi="Arial" w:cs="Arial"/>
          <w:b/>
          <w:bCs/>
          <w:sz w:val="24"/>
          <w:szCs w:val="24"/>
        </w:rPr>
      </w:pPr>
      <w:r>
        <w:rPr>
          <w:rFonts w:ascii="Arial" w:eastAsia="Aptos" w:hAnsi="Arial" w:cs="Arial"/>
          <w:b/>
          <w:bCs/>
          <w:sz w:val="28"/>
          <w:szCs w:val="28"/>
        </w:rPr>
        <w:t>Word count:</w:t>
      </w:r>
      <w:r>
        <w:rPr>
          <w:rFonts w:ascii="Arial" w:eastAsia="Aptos" w:hAnsi="Arial" w:cs="Arial"/>
          <w:b/>
          <w:bCs/>
          <w:sz w:val="28"/>
          <w:szCs w:val="28"/>
        </w:rPr>
        <w:t>2043</w:t>
      </w:r>
    </w:p>
    <w:p w14:paraId="32CFB82C" w14:textId="77777777" w:rsidR="00304A7F" w:rsidRDefault="00304A7F" w:rsidP="006D773C">
      <w:pPr>
        <w:spacing w:line="360" w:lineRule="auto"/>
        <w:jc w:val="both"/>
        <w:rPr>
          <w:rFonts w:ascii="Arial" w:hAnsi="Arial" w:cs="Arial"/>
          <w:b/>
          <w:bCs/>
          <w:sz w:val="24"/>
          <w:szCs w:val="24"/>
        </w:rPr>
      </w:pPr>
    </w:p>
    <w:p w14:paraId="5CC6ABC1" w14:textId="77777777" w:rsidR="00304A7F" w:rsidRDefault="00304A7F" w:rsidP="006D773C">
      <w:pPr>
        <w:spacing w:line="360" w:lineRule="auto"/>
        <w:jc w:val="both"/>
        <w:rPr>
          <w:rFonts w:ascii="Arial" w:hAnsi="Arial" w:cs="Arial"/>
          <w:b/>
          <w:bCs/>
          <w:sz w:val="24"/>
          <w:szCs w:val="24"/>
        </w:rPr>
      </w:pPr>
    </w:p>
    <w:p w14:paraId="4610B3BA" w14:textId="77777777" w:rsidR="00304A7F" w:rsidRDefault="00304A7F" w:rsidP="006D773C">
      <w:pPr>
        <w:spacing w:line="360" w:lineRule="auto"/>
        <w:jc w:val="both"/>
        <w:rPr>
          <w:rFonts w:ascii="Arial" w:hAnsi="Arial" w:cs="Arial"/>
          <w:b/>
          <w:bCs/>
          <w:sz w:val="24"/>
          <w:szCs w:val="24"/>
        </w:rPr>
      </w:pPr>
    </w:p>
    <w:p w14:paraId="67B5986B" w14:textId="77777777" w:rsidR="00304A7F" w:rsidRDefault="00304A7F" w:rsidP="006D773C">
      <w:pPr>
        <w:spacing w:line="360" w:lineRule="auto"/>
        <w:jc w:val="both"/>
        <w:rPr>
          <w:rFonts w:ascii="Arial" w:hAnsi="Arial" w:cs="Arial"/>
          <w:b/>
          <w:bCs/>
          <w:sz w:val="24"/>
          <w:szCs w:val="24"/>
        </w:rPr>
      </w:pPr>
    </w:p>
    <w:p w14:paraId="29935507" w14:textId="77777777" w:rsidR="00304A7F" w:rsidRDefault="00304A7F" w:rsidP="006D773C">
      <w:pPr>
        <w:spacing w:line="360" w:lineRule="auto"/>
        <w:jc w:val="both"/>
        <w:rPr>
          <w:rFonts w:ascii="Arial" w:hAnsi="Arial" w:cs="Arial"/>
          <w:b/>
          <w:bCs/>
          <w:sz w:val="24"/>
          <w:szCs w:val="24"/>
        </w:rPr>
      </w:pPr>
    </w:p>
    <w:p w14:paraId="4FE6C3E2" w14:textId="77777777" w:rsidR="00304A7F" w:rsidRDefault="00304A7F" w:rsidP="006D773C">
      <w:pPr>
        <w:spacing w:line="360" w:lineRule="auto"/>
        <w:jc w:val="both"/>
        <w:rPr>
          <w:rFonts w:ascii="Arial" w:hAnsi="Arial" w:cs="Arial"/>
          <w:b/>
          <w:bCs/>
          <w:sz w:val="24"/>
          <w:szCs w:val="24"/>
        </w:rPr>
      </w:pPr>
    </w:p>
    <w:p w14:paraId="0281F954" w14:textId="77777777" w:rsidR="00304A7F" w:rsidRDefault="00304A7F" w:rsidP="006D773C">
      <w:pPr>
        <w:spacing w:line="360" w:lineRule="auto"/>
        <w:jc w:val="both"/>
        <w:rPr>
          <w:rFonts w:ascii="Arial" w:hAnsi="Arial" w:cs="Arial"/>
          <w:b/>
          <w:bCs/>
          <w:sz w:val="24"/>
          <w:szCs w:val="24"/>
        </w:rPr>
      </w:pPr>
    </w:p>
    <w:p w14:paraId="68FC5E76" w14:textId="77777777" w:rsidR="00304A7F" w:rsidRDefault="00304A7F" w:rsidP="006D773C">
      <w:pPr>
        <w:spacing w:line="360" w:lineRule="auto"/>
        <w:jc w:val="both"/>
        <w:rPr>
          <w:rFonts w:ascii="Arial" w:hAnsi="Arial" w:cs="Arial"/>
          <w:b/>
          <w:bCs/>
          <w:sz w:val="24"/>
          <w:szCs w:val="24"/>
        </w:rPr>
      </w:pPr>
    </w:p>
    <w:p w14:paraId="53533E53" w14:textId="292E1C31" w:rsidR="00304A7F" w:rsidRPr="00345194" w:rsidRDefault="00E952BC" w:rsidP="006D773C">
      <w:pPr>
        <w:spacing w:line="360" w:lineRule="auto"/>
        <w:jc w:val="both"/>
        <w:rPr>
          <w:rFonts w:ascii="Arial" w:hAnsi="Arial" w:cs="Arial"/>
          <w:b/>
          <w:bCs/>
          <w:sz w:val="24"/>
          <w:szCs w:val="24"/>
        </w:rPr>
      </w:pPr>
      <w:r w:rsidRPr="00345194">
        <w:rPr>
          <w:rFonts w:ascii="Arial" w:hAnsi="Arial" w:cs="Arial"/>
          <w:b/>
          <w:bCs/>
          <w:sz w:val="24"/>
          <w:szCs w:val="24"/>
        </w:rPr>
        <w:t>Executive Summary</w:t>
      </w:r>
    </w:p>
    <w:p w14:paraId="3716BE8B" w14:textId="4D1653BA" w:rsidR="00E952BC" w:rsidRPr="006D773C" w:rsidRDefault="007A5B40" w:rsidP="006D773C">
      <w:pPr>
        <w:spacing w:line="360" w:lineRule="auto"/>
        <w:jc w:val="both"/>
        <w:rPr>
          <w:rFonts w:ascii="Arial" w:hAnsi="Arial" w:cs="Arial"/>
          <w:b/>
          <w:bCs/>
          <w:sz w:val="24"/>
          <w:szCs w:val="24"/>
        </w:rPr>
      </w:pPr>
      <w:r w:rsidRPr="006D773C">
        <w:rPr>
          <w:rFonts w:ascii="Arial" w:hAnsi="Arial" w:cs="Arial"/>
          <w:sz w:val="24"/>
          <w:szCs w:val="24"/>
        </w:rPr>
        <w:t xml:space="preserve">This report offers a comprehensive examination of Intercontinental Hotel Group (IHG), </w:t>
      </w:r>
      <w:r w:rsidR="00A85A62" w:rsidRPr="006D773C">
        <w:rPr>
          <w:rFonts w:ascii="Arial" w:hAnsi="Arial" w:cs="Arial"/>
          <w:sz w:val="24"/>
          <w:szCs w:val="24"/>
        </w:rPr>
        <w:t>emphasising its organisational framework, culture, strategic orientation, and recent efforts</w:t>
      </w:r>
      <w:r w:rsidRPr="006D773C">
        <w:rPr>
          <w:rFonts w:ascii="Arial" w:hAnsi="Arial" w:cs="Arial"/>
          <w:sz w:val="24"/>
          <w:szCs w:val="24"/>
        </w:rPr>
        <w:t xml:space="preserve"> to implement change. IHG employs an asset-light operational framework, employing a combination of franchised, managed, and owned hotels, which enables the company to achieve scalability and generate substantial returns on investment. The company's culture prioritises "True Hospitality for Good," with a firm dedication to sustainability, guest contentment, and community involvement. IHG's strategic focus is on expanding globally, improving guest experiences, and promoting sustainability, all backed by a solid strategic management framework. The report further encompasses a SWOT analysis, emphasising IHG's strengths in its varied brand portfolio and worldwide reach while acknowledging weaknesses such as elevated operational expenses. The potential for expanding the market and implementing digital transformation is juxtaposed with the risks posed by economic instability and fierce competition. </w:t>
      </w:r>
      <w:r w:rsidR="00A85A62" w:rsidRPr="006D773C">
        <w:rPr>
          <w:rFonts w:ascii="Arial" w:hAnsi="Arial" w:cs="Arial"/>
          <w:sz w:val="24"/>
          <w:szCs w:val="24"/>
        </w:rPr>
        <w:t>Implementing</w:t>
      </w:r>
      <w:r w:rsidRPr="006D773C">
        <w:rPr>
          <w:rFonts w:ascii="Arial" w:hAnsi="Arial" w:cs="Arial"/>
          <w:sz w:val="24"/>
          <w:szCs w:val="24"/>
        </w:rPr>
        <w:t xml:space="preserve"> recent change initiatives, such as the "IHG Way of Clean" and digital innovations, has positively affected operations and performance. The report recommends enhancing IHG's organisational structure, culture, strategic direction, and change management. These recommendations aim to ensure the company's sustained growth and competitiveness in the hospitality industry.</w:t>
      </w:r>
    </w:p>
    <w:p w14:paraId="5894C184" w14:textId="77777777" w:rsidR="00E952BC" w:rsidRPr="006D773C" w:rsidRDefault="00E952BC" w:rsidP="006D773C">
      <w:pPr>
        <w:spacing w:line="360" w:lineRule="auto"/>
        <w:jc w:val="both"/>
        <w:rPr>
          <w:rFonts w:ascii="Arial" w:hAnsi="Arial" w:cs="Arial"/>
          <w:b/>
          <w:bCs/>
          <w:sz w:val="24"/>
          <w:szCs w:val="24"/>
        </w:rPr>
      </w:pPr>
    </w:p>
    <w:p w14:paraId="2B906ACB" w14:textId="77777777" w:rsidR="00E952BC" w:rsidRPr="006D773C" w:rsidRDefault="00E952BC" w:rsidP="006D773C">
      <w:pPr>
        <w:spacing w:line="360" w:lineRule="auto"/>
        <w:jc w:val="both"/>
        <w:rPr>
          <w:rFonts w:ascii="Arial" w:hAnsi="Arial" w:cs="Arial"/>
          <w:b/>
          <w:bCs/>
          <w:sz w:val="24"/>
          <w:szCs w:val="24"/>
        </w:rPr>
      </w:pPr>
    </w:p>
    <w:p w14:paraId="49A2B202" w14:textId="77777777" w:rsidR="00E952BC" w:rsidRPr="006D773C" w:rsidRDefault="00E952BC" w:rsidP="006D773C">
      <w:pPr>
        <w:spacing w:line="360" w:lineRule="auto"/>
        <w:jc w:val="both"/>
        <w:rPr>
          <w:rFonts w:ascii="Arial" w:hAnsi="Arial" w:cs="Arial"/>
          <w:b/>
          <w:bCs/>
          <w:sz w:val="24"/>
          <w:szCs w:val="24"/>
        </w:rPr>
      </w:pPr>
    </w:p>
    <w:p w14:paraId="1DEEC546" w14:textId="77777777" w:rsidR="00E952BC" w:rsidRPr="006D773C" w:rsidRDefault="00E952BC" w:rsidP="006D773C">
      <w:pPr>
        <w:spacing w:line="360" w:lineRule="auto"/>
        <w:jc w:val="both"/>
        <w:rPr>
          <w:rFonts w:ascii="Arial" w:hAnsi="Arial" w:cs="Arial"/>
          <w:b/>
          <w:bCs/>
          <w:sz w:val="24"/>
          <w:szCs w:val="24"/>
        </w:rPr>
      </w:pPr>
    </w:p>
    <w:p w14:paraId="28F303F2" w14:textId="77777777" w:rsidR="00E952BC" w:rsidRPr="006D773C" w:rsidRDefault="00E952BC" w:rsidP="006D773C">
      <w:pPr>
        <w:spacing w:line="360" w:lineRule="auto"/>
        <w:jc w:val="both"/>
        <w:rPr>
          <w:rFonts w:ascii="Arial" w:hAnsi="Arial" w:cs="Arial"/>
          <w:b/>
          <w:bCs/>
          <w:sz w:val="24"/>
          <w:szCs w:val="24"/>
        </w:rPr>
      </w:pPr>
    </w:p>
    <w:p w14:paraId="0F994CB9" w14:textId="77777777" w:rsidR="00E952BC" w:rsidRPr="006D773C" w:rsidRDefault="00E952BC" w:rsidP="006D773C">
      <w:pPr>
        <w:spacing w:line="360" w:lineRule="auto"/>
        <w:jc w:val="both"/>
        <w:rPr>
          <w:rFonts w:ascii="Arial" w:hAnsi="Arial" w:cs="Arial"/>
          <w:b/>
          <w:bCs/>
          <w:sz w:val="24"/>
          <w:szCs w:val="24"/>
        </w:rPr>
      </w:pPr>
    </w:p>
    <w:p w14:paraId="1D17080E" w14:textId="77777777" w:rsidR="00E952BC" w:rsidRPr="006D773C" w:rsidRDefault="00E952BC" w:rsidP="006D773C">
      <w:pPr>
        <w:spacing w:line="360" w:lineRule="auto"/>
        <w:jc w:val="both"/>
        <w:rPr>
          <w:rFonts w:ascii="Arial" w:hAnsi="Arial" w:cs="Arial"/>
          <w:b/>
          <w:bCs/>
          <w:sz w:val="24"/>
          <w:szCs w:val="24"/>
        </w:rPr>
      </w:pPr>
    </w:p>
    <w:p w14:paraId="7268C2BD" w14:textId="77777777" w:rsidR="00E952BC" w:rsidRPr="006D773C" w:rsidRDefault="00E952BC" w:rsidP="006D773C">
      <w:pPr>
        <w:spacing w:line="360" w:lineRule="auto"/>
        <w:jc w:val="both"/>
        <w:rPr>
          <w:rFonts w:ascii="Arial" w:hAnsi="Arial" w:cs="Arial"/>
          <w:b/>
          <w:bCs/>
          <w:sz w:val="24"/>
          <w:szCs w:val="24"/>
        </w:rPr>
      </w:pPr>
    </w:p>
    <w:p w14:paraId="5F46FC54" w14:textId="06AEF318" w:rsidR="00E952BC" w:rsidRPr="00345194" w:rsidRDefault="00E952BC" w:rsidP="006D773C">
      <w:pPr>
        <w:spacing w:line="360" w:lineRule="auto"/>
        <w:jc w:val="both"/>
        <w:rPr>
          <w:rFonts w:ascii="Arial" w:hAnsi="Arial" w:cs="Arial"/>
          <w:b/>
          <w:bCs/>
          <w:sz w:val="24"/>
          <w:szCs w:val="24"/>
        </w:rPr>
      </w:pPr>
      <w:r w:rsidRPr="00345194">
        <w:rPr>
          <w:rFonts w:ascii="Arial" w:hAnsi="Arial" w:cs="Arial"/>
          <w:b/>
          <w:bCs/>
          <w:sz w:val="24"/>
          <w:szCs w:val="24"/>
        </w:rPr>
        <w:t>Table of Contents</w:t>
      </w:r>
    </w:p>
    <w:p w14:paraId="77CDDD8D" w14:textId="77777777" w:rsidR="00E952BC" w:rsidRPr="00345194" w:rsidRDefault="00E952BC" w:rsidP="006D773C">
      <w:pPr>
        <w:numPr>
          <w:ilvl w:val="0"/>
          <w:numId w:val="9"/>
        </w:numPr>
        <w:spacing w:line="360" w:lineRule="auto"/>
        <w:jc w:val="both"/>
        <w:rPr>
          <w:rFonts w:ascii="Arial" w:hAnsi="Arial" w:cs="Arial"/>
          <w:sz w:val="24"/>
          <w:szCs w:val="24"/>
        </w:rPr>
      </w:pPr>
      <w:r w:rsidRPr="00345194">
        <w:rPr>
          <w:rFonts w:ascii="Arial" w:hAnsi="Arial" w:cs="Arial"/>
          <w:sz w:val="24"/>
          <w:szCs w:val="24"/>
        </w:rPr>
        <w:t>Executive Summary</w:t>
      </w:r>
    </w:p>
    <w:p w14:paraId="2FB96196" w14:textId="77777777" w:rsidR="00E952BC" w:rsidRPr="00345194" w:rsidRDefault="00E952BC" w:rsidP="006D773C">
      <w:pPr>
        <w:numPr>
          <w:ilvl w:val="0"/>
          <w:numId w:val="9"/>
        </w:numPr>
        <w:spacing w:line="360" w:lineRule="auto"/>
        <w:jc w:val="both"/>
        <w:rPr>
          <w:rFonts w:ascii="Arial" w:hAnsi="Arial" w:cs="Arial"/>
          <w:sz w:val="24"/>
          <w:szCs w:val="24"/>
        </w:rPr>
      </w:pPr>
      <w:r w:rsidRPr="00345194">
        <w:rPr>
          <w:rFonts w:ascii="Arial" w:hAnsi="Arial" w:cs="Arial"/>
          <w:sz w:val="24"/>
          <w:szCs w:val="24"/>
        </w:rPr>
        <w:t>Table of Contents</w:t>
      </w:r>
    </w:p>
    <w:p w14:paraId="75E1789A" w14:textId="77777777" w:rsidR="00E952BC" w:rsidRPr="00345194" w:rsidRDefault="00E952BC" w:rsidP="006D773C">
      <w:pPr>
        <w:numPr>
          <w:ilvl w:val="0"/>
          <w:numId w:val="9"/>
        </w:numPr>
        <w:spacing w:line="360" w:lineRule="auto"/>
        <w:jc w:val="both"/>
        <w:rPr>
          <w:rFonts w:ascii="Arial" w:hAnsi="Arial" w:cs="Arial"/>
          <w:sz w:val="24"/>
          <w:szCs w:val="24"/>
        </w:rPr>
      </w:pPr>
      <w:r w:rsidRPr="00345194">
        <w:rPr>
          <w:rFonts w:ascii="Arial" w:hAnsi="Arial" w:cs="Arial"/>
          <w:sz w:val="24"/>
          <w:szCs w:val="24"/>
        </w:rPr>
        <w:t>Introduction</w:t>
      </w:r>
    </w:p>
    <w:p w14:paraId="65DCA63A" w14:textId="77777777" w:rsidR="00E952BC" w:rsidRPr="00345194" w:rsidRDefault="00E952BC" w:rsidP="006D773C">
      <w:pPr>
        <w:numPr>
          <w:ilvl w:val="0"/>
          <w:numId w:val="9"/>
        </w:numPr>
        <w:spacing w:line="360" w:lineRule="auto"/>
        <w:jc w:val="both"/>
        <w:rPr>
          <w:rFonts w:ascii="Arial" w:hAnsi="Arial" w:cs="Arial"/>
          <w:sz w:val="24"/>
          <w:szCs w:val="24"/>
        </w:rPr>
      </w:pPr>
      <w:r w:rsidRPr="00345194">
        <w:rPr>
          <w:rFonts w:ascii="Arial" w:hAnsi="Arial" w:cs="Arial"/>
          <w:sz w:val="24"/>
          <w:szCs w:val="24"/>
        </w:rPr>
        <w:t>Organisation Structure, Culture, and Goals</w:t>
      </w:r>
    </w:p>
    <w:p w14:paraId="2EDDAD92" w14:textId="77777777" w:rsidR="00E952BC" w:rsidRPr="00345194" w:rsidRDefault="00E952BC" w:rsidP="006D773C">
      <w:pPr>
        <w:numPr>
          <w:ilvl w:val="0"/>
          <w:numId w:val="9"/>
        </w:numPr>
        <w:spacing w:line="360" w:lineRule="auto"/>
        <w:jc w:val="both"/>
        <w:rPr>
          <w:rFonts w:ascii="Arial" w:hAnsi="Arial" w:cs="Arial"/>
          <w:sz w:val="24"/>
          <w:szCs w:val="24"/>
        </w:rPr>
      </w:pPr>
      <w:r w:rsidRPr="00345194">
        <w:rPr>
          <w:rFonts w:ascii="Arial" w:hAnsi="Arial" w:cs="Arial"/>
          <w:sz w:val="24"/>
          <w:szCs w:val="24"/>
        </w:rPr>
        <w:t>The Organisation’s Strategic Direction</w:t>
      </w:r>
    </w:p>
    <w:p w14:paraId="1D9E2E4C" w14:textId="77777777" w:rsidR="00E952BC" w:rsidRPr="00345194" w:rsidRDefault="00E952BC" w:rsidP="006D773C">
      <w:pPr>
        <w:numPr>
          <w:ilvl w:val="0"/>
          <w:numId w:val="9"/>
        </w:numPr>
        <w:spacing w:line="360" w:lineRule="auto"/>
        <w:jc w:val="both"/>
        <w:rPr>
          <w:rFonts w:ascii="Arial" w:hAnsi="Arial" w:cs="Arial"/>
          <w:sz w:val="24"/>
          <w:szCs w:val="24"/>
        </w:rPr>
      </w:pPr>
      <w:r w:rsidRPr="00345194">
        <w:rPr>
          <w:rFonts w:ascii="Arial" w:hAnsi="Arial" w:cs="Arial"/>
          <w:sz w:val="24"/>
          <w:szCs w:val="24"/>
        </w:rPr>
        <w:t>Recent Change Initiatives</w:t>
      </w:r>
    </w:p>
    <w:p w14:paraId="20CEEDA7" w14:textId="77777777" w:rsidR="00E952BC" w:rsidRPr="00345194" w:rsidRDefault="00E952BC" w:rsidP="006D773C">
      <w:pPr>
        <w:numPr>
          <w:ilvl w:val="0"/>
          <w:numId w:val="9"/>
        </w:numPr>
        <w:spacing w:line="360" w:lineRule="auto"/>
        <w:jc w:val="both"/>
        <w:rPr>
          <w:rFonts w:ascii="Arial" w:hAnsi="Arial" w:cs="Arial"/>
          <w:sz w:val="24"/>
          <w:szCs w:val="24"/>
        </w:rPr>
      </w:pPr>
      <w:r w:rsidRPr="00345194">
        <w:rPr>
          <w:rFonts w:ascii="Arial" w:hAnsi="Arial" w:cs="Arial"/>
          <w:sz w:val="24"/>
          <w:szCs w:val="24"/>
        </w:rPr>
        <w:t>Comparison with Competitors</w:t>
      </w:r>
    </w:p>
    <w:p w14:paraId="3D7FE2BB" w14:textId="77777777" w:rsidR="00E952BC" w:rsidRPr="00345194" w:rsidRDefault="00E952BC" w:rsidP="006D773C">
      <w:pPr>
        <w:numPr>
          <w:ilvl w:val="0"/>
          <w:numId w:val="9"/>
        </w:numPr>
        <w:spacing w:line="360" w:lineRule="auto"/>
        <w:jc w:val="both"/>
        <w:rPr>
          <w:rFonts w:ascii="Arial" w:hAnsi="Arial" w:cs="Arial"/>
          <w:sz w:val="24"/>
          <w:szCs w:val="24"/>
        </w:rPr>
      </w:pPr>
      <w:r w:rsidRPr="00345194">
        <w:rPr>
          <w:rFonts w:ascii="Arial" w:hAnsi="Arial" w:cs="Arial"/>
          <w:sz w:val="24"/>
          <w:szCs w:val="24"/>
        </w:rPr>
        <w:t>Recommendations</w:t>
      </w:r>
    </w:p>
    <w:p w14:paraId="6E29E936" w14:textId="77777777" w:rsidR="00E952BC" w:rsidRPr="00345194" w:rsidRDefault="00E952BC" w:rsidP="006D773C">
      <w:pPr>
        <w:numPr>
          <w:ilvl w:val="0"/>
          <w:numId w:val="9"/>
        </w:numPr>
        <w:spacing w:line="360" w:lineRule="auto"/>
        <w:jc w:val="both"/>
        <w:rPr>
          <w:rFonts w:ascii="Arial" w:hAnsi="Arial" w:cs="Arial"/>
          <w:sz w:val="24"/>
          <w:szCs w:val="24"/>
        </w:rPr>
      </w:pPr>
      <w:r w:rsidRPr="00345194">
        <w:rPr>
          <w:rFonts w:ascii="Arial" w:hAnsi="Arial" w:cs="Arial"/>
          <w:sz w:val="24"/>
          <w:szCs w:val="24"/>
        </w:rPr>
        <w:t>Conclusion</w:t>
      </w:r>
    </w:p>
    <w:p w14:paraId="58E4AF2E" w14:textId="77777777" w:rsidR="00E952BC" w:rsidRPr="00345194" w:rsidRDefault="00E952BC" w:rsidP="006D773C">
      <w:pPr>
        <w:numPr>
          <w:ilvl w:val="0"/>
          <w:numId w:val="9"/>
        </w:numPr>
        <w:spacing w:line="360" w:lineRule="auto"/>
        <w:jc w:val="both"/>
        <w:rPr>
          <w:rFonts w:ascii="Arial" w:hAnsi="Arial" w:cs="Arial"/>
          <w:sz w:val="24"/>
          <w:szCs w:val="24"/>
        </w:rPr>
      </w:pPr>
      <w:r w:rsidRPr="00345194">
        <w:rPr>
          <w:rFonts w:ascii="Arial" w:hAnsi="Arial" w:cs="Arial"/>
          <w:sz w:val="24"/>
          <w:szCs w:val="24"/>
        </w:rPr>
        <w:t>Reference List</w:t>
      </w:r>
    </w:p>
    <w:p w14:paraId="4BC8BA97" w14:textId="77777777" w:rsidR="00E952BC" w:rsidRPr="006D773C" w:rsidRDefault="00E952BC" w:rsidP="006D773C">
      <w:pPr>
        <w:spacing w:line="360" w:lineRule="auto"/>
        <w:jc w:val="both"/>
        <w:rPr>
          <w:rFonts w:ascii="Arial" w:hAnsi="Arial" w:cs="Arial"/>
          <w:b/>
          <w:bCs/>
          <w:sz w:val="24"/>
          <w:szCs w:val="24"/>
        </w:rPr>
      </w:pPr>
    </w:p>
    <w:p w14:paraId="31C28978" w14:textId="77777777" w:rsidR="00E952BC" w:rsidRPr="006D773C" w:rsidRDefault="00E952BC" w:rsidP="006D773C">
      <w:pPr>
        <w:spacing w:line="360" w:lineRule="auto"/>
        <w:jc w:val="both"/>
        <w:rPr>
          <w:rFonts w:ascii="Arial" w:hAnsi="Arial" w:cs="Arial"/>
          <w:b/>
          <w:bCs/>
          <w:sz w:val="24"/>
          <w:szCs w:val="24"/>
        </w:rPr>
      </w:pPr>
    </w:p>
    <w:p w14:paraId="6E47C339" w14:textId="77777777" w:rsidR="00E952BC" w:rsidRPr="006D773C" w:rsidRDefault="00E952BC" w:rsidP="006D773C">
      <w:pPr>
        <w:spacing w:line="360" w:lineRule="auto"/>
        <w:jc w:val="both"/>
        <w:rPr>
          <w:rFonts w:ascii="Arial" w:hAnsi="Arial" w:cs="Arial"/>
          <w:b/>
          <w:bCs/>
          <w:sz w:val="24"/>
          <w:szCs w:val="24"/>
        </w:rPr>
      </w:pPr>
    </w:p>
    <w:p w14:paraId="2E952A05" w14:textId="77777777" w:rsidR="00E952BC" w:rsidRPr="006D773C" w:rsidRDefault="00E952BC" w:rsidP="006D773C">
      <w:pPr>
        <w:spacing w:line="360" w:lineRule="auto"/>
        <w:jc w:val="both"/>
        <w:rPr>
          <w:rFonts w:ascii="Arial" w:hAnsi="Arial" w:cs="Arial"/>
          <w:b/>
          <w:bCs/>
          <w:sz w:val="24"/>
          <w:szCs w:val="24"/>
        </w:rPr>
      </w:pPr>
    </w:p>
    <w:p w14:paraId="7A65CACC" w14:textId="77777777" w:rsidR="00E952BC" w:rsidRPr="006D773C" w:rsidRDefault="00E952BC" w:rsidP="006D773C">
      <w:pPr>
        <w:spacing w:line="360" w:lineRule="auto"/>
        <w:jc w:val="both"/>
        <w:rPr>
          <w:rFonts w:ascii="Arial" w:hAnsi="Arial" w:cs="Arial"/>
          <w:b/>
          <w:bCs/>
          <w:sz w:val="24"/>
          <w:szCs w:val="24"/>
        </w:rPr>
      </w:pPr>
    </w:p>
    <w:p w14:paraId="688F4842" w14:textId="77777777" w:rsidR="00E952BC" w:rsidRPr="006D773C" w:rsidRDefault="00E952BC" w:rsidP="006D773C">
      <w:pPr>
        <w:spacing w:line="360" w:lineRule="auto"/>
        <w:jc w:val="both"/>
        <w:rPr>
          <w:rFonts w:ascii="Arial" w:hAnsi="Arial" w:cs="Arial"/>
          <w:b/>
          <w:bCs/>
          <w:sz w:val="24"/>
          <w:szCs w:val="24"/>
        </w:rPr>
      </w:pPr>
    </w:p>
    <w:p w14:paraId="6CCAE196" w14:textId="77777777" w:rsidR="00E952BC" w:rsidRPr="006D773C" w:rsidRDefault="00E952BC" w:rsidP="006D773C">
      <w:pPr>
        <w:spacing w:line="360" w:lineRule="auto"/>
        <w:jc w:val="both"/>
        <w:rPr>
          <w:rFonts w:ascii="Arial" w:hAnsi="Arial" w:cs="Arial"/>
          <w:b/>
          <w:bCs/>
          <w:sz w:val="24"/>
          <w:szCs w:val="24"/>
        </w:rPr>
      </w:pPr>
    </w:p>
    <w:p w14:paraId="48F10E7D" w14:textId="77777777" w:rsidR="00E952BC" w:rsidRPr="006D773C" w:rsidRDefault="00E952BC" w:rsidP="006D773C">
      <w:pPr>
        <w:spacing w:line="360" w:lineRule="auto"/>
        <w:jc w:val="both"/>
        <w:rPr>
          <w:rFonts w:ascii="Arial" w:hAnsi="Arial" w:cs="Arial"/>
          <w:b/>
          <w:bCs/>
          <w:sz w:val="24"/>
          <w:szCs w:val="24"/>
        </w:rPr>
      </w:pPr>
    </w:p>
    <w:p w14:paraId="42B3B055" w14:textId="77777777" w:rsidR="00695371" w:rsidRPr="006D773C" w:rsidRDefault="00695371" w:rsidP="006D773C">
      <w:pPr>
        <w:spacing w:line="360" w:lineRule="auto"/>
        <w:jc w:val="both"/>
        <w:rPr>
          <w:rFonts w:ascii="Arial" w:hAnsi="Arial" w:cs="Arial"/>
          <w:b/>
          <w:bCs/>
          <w:sz w:val="24"/>
          <w:szCs w:val="24"/>
        </w:rPr>
      </w:pPr>
    </w:p>
    <w:p w14:paraId="188C0935" w14:textId="77777777" w:rsidR="00695371" w:rsidRPr="006D773C" w:rsidRDefault="00695371" w:rsidP="006D773C">
      <w:pPr>
        <w:spacing w:line="360" w:lineRule="auto"/>
        <w:jc w:val="both"/>
        <w:rPr>
          <w:rFonts w:ascii="Arial" w:hAnsi="Arial" w:cs="Arial"/>
          <w:b/>
          <w:bCs/>
          <w:sz w:val="24"/>
          <w:szCs w:val="24"/>
        </w:rPr>
      </w:pPr>
    </w:p>
    <w:p w14:paraId="50BA56B1" w14:textId="77777777" w:rsidR="003D759E" w:rsidRDefault="003D759E" w:rsidP="006D773C">
      <w:pPr>
        <w:spacing w:line="360" w:lineRule="auto"/>
        <w:jc w:val="both"/>
        <w:rPr>
          <w:rFonts w:ascii="Arial" w:hAnsi="Arial" w:cs="Arial"/>
          <w:b/>
          <w:bCs/>
          <w:sz w:val="24"/>
          <w:szCs w:val="24"/>
        </w:rPr>
      </w:pPr>
    </w:p>
    <w:p w14:paraId="6CB3E78A" w14:textId="77777777" w:rsidR="003D759E" w:rsidRDefault="003D759E" w:rsidP="006D773C">
      <w:pPr>
        <w:spacing w:line="360" w:lineRule="auto"/>
        <w:jc w:val="both"/>
        <w:rPr>
          <w:rFonts w:ascii="Arial" w:hAnsi="Arial" w:cs="Arial"/>
          <w:b/>
          <w:bCs/>
          <w:sz w:val="24"/>
          <w:szCs w:val="24"/>
        </w:rPr>
      </w:pPr>
    </w:p>
    <w:p w14:paraId="58216D92" w14:textId="179C92AE" w:rsidR="00E952BC" w:rsidRPr="00345194" w:rsidRDefault="00E952BC" w:rsidP="006D773C">
      <w:pPr>
        <w:spacing w:line="360" w:lineRule="auto"/>
        <w:jc w:val="both"/>
        <w:rPr>
          <w:rFonts w:ascii="Arial" w:hAnsi="Arial" w:cs="Arial"/>
          <w:b/>
          <w:bCs/>
          <w:sz w:val="24"/>
          <w:szCs w:val="24"/>
        </w:rPr>
      </w:pPr>
      <w:r w:rsidRPr="00345194">
        <w:rPr>
          <w:rFonts w:ascii="Arial" w:hAnsi="Arial" w:cs="Arial"/>
          <w:b/>
          <w:bCs/>
          <w:sz w:val="24"/>
          <w:szCs w:val="24"/>
        </w:rPr>
        <w:t>Introduction</w:t>
      </w:r>
    </w:p>
    <w:p w14:paraId="554460B0" w14:textId="125BE827" w:rsidR="00E952BC" w:rsidRPr="006D773C" w:rsidRDefault="006A149F" w:rsidP="006D773C">
      <w:pPr>
        <w:spacing w:line="360" w:lineRule="auto"/>
        <w:jc w:val="both"/>
        <w:rPr>
          <w:rFonts w:ascii="Arial" w:hAnsi="Arial" w:cs="Arial"/>
          <w:sz w:val="24"/>
          <w:szCs w:val="24"/>
        </w:rPr>
      </w:pPr>
      <w:r w:rsidRPr="006D773C">
        <w:rPr>
          <w:rFonts w:ascii="Arial" w:hAnsi="Arial" w:cs="Arial"/>
          <w:sz w:val="24"/>
          <w:szCs w:val="24"/>
        </w:rPr>
        <w:t>This report analyses the Intercontinental Hotel Group (IHG), specifically focusing on its organisational structure, culture, strategic direction, and recent change initiatives. IHG is a prominent international company in the hospitality industry. It is recognised for its business model that minimises ownership of physical assets, a wide range of brands, and dedication to sustainability and ensuring guest contentment. The analysis comprehensively examines IHG's strategic management framework, current goals and objectives, and a SWOT analysis to ascertain its strengths, weaknesses, opportunities, and threats. In addition, the report examines recent change initiatives and evaluates IHG's performance compared to that of major competitors in the hospitality industry. The findings offer practical suggestions to improve IHG's organisational efficiency and strategic orientation.</w:t>
      </w:r>
    </w:p>
    <w:p w14:paraId="3B3E2730" w14:textId="77777777" w:rsidR="00E952BC" w:rsidRPr="006D773C" w:rsidRDefault="00E952BC" w:rsidP="006D773C">
      <w:pPr>
        <w:spacing w:line="360" w:lineRule="auto"/>
        <w:jc w:val="both"/>
        <w:rPr>
          <w:rFonts w:ascii="Arial" w:hAnsi="Arial" w:cs="Arial"/>
          <w:sz w:val="24"/>
          <w:szCs w:val="24"/>
        </w:rPr>
      </w:pPr>
    </w:p>
    <w:p w14:paraId="5A7241D0" w14:textId="5EE4AF0A" w:rsidR="00E952BC" w:rsidRPr="00635B35" w:rsidRDefault="00E952BC" w:rsidP="006D773C">
      <w:pPr>
        <w:spacing w:line="360" w:lineRule="auto"/>
        <w:jc w:val="both"/>
        <w:rPr>
          <w:rFonts w:ascii="Arial" w:hAnsi="Arial" w:cs="Arial"/>
          <w:b/>
          <w:bCs/>
          <w:sz w:val="24"/>
          <w:szCs w:val="24"/>
        </w:rPr>
      </w:pPr>
      <w:r w:rsidRPr="00635B35">
        <w:rPr>
          <w:rFonts w:ascii="Arial" w:hAnsi="Arial" w:cs="Arial"/>
          <w:b/>
          <w:bCs/>
          <w:sz w:val="24"/>
          <w:szCs w:val="24"/>
        </w:rPr>
        <w:t>Organisation Structure,</w:t>
      </w:r>
      <w:r w:rsidR="00D6678F" w:rsidRPr="006D773C">
        <w:rPr>
          <w:rFonts w:ascii="Arial" w:hAnsi="Arial" w:cs="Arial"/>
          <w:b/>
          <w:bCs/>
          <w:sz w:val="24"/>
          <w:szCs w:val="24"/>
        </w:rPr>
        <w:t xml:space="preserve"> </w:t>
      </w:r>
      <w:r w:rsidR="00D6678F" w:rsidRPr="00635B35">
        <w:rPr>
          <w:rFonts w:ascii="Arial" w:hAnsi="Arial" w:cs="Arial"/>
          <w:b/>
          <w:bCs/>
          <w:sz w:val="24"/>
          <w:szCs w:val="24"/>
        </w:rPr>
        <w:t>Organisation</w:t>
      </w:r>
      <w:r w:rsidRPr="00635B35">
        <w:rPr>
          <w:rFonts w:ascii="Arial" w:hAnsi="Arial" w:cs="Arial"/>
          <w:b/>
          <w:bCs/>
          <w:sz w:val="24"/>
          <w:szCs w:val="24"/>
        </w:rPr>
        <w:t xml:space="preserve"> Culture, and </w:t>
      </w:r>
      <w:r w:rsidR="00D6678F" w:rsidRPr="00635B35">
        <w:rPr>
          <w:rFonts w:ascii="Arial" w:hAnsi="Arial" w:cs="Arial"/>
          <w:b/>
          <w:bCs/>
          <w:sz w:val="24"/>
          <w:szCs w:val="24"/>
        </w:rPr>
        <w:t xml:space="preserve">Organisation </w:t>
      </w:r>
      <w:r w:rsidRPr="00635B35">
        <w:rPr>
          <w:rFonts w:ascii="Arial" w:hAnsi="Arial" w:cs="Arial"/>
          <w:b/>
          <w:bCs/>
          <w:sz w:val="24"/>
          <w:szCs w:val="24"/>
        </w:rPr>
        <w:t>Goals</w:t>
      </w:r>
    </w:p>
    <w:p w14:paraId="0805F93D" w14:textId="77777777" w:rsidR="00E940D4" w:rsidRPr="006D773C" w:rsidRDefault="00E940D4" w:rsidP="006D773C">
      <w:pPr>
        <w:spacing w:line="360" w:lineRule="auto"/>
        <w:jc w:val="both"/>
        <w:rPr>
          <w:rFonts w:ascii="Arial" w:hAnsi="Arial" w:cs="Arial"/>
          <w:sz w:val="24"/>
          <w:szCs w:val="24"/>
        </w:rPr>
      </w:pPr>
      <w:r w:rsidRPr="006D773C">
        <w:rPr>
          <w:rFonts w:ascii="Arial" w:hAnsi="Arial" w:cs="Arial"/>
          <w:sz w:val="24"/>
          <w:szCs w:val="24"/>
        </w:rPr>
        <w:t>Intercontinental Hotel Group (IHG) operates with a primarily asset-light business model characterised by a mix of franchised, managed, and owned hotels. This structure allows for scalability and high returns on investment. The company employs a matrix structure, integrating various functions across different geographical regions. According to the 2022 Annual Report, IHG manages nearly 6,000 hotels in over 100 countries, showcasing a complex yet efficient organisational structure (IHG, 2022).</w:t>
      </w:r>
    </w:p>
    <w:p w14:paraId="58F23B71" w14:textId="77777777" w:rsidR="00E940D4" w:rsidRPr="006D773C" w:rsidRDefault="00E940D4" w:rsidP="006D773C">
      <w:pPr>
        <w:spacing w:line="360" w:lineRule="auto"/>
        <w:jc w:val="both"/>
        <w:rPr>
          <w:rFonts w:ascii="Arial" w:hAnsi="Arial" w:cs="Arial"/>
          <w:sz w:val="24"/>
          <w:szCs w:val="24"/>
        </w:rPr>
      </w:pPr>
      <w:r w:rsidRPr="006D773C">
        <w:rPr>
          <w:rFonts w:ascii="Arial" w:hAnsi="Arial" w:cs="Arial"/>
          <w:sz w:val="24"/>
          <w:szCs w:val="24"/>
        </w:rPr>
        <w:t>Hierarchical structures in IHG facilitate clear lines of authority and communication. For example, senior management decisions are cascaded down through regional managers to individual hotel managers, ensuring consistency in operations (Jones, 2013). This hierarchical approach is supported by delegating responsibilities to regional teams, allowing IHG to maintain operational control while adapting to local market conditions (Mintzberg, 1983).</w:t>
      </w:r>
    </w:p>
    <w:p w14:paraId="75497FC9" w14:textId="77777777" w:rsidR="003D759E" w:rsidRDefault="003D759E" w:rsidP="006D773C">
      <w:pPr>
        <w:spacing w:line="360" w:lineRule="auto"/>
        <w:jc w:val="both"/>
        <w:rPr>
          <w:rFonts w:ascii="Arial" w:hAnsi="Arial" w:cs="Arial"/>
          <w:b/>
          <w:bCs/>
          <w:sz w:val="24"/>
          <w:szCs w:val="24"/>
        </w:rPr>
      </w:pPr>
    </w:p>
    <w:p w14:paraId="79FF7FF7" w14:textId="77777777" w:rsidR="003D759E" w:rsidRDefault="003D759E" w:rsidP="006D773C">
      <w:pPr>
        <w:spacing w:line="360" w:lineRule="auto"/>
        <w:jc w:val="both"/>
        <w:rPr>
          <w:rFonts w:ascii="Arial" w:hAnsi="Arial" w:cs="Arial"/>
          <w:b/>
          <w:bCs/>
          <w:sz w:val="24"/>
          <w:szCs w:val="24"/>
        </w:rPr>
      </w:pPr>
    </w:p>
    <w:p w14:paraId="7C8D9E5B" w14:textId="1FB83CC1" w:rsidR="00E952BC" w:rsidRPr="00635B35" w:rsidRDefault="00E952BC" w:rsidP="006D773C">
      <w:pPr>
        <w:spacing w:line="360" w:lineRule="auto"/>
        <w:jc w:val="both"/>
        <w:rPr>
          <w:rFonts w:ascii="Arial" w:hAnsi="Arial" w:cs="Arial"/>
          <w:b/>
          <w:bCs/>
          <w:sz w:val="24"/>
          <w:szCs w:val="24"/>
        </w:rPr>
      </w:pPr>
      <w:r w:rsidRPr="00635B35">
        <w:rPr>
          <w:rFonts w:ascii="Arial" w:hAnsi="Arial" w:cs="Arial"/>
          <w:b/>
          <w:bCs/>
          <w:sz w:val="24"/>
          <w:szCs w:val="24"/>
        </w:rPr>
        <w:t>Organisational Culture</w:t>
      </w:r>
    </w:p>
    <w:p w14:paraId="4651EF83" w14:textId="77777777" w:rsidR="00D45A07" w:rsidRPr="006D773C" w:rsidRDefault="00D45A07" w:rsidP="006D773C">
      <w:pPr>
        <w:spacing w:line="360" w:lineRule="auto"/>
        <w:jc w:val="both"/>
        <w:rPr>
          <w:rFonts w:ascii="Arial" w:hAnsi="Arial" w:cs="Arial"/>
          <w:sz w:val="24"/>
          <w:szCs w:val="24"/>
        </w:rPr>
      </w:pPr>
      <w:r w:rsidRPr="006D773C">
        <w:rPr>
          <w:rFonts w:ascii="Arial" w:hAnsi="Arial" w:cs="Arial"/>
          <w:sz w:val="24"/>
          <w:szCs w:val="24"/>
        </w:rPr>
        <w:t>As part of its "True Hospitality for Good mission," IHG prioritises guest satisfaction and a diverse and inclusive workplace. Schein's model of organisational culture—artefacts, values, and assumptions—can help analyse IHG's culture (Schein, 2010).</w:t>
      </w:r>
    </w:p>
    <w:p w14:paraId="505E4211" w14:textId="77777777" w:rsidR="00D45A07" w:rsidRPr="006D773C" w:rsidRDefault="00D45A07" w:rsidP="006D773C">
      <w:pPr>
        <w:spacing w:line="360" w:lineRule="auto"/>
        <w:jc w:val="both"/>
        <w:rPr>
          <w:rFonts w:ascii="Arial" w:hAnsi="Arial" w:cs="Arial"/>
          <w:sz w:val="24"/>
          <w:szCs w:val="24"/>
        </w:rPr>
      </w:pPr>
      <w:r w:rsidRPr="006D773C">
        <w:rPr>
          <w:rFonts w:ascii="Arial" w:hAnsi="Arial" w:cs="Arial"/>
          <w:sz w:val="24"/>
          <w:szCs w:val="24"/>
        </w:rPr>
        <w:t>IHG's eco-friendly hotel designs and operations, including renewable energy and waste reduction, show its commitment to sustainability (IHG Responsible Business Report, 2021). IHG prioritises guest satisfaction, innovation, and community engagement. According to the 2020 IHG Responsible Business Report, the IHG Academy promotes local job opportunities and skill development.</w:t>
      </w:r>
    </w:p>
    <w:p w14:paraId="4B1958F9" w14:textId="77777777" w:rsidR="00D45A07" w:rsidRPr="006D773C" w:rsidRDefault="00D45A07" w:rsidP="006D773C">
      <w:pPr>
        <w:spacing w:line="360" w:lineRule="auto"/>
        <w:jc w:val="both"/>
        <w:rPr>
          <w:rFonts w:ascii="Arial" w:hAnsi="Arial" w:cs="Arial"/>
          <w:sz w:val="24"/>
          <w:szCs w:val="24"/>
        </w:rPr>
      </w:pPr>
      <w:r w:rsidRPr="006D773C">
        <w:rPr>
          <w:rFonts w:ascii="Arial" w:hAnsi="Arial" w:cs="Arial"/>
          <w:sz w:val="24"/>
          <w:szCs w:val="24"/>
        </w:rPr>
        <w:t>Handy's typology classifies IHG as role and task cultures (1993). Clear roles and responsibilities show the organisation's role culture. In contrast, project-based teams focused on sustainability and technological innovations emphasise task culture.</w:t>
      </w:r>
    </w:p>
    <w:p w14:paraId="7A33FDD7" w14:textId="77777777" w:rsidR="00D45A07" w:rsidRPr="006D773C" w:rsidRDefault="00D45A07" w:rsidP="006D773C">
      <w:pPr>
        <w:spacing w:line="360" w:lineRule="auto"/>
        <w:jc w:val="both"/>
        <w:rPr>
          <w:rFonts w:ascii="Arial" w:hAnsi="Arial" w:cs="Arial"/>
          <w:sz w:val="24"/>
          <w:szCs w:val="24"/>
        </w:rPr>
      </w:pPr>
      <w:r w:rsidRPr="006D773C">
        <w:rPr>
          <w:rFonts w:ascii="Arial" w:hAnsi="Arial" w:cs="Arial"/>
          <w:sz w:val="24"/>
          <w:szCs w:val="24"/>
        </w:rPr>
        <w:t>IHG's culture strongly affects behaviour, performance, and management. Positive cultures boost employee commitment, service quality, and customer satisfaction (Heskett et al., 1994). Maintaining cultural uniformity across a global corporation and incorporating local customs takes time and effort.</w:t>
      </w:r>
    </w:p>
    <w:p w14:paraId="12040EEB" w14:textId="677B247F" w:rsidR="00E952BC" w:rsidRPr="00635B35" w:rsidRDefault="00E952BC" w:rsidP="006D773C">
      <w:pPr>
        <w:spacing w:line="360" w:lineRule="auto"/>
        <w:jc w:val="both"/>
        <w:rPr>
          <w:rFonts w:ascii="Arial" w:hAnsi="Arial" w:cs="Arial"/>
          <w:b/>
          <w:bCs/>
          <w:sz w:val="24"/>
          <w:szCs w:val="24"/>
        </w:rPr>
      </w:pPr>
      <w:r w:rsidRPr="00635B35">
        <w:rPr>
          <w:rFonts w:ascii="Arial" w:hAnsi="Arial" w:cs="Arial"/>
          <w:b/>
          <w:bCs/>
          <w:sz w:val="24"/>
          <w:szCs w:val="24"/>
        </w:rPr>
        <w:t>Organisational Goals</w:t>
      </w:r>
    </w:p>
    <w:p w14:paraId="271585E1" w14:textId="7581DAE9" w:rsidR="001560D4" w:rsidRPr="006D773C" w:rsidRDefault="001560D4" w:rsidP="006D773C">
      <w:pPr>
        <w:spacing w:line="360" w:lineRule="auto"/>
        <w:jc w:val="both"/>
        <w:rPr>
          <w:rFonts w:ascii="Arial" w:hAnsi="Arial" w:cs="Arial"/>
          <w:sz w:val="24"/>
          <w:szCs w:val="24"/>
        </w:rPr>
      </w:pPr>
      <w:r w:rsidRPr="006D773C">
        <w:rPr>
          <w:rFonts w:ascii="Arial" w:hAnsi="Arial" w:cs="Arial"/>
          <w:sz w:val="24"/>
          <w:szCs w:val="24"/>
        </w:rPr>
        <w:t xml:space="preserve">IHG's strategic objectives are achieving sustainable expansion, improving guest satisfaction, and attaining solid financial results. The 2023 Annual Report details IHG's goal of </w:t>
      </w:r>
      <w:r w:rsidR="00DA54A8" w:rsidRPr="006D773C">
        <w:rPr>
          <w:rFonts w:ascii="Arial" w:hAnsi="Arial" w:cs="Arial"/>
          <w:sz w:val="24"/>
          <w:szCs w:val="24"/>
        </w:rPr>
        <w:t>achieving</w:t>
      </w:r>
      <w:r w:rsidRPr="006D773C">
        <w:rPr>
          <w:rFonts w:ascii="Arial" w:hAnsi="Arial" w:cs="Arial"/>
          <w:sz w:val="24"/>
          <w:szCs w:val="24"/>
        </w:rPr>
        <w:t xml:space="preserve"> exceptional net room growth by strategically opening new hotels and capitalising on its loyalty programme (IHG, 2023).</w:t>
      </w:r>
    </w:p>
    <w:p w14:paraId="7FBDD0D1" w14:textId="1A0D14A3" w:rsidR="001560D4" w:rsidRPr="006D773C" w:rsidRDefault="001560D4" w:rsidP="006D773C">
      <w:pPr>
        <w:spacing w:line="360" w:lineRule="auto"/>
        <w:jc w:val="both"/>
        <w:rPr>
          <w:rFonts w:ascii="Arial" w:hAnsi="Arial" w:cs="Arial"/>
          <w:sz w:val="24"/>
          <w:szCs w:val="24"/>
        </w:rPr>
      </w:pPr>
      <w:r w:rsidRPr="006D773C">
        <w:rPr>
          <w:rFonts w:ascii="Arial" w:hAnsi="Arial" w:cs="Arial"/>
          <w:sz w:val="24"/>
          <w:szCs w:val="24"/>
        </w:rPr>
        <w:t xml:space="preserve">IHG's objectives revolve around sustainability targets. The </w:t>
      </w:r>
      <w:r w:rsidR="00A85A62" w:rsidRPr="006D773C">
        <w:rPr>
          <w:rFonts w:ascii="Arial" w:hAnsi="Arial" w:cs="Arial"/>
          <w:sz w:val="24"/>
          <w:szCs w:val="24"/>
        </w:rPr>
        <w:t xml:space="preserve">company aims to reduce its carbon footprint by 46% </w:t>
      </w:r>
      <w:r w:rsidRPr="006D773C">
        <w:rPr>
          <w:rFonts w:ascii="Arial" w:hAnsi="Arial" w:cs="Arial"/>
          <w:sz w:val="24"/>
          <w:szCs w:val="24"/>
        </w:rPr>
        <w:t>by 2030, aligning with the goals outlined in the Paris Agreement (IHG Responsible Business Report, 2021). This encompasses measures such as implementing energy-efficient technologies and promoting water conservation throughout all IHG properties (IHG Responsible Business Report, 2020).</w:t>
      </w:r>
    </w:p>
    <w:p w14:paraId="3000D817" w14:textId="77777777" w:rsidR="001560D4" w:rsidRPr="006D773C" w:rsidRDefault="001560D4" w:rsidP="006D773C">
      <w:pPr>
        <w:spacing w:line="360" w:lineRule="auto"/>
        <w:jc w:val="both"/>
        <w:rPr>
          <w:rFonts w:ascii="Arial" w:hAnsi="Arial" w:cs="Arial"/>
          <w:sz w:val="24"/>
          <w:szCs w:val="24"/>
        </w:rPr>
      </w:pPr>
      <w:r w:rsidRPr="006D773C">
        <w:rPr>
          <w:rFonts w:ascii="Arial" w:hAnsi="Arial" w:cs="Arial"/>
          <w:sz w:val="24"/>
          <w:szCs w:val="24"/>
        </w:rPr>
        <w:lastRenderedPageBreak/>
        <w:t>IHG prioritises maintaining high room occupancy by consistently enhancing guest services and experiences. As such, occupancy rates are a crucial objective. According to the 2022 Annual Report, IHG attained an occupancy rate of 63%, marking a substantial rebound from the low levels experienced during the pandemic (IHG, 2022).</w:t>
      </w:r>
    </w:p>
    <w:p w14:paraId="5CE87380" w14:textId="2B6EAF11" w:rsidR="00E952BC" w:rsidRPr="006D773C" w:rsidRDefault="001560D4" w:rsidP="006D773C">
      <w:pPr>
        <w:spacing w:line="360" w:lineRule="auto"/>
        <w:jc w:val="both"/>
        <w:rPr>
          <w:rFonts w:ascii="Arial" w:hAnsi="Arial" w:cs="Arial"/>
          <w:b/>
          <w:bCs/>
          <w:sz w:val="24"/>
          <w:szCs w:val="24"/>
        </w:rPr>
      </w:pPr>
      <w:r w:rsidRPr="006D773C">
        <w:rPr>
          <w:rFonts w:ascii="Arial" w:hAnsi="Arial" w:cs="Arial"/>
          <w:sz w:val="24"/>
          <w:szCs w:val="24"/>
        </w:rPr>
        <w:t>Financial objectives encompass the achievement of robust returns for shareholders. IHG's financial report for 2022 indicated a significant 34% growth in revenue compared to the previous year, which can be attributed to the successful implementation of its strategic initiatives (IHG, 2022). A robust business model and efficient cost management strategies underpin the financial expansion.</w:t>
      </w:r>
    </w:p>
    <w:p w14:paraId="5CA3CE37" w14:textId="77777777" w:rsidR="00E952BC" w:rsidRPr="006D773C" w:rsidRDefault="00E952BC" w:rsidP="006D773C">
      <w:pPr>
        <w:spacing w:line="360" w:lineRule="auto"/>
        <w:jc w:val="both"/>
        <w:rPr>
          <w:rFonts w:ascii="Arial" w:hAnsi="Arial" w:cs="Arial"/>
          <w:b/>
          <w:bCs/>
          <w:sz w:val="24"/>
          <w:szCs w:val="24"/>
        </w:rPr>
      </w:pPr>
    </w:p>
    <w:p w14:paraId="132AF038" w14:textId="51C6F166" w:rsidR="00E952BC" w:rsidRPr="00551F7F" w:rsidRDefault="00E952BC" w:rsidP="006D773C">
      <w:pPr>
        <w:spacing w:line="360" w:lineRule="auto"/>
        <w:jc w:val="both"/>
        <w:rPr>
          <w:rFonts w:ascii="Arial" w:hAnsi="Arial" w:cs="Arial"/>
          <w:b/>
          <w:bCs/>
          <w:sz w:val="24"/>
          <w:szCs w:val="24"/>
        </w:rPr>
      </w:pPr>
      <w:r w:rsidRPr="00551F7F">
        <w:rPr>
          <w:rFonts w:ascii="Arial" w:hAnsi="Arial" w:cs="Arial"/>
          <w:b/>
          <w:bCs/>
          <w:sz w:val="24"/>
          <w:szCs w:val="24"/>
        </w:rPr>
        <w:t xml:space="preserve">The Organisation’s Strategic Direction </w:t>
      </w:r>
    </w:p>
    <w:p w14:paraId="3D9F8547" w14:textId="112CF9F8" w:rsidR="00717C42" w:rsidRPr="006D773C" w:rsidRDefault="00717C42" w:rsidP="006D773C">
      <w:pPr>
        <w:spacing w:line="360" w:lineRule="auto"/>
        <w:jc w:val="both"/>
        <w:rPr>
          <w:rFonts w:ascii="Arial" w:hAnsi="Arial" w:cs="Arial"/>
          <w:sz w:val="24"/>
          <w:szCs w:val="24"/>
        </w:rPr>
      </w:pPr>
      <w:r w:rsidRPr="006D773C">
        <w:rPr>
          <w:rFonts w:ascii="Arial" w:hAnsi="Arial" w:cs="Arial"/>
          <w:sz w:val="24"/>
          <w:szCs w:val="24"/>
        </w:rPr>
        <w:t xml:space="preserve">IHG utilises a </w:t>
      </w:r>
      <w:r w:rsidR="00DA54A8" w:rsidRPr="006D773C">
        <w:rPr>
          <w:rFonts w:ascii="Arial" w:hAnsi="Arial" w:cs="Arial"/>
          <w:sz w:val="24"/>
          <w:szCs w:val="24"/>
        </w:rPr>
        <w:t>solid strategic</w:t>
      </w:r>
      <w:r w:rsidRPr="006D773C">
        <w:rPr>
          <w:rFonts w:ascii="Arial" w:hAnsi="Arial" w:cs="Arial"/>
          <w:sz w:val="24"/>
          <w:szCs w:val="24"/>
        </w:rPr>
        <w:t xml:space="preserve"> management framework to accomplish long-term goals and maintain a competitive edge. As </w:t>
      </w:r>
      <w:r w:rsidR="00DA54A8" w:rsidRPr="006D773C">
        <w:rPr>
          <w:rFonts w:ascii="Arial" w:hAnsi="Arial" w:cs="Arial"/>
          <w:sz w:val="24"/>
          <w:szCs w:val="24"/>
        </w:rPr>
        <w:t>the 2023 Annual Report outlines</w:t>
      </w:r>
      <w:r w:rsidRPr="006D773C">
        <w:rPr>
          <w:rFonts w:ascii="Arial" w:hAnsi="Arial" w:cs="Arial"/>
          <w:sz w:val="24"/>
          <w:szCs w:val="24"/>
        </w:rPr>
        <w:t>, IHG's strategic management encompasses a comprehensive approach that integrates market analysis, resource allocation, and continuous performance evaluation (IHG, 2023). The framework includes strategic planning, implementation, and control to ensure that the company's strategic initiatives align with its mission and vision (David, 2011).</w:t>
      </w:r>
    </w:p>
    <w:p w14:paraId="2BC8D42E" w14:textId="29F012BE" w:rsidR="00717C42" w:rsidRPr="006D773C" w:rsidRDefault="00717C42" w:rsidP="006D773C">
      <w:pPr>
        <w:spacing w:line="360" w:lineRule="auto"/>
        <w:jc w:val="both"/>
        <w:rPr>
          <w:rFonts w:ascii="Arial" w:hAnsi="Arial" w:cs="Arial"/>
          <w:sz w:val="24"/>
          <w:szCs w:val="24"/>
        </w:rPr>
      </w:pPr>
      <w:r w:rsidRPr="006D773C">
        <w:rPr>
          <w:rFonts w:ascii="Arial" w:hAnsi="Arial" w:cs="Arial"/>
          <w:sz w:val="24"/>
          <w:szCs w:val="24"/>
        </w:rPr>
        <w:t xml:space="preserve">IHG's current strategic orientation centres on expanding its worldwide presence, improving guest experiences, and promoting sustainability. The company's </w:t>
      </w:r>
      <w:r w:rsidR="003D759E">
        <w:rPr>
          <w:rFonts w:ascii="Arial" w:hAnsi="Arial" w:cs="Arial"/>
          <w:sz w:val="24"/>
          <w:szCs w:val="24"/>
        </w:rPr>
        <w:t xml:space="preserve">"True Hospitality for Good" mission </w:t>
      </w:r>
      <w:r w:rsidR="00DA54A8" w:rsidRPr="006D773C">
        <w:rPr>
          <w:rFonts w:ascii="Arial" w:hAnsi="Arial" w:cs="Arial"/>
          <w:sz w:val="24"/>
          <w:szCs w:val="24"/>
        </w:rPr>
        <w:t>is</w:t>
      </w:r>
      <w:r w:rsidRPr="006D773C">
        <w:rPr>
          <w:rFonts w:ascii="Arial" w:hAnsi="Arial" w:cs="Arial"/>
          <w:sz w:val="24"/>
          <w:szCs w:val="24"/>
        </w:rPr>
        <w:t xml:space="preserve"> the foundation for its strategic goals and objectives. The goal is </w:t>
      </w:r>
      <w:r w:rsidR="003D759E">
        <w:rPr>
          <w:rFonts w:ascii="Arial" w:hAnsi="Arial" w:cs="Arial"/>
          <w:sz w:val="24"/>
          <w:szCs w:val="24"/>
        </w:rPr>
        <w:t>establishing</w:t>
      </w:r>
      <w:r w:rsidR="00AC1BC7" w:rsidRPr="006D773C">
        <w:rPr>
          <w:rFonts w:ascii="Arial" w:hAnsi="Arial" w:cs="Arial"/>
          <w:sz w:val="24"/>
          <w:szCs w:val="24"/>
        </w:rPr>
        <w:t xml:space="preserve"> itself </w:t>
      </w:r>
      <w:r w:rsidRPr="006D773C">
        <w:rPr>
          <w:rFonts w:ascii="Arial" w:hAnsi="Arial" w:cs="Arial"/>
          <w:sz w:val="24"/>
          <w:szCs w:val="24"/>
        </w:rPr>
        <w:t>as a prominent global hospitality organisation by providing outstanding guest experiences, promoting an inclusive culture, and achieving sustainable expansion (IHG, 2023).</w:t>
      </w:r>
    </w:p>
    <w:p w14:paraId="2DA3B540" w14:textId="77777777" w:rsidR="00404D5C" w:rsidRPr="006D773C" w:rsidRDefault="00717C42" w:rsidP="006D773C">
      <w:pPr>
        <w:spacing w:line="360" w:lineRule="auto"/>
        <w:jc w:val="both"/>
        <w:rPr>
          <w:rFonts w:ascii="Arial" w:hAnsi="Arial" w:cs="Arial"/>
          <w:sz w:val="24"/>
          <w:szCs w:val="24"/>
        </w:rPr>
      </w:pPr>
      <w:r w:rsidRPr="006D773C">
        <w:rPr>
          <w:rFonts w:ascii="Arial" w:hAnsi="Arial" w:cs="Arial"/>
          <w:sz w:val="24"/>
          <w:szCs w:val="24"/>
        </w:rPr>
        <w:t>The goals and objectives consist of attaining exceptional net room growth within the industry, improving the loyalty programme, and upholding high operational efficiency. In 2022, IHG recorded a notable 34% surge in revenue, indicating the effective implementation of its strategic endeavours (IHG, 2022). The company intends to maintain its current path of growth by establishing new hotels in strategic markets and utilising technology to enhance customer satisfaction (Prahalad &amp; Hamel, 1990).</w:t>
      </w:r>
    </w:p>
    <w:p w14:paraId="154803D8" w14:textId="77777777" w:rsidR="003D759E" w:rsidRDefault="003D759E" w:rsidP="006D773C">
      <w:pPr>
        <w:spacing w:line="360" w:lineRule="auto"/>
        <w:jc w:val="both"/>
        <w:rPr>
          <w:rFonts w:ascii="Arial" w:hAnsi="Arial" w:cs="Arial"/>
          <w:b/>
          <w:bCs/>
          <w:sz w:val="24"/>
          <w:szCs w:val="24"/>
        </w:rPr>
      </w:pPr>
    </w:p>
    <w:p w14:paraId="336DC0D3" w14:textId="59DD2E59" w:rsidR="00E952BC" w:rsidRPr="00551F7F" w:rsidRDefault="00E952BC" w:rsidP="006D773C">
      <w:pPr>
        <w:spacing w:line="360" w:lineRule="auto"/>
        <w:jc w:val="both"/>
        <w:rPr>
          <w:rFonts w:ascii="Arial" w:hAnsi="Arial" w:cs="Arial"/>
          <w:b/>
          <w:bCs/>
          <w:sz w:val="24"/>
          <w:szCs w:val="24"/>
        </w:rPr>
      </w:pPr>
      <w:r w:rsidRPr="00551F7F">
        <w:rPr>
          <w:rFonts w:ascii="Arial" w:hAnsi="Arial" w:cs="Arial"/>
          <w:b/>
          <w:bCs/>
          <w:sz w:val="24"/>
          <w:szCs w:val="24"/>
        </w:rPr>
        <w:t>SWOT Analysis</w:t>
      </w:r>
    </w:p>
    <w:p w14:paraId="148B1F52" w14:textId="77777777" w:rsidR="00E952BC" w:rsidRPr="00551F7F" w:rsidRDefault="00E952BC" w:rsidP="006D773C">
      <w:pPr>
        <w:spacing w:line="360" w:lineRule="auto"/>
        <w:jc w:val="both"/>
        <w:rPr>
          <w:rFonts w:ascii="Arial" w:hAnsi="Arial" w:cs="Arial"/>
          <w:sz w:val="24"/>
          <w:szCs w:val="24"/>
        </w:rPr>
      </w:pPr>
      <w:r w:rsidRPr="00551F7F">
        <w:rPr>
          <w:rFonts w:ascii="Arial" w:hAnsi="Arial" w:cs="Arial"/>
          <w:b/>
          <w:bCs/>
          <w:sz w:val="24"/>
          <w:szCs w:val="24"/>
        </w:rPr>
        <w:t>Strengths</w:t>
      </w:r>
      <w:r w:rsidRPr="00551F7F">
        <w:rPr>
          <w:rFonts w:ascii="Arial" w:hAnsi="Arial" w:cs="Arial"/>
          <w:sz w:val="24"/>
          <w:szCs w:val="24"/>
        </w:rPr>
        <w:t>:</w:t>
      </w:r>
    </w:p>
    <w:p w14:paraId="383D36E6" w14:textId="77777777" w:rsidR="00E952BC" w:rsidRPr="00551F7F" w:rsidRDefault="00E952BC" w:rsidP="006D773C">
      <w:pPr>
        <w:numPr>
          <w:ilvl w:val="0"/>
          <w:numId w:val="2"/>
        </w:numPr>
        <w:spacing w:line="360" w:lineRule="auto"/>
        <w:jc w:val="both"/>
        <w:rPr>
          <w:rFonts w:ascii="Arial" w:hAnsi="Arial" w:cs="Arial"/>
          <w:sz w:val="24"/>
          <w:szCs w:val="24"/>
        </w:rPr>
      </w:pPr>
      <w:r w:rsidRPr="00551F7F">
        <w:rPr>
          <w:rFonts w:ascii="Arial" w:hAnsi="Arial" w:cs="Arial"/>
          <w:b/>
          <w:bCs/>
          <w:sz w:val="24"/>
          <w:szCs w:val="24"/>
        </w:rPr>
        <w:t>Brand Portfolio</w:t>
      </w:r>
      <w:r w:rsidRPr="00551F7F">
        <w:rPr>
          <w:rFonts w:ascii="Arial" w:hAnsi="Arial" w:cs="Arial"/>
          <w:sz w:val="24"/>
          <w:szCs w:val="24"/>
        </w:rPr>
        <w:t>: IHG boasts a diverse portfolio of 17 brands, including luxury, premium, and mid-scale options, which cater to various market segments (IHG Responsible Business Report, 2021).</w:t>
      </w:r>
    </w:p>
    <w:p w14:paraId="1F6FF28B" w14:textId="77777777" w:rsidR="00E952BC" w:rsidRPr="00551F7F" w:rsidRDefault="00E952BC" w:rsidP="006D773C">
      <w:pPr>
        <w:numPr>
          <w:ilvl w:val="0"/>
          <w:numId w:val="2"/>
        </w:numPr>
        <w:spacing w:line="360" w:lineRule="auto"/>
        <w:jc w:val="both"/>
        <w:rPr>
          <w:rFonts w:ascii="Arial" w:hAnsi="Arial" w:cs="Arial"/>
          <w:sz w:val="24"/>
          <w:szCs w:val="24"/>
        </w:rPr>
      </w:pPr>
      <w:r w:rsidRPr="00551F7F">
        <w:rPr>
          <w:rFonts w:ascii="Arial" w:hAnsi="Arial" w:cs="Arial"/>
          <w:b/>
          <w:bCs/>
          <w:sz w:val="24"/>
          <w:szCs w:val="24"/>
        </w:rPr>
        <w:t>Global Presence</w:t>
      </w:r>
      <w:r w:rsidRPr="00551F7F">
        <w:rPr>
          <w:rFonts w:ascii="Arial" w:hAnsi="Arial" w:cs="Arial"/>
          <w:sz w:val="24"/>
          <w:szCs w:val="24"/>
        </w:rPr>
        <w:t>: Operating in over 100 countries, IHG has a significant global presence, enhancing its brand recognition and market reach (IHG, 2022).</w:t>
      </w:r>
    </w:p>
    <w:p w14:paraId="24B881EF" w14:textId="77777777" w:rsidR="00E952BC" w:rsidRPr="00551F7F" w:rsidRDefault="00E952BC" w:rsidP="006D773C">
      <w:pPr>
        <w:spacing w:line="360" w:lineRule="auto"/>
        <w:jc w:val="both"/>
        <w:rPr>
          <w:rFonts w:ascii="Arial" w:hAnsi="Arial" w:cs="Arial"/>
          <w:sz w:val="24"/>
          <w:szCs w:val="24"/>
        </w:rPr>
      </w:pPr>
      <w:r w:rsidRPr="00551F7F">
        <w:rPr>
          <w:rFonts w:ascii="Arial" w:hAnsi="Arial" w:cs="Arial"/>
          <w:b/>
          <w:bCs/>
          <w:sz w:val="24"/>
          <w:szCs w:val="24"/>
        </w:rPr>
        <w:t>Weaknesses</w:t>
      </w:r>
      <w:r w:rsidRPr="00551F7F">
        <w:rPr>
          <w:rFonts w:ascii="Arial" w:hAnsi="Arial" w:cs="Arial"/>
          <w:sz w:val="24"/>
          <w:szCs w:val="24"/>
        </w:rPr>
        <w:t>:</w:t>
      </w:r>
    </w:p>
    <w:p w14:paraId="555D7395" w14:textId="1BC90239" w:rsidR="00E952BC" w:rsidRPr="00551F7F" w:rsidRDefault="00E952BC" w:rsidP="006D773C">
      <w:pPr>
        <w:numPr>
          <w:ilvl w:val="0"/>
          <w:numId w:val="3"/>
        </w:numPr>
        <w:spacing w:line="360" w:lineRule="auto"/>
        <w:jc w:val="both"/>
        <w:rPr>
          <w:rFonts w:ascii="Arial" w:hAnsi="Arial" w:cs="Arial"/>
          <w:sz w:val="24"/>
          <w:szCs w:val="24"/>
        </w:rPr>
      </w:pPr>
      <w:r w:rsidRPr="00551F7F">
        <w:rPr>
          <w:rFonts w:ascii="Arial" w:hAnsi="Arial" w:cs="Arial"/>
          <w:b/>
          <w:bCs/>
          <w:sz w:val="24"/>
          <w:szCs w:val="24"/>
        </w:rPr>
        <w:t>High Dependency on Franchise Model</w:t>
      </w:r>
      <w:r w:rsidRPr="00551F7F">
        <w:rPr>
          <w:rFonts w:ascii="Arial" w:hAnsi="Arial" w:cs="Arial"/>
          <w:sz w:val="24"/>
          <w:szCs w:val="24"/>
        </w:rPr>
        <w:t>: While the asset-light model offers scalability, it limits direct control over franchise operations, potentially impacting service quality (Gilligan &amp; Wilson, 2009).</w:t>
      </w:r>
    </w:p>
    <w:p w14:paraId="7D27F916" w14:textId="52016D40" w:rsidR="00E952BC" w:rsidRPr="00551F7F" w:rsidRDefault="00E952BC" w:rsidP="006D773C">
      <w:pPr>
        <w:numPr>
          <w:ilvl w:val="0"/>
          <w:numId w:val="3"/>
        </w:numPr>
        <w:spacing w:line="360" w:lineRule="auto"/>
        <w:jc w:val="both"/>
        <w:rPr>
          <w:rFonts w:ascii="Arial" w:hAnsi="Arial" w:cs="Arial"/>
          <w:sz w:val="24"/>
          <w:szCs w:val="24"/>
        </w:rPr>
      </w:pPr>
      <w:r w:rsidRPr="00551F7F">
        <w:rPr>
          <w:rFonts w:ascii="Arial" w:hAnsi="Arial" w:cs="Arial"/>
          <w:b/>
          <w:bCs/>
          <w:sz w:val="24"/>
          <w:szCs w:val="24"/>
        </w:rPr>
        <w:t>Operational Costs</w:t>
      </w:r>
      <w:r w:rsidRPr="00551F7F">
        <w:rPr>
          <w:rFonts w:ascii="Arial" w:hAnsi="Arial" w:cs="Arial"/>
          <w:sz w:val="24"/>
          <w:szCs w:val="24"/>
        </w:rPr>
        <w:t xml:space="preserve">: The global scale results in high operational costs, </w:t>
      </w:r>
      <w:r w:rsidR="00302A46" w:rsidRPr="006D773C">
        <w:rPr>
          <w:rFonts w:ascii="Arial" w:hAnsi="Arial" w:cs="Arial"/>
          <w:sz w:val="24"/>
          <w:szCs w:val="24"/>
        </w:rPr>
        <w:t>affecting</w:t>
      </w:r>
      <w:r w:rsidRPr="00551F7F">
        <w:rPr>
          <w:rFonts w:ascii="Arial" w:hAnsi="Arial" w:cs="Arial"/>
          <w:sz w:val="24"/>
          <w:szCs w:val="24"/>
        </w:rPr>
        <w:t xml:space="preserve"> profitability, especially in volatile economic conditions (Gamble, Thompson, &amp; </w:t>
      </w:r>
      <w:proofErr w:type="spellStart"/>
      <w:r w:rsidRPr="00551F7F">
        <w:rPr>
          <w:rFonts w:ascii="Arial" w:hAnsi="Arial" w:cs="Arial"/>
          <w:sz w:val="24"/>
          <w:szCs w:val="24"/>
        </w:rPr>
        <w:t>Peteraf</w:t>
      </w:r>
      <w:proofErr w:type="spellEnd"/>
      <w:r w:rsidRPr="00551F7F">
        <w:rPr>
          <w:rFonts w:ascii="Arial" w:hAnsi="Arial" w:cs="Arial"/>
          <w:sz w:val="24"/>
          <w:szCs w:val="24"/>
        </w:rPr>
        <w:t>, 2013).</w:t>
      </w:r>
    </w:p>
    <w:p w14:paraId="018BB8A8" w14:textId="77777777" w:rsidR="00E952BC" w:rsidRPr="00551F7F" w:rsidRDefault="00E952BC" w:rsidP="006D773C">
      <w:pPr>
        <w:spacing w:line="360" w:lineRule="auto"/>
        <w:jc w:val="both"/>
        <w:rPr>
          <w:rFonts w:ascii="Arial" w:hAnsi="Arial" w:cs="Arial"/>
          <w:sz w:val="24"/>
          <w:szCs w:val="24"/>
        </w:rPr>
      </w:pPr>
      <w:r w:rsidRPr="00551F7F">
        <w:rPr>
          <w:rFonts w:ascii="Arial" w:hAnsi="Arial" w:cs="Arial"/>
          <w:b/>
          <w:bCs/>
          <w:sz w:val="24"/>
          <w:szCs w:val="24"/>
        </w:rPr>
        <w:t>Opportunities</w:t>
      </w:r>
      <w:r w:rsidRPr="00551F7F">
        <w:rPr>
          <w:rFonts w:ascii="Arial" w:hAnsi="Arial" w:cs="Arial"/>
          <w:sz w:val="24"/>
          <w:szCs w:val="24"/>
        </w:rPr>
        <w:t>:</w:t>
      </w:r>
    </w:p>
    <w:p w14:paraId="6837BBA7" w14:textId="77777777" w:rsidR="00E952BC" w:rsidRPr="00551F7F" w:rsidRDefault="00E952BC" w:rsidP="006D773C">
      <w:pPr>
        <w:numPr>
          <w:ilvl w:val="0"/>
          <w:numId w:val="4"/>
        </w:numPr>
        <w:spacing w:line="360" w:lineRule="auto"/>
        <w:jc w:val="both"/>
        <w:rPr>
          <w:rFonts w:ascii="Arial" w:hAnsi="Arial" w:cs="Arial"/>
          <w:sz w:val="24"/>
          <w:szCs w:val="24"/>
        </w:rPr>
      </w:pPr>
      <w:r w:rsidRPr="00551F7F">
        <w:rPr>
          <w:rFonts w:ascii="Arial" w:hAnsi="Arial" w:cs="Arial"/>
          <w:b/>
          <w:bCs/>
          <w:sz w:val="24"/>
          <w:szCs w:val="24"/>
        </w:rPr>
        <w:t>Market Expansion</w:t>
      </w:r>
      <w:r w:rsidRPr="00551F7F">
        <w:rPr>
          <w:rFonts w:ascii="Arial" w:hAnsi="Arial" w:cs="Arial"/>
          <w:sz w:val="24"/>
          <w:szCs w:val="24"/>
        </w:rPr>
        <w:t>: There are opportunities for growth in emerging markets such as Asia-Pacific and Africa, where the demand for hospitality services is increasing (Kotler &amp; Keller, 2016).</w:t>
      </w:r>
    </w:p>
    <w:p w14:paraId="3D26DF78" w14:textId="77777777" w:rsidR="00E952BC" w:rsidRPr="00551F7F" w:rsidRDefault="00E952BC" w:rsidP="006D773C">
      <w:pPr>
        <w:numPr>
          <w:ilvl w:val="0"/>
          <w:numId w:val="4"/>
        </w:numPr>
        <w:spacing w:line="360" w:lineRule="auto"/>
        <w:jc w:val="both"/>
        <w:rPr>
          <w:rFonts w:ascii="Arial" w:hAnsi="Arial" w:cs="Arial"/>
          <w:sz w:val="24"/>
          <w:szCs w:val="24"/>
        </w:rPr>
      </w:pPr>
      <w:r w:rsidRPr="00551F7F">
        <w:rPr>
          <w:rFonts w:ascii="Arial" w:hAnsi="Arial" w:cs="Arial"/>
          <w:b/>
          <w:bCs/>
          <w:sz w:val="24"/>
          <w:szCs w:val="24"/>
        </w:rPr>
        <w:t>Digital Transformation</w:t>
      </w:r>
      <w:r w:rsidRPr="00551F7F">
        <w:rPr>
          <w:rFonts w:ascii="Arial" w:hAnsi="Arial" w:cs="Arial"/>
          <w:sz w:val="24"/>
          <w:szCs w:val="24"/>
        </w:rPr>
        <w:t>: Investing in digital technologies can enhance operational efficiency and customer engagement, providing a competitive edge (Teece, 2010).</w:t>
      </w:r>
    </w:p>
    <w:p w14:paraId="1757CFD2" w14:textId="77777777" w:rsidR="00E952BC" w:rsidRPr="00551F7F" w:rsidRDefault="00E952BC" w:rsidP="006D773C">
      <w:pPr>
        <w:spacing w:line="360" w:lineRule="auto"/>
        <w:jc w:val="both"/>
        <w:rPr>
          <w:rFonts w:ascii="Arial" w:hAnsi="Arial" w:cs="Arial"/>
          <w:sz w:val="24"/>
          <w:szCs w:val="24"/>
        </w:rPr>
      </w:pPr>
      <w:r w:rsidRPr="00551F7F">
        <w:rPr>
          <w:rFonts w:ascii="Arial" w:hAnsi="Arial" w:cs="Arial"/>
          <w:b/>
          <w:bCs/>
          <w:sz w:val="24"/>
          <w:szCs w:val="24"/>
        </w:rPr>
        <w:t>Threats</w:t>
      </w:r>
      <w:r w:rsidRPr="00551F7F">
        <w:rPr>
          <w:rFonts w:ascii="Arial" w:hAnsi="Arial" w:cs="Arial"/>
          <w:sz w:val="24"/>
          <w:szCs w:val="24"/>
        </w:rPr>
        <w:t>:</w:t>
      </w:r>
    </w:p>
    <w:p w14:paraId="1ECC5ADF" w14:textId="1DC0B8E8" w:rsidR="00E952BC" w:rsidRPr="00551F7F" w:rsidRDefault="00E952BC" w:rsidP="006D773C">
      <w:pPr>
        <w:numPr>
          <w:ilvl w:val="0"/>
          <w:numId w:val="5"/>
        </w:numPr>
        <w:spacing w:line="360" w:lineRule="auto"/>
        <w:jc w:val="both"/>
        <w:rPr>
          <w:rFonts w:ascii="Arial" w:hAnsi="Arial" w:cs="Arial"/>
          <w:sz w:val="24"/>
          <w:szCs w:val="24"/>
        </w:rPr>
      </w:pPr>
      <w:r w:rsidRPr="00551F7F">
        <w:rPr>
          <w:rFonts w:ascii="Arial" w:hAnsi="Arial" w:cs="Arial"/>
          <w:b/>
          <w:bCs/>
          <w:sz w:val="24"/>
          <w:szCs w:val="24"/>
        </w:rPr>
        <w:t>Economic Volatility</w:t>
      </w:r>
      <w:r w:rsidRPr="00551F7F">
        <w:rPr>
          <w:rFonts w:ascii="Arial" w:hAnsi="Arial" w:cs="Arial"/>
          <w:sz w:val="24"/>
          <w:szCs w:val="24"/>
        </w:rPr>
        <w:t xml:space="preserve">: </w:t>
      </w:r>
      <w:r w:rsidR="00302A46" w:rsidRPr="006D773C">
        <w:rPr>
          <w:rFonts w:ascii="Arial" w:hAnsi="Arial" w:cs="Arial"/>
          <w:sz w:val="24"/>
          <w:szCs w:val="24"/>
        </w:rPr>
        <w:t>Economic</w:t>
      </w:r>
      <w:r w:rsidRPr="00551F7F">
        <w:rPr>
          <w:rFonts w:ascii="Arial" w:hAnsi="Arial" w:cs="Arial"/>
          <w:sz w:val="24"/>
          <w:szCs w:val="24"/>
        </w:rPr>
        <w:t xml:space="preserve"> conditions and geopolitical instability can impact occupancy rates and revenue (Hill &amp; Jones, 2012).</w:t>
      </w:r>
    </w:p>
    <w:p w14:paraId="20C6DD9A" w14:textId="76EC4C99" w:rsidR="00E952BC" w:rsidRPr="00551F7F" w:rsidRDefault="00E952BC" w:rsidP="006D773C">
      <w:pPr>
        <w:numPr>
          <w:ilvl w:val="0"/>
          <w:numId w:val="5"/>
        </w:numPr>
        <w:spacing w:line="360" w:lineRule="auto"/>
        <w:jc w:val="both"/>
        <w:rPr>
          <w:rFonts w:ascii="Arial" w:hAnsi="Arial" w:cs="Arial"/>
          <w:sz w:val="24"/>
          <w:szCs w:val="24"/>
        </w:rPr>
      </w:pPr>
      <w:r w:rsidRPr="00551F7F">
        <w:rPr>
          <w:rFonts w:ascii="Arial" w:hAnsi="Arial" w:cs="Arial"/>
          <w:b/>
          <w:bCs/>
          <w:sz w:val="24"/>
          <w:szCs w:val="24"/>
        </w:rPr>
        <w:t>Competition</w:t>
      </w:r>
      <w:r w:rsidRPr="00551F7F">
        <w:rPr>
          <w:rFonts w:ascii="Arial" w:hAnsi="Arial" w:cs="Arial"/>
          <w:sz w:val="24"/>
          <w:szCs w:val="24"/>
        </w:rPr>
        <w:t xml:space="preserve">: Intense competition from other global hospitality brands </w:t>
      </w:r>
      <w:r w:rsidR="00302A46" w:rsidRPr="006D773C">
        <w:rPr>
          <w:rFonts w:ascii="Arial" w:hAnsi="Arial" w:cs="Arial"/>
          <w:sz w:val="24"/>
          <w:szCs w:val="24"/>
        </w:rPr>
        <w:t>threatens</w:t>
      </w:r>
      <w:r w:rsidRPr="00551F7F">
        <w:rPr>
          <w:rFonts w:ascii="Arial" w:hAnsi="Arial" w:cs="Arial"/>
          <w:sz w:val="24"/>
          <w:szCs w:val="24"/>
        </w:rPr>
        <w:t xml:space="preserve"> market share (Grant, 2010).</w:t>
      </w:r>
    </w:p>
    <w:p w14:paraId="3D10E9AD" w14:textId="77777777" w:rsidR="00302A46" w:rsidRPr="006D773C" w:rsidRDefault="00302A46" w:rsidP="006D773C">
      <w:pPr>
        <w:spacing w:line="360" w:lineRule="auto"/>
        <w:jc w:val="both"/>
        <w:rPr>
          <w:rFonts w:ascii="Arial" w:hAnsi="Arial" w:cs="Arial"/>
          <w:sz w:val="24"/>
          <w:szCs w:val="24"/>
        </w:rPr>
      </w:pPr>
      <w:r w:rsidRPr="006D773C">
        <w:rPr>
          <w:rFonts w:ascii="Arial" w:hAnsi="Arial" w:cs="Arial"/>
          <w:sz w:val="24"/>
          <w:szCs w:val="24"/>
        </w:rPr>
        <w:lastRenderedPageBreak/>
        <w:t>IHG's strategy tackles its internal advantages, disadvantages, external prospects, and challenges. The company utilises its robust assortment of brands and worldwide reach to improve market share and foster customer allegiance. As stated in the 2022 Annual Report, IHG allocates resources to emerging markets to take advantage of potential growth opportunities and reduce the risk of oversaturation in developed regions (IHG, 2022).</w:t>
      </w:r>
    </w:p>
    <w:p w14:paraId="4CE16C5C" w14:textId="77777777" w:rsidR="00302A46" w:rsidRPr="006D773C" w:rsidRDefault="00302A46" w:rsidP="006D773C">
      <w:pPr>
        <w:spacing w:line="360" w:lineRule="auto"/>
        <w:jc w:val="both"/>
        <w:rPr>
          <w:rFonts w:ascii="Arial" w:hAnsi="Arial" w:cs="Arial"/>
          <w:sz w:val="24"/>
          <w:szCs w:val="24"/>
        </w:rPr>
      </w:pPr>
      <w:r w:rsidRPr="006D773C">
        <w:rPr>
          <w:rFonts w:ascii="Arial" w:hAnsi="Arial" w:cs="Arial"/>
          <w:sz w:val="24"/>
          <w:szCs w:val="24"/>
        </w:rPr>
        <w:t>To overcome shortcomings, IHG prioritises enhancing franchise relationships by implementing extensive training programmes and quality assurance measures (IHG Responsible Business Report, 2020). Digital transformation initiatives, such as sophisticated data analytics and customer relationship management systems, are intended to decrease operational expenses and enhance service provision (Chaffey &amp; Ellis-Chadwick, 2019).</w:t>
      </w:r>
    </w:p>
    <w:p w14:paraId="6E9A0952" w14:textId="7F06EF71" w:rsidR="00E952BC" w:rsidRPr="006D773C" w:rsidRDefault="00302A46" w:rsidP="006D773C">
      <w:pPr>
        <w:spacing w:line="360" w:lineRule="auto"/>
        <w:jc w:val="both"/>
        <w:rPr>
          <w:rFonts w:ascii="Arial" w:hAnsi="Arial" w:cs="Arial"/>
          <w:sz w:val="24"/>
          <w:szCs w:val="24"/>
        </w:rPr>
      </w:pPr>
      <w:r w:rsidRPr="006D773C">
        <w:rPr>
          <w:rFonts w:ascii="Arial" w:hAnsi="Arial" w:cs="Arial"/>
          <w:sz w:val="24"/>
          <w:szCs w:val="24"/>
        </w:rPr>
        <w:t>IHG utilises stringent risk management protocols, such as scenario analysis and market diversification strategies, to address potential threats. These measures aid in reducing the effects of economic instability and competitive forces (Johnson, Scholes, &amp; Whittington, 2008).</w:t>
      </w:r>
    </w:p>
    <w:p w14:paraId="2664815B" w14:textId="77777777" w:rsidR="00E952BC" w:rsidRPr="006D773C" w:rsidRDefault="00E952BC" w:rsidP="006D773C">
      <w:pPr>
        <w:spacing w:line="360" w:lineRule="auto"/>
        <w:jc w:val="both"/>
        <w:rPr>
          <w:rFonts w:ascii="Arial" w:hAnsi="Arial" w:cs="Arial"/>
          <w:b/>
          <w:bCs/>
          <w:sz w:val="24"/>
          <w:szCs w:val="24"/>
        </w:rPr>
      </w:pPr>
    </w:p>
    <w:p w14:paraId="78C34F8E" w14:textId="623FC0BA" w:rsidR="00E952BC" w:rsidRPr="007777A2" w:rsidRDefault="00E952BC" w:rsidP="006D773C">
      <w:pPr>
        <w:spacing w:line="360" w:lineRule="auto"/>
        <w:jc w:val="both"/>
        <w:rPr>
          <w:rFonts w:ascii="Arial" w:hAnsi="Arial" w:cs="Arial"/>
          <w:b/>
          <w:bCs/>
          <w:sz w:val="24"/>
          <w:szCs w:val="24"/>
        </w:rPr>
      </w:pPr>
      <w:r w:rsidRPr="007777A2">
        <w:rPr>
          <w:rFonts w:ascii="Arial" w:hAnsi="Arial" w:cs="Arial"/>
          <w:b/>
          <w:bCs/>
          <w:sz w:val="24"/>
          <w:szCs w:val="24"/>
        </w:rPr>
        <w:t>Recent Change Initiatives</w:t>
      </w:r>
    </w:p>
    <w:p w14:paraId="27268D0E" w14:textId="4BA59A49" w:rsidR="00E501EE" w:rsidRPr="006D773C" w:rsidRDefault="00E501EE" w:rsidP="006D773C">
      <w:pPr>
        <w:spacing w:line="360" w:lineRule="auto"/>
        <w:jc w:val="both"/>
        <w:rPr>
          <w:rFonts w:ascii="Arial" w:hAnsi="Arial" w:cs="Arial"/>
          <w:sz w:val="24"/>
          <w:szCs w:val="24"/>
        </w:rPr>
      </w:pPr>
      <w:r w:rsidRPr="006D773C">
        <w:rPr>
          <w:rFonts w:ascii="Arial" w:hAnsi="Arial" w:cs="Arial"/>
          <w:sz w:val="24"/>
          <w:szCs w:val="24"/>
        </w:rPr>
        <w:t xml:space="preserve">IHG has </w:t>
      </w:r>
      <w:r w:rsidR="00D3755C">
        <w:rPr>
          <w:rFonts w:ascii="Arial" w:hAnsi="Arial" w:cs="Arial"/>
          <w:sz w:val="24"/>
          <w:szCs w:val="24"/>
        </w:rPr>
        <w:t>recently undertaken various substantial change initiatives</w:t>
      </w:r>
      <w:r w:rsidRPr="006D773C">
        <w:rPr>
          <w:rFonts w:ascii="Arial" w:hAnsi="Arial" w:cs="Arial"/>
          <w:sz w:val="24"/>
          <w:szCs w:val="24"/>
        </w:rPr>
        <w:t xml:space="preserve">, particularly emphasising digital transformation, sustainability, and improving guest experiences. In the 2023 Annual Report, it is stated that IHG introduced the "IHG Way of Clean" programme to improve cleanliness and safety measures in </w:t>
      </w:r>
      <w:r w:rsidR="00AC1BC7" w:rsidRPr="006D773C">
        <w:rPr>
          <w:rFonts w:ascii="Arial" w:hAnsi="Arial" w:cs="Arial"/>
          <w:sz w:val="24"/>
          <w:szCs w:val="24"/>
        </w:rPr>
        <w:t>all</w:t>
      </w:r>
      <w:r w:rsidRPr="006D773C">
        <w:rPr>
          <w:rFonts w:ascii="Arial" w:hAnsi="Arial" w:cs="Arial"/>
          <w:sz w:val="24"/>
          <w:szCs w:val="24"/>
        </w:rPr>
        <w:t xml:space="preserve"> its properties as a response to the COVID-19 pandemic (IHG, 2023). In addition, IHG has placed a high importance on digital innovation by creating mobile applications and improving customer relationship management systems. These efforts enhance guest engagement and make operations more efficient (IHG, 2022).</w:t>
      </w:r>
    </w:p>
    <w:p w14:paraId="0CFE0916" w14:textId="0F200B71" w:rsidR="00E501EE" w:rsidRPr="006D773C" w:rsidRDefault="00E501EE" w:rsidP="006D773C">
      <w:pPr>
        <w:spacing w:line="360" w:lineRule="auto"/>
        <w:jc w:val="both"/>
        <w:rPr>
          <w:rFonts w:ascii="Arial" w:hAnsi="Arial" w:cs="Arial"/>
          <w:sz w:val="24"/>
          <w:szCs w:val="24"/>
        </w:rPr>
      </w:pPr>
      <w:r w:rsidRPr="006D773C">
        <w:rPr>
          <w:rFonts w:ascii="Arial" w:hAnsi="Arial" w:cs="Arial"/>
          <w:sz w:val="24"/>
          <w:szCs w:val="24"/>
        </w:rPr>
        <w:t xml:space="preserve">The change initiatives have significantly impacted IHG's operations and performance. Implementing the "IHG Way of Clean" initiative has bolstered guest trust, </w:t>
      </w:r>
      <w:r w:rsidR="00A85A62" w:rsidRPr="006D773C">
        <w:rPr>
          <w:rFonts w:ascii="Arial" w:hAnsi="Arial" w:cs="Arial"/>
          <w:sz w:val="24"/>
          <w:szCs w:val="24"/>
        </w:rPr>
        <w:t>improved occupancy rates, and raised</w:t>
      </w:r>
      <w:r w:rsidRPr="006D773C">
        <w:rPr>
          <w:rFonts w:ascii="Arial" w:hAnsi="Arial" w:cs="Arial"/>
          <w:sz w:val="24"/>
          <w:szCs w:val="24"/>
        </w:rPr>
        <w:t xml:space="preserve"> customer satisfaction scores (IHG, 2023). Thanks to </w:t>
      </w:r>
      <w:r w:rsidR="00DA54A8" w:rsidRPr="006D773C">
        <w:rPr>
          <w:rFonts w:ascii="Arial" w:hAnsi="Arial" w:cs="Arial"/>
          <w:sz w:val="24"/>
          <w:szCs w:val="24"/>
        </w:rPr>
        <w:lastRenderedPageBreak/>
        <w:t>enhanced</w:t>
      </w:r>
      <w:r w:rsidRPr="006D773C">
        <w:rPr>
          <w:rFonts w:ascii="Arial" w:hAnsi="Arial" w:cs="Arial"/>
          <w:sz w:val="24"/>
          <w:szCs w:val="24"/>
        </w:rPr>
        <w:t xml:space="preserve"> digital capabilities, IHG has </w:t>
      </w:r>
      <w:r w:rsidR="00DA54A8" w:rsidRPr="006D773C">
        <w:rPr>
          <w:rFonts w:ascii="Arial" w:hAnsi="Arial" w:cs="Arial"/>
          <w:sz w:val="24"/>
          <w:szCs w:val="24"/>
        </w:rPr>
        <w:t>provided</w:t>
      </w:r>
      <w:r w:rsidRPr="006D773C">
        <w:rPr>
          <w:rFonts w:ascii="Arial" w:hAnsi="Arial" w:cs="Arial"/>
          <w:sz w:val="24"/>
          <w:szCs w:val="24"/>
        </w:rPr>
        <w:t xml:space="preserve"> personalised services and promotions, resulting in increased customer retention and loyalty. The Responsible Business Report 2021 states that these initiatives have enhanced operational efficiency, resulting in cost reductions and increased profitability (IHG Responsible Business Report, 2021).</w:t>
      </w:r>
    </w:p>
    <w:p w14:paraId="08AF50E9" w14:textId="469B01C4" w:rsidR="00E501EE" w:rsidRPr="006D773C" w:rsidRDefault="00E501EE" w:rsidP="006D773C">
      <w:pPr>
        <w:spacing w:line="360" w:lineRule="auto"/>
        <w:jc w:val="both"/>
        <w:rPr>
          <w:rFonts w:ascii="Arial" w:hAnsi="Arial" w:cs="Arial"/>
          <w:sz w:val="24"/>
          <w:szCs w:val="24"/>
        </w:rPr>
      </w:pPr>
      <w:r w:rsidRPr="006D773C">
        <w:rPr>
          <w:rFonts w:ascii="Arial" w:hAnsi="Arial" w:cs="Arial"/>
          <w:sz w:val="24"/>
          <w:szCs w:val="24"/>
        </w:rPr>
        <w:t xml:space="preserve">The success of these change processes relies heavily on their efficient management. IHG utilises a well-organised change management framework incorporating stakeholder engagement, transparent communication strategies, and ongoing feedback mechanisms. Stakeholder engagement is achieved by </w:t>
      </w:r>
      <w:r w:rsidR="00DA54A8" w:rsidRPr="006D773C">
        <w:rPr>
          <w:rFonts w:ascii="Arial" w:hAnsi="Arial" w:cs="Arial"/>
          <w:sz w:val="24"/>
          <w:szCs w:val="24"/>
        </w:rPr>
        <w:t>meeting</w:t>
      </w:r>
      <w:r w:rsidRPr="006D773C">
        <w:rPr>
          <w:rFonts w:ascii="Arial" w:hAnsi="Arial" w:cs="Arial"/>
          <w:sz w:val="24"/>
          <w:szCs w:val="24"/>
        </w:rPr>
        <w:t xml:space="preserve"> with hotel owners, employees, and customers to establish agreement and resolve concerns (Kotter, 1996). Communication strategies encompass various methods, such as internal newsletters, training programmes, and digital platforms, to distribute information and updates (Hiatt &amp; Creasey, 2003).</w:t>
      </w:r>
    </w:p>
    <w:p w14:paraId="48BFABCC" w14:textId="77777777" w:rsidR="00E501EE" w:rsidRPr="006D773C" w:rsidRDefault="00E501EE" w:rsidP="006D773C">
      <w:pPr>
        <w:spacing w:line="360" w:lineRule="auto"/>
        <w:jc w:val="both"/>
        <w:rPr>
          <w:rFonts w:ascii="Arial" w:hAnsi="Arial" w:cs="Arial"/>
          <w:sz w:val="24"/>
          <w:szCs w:val="24"/>
        </w:rPr>
      </w:pPr>
      <w:r w:rsidRPr="006D773C">
        <w:rPr>
          <w:rFonts w:ascii="Arial" w:hAnsi="Arial" w:cs="Arial"/>
          <w:sz w:val="24"/>
          <w:szCs w:val="24"/>
        </w:rPr>
        <w:t>An exemplary instance of IHG's change initiatives is the implementation of the IHG Rewards Club, which has dramatically bolstered customer loyalty and augmented direct bookings. The 2022 Annual Report demonstrates the program's success through its substantial increase in membership, surpassing 100 million members globally (IHG, 2022).</w:t>
      </w:r>
    </w:p>
    <w:p w14:paraId="08B4FEAE" w14:textId="51D60741" w:rsidR="00302A46" w:rsidRPr="006D773C" w:rsidRDefault="00E501EE" w:rsidP="006D773C">
      <w:pPr>
        <w:spacing w:line="360" w:lineRule="auto"/>
        <w:jc w:val="both"/>
        <w:rPr>
          <w:rFonts w:ascii="Arial" w:hAnsi="Arial" w:cs="Arial"/>
          <w:b/>
          <w:bCs/>
          <w:sz w:val="24"/>
          <w:szCs w:val="24"/>
        </w:rPr>
      </w:pPr>
      <w:r w:rsidRPr="006D773C">
        <w:rPr>
          <w:rFonts w:ascii="Arial" w:hAnsi="Arial" w:cs="Arial"/>
          <w:sz w:val="24"/>
          <w:szCs w:val="24"/>
        </w:rPr>
        <w:t xml:space="preserve">On the other hand, introducing new technology systems across various properties presented considerable difficulties. The implementation was hindered by initial opposition from staff and technical </w:t>
      </w:r>
      <w:r w:rsidR="00D3755C">
        <w:rPr>
          <w:rFonts w:ascii="Arial" w:hAnsi="Arial" w:cs="Arial"/>
          <w:sz w:val="24"/>
          <w:szCs w:val="24"/>
        </w:rPr>
        <w:t>challenges</w:t>
      </w:r>
      <w:r w:rsidRPr="006D773C">
        <w:rPr>
          <w:rFonts w:ascii="Arial" w:hAnsi="Arial" w:cs="Arial"/>
          <w:sz w:val="24"/>
          <w:szCs w:val="24"/>
        </w:rPr>
        <w:t>, emphasising the significance of thorough training and support during organisational changes (Cameron &amp; Green, 2019). Despite the difficulties faced, IHG's dedication to the ongoing enhancement and involvement of stakeholders enabled the effective implementation of these technologies (IHG Responsible Business Report, 2021).</w:t>
      </w:r>
    </w:p>
    <w:p w14:paraId="34396B78" w14:textId="77777777" w:rsidR="00302A46" w:rsidRPr="006D773C" w:rsidRDefault="00302A46" w:rsidP="006D773C">
      <w:pPr>
        <w:spacing w:line="360" w:lineRule="auto"/>
        <w:jc w:val="both"/>
        <w:rPr>
          <w:rFonts w:ascii="Arial" w:hAnsi="Arial" w:cs="Arial"/>
          <w:b/>
          <w:bCs/>
          <w:sz w:val="24"/>
          <w:szCs w:val="24"/>
        </w:rPr>
      </w:pPr>
    </w:p>
    <w:p w14:paraId="48794658" w14:textId="229B2078" w:rsidR="00E952BC" w:rsidRPr="007777A2" w:rsidRDefault="00E952BC" w:rsidP="006D773C">
      <w:pPr>
        <w:spacing w:line="360" w:lineRule="auto"/>
        <w:jc w:val="both"/>
        <w:rPr>
          <w:rFonts w:ascii="Arial" w:hAnsi="Arial" w:cs="Arial"/>
          <w:b/>
          <w:bCs/>
          <w:sz w:val="24"/>
          <w:szCs w:val="24"/>
        </w:rPr>
      </w:pPr>
      <w:r w:rsidRPr="007777A2">
        <w:rPr>
          <w:rFonts w:ascii="Arial" w:hAnsi="Arial" w:cs="Arial"/>
          <w:b/>
          <w:bCs/>
          <w:sz w:val="24"/>
          <w:szCs w:val="24"/>
        </w:rPr>
        <w:t>Comparative Analysis with Competitors in the Hospitality Market</w:t>
      </w:r>
    </w:p>
    <w:p w14:paraId="3E6F7050" w14:textId="77777777" w:rsidR="00E55812" w:rsidRPr="006D773C" w:rsidRDefault="00E55812" w:rsidP="006D773C">
      <w:pPr>
        <w:spacing w:line="360" w:lineRule="auto"/>
        <w:jc w:val="both"/>
        <w:rPr>
          <w:rFonts w:ascii="Arial" w:hAnsi="Arial" w:cs="Arial"/>
          <w:sz w:val="24"/>
          <w:szCs w:val="24"/>
        </w:rPr>
      </w:pPr>
      <w:r w:rsidRPr="006D773C">
        <w:rPr>
          <w:rFonts w:ascii="Arial" w:hAnsi="Arial" w:cs="Arial"/>
          <w:sz w:val="24"/>
          <w:szCs w:val="24"/>
        </w:rPr>
        <w:t xml:space="preserve">When evaluating IHG about its rivals, such as Marriott International and Hilton Worldwide, differences in organisation, corporate culture, objectives, and strategic orientation become apparent. IHG employs an asset-light business model, which emphasises </w:t>
      </w:r>
      <w:r w:rsidRPr="006D773C">
        <w:rPr>
          <w:rFonts w:ascii="Arial" w:hAnsi="Arial" w:cs="Arial"/>
          <w:sz w:val="24"/>
          <w:szCs w:val="24"/>
        </w:rPr>
        <w:lastRenderedPageBreak/>
        <w:t>franchising and management contracts. This approach is comparable to its competitors, such as Marriott International (2023) and Hilton Worldwide (2022). It enables IHG to achieve scalable growth while requiring minimal capital investment.</w:t>
      </w:r>
    </w:p>
    <w:p w14:paraId="54348DA5" w14:textId="31FB8E07" w:rsidR="00E55812" w:rsidRPr="006D773C" w:rsidRDefault="00E55812" w:rsidP="006D773C">
      <w:pPr>
        <w:spacing w:line="360" w:lineRule="auto"/>
        <w:jc w:val="both"/>
        <w:rPr>
          <w:rFonts w:ascii="Arial" w:hAnsi="Arial" w:cs="Arial"/>
          <w:sz w:val="24"/>
          <w:szCs w:val="24"/>
        </w:rPr>
      </w:pPr>
      <w:r w:rsidRPr="006D773C">
        <w:rPr>
          <w:rFonts w:ascii="Arial" w:hAnsi="Arial" w:cs="Arial"/>
          <w:sz w:val="24"/>
          <w:szCs w:val="24"/>
        </w:rPr>
        <w:t>IHG distinguishes itself by focusing on sustainability and community engagement in its organisational culture. The IHG Responsible Business Report 2021 highlights IHG's "Journey to Tomorrow" initiative, which sets forth ambitious sustainability objectives such as reducing carbon emissions and promoting diversity and inclusion (IHG Responsible Business Report, 2021). IHG's commitment to integrating goals into everyday operations and engaging stakeholders is notably comprehensive like Marriott's "Serve 360" and Hilton's "Travel with Purpose" initiatives (Marriott International, 2023; Hilton Worldwide, 2022).</w:t>
      </w:r>
    </w:p>
    <w:p w14:paraId="71415214" w14:textId="7F2AD1F2" w:rsidR="00EF7195" w:rsidRPr="006D773C" w:rsidRDefault="00E55812" w:rsidP="006D773C">
      <w:pPr>
        <w:spacing w:line="360" w:lineRule="auto"/>
        <w:jc w:val="both"/>
        <w:rPr>
          <w:rFonts w:ascii="Arial" w:hAnsi="Arial" w:cs="Arial"/>
          <w:b/>
          <w:bCs/>
          <w:sz w:val="24"/>
          <w:szCs w:val="24"/>
        </w:rPr>
      </w:pPr>
      <w:r w:rsidRPr="006D773C">
        <w:rPr>
          <w:rFonts w:ascii="Arial" w:hAnsi="Arial" w:cs="Arial"/>
          <w:sz w:val="24"/>
          <w:szCs w:val="24"/>
        </w:rPr>
        <w:t>IHG's strategic focus on digital transformation and improving guest experiences aligns with a prevalent industry trend. Nevertheless, IHG's customised strategy for utilising technology to enhance personalised guest interactions and improve operational efficiency gives it a distinct advantage over its competitors. This can be observed in the higher customer satisfaction and loyalty metrics documented in the 2023 Annual Report (IHG, 2023).</w:t>
      </w:r>
    </w:p>
    <w:p w14:paraId="7A743D6C" w14:textId="77777777" w:rsidR="00A85A62" w:rsidRPr="006D773C" w:rsidRDefault="00A85A62" w:rsidP="006D773C">
      <w:pPr>
        <w:spacing w:line="360" w:lineRule="auto"/>
        <w:jc w:val="both"/>
        <w:rPr>
          <w:rFonts w:ascii="Arial" w:hAnsi="Arial" w:cs="Arial"/>
          <w:b/>
          <w:bCs/>
          <w:sz w:val="24"/>
          <w:szCs w:val="24"/>
        </w:rPr>
      </w:pPr>
    </w:p>
    <w:p w14:paraId="22CD8067" w14:textId="281CF874" w:rsidR="00E952BC" w:rsidRPr="00367358" w:rsidRDefault="00E952BC" w:rsidP="006D773C">
      <w:pPr>
        <w:spacing w:line="360" w:lineRule="auto"/>
        <w:jc w:val="both"/>
        <w:rPr>
          <w:rFonts w:ascii="Arial" w:hAnsi="Arial" w:cs="Arial"/>
          <w:b/>
          <w:bCs/>
          <w:sz w:val="24"/>
          <w:szCs w:val="24"/>
        </w:rPr>
      </w:pPr>
      <w:r w:rsidRPr="00367358">
        <w:rPr>
          <w:rFonts w:ascii="Arial" w:hAnsi="Arial" w:cs="Arial"/>
          <w:b/>
          <w:bCs/>
          <w:sz w:val="24"/>
          <w:szCs w:val="24"/>
        </w:rPr>
        <w:t>Conclusion</w:t>
      </w:r>
    </w:p>
    <w:p w14:paraId="2A0C4E40" w14:textId="2117E50E" w:rsidR="00E952BC" w:rsidRPr="006D773C" w:rsidRDefault="00E952BC" w:rsidP="006D773C">
      <w:pPr>
        <w:spacing w:line="360" w:lineRule="auto"/>
        <w:jc w:val="both"/>
        <w:rPr>
          <w:rFonts w:ascii="Arial" w:hAnsi="Arial" w:cs="Arial"/>
          <w:sz w:val="24"/>
          <w:szCs w:val="24"/>
        </w:rPr>
      </w:pPr>
      <w:r w:rsidRPr="00367358">
        <w:rPr>
          <w:rFonts w:ascii="Arial" w:hAnsi="Arial" w:cs="Arial"/>
          <w:sz w:val="24"/>
          <w:szCs w:val="24"/>
        </w:rPr>
        <w:t>In conclusion,</w:t>
      </w:r>
      <w:r w:rsidR="00A5478A" w:rsidRPr="006D773C">
        <w:rPr>
          <w:rFonts w:ascii="Arial" w:hAnsi="Arial" w:cs="Arial"/>
          <w:sz w:val="24"/>
          <w:szCs w:val="24"/>
        </w:rPr>
        <w:t xml:space="preserve"> Intercontinental Hotel Group (IHG) has exhibited robust organisational capabilities by employing an efficient structure, fostering an inclusive culture, and implementing strategic initiatives to achieve sustainable growth and improve guest experiences. The company's strategic solid management framework and proactive stance towards digital transformation and sustainability give it a favourable position in the competitive hospitality market. Nevertheless, IHG must persist in tackling issues concerning franchise supervision and operational expenses. To enhance its market position and ensure long-term success, IHG can strengthen control mechanisms, broaden diversity initiatives, and utilise advanced technologies. The recommendations </w:t>
      </w:r>
      <w:r w:rsidR="00A5478A" w:rsidRPr="006D773C">
        <w:rPr>
          <w:rFonts w:ascii="Arial" w:hAnsi="Arial" w:cs="Arial"/>
          <w:sz w:val="24"/>
          <w:szCs w:val="24"/>
        </w:rPr>
        <w:lastRenderedPageBreak/>
        <w:t>outlined in this report present a strategic plan to effectively navigate forthcoming opportunities and challenges, guaranteeing sustained expansion and competitiveness.</w:t>
      </w:r>
    </w:p>
    <w:p w14:paraId="43A54AEF" w14:textId="77777777" w:rsidR="00A85A62" w:rsidRPr="006D773C" w:rsidRDefault="00A85A62" w:rsidP="006D773C">
      <w:pPr>
        <w:spacing w:line="360" w:lineRule="auto"/>
        <w:jc w:val="both"/>
        <w:rPr>
          <w:rFonts w:ascii="Arial" w:hAnsi="Arial" w:cs="Arial"/>
          <w:b/>
          <w:bCs/>
          <w:sz w:val="24"/>
          <w:szCs w:val="24"/>
        </w:rPr>
      </w:pPr>
    </w:p>
    <w:p w14:paraId="3522BA94" w14:textId="58655CC8" w:rsidR="00E952BC" w:rsidRPr="0011098A" w:rsidRDefault="00E952BC" w:rsidP="006D773C">
      <w:pPr>
        <w:spacing w:line="360" w:lineRule="auto"/>
        <w:jc w:val="both"/>
        <w:rPr>
          <w:rFonts w:ascii="Arial" w:hAnsi="Arial" w:cs="Arial"/>
          <w:b/>
          <w:bCs/>
          <w:sz w:val="24"/>
          <w:szCs w:val="24"/>
        </w:rPr>
      </w:pPr>
      <w:r w:rsidRPr="0011098A">
        <w:rPr>
          <w:rFonts w:ascii="Arial" w:hAnsi="Arial" w:cs="Arial"/>
          <w:b/>
          <w:bCs/>
          <w:sz w:val="24"/>
          <w:szCs w:val="24"/>
        </w:rPr>
        <w:t>Recommendations</w:t>
      </w:r>
    </w:p>
    <w:p w14:paraId="23C611D4" w14:textId="77777777" w:rsidR="00543C16" w:rsidRPr="00543C16" w:rsidRDefault="00543C16" w:rsidP="006D773C">
      <w:pPr>
        <w:spacing w:line="360" w:lineRule="auto"/>
        <w:jc w:val="both"/>
        <w:rPr>
          <w:rFonts w:ascii="Arial" w:hAnsi="Arial" w:cs="Arial"/>
          <w:sz w:val="24"/>
          <w:szCs w:val="24"/>
        </w:rPr>
      </w:pPr>
      <w:r w:rsidRPr="00543C16">
        <w:rPr>
          <w:rFonts w:ascii="Arial" w:hAnsi="Arial" w:cs="Arial"/>
          <w:sz w:val="24"/>
          <w:szCs w:val="24"/>
        </w:rPr>
        <w:t>According to the analysis, IHG can enhance its organisational structure, culture, strategic direction, and change management by implementing several practical recommendations.</w:t>
      </w:r>
    </w:p>
    <w:p w14:paraId="00A6B275" w14:textId="7F19B5D4" w:rsidR="00543C16" w:rsidRPr="006D773C" w:rsidRDefault="00543C16" w:rsidP="006D773C">
      <w:pPr>
        <w:pStyle w:val="ListParagraph"/>
        <w:numPr>
          <w:ilvl w:val="0"/>
          <w:numId w:val="11"/>
        </w:numPr>
        <w:spacing w:line="360" w:lineRule="auto"/>
        <w:jc w:val="both"/>
        <w:rPr>
          <w:rFonts w:ascii="Arial" w:hAnsi="Arial" w:cs="Arial"/>
          <w:sz w:val="24"/>
          <w:szCs w:val="24"/>
        </w:rPr>
      </w:pPr>
      <w:r w:rsidRPr="006D773C">
        <w:rPr>
          <w:rFonts w:ascii="Arial" w:hAnsi="Arial" w:cs="Arial"/>
          <w:sz w:val="24"/>
          <w:szCs w:val="24"/>
        </w:rPr>
        <w:t>IHG should implement more robust oversight mechanisms for its franchise operations to improve the efficiency of its asset-light model. Hill and Jones (2012) argue that centralised control can reduce quality inconsistencies. Regular audits and comprehensive training programmes for franchisees can effectively guarantee that service standards are consistently achieved (IHG, 2022).</w:t>
      </w:r>
    </w:p>
    <w:p w14:paraId="1618EE13" w14:textId="673AE756" w:rsidR="00543C16" w:rsidRPr="006D773C" w:rsidRDefault="00543C16" w:rsidP="006D773C">
      <w:pPr>
        <w:pStyle w:val="ListParagraph"/>
        <w:numPr>
          <w:ilvl w:val="0"/>
          <w:numId w:val="11"/>
        </w:numPr>
        <w:spacing w:line="360" w:lineRule="auto"/>
        <w:jc w:val="both"/>
        <w:rPr>
          <w:rFonts w:ascii="Arial" w:hAnsi="Arial" w:cs="Arial"/>
          <w:sz w:val="24"/>
          <w:szCs w:val="24"/>
        </w:rPr>
      </w:pPr>
      <w:r w:rsidRPr="006D773C">
        <w:rPr>
          <w:rFonts w:ascii="Arial" w:hAnsi="Arial" w:cs="Arial"/>
          <w:sz w:val="24"/>
          <w:szCs w:val="24"/>
        </w:rPr>
        <w:t>IHG should continue promoting its comprehensive culture by broadening diversity and inclusion initiatives. Compulsory unconscious bias training and the establishment of diversity councils at regional levels are beneficial for cultivating a more inclusive environment (Thomas, 1990). As per the IHG Responsible Business Report of 2021, implementing these measures can improve employee engagement and performance.</w:t>
      </w:r>
    </w:p>
    <w:p w14:paraId="557211E3" w14:textId="57B28E39" w:rsidR="00543C16" w:rsidRPr="006D773C" w:rsidRDefault="00543C16" w:rsidP="006D773C">
      <w:pPr>
        <w:pStyle w:val="ListParagraph"/>
        <w:numPr>
          <w:ilvl w:val="0"/>
          <w:numId w:val="11"/>
        </w:numPr>
        <w:spacing w:line="360" w:lineRule="auto"/>
        <w:jc w:val="both"/>
        <w:rPr>
          <w:rFonts w:ascii="Arial" w:hAnsi="Arial" w:cs="Arial"/>
          <w:sz w:val="24"/>
          <w:szCs w:val="24"/>
        </w:rPr>
      </w:pPr>
      <w:r w:rsidRPr="006D773C">
        <w:rPr>
          <w:rFonts w:ascii="Arial" w:hAnsi="Arial" w:cs="Arial"/>
          <w:sz w:val="24"/>
          <w:szCs w:val="24"/>
        </w:rPr>
        <w:t>To sustain its competitive edge, IHG should allocate additional resources towards digital transformation. Utilising AI and machine learning to customise guest experiences can enhance customer loyalty and improve operational efficiency (Teece, 2010). Marriott International has greatly improved guest satisfaction by effectively incorporating AI-driven customer service tools into its operations (Marriott International, 2023).</w:t>
      </w:r>
    </w:p>
    <w:p w14:paraId="142525A5" w14:textId="77777777" w:rsidR="00543C16" w:rsidRPr="006D773C" w:rsidRDefault="00543C16" w:rsidP="006D773C">
      <w:pPr>
        <w:pStyle w:val="ListParagraph"/>
        <w:numPr>
          <w:ilvl w:val="0"/>
          <w:numId w:val="11"/>
        </w:numPr>
        <w:spacing w:line="360" w:lineRule="auto"/>
        <w:jc w:val="both"/>
        <w:rPr>
          <w:rFonts w:ascii="Arial" w:hAnsi="Arial" w:cs="Arial"/>
          <w:sz w:val="24"/>
          <w:szCs w:val="24"/>
        </w:rPr>
      </w:pPr>
      <w:r w:rsidRPr="006D773C">
        <w:rPr>
          <w:rFonts w:ascii="Arial" w:hAnsi="Arial" w:cs="Arial"/>
          <w:sz w:val="24"/>
          <w:szCs w:val="24"/>
        </w:rPr>
        <w:t>Effective change management is essential for IHG's ongoing enhancement. Implementing Kotter's eight-step change model can offer a systematic approach to overseeing change initiatives (Kotter, 1996). Engaging employees at every hierarchical level in the change process can augment their acceptance and diminish opposition (Cameron &amp; Green, 2019). The 2023 Annual Report highlights the crucial role of effective communication and ongoing feedback loops in past successful initiatives (IHG, 2023).</w:t>
      </w:r>
    </w:p>
    <w:p w14:paraId="3ADA5632" w14:textId="11F54E71" w:rsidR="00AC1BC7" w:rsidRPr="006D773C" w:rsidRDefault="00DA54A8" w:rsidP="006D773C">
      <w:pPr>
        <w:spacing w:line="360" w:lineRule="auto"/>
        <w:jc w:val="both"/>
        <w:rPr>
          <w:rFonts w:ascii="Arial" w:hAnsi="Arial" w:cs="Arial"/>
          <w:b/>
          <w:bCs/>
          <w:sz w:val="24"/>
          <w:szCs w:val="24"/>
        </w:rPr>
      </w:pPr>
      <w:r w:rsidRPr="006D773C">
        <w:rPr>
          <w:rFonts w:ascii="Arial" w:hAnsi="Arial" w:cs="Arial"/>
          <w:b/>
          <w:bCs/>
          <w:sz w:val="24"/>
          <w:szCs w:val="24"/>
        </w:rPr>
        <w:lastRenderedPageBreak/>
        <w:t xml:space="preserve"> </w:t>
      </w:r>
      <w:r w:rsidR="00E952BC" w:rsidRPr="00635B35">
        <w:rPr>
          <w:rFonts w:ascii="Arial" w:hAnsi="Arial" w:cs="Arial"/>
          <w:b/>
          <w:bCs/>
          <w:sz w:val="24"/>
          <w:szCs w:val="24"/>
        </w:rPr>
        <w:t>References</w:t>
      </w:r>
    </w:p>
    <w:p w14:paraId="652987D7" w14:textId="77777777" w:rsidR="00AC1BC7" w:rsidRPr="001902D2" w:rsidRDefault="00AC1BC7" w:rsidP="006D773C">
      <w:pPr>
        <w:numPr>
          <w:ilvl w:val="0"/>
          <w:numId w:val="12"/>
        </w:numPr>
        <w:spacing w:line="360" w:lineRule="auto"/>
        <w:jc w:val="both"/>
        <w:rPr>
          <w:rFonts w:ascii="Arial" w:hAnsi="Arial" w:cs="Arial"/>
          <w:sz w:val="24"/>
          <w:szCs w:val="24"/>
        </w:rPr>
      </w:pPr>
      <w:r w:rsidRPr="001902D2">
        <w:rPr>
          <w:rFonts w:ascii="Arial" w:hAnsi="Arial" w:cs="Arial"/>
          <w:sz w:val="24"/>
          <w:szCs w:val="24"/>
        </w:rPr>
        <w:t>Cameron, E., &amp; Green, M. (2019). Making Sense of Change Management: A Complete Guide to the Models, Tools, and Techniques of Organizational Change. Kogan Page.</w:t>
      </w:r>
    </w:p>
    <w:p w14:paraId="7CFCE352" w14:textId="77777777" w:rsidR="00AC1BC7" w:rsidRPr="00DC7EE7" w:rsidRDefault="00AC1BC7" w:rsidP="006D773C">
      <w:pPr>
        <w:numPr>
          <w:ilvl w:val="0"/>
          <w:numId w:val="12"/>
        </w:numPr>
        <w:spacing w:line="360" w:lineRule="auto"/>
        <w:jc w:val="both"/>
        <w:rPr>
          <w:rFonts w:ascii="Arial" w:hAnsi="Arial" w:cs="Arial"/>
          <w:sz w:val="24"/>
          <w:szCs w:val="24"/>
        </w:rPr>
      </w:pPr>
      <w:r w:rsidRPr="00DC7EE7">
        <w:rPr>
          <w:rFonts w:ascii="Arial" w:hAnsi="Arial" w:cs="Arial"/>
          <w:sz w:val="24"/>
          <w:szCs w:val="24"/>
        </w:rPr>
        <w:t>Chaffey, D., &amp; Ellis-Chadwick, F. (2019). Digital Marketing. Pearson.</w:t>
      </w:r>
    </w:p>
    <w:p w14:paraId="0CA9BB4D" w14:textId="77777777" w:rsidR="00AC1BC7" w:rsidRPr="00DC7EE7" w:rsidRDefault="00AC1BC7" w:rsidP="006D773C">
      <w:pPr>
        <w:numPr>
          <w:ilvl w:val="0"/>
          <w:numId w:val="12"/>
        </w:numPr>
        <w:spacing w:line="360" w:lineRule="auto"/>
        <w:jc w:val="both"/>
        <w:rPr>
          <w:rFonts w:ascii="Arial" w:hAnsi="Arial" w:cs="Arial"/>
          <w:sz w:val="24"/>
          <w:szCs w:val="24"/>
        </w:rPr>
      </w:pPr>
      <w:r w:rsidRPr="00DC7EE7">
        <w:rPr>
          <w:rFonts w:ascii="Arial" w:hAnsi="Arial" w:cs="Arial"/>
          <w:sz w:val="24"/>
          <w:szCs w:val="24"/>
        </w:rPr>
        <w:t>David, F. R. (2011). Strategic Management: Concepts and Cases. Pearson.</w:t>
      </w:r>
    </w:p>
    <w:p w14:paraId="66832BD9" w14:textId="77777777" w:rsidR="00AC1BC7" w:rsidRPr="00DC7EE7" w:rsidRDefault="00AC1BC7" w:rsidP="006D773C">
      <w:pPr>
        <w:numPr>
          <w:ilvl w:val="0"/>
          <w:numId w:val="12"/>
        </w:numPr>
        <w:spacing w:line="360" w:lineRule="auto"/>
        <w:jc w:val="both"/>
        <w:rPr>
          <w:rFonts w:ascii="Arial" w:hAnsi="Arial" w:cs="Arial"/>
          <w:sz w:val="24"/>
          <w:szCs w:val="24"/>
        </w:rPr>
      </w:pPr>
      <w:r w:rsidRPr="00DC7EE7">
        <w:rPr>
          <w:rFonts w:ascii="Arial" w:hAnsi="Arial" w:cs="Arial"/>
          <w:sz w:val="24"/>
          <w:szCs w:val="24"/>
        </w:rPr>
        <w:t xml:space="preserve">Gamble, J. E., Thompson, A. A., &amp; </w:t>
      </w:r>
      <w:proofErr w:type="spellStart"/>
      <w:r w:rsidRPr="00DC7EE7">
        <w:rPr>
          <w:rFonts w:ascii="Arial" w:hAnsi="Arial" w:cs="Arial"/>
          <w:sz w:val="24"/>
          <w:szCs w:val="24"/>
        </w:rPr>
        <w:t>Peteraf</w:t>
      </w:r>
      <w:proofErr w:type="spellEnd"/>
      <w:r w:rsidRPr="00DC7EE7">
        <w:rPr>
          <w:rFonts w:ascii="Arial" w:hAnsi="Arial" w:cs="Arial"/>
          <w:sz w:val="24"/>
          <w:szCs w:val="24"/>
        </w:rPr>
        <w:t>, M. A. (2013). Essentials of Strategic Management: The Quest for Competitive Advantage. McGraw-Hill.</w:t>
      </w:r>
    </w:p>
    <w:p w14:paraId="51360A7C" w14:textId="77777777" w:rsidR="00AC1BC7" w:rsidRPr="00DC7EE7" w:rsidRDefault="00AC1BC7" w:rsidP="006D773C">
      <w:pPr>
        <w:numPr>
          <w:ilvl w:val="0"/>
          <w:numId w:val="12"/>
        </w:numPr>
        <w:spacing w:line="360" w:lineRule="auto"/>
        <w:jc w:val="both"/>
        <w:rPr>
          <w:rFonts w:ascii="Arial" w:hAnsi="Arial" w:cs="Arial"/>
          <w:sz w:val="24"/>
          <w:szCs w:val="24"/>
        </w:rPr>
      </w:pPr>
      <w:r w:rsidRPr="00DC7EE7">
        <w:rPr>
          <w:rFonts w:ascii="Arial" w:hAnsi="Arial" w:cs="Arial"/>
          <w:sz w:val="24"/>
          <w:szCs w:val="24"/>
        </w:rPr>
        <w:t>Gilligan, C., &amp; Wilson, R. M. S. (2009). Strategic Marketing Planning. Butterworth-Heinemann.</w:t>
      </w:r>
    </w:p>
    <w:p w14:paraId="213D0B0B" w14:textId="77777777" w:rsidR="00AC1BC7" w:rsidRPr="00DC7EE7" w:rsidRDefault="00AC1BC7" w:rsidP="006D773C">
      <w:pPr>
        <w:numPr>
          <w:ilvl w:val="0"/>
          <w:numId w:val="12"/>
        </w:numPr>
        <w:spacing w:line="360" w:lineRule="auto"/>
        <w:jc w:val="both"/>
        <w:rPr>
          <w:rFonts w:ascii="Arial" w:hAnsi="Arial" w:cs="Arial"/>
          <w:sz w:val="24"/>
          <w:szCs w:val="24"/>
        </w:rPr>
      </w:pPr>
      <w:r w:rsidRPr="00DC7EE7">
        <w:rPr>
          <w:rFonts w:ascii="Arial" w:hAnsi="Arial" w:cs="Arial"/>
          <w:sz w:val="24"/>
          <w:szCs w:val="24"/>
        </w:rPr>
        <w:t>Grant, R. M. (2010). Contemporary Strategy Analysis. Wiley.</w:t>
      </w:r>
    </w:p>
    <w:p w14:paraId="3DDD7039" w14:textId="77777777" w:rsidR="00AC1BC7" w:rsidRPr="00635B35" w:rsidRDefault="00AC1BC7" w:rsidP="006D773C">
      <w:pPr>
        <w:numPr>
          <w:ilvl w:val="0"/>
          <w:numId w:val="12"/>
        </w:numPr>
        <w:spacing w:line="360" w:lineRule="auto"/>
        <w:jc w:val="both"/>
        <w:rPr>
          <w:rFonts w:ascii="Arial" w:hAnsi="Arial" w:cs="Arial"/>
          <w:sz w:val="24"/>
          <w:szCs w:val="24"/>
        </w:rPr>
      </w:pPr>
      <w:r w:rsidRPr="00635B35">
        <w:rPr>
          <w:rFonts w:ascii="Arial" w:hAnsi="Arial" w:cs="Arial"/>
          <w:sz w:val="24"/>
          <w:szCs w:val="24"/>
        </w:rPr>
        <w:t>Handy, C. (1993). Understanding Organisations. Penguin Books.</w:t>
      </w:r>
    </w:p>
    <w:p w14:paraId="732722A1" w14:textId="77777777" w:rsidR="00AC1BC7" w:rsidRPr="00635B35" w:rsidRDefault="00AC1BC7" w:rsidP="006D773C">
      <w:pPr>
        <w:numPr>
          <w:ilvl w:val="0"/>
          <w:numId w:val="12"/>
        </w:numPr>
        <w:spacing w:line="360" w:lineRule="auto"/>
        <w:jc w:val="both"/>
        <w:rPr>
          <w:rFonts w:ascii="Arial" w:hAnsi="Arial" w:cs="Arial"/>
          <w:sz w:val="24"/>
          <w:szCs w:val="24"/>
        </w:rPr>
      </w:pPr>
      <w:r w:rsidRPr="00635B35">
        <w:rPr>
          <w:rFonts w:ascii="Arial" w:hAnsi="Arial" w:cs="Arial"/>
          <w:sz w:val="24"/>
          <w:szCs w:val="24"/>
        </w:rPr>
        <w:t>Heskett, J. L., Sasser, W. E., &amp; Schlesinger, L. A. (1994). The Service Profit Chain. The Free Press.</w:t>
      </w:r>
    </w:p>
    <w:p w14:paraId="3F687838" w14:textId="77777777" w:rsidR="00AC1BC7" w:rsidRPr="001902D2" w:rsidRDefault="00AC1BC7" w:rsidP="006D773C">
      <w:pPr>
        <w:numPr>
          <w:ilvl w:val="0"/>
          <w:numId w:val="12"/>
        </w:numPr>
        <w:spacing w:line="360" w:lineRule="auto"/>
        <w:jc w:val="both"/>
        <w:rPr>
          <w:rFonts w:ascii="Arial" w:hAnsi="Arial" w:cs="Arial"/>
          <w:sz w:val="24"/>
          <w:szCs w:val="24"/>
        </w:rPr>
      </w:pPr>
      <w:r w:rsidRPr="001902D2">
        <w:rPr>
          <w:rFonts w:ascii="Arial" w:hAnsi="Arial" w:cs="Arial"/>
          <w:sz w:val="24"/>
          <w:szCs w:val="24"/>
        </w:rPr>
        <w:t xml:space="preserve">Hiatt, J. M., &amp; Creasey, T. J. (2003). Change Management: The People Side of Change. </w:t>
      </w:r>
      <w:proofErr w:type="spellStart"/>
      <w:r w:rsidRPr="001902D2">
        <w:rPr>
          <w:rFonts w:ascii="Arial" w:hAnsi="Arial" w:cs="Arial"/>
          <w:sz w:val="24"/>
          <w:szCs w:val="24"/>
        </w:rPr>
        <w:t>Prosci</w:t>
      </w:r>
      <w:proofErr w:type="spellEnd"/>
      <w:r w:rsidRPr="001902D2">
        <w:rPr>
          <w:rFonts w:ascii="Arial" w:hAnsi="Arial" w:cs="Arial"/>
          <w:sz w:val="24"/>
          <w:szCs w:val="24"/>
        </w:rPr>
        <w:t>.</w:t>
      </w:r>
    </w:p>
    <w:p w14:paraId="25D8CE64" w14:textId="77777777" w:rsidR="00AC1BC7" w:rsidRPr="00DC7EE7" w:rsidRDefault="00AC1BC7" w:rsidP="006D773C">
      <w:pPr>
        <w:numPr>
          <w:ilvl w:val="0"/>
          <w:numId w:val="12"/>
        </w:numPr>
        <w:spacing w:line="360" w:lineRule="auto"/>
        <w:jc w:val="both"/>
        <w:rPr>
          <w:rFonts w:ascii="Arial" w:hAnsi="Arial" w:cs="Arial"/>
          <w:sz w:val="24"/>
          <w:szCs w:val="24"/>
        </w:rPr>
      </w:pPr>
      <w:r w:rsidRPr="00DC7EE7">
        <w:rPr>
          <w:rFonts w:ascii="Arial" w:hAnsi="Arial" w:cs="Arial"/>
          <w:sz w:val="24"/>
          <w:szCs w:val="24"/>
        </w:rPr>
        <w:t>Hill, C. W. L., &amp; Jones, G. R. (2012). Strategic Management: An Integrated Approach. Cengage Learning.</w:t>
      </w:r>
    </w:p>
    <w:p w14:paraId="0EAB6627" w14:textId="020D5923" w:rsidR="00AC1BC7" w:rsidRPr="001902D2" w:rsidRDefault="00AC1BC7" w:rsidP="006D773C">
      <w:pPr>
        <w:numPr>
          <w:ilvl w:val="0"/>
          <w:numId w:val="12"/>
        </w:numPr>
        <w:spacing w:line="360" w:lineRule="auto"/>
        <w:jc w:val="both"/>
        <w:rPr>
          <w:rFonts w:ascii="Arial" w:hAnsi="Arial" w:cs="Arial"/>
          <w:sz w:val="24"/>
          <w:szCs w:val="24"/>
        </w:rPr>
      </w:pPr>
      <w:r w:rsidRPr="001902D2">
        <w:rPr>
          <w:rFonts w:ascii="Arial" w:hAnsi="Arial" w:cs="Arial"/>
          <w:sz w:val="24"/>
          <w:szCs w:val="24"/>
        </w:rPr>
        <w:t>Hilton Worldwide. (2022). Annual Report 2022.</w:t>
      </w:r>
    </w:p>
    <w:p w14:paraId="607A8D6E" w14:textId="647D8F19" w:rsidR="00AC1BC7" w:rsidRPr="00635B35" w:rsidRDefault="00AC1BC7" w:rsidP="006D773C">
      <w:pPr>
        <w:numPr>
          <w:ilvl w:val="0"/>
          <w:numId w:val="12"/>
        </w:numPr>
        <w:spacing w:line="360" w:lineRule="auto"/>
        <w:jc w:val="both"/>
        <w:rPr>
          <w:rFonts w:ascii="Arial" w:hAnsi="Arial" w:cs="Arial"/>
          <w:sz w:val="24"/>
          <w:szCs w:val="24"/>
        </w:rPr>
      </w:pPr>
      <w:r w:rsidRPr="00635B35">
        <w:rPr>
          <w:rFonts w:ascii="Arial" w:hAnsi="Arial" w:cs="Arial"/>
          <w:sz w:val="24"/>
          <w:szCs w:val="24"/>
        </w:rPr>
        <w:t xml:space="preserve">IHG Responsible Business Report 2020. </w:t>
      </w:r>
    </w:p>
    <w:p w14:paraId="3DCB943F" w14:textId="1ED7C125" w:rsidR="00AC1BC7" w:rsidRPr="00635B35" w:rsidRDefault="00AC1BC7" w:rsidP="006D773C">
      <w:pPr>
        <w:numPr>
          <w:ilvl w:val="0"/>
          <w:numId w:val="12"/>
        </w:numPr>
        <w:spacing w:line="360" w:lineRule="auto"/>
        <w:jc w:val="both"/>
        <w:rPr>
          <w:rFonts w:ascii="Arial" w:hAnsi="Arial" w:cs="Arial"/>
          <w:sz w:val="24"/>
          <w:szCs w:val="24"/>
        </w:rPr>
      </w:pPr>
      <w:r w:rsidRPr="00635B35">
        <w:rPr>
          <w:rFonts w:ascii="Arial" w:hAnsi="Arial" w:cs="Arial"/>
          <w:sz w:val="24"/>
          <w:szCs w:val="24"/>
        </w:rPr>
        <w:t>IHG Responsible Business Report 2021.</w:t>
      </w:r>
    </w:p>
    <w:p w14:paraId="2524C042" w14:textId="5265CC1C" w:rsidR="00AC1BC7" w:rsidRPr="00635B35" w:rsidRDefault="00AC1BC7" w:rsidP="006D773C">
      <w:pPr>
        <w:numPr>
          <w:ilvl w:val="0"/>
          <w:numId w:val="12"/>
        </w:numPr>
        <w:spacing w:line="360" w:lineRule="auto"/>
        <w:jc w:val="both"/>
        <w:rPr>
          <w:rFonts w:ascii="Arial" w:hAnsi="Arial" w:cs="Arial"/>
          <w:sz w:val="24"/>
          <w:szCs w:val="24"/>
        </w:rPr>
      </w:pPr>
      <w:r w:rsidRPr="00635B35">
        <w:rPr>
          <w:rFonts w:ascii="Arial" w:hAnsi="Arial" w:cs="Arial"/>
          <w:sz w:val="24"/>
          <w:szCs w:val="24"/>
        </w:rPr>
        <w:t xml:space="preserve">IHG. (2022). Annual Report 2022. </w:t>
      </w:r>
    </w:p>
    <w:p w14:paraId="0FF76A16" w14:textId="0C719F59" w:rsidR="00AC1BC7" w:rsidRPr="00635B35" w:rsidRDefault="00AC1BC7" w:rsidP="006D773C">
      <w:pPr>
        <w:numPr>
          <w:ilvl w:val="0"/>
          <w:numId w:val="12"/>
        </w:numPr>
        <w:spacing w:line="360" w:lineRule="auto"/>
        <w:jc w:val="both"/>
        <w:rPr>
          <w:rFonts w:ascii="Arial" w:hAnsi="Arial" w:cs="Arial"/>
          <w:sz w:val="24"/>
          <w:szCs w:val="24"/>
        </w:rPr>
      </w:pPr>
      <w:r w:rsidRPr="00635B35">
        <w:rPr>
          <w:rFonts w:ascii="Arial" w:hAnsi="Arial" w:cs="Arial"/>
          <w:sz w:val="24"/>
          <w:szCs w:val="24"/>
        </w:rPr>
        <w:t>IHG. (2023). Annual Report 2023</w:t>
      </w:r>
      <w:r w:rsidR="006D773C" w:rsidRPr="006D773C">
        <w:rPr>
          <w:rFonts w:ascii="Arial" w:hAnsi="Arial" w:cs="Arial"/>
          <w:sz w:val="24"/>
          <w:szCs w:val="24"/>
        </w:rPr>
        <w:t>.</w:t>
      </w:r>
    </w:p>
    <w:p w14:paraId="7A955C15" w14:textId="77777777" w:rsidR="00AC1BC7" w:rsidRPr="00DC7EE7" w:rsidRDefault="00AC1BC7" w:rsidP="006D773C">
      <w:pPr>
        <w:numPr>
          <w:ilvl w:val="0"/>
          <w:numId w:val="12"/>
        </w:numPr>
        <w:spacing w:line="360" w:lineRule="auto"/>
        <w:jc w:val="both"/>
        <w:rPr>
          <w:rFonts w:ascii="Arial" w:hAnsi="Arial" w:cs="Arial"/>
          <w:sz w:val="24"/>
          <w:szCs w:val="24"/>
        </w:rPr>
      </w:pPr>
      <w:r w:rsidRPr="00DC7EE7">
        <w:rPr>
          <w:rFonts w:ascii="Arial" w:hAnsi="Arial" w:cs="Arial"/>
          <w:sz w:val="24"/>
          <w:szCs w:val="24"/>
        </w:rPr>
        <w:t>Johnson, G., Scholes, K., &amp; Whittington, R. (2008). Exploring Corporate Strategy. Pearson Education.</w:t>
      </w:r>
    </w:p>
    <w:p w14:paraId="4EFA9B6C" w14:textId="77777777" w:rsidR="00AC1BC7" w:rsidRPr="00635B35" w:rsidRDefault="00AC1BC7" w:rsidP="006D773C">
      <w:pPr>
        <w:numPr>
          <w:ilvl w:val="0"/>
          <w:numId w:val="12"/>
        </w:numPr>
        <w:spacing w:line="360" w:lineRule="auto"/>
        <w:jc w:val="both"/>
        <w:rPr>
          <w:rFonts w:ascii="Arial" w:hAnsi="Arial" w:cs="Arial"/>
          <w:sz w:val="24"/>
          <w:szCs w:val="24"/>
        </w:rPr>
      </w:pPr>
      <w:r w:rsidRPr="00635B35">
        <w:rPr>
          <w:rFonts w:ascii="Arial" w:hAnsi="Arial" w:cs="Arial"/>
          <w:sz w:val="24"/>
          <w:szCs w:val="24"/>
        </w:rPr>
        <w:lastRenderedPageBreak/>
        <w:t>Jones, G. R. (2013). Organizational Theory, Design, and Change. Pearson.</w:t>
      </w:r>
    </w:p>
    <w:p w14:paraId="7F295992" w14:textId="77777777" w:rsidR="00AC1BC7" w:rsidRPr="00DC7EE7" w:rsidRDefault="00AC1BC7" w:rsidP="006D773C">
      <w:pPr>
        <w:numPr>
          <w:ilvl w:val="0"/>
          <w:numId w:val="12"/>
        </w:numPr>
        <w:spacing w:line="360" w:lineRule="auto"/>
        <w:jc w:val="both"/>
        <w:rPr>
          <w:rFonts w:ascii="Arial" w:hAnsi="Arial" w:cs="Arial"/>
          <w:sz w:val="24"/>
          <w:szCs w:val="24"/>
        </w:rPr>
      </w:pPr>
      <w:r w:rsidRPr="00DC7EE7">
        <w:rPr>
          <w:rFonts w:ascii="Arial" w:hAnsi="Arial" w:cs="Arial"/>
          <w:sz w:val="24"/>
          <w:szCs w:val="24"/>
        </w:rPr>
        <w:t>Kotler, P., &amp; Keller, K. L. (2016). Marketing Management. Pearson.</w:t>
      </w:r>
    </w:p>
    <w:p w14:paraId="705E1FFC" w14:textId="77777777" w:rsidR="00AC1BC7" w:rsidRPr="001902D2" w:rsidRDefault="00AC1BC7" w:rsidP="006D773C">
      <w:pPr>
        <w:numPr>
          <w:ilvl w:val="0"/>
          <w:numId w:val="12"/>
        </w:numPr>
        <w:spacing w:line="360" w:lineRule="auto"/>
        <w:jc w:val="both"/>
        <w:rPr>
          <w:rFonts w:ascii="Arial" w:hAnsi="Arial" w:cs="Arial"/>
          <w:sz w:val="24"/>
          <w:szCs w:val="24"/>
        </w:rPr>
      </w:pPr>
      <w:r w:rsidRPr="001902D2">
        <w:rPr>
          <w:rFonts w:ascii="Arial" w:hAnsi="Arial" w:cs="Arial"/>
          <w:sz w:val="24"/>
          <w:szCs w:val="24"/>
        </w:rPr>
        <w:t>Kotter, J. P. (1996). Leading Change. Harvard Business Review Press.</w:t>
      </w:r>
    </w:p>
    <w:p w14:paraId="5C6FCFD7" w14:textId="77777777" w:rsidR="00AC1BC7" w:rsidRPr="001902D2" w:rsidRDefault="00AC1BC7" w:rsidP="006D773C">
      <w:pPr>
        <w:numPr>
          <w:ilvl w:val="0"/>
          <w:numId w:val="12"/>
        </w:numPr>
        <w:spacing w:line="360" w:lineRule="auto"/>
        <w:jc w:val="both"/>
        <w:rPr>
          <w:rFonts w:ascii="Arial" w:hAnsi="Arial" w:cs="Arial"/>
          <w:sz w:val="24"/>
          <w:szCs w:val="24"/>
        </w:rPr>
      </w:pPr>
      <w:r w:rsidRPr="001902D2">
        <w:rPr>
          <w:rFonts w:ascii="Arial" w:hAnsi="Arial" w:cs="Arial"/>
          <w:sz w:val="24"/>
          <w:szCs w:val="24"/>
        </w:rPr>
        <w:t>Marriott International. (2023). Annual Report 2023. [PDF file].</w:t>
      </w:r>
    </w:p>
    <w:p w14:paraId="4016B705" w14:textId="77777777" w:rsidR="00AC1BC7" w:rsidRPr="00635B35" w:rsidRDefault="00AC1BC7" w:rsidP="006D773C">
      <w:pPr>
        <w:numPr>
          <w:ilvl w:val="0"/>
          <w:numId w:val="12"/>
        </w:numPr>
        <w:spacing w:line="360" w:lineRule="auto"/>
        <w:jc w:val="both"/>
        <w:rPr>
          <w:rFonts w:ascii="Arial" w:hAnsi="Arial" w:cs="Arial"/>
          <w:sz w:val="24"/>
          <w:szCs w:val="24"/>
        </w:rPr>
      </w:pPr>
      <w:r w:rsidRPr="00635B35">
        <w:rPr>
          <w:rFonts w:ascii="Arial" w:hAnsi="Arial" w:cs="Arial"/>
          <w:sz w:val="24"/>
          <w:szCs w:val="24"/>
        </w:rPr>
        <w:t>Mintzberg, H. (1983). Structure in Fives: Designing Effective Organizations. Prentice-Hall.</w:t>
      </w:r>
    </w:p>
    <w:p w14:paraId="42781422" w14:textId="77777777" w:rsidR="00AC1BC7" w:rsidRPr="00DC7EE7" w:rsidRDefault="00AC1BC7" w:rsidP="006D773C">
      <w:pPr>
        <w:numPr>
          <w:ilvl w:val="0"/>
          <w:numId w:val="12"/>
        </w:numPr>
        <w:spacing w:line="360" w:lineRule="auto"/>
        <w:jc w:val="both"/>
        <w:rPr>
          <w:rFonts w:ascii="Arial" w:hAnsi="Arial" w:cs="Arial"/>
          <w:sz w:val="24"/>
          <w:szCs w:val="24"/>
        </w:rPr>
      </w:pPr>
      <w:r w:rsidRPr="00DC7EE7">
        <w:rPr>
          <w:rFonts w:ascii="Arial" w:hAnsi="Arial" w:cs="Arial"/>
          <w:sz w:val="24"/>
          <w:szCs w:val="24"/>
        </w:rPr>
        <w:t xml:space="preserve">Porter, M. E. (1980). Competitive Strategy: Techniques for </w:t>
      </w:r>
      <w:proofErr w:type="spellStart"/>
      <w:r w:rsidRPr="00DC7EE7">
        <w:rPr>
          <w:rFonts w:ascii="Arial" w:hAnsi="Arial" w:cs="Arial"/>
          <w:sz w:val="24"/>
          <w:szCs w:val="24"/>
        </w:rPr>
        <w:t>Analyzing</w:t>
      </w:r>
      <w:proofErr w:type="spellEnd"/>
      <w:r w:rsidRPr="00DC7EE7">
        <w:rPr>
          <w:rFonts w:ascii="Arial" w:hAnsi="Arial" w:cs="Arial"/>
          <w:sz w:val="24"/>
          <w:szCs w:val="24"/>
        </w:rPr>
        <w:t xml:space="preserve"> Industries and Competitors. Free Press.</w:t>
      </w:r>
    </w:p>
    <w:p w14:paraId="13A9239D" w14:textId="77777777" w:rsidR="00AC1BC7" w:rsidRPr="00DC7EE7" w:rsidRDefault="00AC1BC7" w:rsidP="006D773C">
      <w:pPr>
        <w:numPr>
          <w:ilvl w:val="0"/>
          <w:numId w:val="12"/>
        </w:numPr>
        <w:spacing w:line="360" w:lineRule="auto"/>
        <w:jc w:val="both"/>
        <w:rPr>
          <w:rFonts w:ascii="Arial" w:hAnsi="Arial" w:cs="Arial"/>
          <w:sz w:val="24"/>
          <w:szCs w:val="24"/>
        </w:rPr>
      </w:pPr>
      <w:r w:rsidRPr="00DC7EE7">
        <w:rPr>
          <w:rFonts w:ascii="Arial" w:hAnsi="Arial" w:cs="Arial"/>
          <w:sz w:val="24"/>
          <w:szCs w:val="24"/>
        </w:rPr>
        <w:t>Prahalad, C. K., &amp; Hamel, G. (1990). The Core Competence of the Corporation. Harvard Business Review, 68(3), 79-91.</w:t>
      </w:r>
    </w:p>
    <w:p w14:paraId="5AC7E78B" w14:textId="77777777" w:rsidR="00AC1BC7" w:rsidRPr="00635B35" w:rsidRDefault="00AC1BC7" w:rsidP="006D773C">
      <w:pPr>
        <w:numPr>
          <w:ilvl w:val="0"/>
          <w:numId w:val="12"/>
        </w:numPr>
        <w:spacing w:line="360" w:lineRule="auto"/>
        <w:jc w:val="both"/>
        <w:rPr>
          <w:rFonts w:ascii="Arial" w:hAnsi="Arial" w:cs="Arial"/>
          <w:sz w:val="24"/>
          <w:szCs w:val="24"/>
        </w:rPr>
      </w:pPr>
      <w:r w:rsidRPr="00635B35">
        <w:rPr>
          <w:rFonts w:ascii="Arial" w:hAnsi="Arial" w:cs="Arial"/>
          <w:sz w:val="24"/>
          <w:szCs w:val="24"/>
        </w:rPr>
        <w:t>Schein, E. H. (2010). Organizational Culture and Leadership. Jossey-Bass.</w:t>
      </w:r>
    </w:p>
    <w:p w14:paraId="420AB176" w14:textId="77777777" w:rsidR="00AC1BC7" w:rsidRPr="00DC7EE7" w:rsidRDefault="00AC1BC7" w:rsidP="006D773C">
      <w:pPr>
        <w:numPr>
          <w:ilvl w:val="0"/>
          <w:numId w:val="12"/>
        </w:numPr>
        <w:spacing w:line="360" w:lineRule="auto"/>
        <w:jc w:val="both"/>
        <w:rPr>
          <w:rFonts w:ascii="Arial" w:hAnsi="Arial" w:cs="Arial"/>
          <w:sz w:val="24"/>
          <w:szCs w:val="24"/>
        </w:rPr>
      </w:pPr>
      <w:r w:rsidRPr="00DC7EE7">
        <w:rPr>
          <w:rFonts w:ascii="Arial" w:hAnsi="Arial" w:cs="Arial"/>
          <w:sz w:val="24"/>
          <w:szCs w:val="24"/>
        </w:rPr>
        <w:t>Teece, D. J. (2010). Business Models, Business Strategy and Innovation. Long Range Planning, 43(2-3), 172-194.</w:t>
      </w:r>
    </w:p>
    <w:p w14:paraId="4D16A031" w14:textId="77777777" w:rsidR="00AC1BC7" w:rsidRPr="006C50A6" w:rsidRDefault="00AC1BC7" w:rsidP="006D773C">
      <w:pPr>
        <w:numPr>
          <w:ilvl w:val="0"/>
          <w:numId w:val="12"/>
        </w:numPr>
        <w:spacing w:line="360" w:lineRule="auto"/>
        <w:jc w:val="both"/>
        <w:rPr>
          <w:rFonts w:ascii="Arial" w:hAnsi="Arial" w:cs="Arial"/>
          <w:sz w:val="24"/>
          <w:szCs w:val="24"/>
        </w:rPr>
      </w:pPr>
      <w:r w:rsidRPr="006C50A6">
        <w:rPr>
          <w:rFonts w:ascii="Arial" w:hAnsi="Arial" w:cs="Arial"/>
          <w:sz w:val="24"/>
          <w:szCs w:val="24"/>
        </w:rPr>
        <w:t xml:space="preserve">Thomas, D. A. (1990). The Impact of Diversity on Organizational </w:t>
      </w:r>
      <w:proofErr w:type="spellStart"/>
      <w:r w:rsidRPr="006C50A6">
        <w:rPr>
          <w:rFonts w:ascii="Arial" w:hAnsi="Arial" w:cs="Arial"/>
          <w:sz w:val="24"/>
          <w:szCs w:val="24"/>
        </w:rPr>
        <w:t>Behavior</w:t>
      </w:r>
      <w:proofErr w:type="spellEnd"/>
      <w:r w:rsidRPr="006C50A6">
        <w:rPr>
          <w:rFonts w:ascii="Arial" w:hAnsi="Arial" w:cs="Arial"/>
          <w:sz w:val="24"/>
          <w:szCs w:val="24"/>
        </w:rPr>
        <w:t>. Academy of Management Review, 15(2), 305-321.</w:t>
      </w:r>
    </w:p>
    <w:p w14:paraId="7BAB2F77" w14:textId="77777777" w:rsidR="00E952BC" w:rsidRPr="006D773C" w:rsidRDefault="00E952BC" w:rsidP="006D773C">
      <w:pPr>
        <w:spacing w:line="360" w:lineRule="auto"/>
        <w:jc w:val="both"/>
        <w:rPr>
          <w:rFonts w:ascii="Arial" w:hAnsi="Arial" w:cs="Arial"/>
          <w:sz w:val="24"/>
          <w:szCs w:val="24"/>
        </w:rPr>
      </w:pPr>
    </w:p>
    <w:p w14:paraId="18CE8529" w14:textId="77777777" w:rsidR="00F05CA8" w:rsidRPr="006D773C" w:rsidRDefault="00F05CA8" w:rsidP="006D773C">
      <w:pPr>
        <w:spacing w:line="360" w:lineRule="auto"/>
        <w:jc w:val="both"/>
        <w:rPr>
          <w:rFonts w:ascii="Arial" w:hAnsi="Arial" w:cs="Arial"/>
          <w:sz w:val="24"/>
          <w:szCs w:val="24"/>
        </w:rPr>
      </w:pPr>
    </w:p>
    <w:sectPr w:rsidR="00F05CA8" w:rsidRPr="006D773C" w:rsidSect="00E952B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5992D" w14:textId="77777777" w:rsidR="009E6032" w:rsidRDefault="009E6032" w:rsidP="003A6EC1">
      <w:pPr>
        <w:spacing w:after="0" w:line="240" w:lineRule="auto"/>
      </w:pPr>
      <w:r>
        <w:separator/>
      </w:r>
    </w:p>
  </w:endnote>
  <w:endnote w:type="continuationSeparator" w:id="0">
    <w:p w14:paraId="1D78DEE8" w14:textId="77777777" w:rsidR="009E6032" w:rsidRDefault="009E6032" w:rsidP="003A6E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065CD" w14:textId="77777777" w:rsidR="009E6032" w:rsidRDefault="009E6032" w:rsidP="003A6EC1">
      <w:pPr>
        <w:spacing w:after="0" w:line="240" w:lineRule="auto"/>
      </w:pPr>
      <w:r>
        <w:separator/>
      </w:r>
    </w:p>
  </w:footnote>
  <w:footnote w:type="continuationSeparator" w:id="0">
    <w:p w14:paraId="7F8AF1E3" w14:textId="77777777" w:rsidR="009E6032" w:rsidRDefault="009E6032" w:rsidP="003A6E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D7CF1"/>
    <w:multiLevelType w:val="multilevel"/>
    <w:tmpl w:val="135876B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9A26F6"/>
    <w:multiLevelType w:val="multilevel"/>
    <w:tmpl w:val="3B4E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D13D70"/>
    <w:multiLevelType w:val="hybridMultilevel"/>
    <w:tmpl w:val="49B645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CF6A60"/>
    <w:multiLevelType w:val="multilevel"/>
    <w:tmpl w:val="3B4E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1303F9"/>
    <w:multiLevelType w:val="multilevel"/>
    <w:tmpl w:val="3B4E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FF3F97"/>
    <w:multiLevelType w:val="hybridMultilevel"/>
    <w:tmpl w:val="A44C6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8F599F"/>
    <w:multiLevelType w:val="multilevel"/>
    <w:tmpl w:val="3B4E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1F82BD8"/>
    <w:multiLevelType w:val="multilevel"/>
    <w:tmpl w:val="3B4E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A2320FB"/>
    <w:multiLevelType w:val="multilevel"/>
    <w:tmpl w:val="3B4E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C3460F2"/>
    <w:multiLevelType w:val="hybridMultilevel"/>
    <w:tmpl w:val="DF7675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856FB5"/>
    <w:multiLevelType w:val="multilevel"/>
    <w:tmpl w:val="3B4E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9BF6A17"/>
    <w:multiLevelType w:val="multilevel"/>
    <w:tmpl w:val="3B4E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4"/>
  </w:num>
  <w:num w:numId="3">
    <w:abstractNumId w:val="11"/>
  </w:num>
  <w:num w:numId="4">
    <w:abstractNumId w:val="7"/>
  </w:num>
  <w:num w:numId="5">
    <w:abstractNumId w:val="3"/>
  </w:num>
  <w:num w:numId="6">
    <w:abstractNumId w:val="8"/>
  </w:num>
  <w:num w:numId="7">
    <w:abstractNumId w:val="10"/>
  </w:num>
  <w:num w:numId="8">
    <w:abstractNumId w:val="6"/>
  </w:num>
  <w:num w:numId="9">
    <w:abstractNumId w:val="0"/>
  </w:num>
  <w:num w:numId="10">
    <w:abstractNumId w:val="9"/>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999"/>
    <w:rsid w:val="000F0908"/>
    <w:rsid w:val="001560D4"/>
    <w:rsid w:val="001F1C4F"/>
    <w:rsid w:val="002D71F3"/>
    <w:rsid w:val="00302A46"/>
    <w:rsid w:val="00304A7F"/>
    <w:rsid w:val="003312A9"/>
    <w:rsid w:val="003A6EC1"/>
    <w:rsid w:val="003D759E"/>
    <w:rsid w:val="00404D5C"/>
    <w:rsid w:val="00543C16"/>
    <w:rsid w:val="005F76D1"/>
    <w:rsid w:val="00695371"/>
    <w:rsid w:val="006A149F"/>
    <w:rsid w:val="006D773C"/>
    <w:rsid w:val="00717C42"/>
    <w:rsid w:val="007A5B40"/>
    <w:rsid w:val="007C6DFC"/>
    <w:rsid w:val="009E6032"/>
    <w:rsid w:val="009F4DBB"/>
    <w:rsid w:val="00A5478A"/>
    <w:rsid w:val="00A85A62"/>
    <w:rsid w:val="00AC1BC7"/>
    <w:rsid w:val="00AD4CBD"/>
    <w:rsid w:val="00B03771"/>
    <w:rsid w:val="00D10C75"/>
    <w:rsid w:val="00D3755C"/>
    <w:rsid w:val="00D45A07"/>
    <w:rsid w:val="00D6678F"/>
    <w:rsid w:val="00D66999"/>
    <w:rsid w:val="00D95952"/>
    <w:rsid w:val="00DA54A8"/>
    <w:rsid w:val="00E21BD3"/>
    <w:rsid w:val="00E501EE"/>
    <w:rsid w:val="00E55812"/>
    <w:rsid w:val="00E8212D"/>
    <w:rsid w:val="00E940D4"/>
    <w:rsid w:val="00E952BC"/>
    <w:rsid w:val="00EF7195"/>
    <w:rsid w:val="00F05C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5FF8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2BC"/>
  </w:style>
  <w:style w:type="paragraph" w:styleId="Heading1">
    <w:name w:val="heading 1"/>
    <w:basedOn w:val="Normal"/>
    <w:next w:val="Normal"/>
    <w:link w:val="Heading1Char"/>
    <w:uiPriority w:val="9"/>
    <w:qFormat/>
    <w:rsid w:val="00D669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69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69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69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69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69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69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69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69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69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69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69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69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69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69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69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69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6999"/>
    <w:rPr>
      <w:rFonts w:eastAsiaTheme="majorEastAsia" w:cstheme="majorBidi"/>
      <w:color w:val="272727" w:themeColor="text1" w:themeTint="D8"/>
    </w:rPr>
  </w:style>
  <w:style w:type="paragraph" w:styleId="Title">
    <w:name w:val="Title"/>
    <w:basedOn w:val="Normal"/>
    <w:next w:val="Normal"/>
    <w:link w:val="TitleChar"/>
    <w:uiPriority w:val="10"/>
    <w:qFormat/>
    <w:rsid w:val="00D669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69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69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69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6999"/>
    <w:pPr>
      <w:spacing w:before="160"/>
      <w:jc w:val="center"/>
    </w:pPr>
    <w:rPr>
      <w:i/>
      <w:iCs/>
      <w:color w:val="404040" w:themeColor="text1" w:themeTint="BF"/>
    </w:rPr>
  </w:style>
  <w:style w:type="character" w:customStyle="1" w:styleId="QuoteChar">
    <w:name w:val="Quote Char"/>
    <w:basedOn w:val="DefaultParagraphFont"/>
    <w:link w:val="Quote"/>
    <w:uiPriority w:val="29"/>
    <w:rsid w:val="00D66999"/>
    <w:rPr>
      <w:i/>
      <w:iCs/>
      <w:color w:val="404040" w:themeColor="text1" w:themeTint="BF"/>
    </w:rPr>
  </w:style>
  <w:style w:type="paragraph" w:styleId="ListParagraph">
    <w:name w:val="List Paragraph"/>
    <w:basedOn w:val="Normal"/>
    <w:uiPriority w:val="34"/>
    <w:qFormat/>
    <w:rsid w:val="00D66999"/>
    <w:pPr>
      <w:ind w:left="720"/>
      <w:contextualSpacing/>
    </w:pPr>
  </w:style>
  <w:style w:type="character" w:styleId="IntenseEmphasis">
    <w:name w:val="Intense Emphasis"/>
    <w:basedOn w:val="DefaultParagraphFont"/>
    <w:uiPriority w:val="21"/>
    <w:qFormat/>
    <w:rsid w:val="00D66999"/>
    <w:rPr>
      <w:i/>
      <w:iCs/>
      <w:color w:val="0F4761" w:themeColor="accent1" w:themeShade="BF"/>
    </w:rPr>
  </w:style>
  <w:style w:type="paragraph" w:styleId="IntenseQuote">
    <w:name w:val="Intense Quote"/>
    <w:basedOn w:val="Normal"/>
    <w:next w:val="Normal"/>
    <w:link w:val="IntenseQuoteChar"/>
    <w:uiPriority w:val="30"/>
    <w:qFormat/>
    <w:rsid w:val="00D669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6999"/>
    <w:rPr>
      <w:i/>
      <w:iCs/>
      <w:color w:val="0F4761" w:themeColor="accent1" w:themeShade="BF"/>
    </w:rPr>
  </w:style>
  <w:style w:type="character" w:styleId="IntenseReference">
    <w:name w:val="Intense Reference"/>
    <w:basedOn w:val="DefaultParagraphFont"/>
    <w:uiPriority w:val="32"/>
    <w:qFormat/>
    <w:rsid w:val="00D66999"/>
    <w:rPr>
      <w:b/>
      <w:bCs/>
      <w:smallCaps/>
      <w:color w:val="0F4761" w:themeColor="accent1" w:themeShade="BF"/>
      <w:spacing w:val="5"/>
    </w:rPr>
  </w:style>
  <w:style w:type="paragraph" w:styleId="Header">
    <w:name w:val="header"/>
    <w:basedOn w:val="Normal"/>
    <w:link w:val="HeaderChar"/>
    <w:uiPriority w:val="99"/>
    <w:unhideWhenUsed/>
    <w:rsid w:val="003A6E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EC1"/>
  </w:style>
  <w:style w:type="paragraph" w:styleId="Footer">
    <w:name w:val="footer"/>
    <w:basedOn w:val="Normal"/>
    <w:link w:val="FooterChar"/>
    <w:uiPriority w:val="99"/>
    <w:unhideWhenUsed/>
    <w:rsid w:val="003A6E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E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07068">
      <w:bodyDiv w:val="1"/>
      <w:marLeft w:val="0"/>
      <w:marRight w:val="0"/>
      <w:marTop w:val="0"/>
      <w:marBottom w:val="0"/>
      <w:divBdr>
        <w:top w:val="none" w:sz="0" w:space="0" w:color="auto"/>
        <w:left w:val="none" w:sz="0" w:space="0" w:color="auto"/>
        <w:bottom w:val="none" w:sz="0" w:space="0" w:color="auto"/>
        <w:right w:val="none" w:sz="0" w:space="0" w:color="auto"/>
      </w:divBdr>
    </w:div>
    <w:div w:id="354111098">
      <w:bodyDiv w:val="1"/>
      <w:marLeft w:val="0"/>
      <w:marRight w:val="0"/>
      <w:marTop w:val="0"/>
      <w:marBottom w:val="0"/>
      <w:divBdr>
        <w:top w:val="none" w:sz="0" w:space="0" w:color="auto"/>
        <w:left w:val="none" w:sz="0" w:space="0" w:color="auto"/>
        <w:bottom w:val="none" w:sz="0" w:space="0" w:color="auto"/>
        <w:right w:val="none" w:sz="0" w:space="0" w:color="auto"/>
      </w:divBdr>
    </w:div>
    <w:div w:id="413622843">
      <w:bodyDiv w:val="1"/>
      <w:marLeft w:val="0"/>
      <w:marRight w:val="0"/>
      <w:marTop w:val="0"/>
      <w:marBottom w:val="0"/>
      <w:divBdr>
        <w:top w:val="none" w:sz="0" w:space="0" w:color="auto"/>
        <w:left w:val="none" w:sz="0" w:space="0" w:color="auto"/>
        <w:bottom w:val="none" w:sz="0" w:space="0" w:color="auto"/>
        <w:right w:val="none" w:sz="0" w:space="0" w:color="auto"/>
      </w:divBdr>
    </w:div>
    <w:div w:id="440077226">
      <w:bodyDiv w:val="1"/>
      <w:marLeft w:val="0"/>
      <w:marRight w:val="0"/>
      <w:marTop w:val="0"/>
      <w:marBottom w:val="0"/>
      <w:divBdr>
        <w:top w:val="none" w:sz="0" w:space="0" w:color="auto"/>
        <w:left w:val="none" w:sz="0" w:space="0" w:color="auto"/>
        <w:bottom w:val="none" w:sz="0" w:space="0" w:color="auto"/>
        <w:right w:val="none" w:sz="0" w:space="0" w:color="auto"/>
      </w:divBdr>
    </w:div>
    <w:div w:id="499589409">
      <w:bodyDiv w:val="1"/>
      <w:marLeft w:val="0"/>
      <w:marRight w:val="0"/>
      <w:marTop w:val="0"/>
      <w:marBottom w:val="0"/>
      <w:divBdr>
        <w:top w:val="none" w:sz="0" w:space="0" w:color="auto"/>
        <w:left w:val="none" w:sz="0" w:space="0" w:color="auto"/>
        <w:bottom w:val="none" w:sz="0" w:space="0" w:color="auto"/>
        <w:right w:val="none" w:sz="0" w:space="0" w:color="auto"/>
      </w:divBdr>
    </w:div>
    <w:div w:id="628439152">
      <w:bodyDiv w:val="1"/>
      <w:marLeft w:val="0"/>
      <w:marRight w:val="0"/>
      <w:marTop w:val="0"/>
      <w:marBottom w:val="0"/>
      <w:divBdr>
        <w:top w:val="none" w:sz="0" w:space="0" w:color="auto"/>
        <w:left w:val="none" w:sz="0" w:space="0" w:color="auto"/>
        <w:bottom w:val="none" w:sz="0" w:space="0" w:color="auto"/>
        <w:right w:val="none" w:sz="0" w:space="0" w:color="auto"/>
      </w:divBdr>
    </w:div>
    <w:div w:id="1391884610">
      <w:bodyDiv w:val="1"/>
      <w:marLeft w:val="0"/>
      <w:marRight w:val="0"/>
      <w:marTop w:val="0"/>
      <w:marBottom w:val="0"/>
      <w:divBdr>
        <w:top w:val="none" w:sz="0" w:space="0" w:color="auto"/>
        <w:left w:val="none" w:sz="0" w:space="0" w:color="auto"/>
        <w:bottom w:val="none" w:sz="0" w:space="0" w:color="auto"/>
        <w:right w:val="none" w:sz="0" w:space="0" w:color="auto"/>
      </w:divBdr>
    </w:div>
    <w:div w:id="1608462409">
      <w:bodyDiv w:val="1"/>
      <w:marLeft w:val="0"/>
      <w:marRight w:val="0"/>
      <w:marTop w:val="0"/>
      <w:marBottom w:val="0"/>
      <w:divBdr>
        <w:top w:val="none" w:sz="0" w:space="0" w:color="auto"/>
        <w:left w:val="none" w:sz="0" w:space="0" w:color="auto"/>
        <w:bottom w:val="none" w:sz="0" w:space="0" w:color="auto"/>
        <w:right w:val="none" w:sz="0" w:space="0" w:color="auto"/>
      </w:divBdr>
    </w:div>
    <w:div w:id="1794782866">
      <w:bodyDiv w:val="1"/>
      <w:marLeft w:val="0"/>
      <w:marRight w:val="0"/>
      <w:marTop w:val="0"/>
      <w:marBottom w:val="0"/>
      <w:divBdr>
        <w:top w:val="none" w:sz="0" w:space="0" w:color="auto"/>
        <w:left w:val="none" w:sz="0" w:space="0" w:color="auto"/>
        <w:bottom w:val="none" w:sz="0" w:space="0" w:color="auto"/>
        <w:right w:val="none" w:sz="0" w:space="0" w:color="auto"/>
      </w:divBdr>
    </w:div>
    <w:div w:id="190861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2947</Words>
  <Characters>16801</Characters>
  <Application>Microsoft Office Word</Application>
  <DocSecurity>0</DocSecurity>
  <Lines>140</Lines>
  <Paragraphs>39</Paragraphs>
  <ScaleCrop>false</ScaleCrop>
  <Company/>
  <LinksUpToDate>false</LinksUpToDate>
  <CharactersWithSpaces>19709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2024-05-20T23:01:00Z</dcterms:created>
  <dcterms:modified xsi:type="dcterms:W3CDTF">2024-05-31T20:33:00Z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7dd3a74779df93733cf1b750dea7e27782dbed6ce0785c72d52b9e8adf664bcb</vt:lpwstr>
  </property>
</Properties>
</file>