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sz w:val="72"/>
          <w:szCs w:val="72"/>
        </w:rPr>
        <w:id w:val="10225376"/>
        <w:docPartObj>
          <w:docPartGallery w:val="Cover Pages"/>
          <w:docPartUnique/>
        </w:docPartObj>
      </w:sdtPr>
      <w:sdtEndPr>
        <w:rPr>
          <w:rFonts w:asciiTheme="minorHAnsi" w:eastAsiaTheme="minorEastAsia" w:hAnsiTheme="minorHAnsi" w:cstheme="minorBidi"/>
          <w:sz w:val="22"/>
          <w:szCs w:val="22"/>
        </w:rPr>
      </w:sdtEndPr>
      <w:sdtContent>
        <w:p w14:paraId="1B06A583" w14:textId="77777777" w:rsidR="00196CA1" w:rsidRDefault="00196CA1" w:rsidP="00196CA1">
          <w:pPr>
            <w:pStyle w:val="NoSpacing"/>
            <w:rPr>
              <w:rFonts w:asciiTheme="majorHAnsi" w:eastAsiaTheme="majorEastAsia" w:hAnsiTheme="majorHAnsi" w:cstheme="majorBidi"/>
              <w:sz w:val="72"/>
              <w:szCs w:val="72"/>
            </w:rPr>
          </w:pPr>
        </w:p>
        <w:p w14:paraId="690863F6" w14:textId="77777777" w:rsidR="00196CA1" w:rsidRDefault="00196CA1" w:rsidP="00196CA1">
          <w:pPr>
            <w:pStyle w:val="NoSpacing"/>
            <w:rPr>
              <w:rFonts w:asciiTheme="majorHAnsi" w:eastAsiaTheme="majorEastAsia" w:hAnsiTheme="majorHAnsi" w:cstheme="majorBidi"/>
              <w:sz w:val="72"/>
              <w:szCs w:val="72"/>
            </w:rPr>
          </w:pPr>
        </w:p>
        <w:p w14:paraId="01EFB840" w14:textId="77777777" w:rsidR="00196CA1" w:rsidRPr="0019189B" w:rsidRDefault="00000000" w:rsidP="00196CA1">
          <w:pPr>
            <w:pStyle w:val="NoSpacing"/>
            <w:rPr>
              <w:rFonts w:asciiTheme="majorHAnsi" w:eastAsiaTheme="majorEastAsia" w:hAnsiTheme="majorHAnsi" w:cstheme="majorBidi"/>
              <w:sz w:val="56"/>
              <w:szCs w:val="56"/>
            </w:rPr>
          </w:pPr>
          <w:r>
            <w:rPr>
              <w:rFonts w:eastAsiaTheme="majorEastAsia" w:cstheme="majorBidi"/>
              <w:noProof/>
              <w:lang w:eastAsia="zh-TW"/>
            </w:rPr>
            <w:pict w14:anchorId="0D634F40">
              <v:rect id="_x0000_s2050" style="position:absolute;margin-left:0;margin-top:0;width:641.75pt;height:64pt;z-index:251656192;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Pr>
              <w:rFonts w:eastAsiaTheme="majorEastAsia" w:cstheme="majorBidi"/>
              <w:noProof/>
              <w:lang w:eastAsia="zh-TW"/>
            </w:rPr>
            <w:pict w14:anchorId="35E4000D">
              <v:rect id="_x0000_s2051" style="position:absolute;margin-left:0;margin-top:0;width:7.15pt;height:830.75pt;z-index:251657216;mso-height-percent:1050;mso-position-horizontal:center;mso-position-horizontal-relative:left-margin-area;mso-position-vertical:center;mso-position-vertical-relative:page;mso-height-percent:1050" o:allowincell="f" fillcolor="white [3212]" strokecolor="#31849b [2408]">
                <w10:wrap anchorx="margin" anchory="page"/>
              </v:rect>
            </w:pict>
          </w:r>
          <w:r>
            <w:rPr>
              <w:rFonts w:eastAsiaTheme="majorEastAsia" w:cstheme="majorBidi"/>
              <w:noProof/>
              <w:lang w:eastAsia="zh-TW"/>
            </w:rPr>
            <w:pict w14:anchorId="06E2B63D">
              <v:rect id="_x0000_s2052" style="position:absolute;margin-left:0;margin-top:0;width:7.15pt;height:830.75pt;z-index:251658240;mso-height-percent:1050;mso-position-horizontal:center;mso-position-horizontal-relative:right-margin-area;mso-position-vertical:center;mso-position-vertical-relative:page;mso-height-percent:1050" o:allowincell="f" fillcolor="white [3212]" strokecolor="#31849b [2408]">
                <w10:wrap anchorx="page" anchory="page"/>
              </v:rect>
            </w:pict>
          </w:r>
          <w:r>
            <w:rPr>
              <w:rFonts w:eastAsiaTheme="majorEastAsia" w:cstheme="majorBidi"/>
              <w:noProof/>
              <w:lang w:eastAsia="zh-TW"/>
            </w:rPr>
            <w:pict w14:anchorId="4275E886">
              <v:rect id="_x0000_s2053" style="position:absolute;margin-left:0;margin-top:0;width:641.75pt;height:64pt;z-index:251659264;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p w14:paraId="647C2798" w14:textId="77777777" w:rsidR="0084768C" w:rsidRPr="0084768C" w:rsidRDefault="0084768C" w:rsidP="0084768C">
          <w:pPr>
            <w:pStyle w:val="NoSpacing"/>
            <w:jc w:val="center"/>
            <w:rPr>
              <w:sz w:val="52"/>
              <w:szCs w:val="52"/>
            </w:rPr>
          </w:pPr>
          <w:r w:rsidRPr="0084768C">
            <w:rPr>
              <w:rFonts w:ascii="Arial" w:hAnsi="Arial" w:cs="Arial"/>
              <w:b/>
              <w:sz w:val="52"/>
              <w:szCs w:val="52"/>
            </w:rPr>
            <w:t>Assignment One</w:t>
          </w:r>
        </w:p>
        <w:p w14:paraId="0A07E2D8" w14:textId="3B92EB98" w:rsidR="00196CA1" w:rsidRPr="0084768C" w:rsidRDefault="0084768C" w:rsidP="0084768C">
          <w:pPr>
            <w:pStyle w:val="NoSpacing"/>
            <w:jc w:val="center"/>
            <w:rPr>
              <w:rFonts w:ascii="Arial" w:hAnsi="Arial" w:cs="Arial"/>
              <w:b/>
              <w:sz w:val="52"/>
              <w:szCs w:val="52"/>
            </w:rPr>
          </w:pPr>
          <w:r w:rsidRPr="0084768C">
            <w:rPr>
              <w:rFonts w:ascii="Arial" w:hAnsi="Arial" w:cs="Arial"/>
              <w:b/>
              <w:sz w:val="52"/>
              <w:szCs w:val="52"/>
            </w:rPr>
            <w:t>Conference Research Paper</w:t>
          </w:r>
        </w:p>
        <w:p w14:paraId="6B961CCF" w14:textId="613B50AD" w:rsidR="00196CA1" w:rsidRPr="0084768C" w:rsidRDefault="00196CA1" w:rsidP="0084768C">
          <w:pPr>
            <w:pStyle w:val="NoSpacing"/>
            <w:jc w:val="center"/>
            <w:rPr>
              <w:sz w:val="52"/>
              <w:szCs w:val="52"/>
            </w:rPr>
          </w:pPr>
        </w:p>
        <w:p w14:paraId="78DC0EB5" w14:textId="77777777" w:rsidR="00196CA1" w:rsidRDefault="00196CA1" w:rsidP="00196CA1">
          <w:pPr>
            <w:pStyle w:val="NoSpacing"/>
            <w:spacing w:line="360" w:lineRule="auto"/>
            <w:rPr>
              <w:rFonts w:ascii="Arial" w:hAnsi="Arial" w:cs="Arial"/>
              <w:b/>
              <w:sz w:val="24"/>
              <w:szCs w:val="24"/>
            </w:rPr>
          </w:pPr>
        </w:p>
        <w:p w14:paraId="2D2D29F8" w14:textId="77777777" w:rsidR="00196CA1" w:rsidRDefault="00196CA1" w:rsidP="00196CA1">
          <w:pPr>
            <w:pStyle w:val="NoSpacing"/>
            <w:spacing w:line="360" w:lineRule="auto"/>
            <w:rPr>
              <w:rFonts w:ascii="Arial" w:hAnsi="Arial" w:cs="Arial"/>
              <w:b/>
              <w:sz w:val="24"/>
              <w:szCs w:val="24"/>
            </w:rPr>
          </w:pPr>
        </w:p>
        <w:p w14:paraId="38AFDE72" w14:textId="77777777" w:rsidR="00196CA1" w:rsidRDefault="00196CA1" w:rsidP="00196CA1">
          <w:pPr>
            <w:pStyle w:val="NoSpacing"/>
            <w:spacing w:line="360" w:lineRule="auto"/>
            <w:rPr>
              <w:rFonts w:ascii="Arial" w:hAnsi="Arial" w:cs="Arial"/>
              <w:b/>
              <w:sz w:val="24"/>
              <w:szCs w:val="24"/>
            </w:rPr>
          </w:pPr>
        </w:p>
        <w:p w14:paraId="4DF57C9A" w14:textId="77777777" w:rsidR="00196CA1" w:rsidRDefault="00196CA1" w:rsidP="00196CA1">
          <w:pPr>
            <w:pStyle w:val="NoSpacing"/>
            <w:spacing w:line="360" w:lineRule="auto"/>
            <w:rPr>
              <w:rFonts w:ascii="Arial" w:hAnsi="Arial" w:cs="Arial"/>
              <w:b/>
              <w:sz w:val="24"/>
              <w:szCs w:val="24"/>
            </w:rPr>
          </w:pPr>
        </w:p>
        <w:p w14:paraId="5DB9FAD5" w14:textId="77777777" w:rsidR="00196CA1" w:rsidRDefault="00196CA1" w:rsidP="00196CA1">
          <w:pPr>
            <w:pStyle w:val="NoSpacing"/>
            <w:spacing w:line="360" w:lineRule="auto"/>
            <w:rPr>
              <w:rFonts w:ascii="Arial" w:hAnsi="Arial" w:cs="Arial"/>
              <w:b/>
              <w:sz w:val="24"/>
              <w:szCs w:val="24"/>
            </w:rPr>
          </w:pPr>
        </w:p>
        <w:p w14:paraId="42D8A3E2" w14:textId="77777777" w:rsidR="00196CA1" w:rsidRDefault="00196CA1" w:rsidP="00196CA1">
          <w:pPr>
            <w:pStyle w:val="NoSpacing"/>
            <w:spacing w:line="360" w:lineRule="auto"/>
            <w:rPr>
              <w:rFonts w:ascii="Arial" w:hAnsi="Arial" w:cs="Arial"/>
              <w:sz w:val="24"/>
              <w:szCs w:val="24"/>
            </w:rPr>
          </w:pPr>
        </w:p>
        <w:p w14:paraId="0C13DB2A" w14:textId="77777777" w:rsidR="00196CA1" w:rsidRDefault="00196CA1" w:rsidP="00196CA1">
          <w:pPr>
            <w:pStyle w:val="NoSpacing"/>
            <w:spacing w:line="360" w:lineRule="auto"/>
            <w:rPr>
              <w:rFonts w:ascii="Arial" w:hAnsi="Arial" w:cs="Arial"/>
              <w:sz w:val="24"/>
              <w:szCs w:val="24"/>
            </w:rPr>
          </w:pPr>
        </w:p>
        <w:p w14:paraId="70CB875D" w14:textId="77777777" w:rsidR="00196CA1" w:rsidRPr="001F05F2" w:rsidRDefault="001F05F2" w:rsidP="00196CA1">
          <w:pPr>
            <w:pStyle w:val="NoSpacing"/>
            <w:spacing w:line="360" w:lineRule="auto"/>
            <w:rPr>
              <w:rFonts w:ascii="Arial" w:hAnsi="Arial" w:cs="Arial"/>
              <w:sz w:val="24"/>
              <w:szCs w:val="24"/>
            </w:rPr>
          </w:pPr>
          <w:r w:rsidRPr="001F05F2">
            <w:rPr>
              <w:rFonts w:ascii="Arial" w:hAnsi="Arial" w:cs="Arial"/>
              <w:sz w:val="24"/>
              <w:szCs w:val="24"/>
            </w:rPr>
            <w:t>Contemporary Themes in t</w:t>
          </w:r>
          <w:r>
            <w:rPr>
              <w:rFonts w:ascii="Arial" w:hAnsi="Arial" w:cs="Arial"/>
              <w:sz w:val="24"/>
              <w:szCs w:val="24"/>
            </w:rPr>
            <w:t>he Hotel and Hospitality Sector</w:t>
          </w:r>
        </w:p>
        <w:p w14:paraId="4B14E1F6" w14:textId="77777777" w:rsidR="00196CA1" w:rsidRPr="003104DF" w:rsidRDefault="001F05F2" w:rsidP="00196CA1">
          <w:pPr>
            <w:pStyle w:val="NoSpacing"/>
            <w:spacing w:line="360" w:lineRule="auto"/>
            <w:rPr>
              <w:rFonts w:ascii="Arial" w:hAnsi="Arial" w:cs="Arial"/>
              <w:sz w:val="24"/>
              <w:szCs w:val="24"/>
            </w:rPr>
          </w:pPr>
          <w:r>
            <w:rPr>
              <w:rFonts w:ascii="Arial" w:hAnsi="Arial" w:cs="Arial"/>
              <w:sz w:val="24"/>
              <w:szCs w:val="24"/>
            </w:rPr>
            <w:t>BMIH6001</w:t>
          </w:r>
        </w:p>
        <w:p w14:paraId="7B2D78D9" w14:textId="77777777" w:rsidR="00196CA1" w:rsidRPr="003104DF" w:rsidRDefault="00196CA1" w:rsidP="00196CA1">
          <w:pPr>
            <w:pStyle w:val="NoSpacing"/>
            <w:spacing w:line="360" w:lineRule="auto"/>
            <w:rPr>
              <w:rFonts w:ascii="Arial" w:hAnsi="Arial" w:cs="Arial"/>
              <w:sz w:val="24"/>
              <w:szCs w:val="24"/>
            </w:rPr>
          </w:pPr>
          <w:r>
            <w:rPr>
              <w:rFonts w:ascii="Arial" w:hAnsi="Arial" w:cs="Arial"/>
              <w:sz w:val="24"/>
              <w:szCs w:val="24"/>
            </w:rPr>
            <w:t xml:space="preserve">Lecturer: </w:t>
          </w:r>
          <w:r w:rsidRPr="00910011">
            <w:rPr>
              <w:rFonts w:ascii="Arial" w:hAnsi="Arial" w:cs="Arial"/>
              <w:sz w:val="24"/>
              <w:szCs w:val="24"/>
            </w:rPr>
            <w:t>Natalie Brailsford</w:t>
          </w:r>
        </w:p>
        <w:p w14:paraId="1A821EE9" w14:textId="77777777" w:rsidR="00196CA1" w:rsidRPr="003104DF" w:rsidRDefault="00196CA1" w:rsidP="00196CA1">
          <w:pPr>
            <w:pStyle w:val="NoSpacing"/>
            <w:spacing w:line="360" w:lineRule="auto"/>
            <w:rPr>
              <w:rFonts w:ascii="Arial" w:hAnsi="Arial" w:cs="Arial"/>
              <w:sz w:val="24"/>
              <w:szCs w:val="24"/>
            </w:rPr>
          </w:pPr>
          <w:r>
            <w:rPr>
              <w:rFonts w:ascii="Arial" w:hAnsi="Arial" w:cs="Arial"/>
              <w:sz w:val="24"/>
              <w:szCs w:val="24"/>
            </w:rPr>
            <w:t xml:space="preserve">Student name: </w:t>
          </w:r>
          <w:r w:rsidRPr="003104DF">
            <w:rPr>
              <w:rFonts w:ascii="Arial" w:hAnsi="Arial" w:cs="Arial"/>
              <w:sz w:val="24"/>
              <w:szCs w:val="24"/>
            </w:rPr>
            <w:t>Ionut Gabriel Gheorghe</w:t>
          </w:r>
        </w:p>
        <w:p w14:paraId="0CE890B6" w14:textId="77777777" w:rsidR="00196CA1" w:rsidRDefault="00196CA1" w:rsidP="00196CA1">
          <w:pPr>
            <w:pStyle w:val="NoSpacing"/>
            <w:spacing w:line="360" w:lineRule="auto"/>
            <w:rPr>
              <w:rFonts w:ascii="Arial" w:hAnsi="Arial" w:cs="Arial"/>
              <w:sz w:val="24"/>
              <w:szCs w:val="24"/>
            </w:rPr>
          </w:pPr>
          <w:r w:rsidRPr="003104DF">
            <w:rPr>
              <w:rFonts w:ascii="Arial" w:hAnsi="Arial" w:cs="Arial"/>
              <w:sz w:val="24"/>
              <w:szCs w:val="24"/>
            </w:rPr>
            <w:t>Student ID: 2222508</w:t>
          </w:r>
        </w:p>
        <w:p w14:paraId="51045535" w14:textId="77777777" w:rsidR="00196CA1" w:rsidRDefault="00196CA1" w:rsidP="00196CA1">
          <w:pPr>
            <w:pStyle w:val="NoSpacing"/>
            <w:spacing w:line="360" w:lineRule="auto"/>
            <w:rPr>
              <w:rFonts w:ascii="Arial" w:hAnsi="Arial" w:cs="Arial"/>
              <w:sz w:val="24"/>
              <w:szCs w:val="24"/>
            </w:rPr>
          </w:pPr>
        </w:p>
        <w:p w14:paraId="2E45A9D9" w14:textId="77777777" w:rsidR="00196CA1" w:rsidRDefault="00196CA1" w:rsidP="00196CA1">
          <w:pPr>
            <w:pStyle w:val="NoSpacing"/>
            <w:spacing w:line="360" w:lineRule="auto"/>
            <w:rPr>
              <w:rFonts w:ascii="Arial" w:hAnsi="Arial" w:cs="Arial"/>
              <w:sz w:val="24"/>
              <w:szCs w:val="24"/>
            </w:rPr>
          </w:pPr>
        </w:p>
        <w:p w14:paraId="4191AA45" w14:textId="77777777" w:rsidR="00196CA1" w:rsidRDefault="00196CA1" w:rsidP="00196CA1">
          <w:pPr>
            <w:pStyle w:val="NoSpacing"/>
            <w:spacing w:line="360" w:lineRule="auto"/>
            <w:rPr>
              <w:rFonts w:ascii="Arial" w:hAnsi="Arial" w:cs="Arial"/>
              <w:sz w:val="24"/>
              <w:szCs w:val="24"/>
            </w:rPr>
          </w:pPr>
        </w:p>
        <w:p w14:paraId="0C3DFB00" w14:textId="77777777" w:rsidR="00196CA1" w:rsidRDefault="00196CA1" w:rsidP="00196CA1">
          <w:pPr>
            <w:spacing w:line="360" w:lineRule="auto"/>
            <w:rPr>
              <w:rFonts w:ascii="Arial" w:hAnsi="Arial" w:cs="Arial"/>
              <w:sz w:val="24"/>
              <w:szCs w:val="24"/>
            </w:rPr>
          </w:pPr>
          <w:r w:rsidRPr="00A14BB0">
            <w:rPr>
              <w:rFonts w:ascii="Arial" w:hAnsi="Arial" w:cs="Arial"/>
              <w:sz w:val="24"/>
              <w:szCs w:val="24"/>
            </w:rPr>
            <w:t>Use of AI declaration</w:t>
          </w:r>
        </w:p>
        <w:p w14:paraId="40D2F1FC" w14:textId="77777777" w:rsidR="00196CA1" w:rsidRPr="008D7519" w:rsidRDefault="00196CA1" w:rsidP="00196CA1">
          <w:pPr>
            <w:pStyle w:val="NoSpacing"/>
            <w:spacing w:line="360" w:lineRule="auto"/>
            <w:rPr>
              <w:rFonts w:ascii="Arial" w:hAnsi="Arial" w:cs="Arial"/>
              <w:sz w:val="24"/>
              <w:szCs w:val="24"/>
            </w:rPr>
          </w:pPr>
          <w:r w:rsidRPr="00ED7792">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rFonts w:ascii="Arial" w:hAnsi="Arial" w:cs="Arial"/>
              <w:sz w:val="24"/>
              <w:szCs w:val="24"/>
            </w:rPr>
            <w:t>.</w:t>
          </w:r>
        </w:p>
      </w:sdtContent>
    </w:sdt>
    <w:p w14:paraId="779A3938" w14:textId="77777777" w:rsidR="007931FD" w:rsidRDefault="007931FD" w:rsidP="0066211A">
      <w:pPr>
        <w:spacing w:line="360" w:lineRule="auto"/>
        <w:jc w:val="both"/>
      </w:pPr>
    </w:p>
    <w:p w14:paraId="72921007" w14:textId="77777777" w:rsidR="0011545B" w:rsidRPr="0011545B" w:rsidRDefault="0011545B" w:rsidP="007931FD">
      <w:pPr>
        <w:spacing w:line="360" w:lineRule="auto"/>
        <w:jc w:val="both"/>
        <w:rPr>
          <w:rFonts w:ascii="Arial" w:hAnsi="Arial" w:cs="Arial"/>
          <w:sz w:val="24"/>
          <w:szCs w:val="24"/>
        </w:rPr>
      </w:pPr>
      <w:r w:rsidRPr="0011545B">
        <w:rPr>
          <w:rFonts w:ascii="Arial" w:hAnsi="Arial" w:cs="Arial"/>
          <w:sz w:val="24"/>
          <w:szCs w:val="24"/>
        </w:rPr>
        <w:lastRenderedPageBreak/>
        <w:t>Word count: 2627 words</w:t>
      </w:r>
    </w:p>
    <w:p w14:paraId="687DD1F4" w14:textId="77777777" w:rsidR="0066211A" w:rsidRPr="00387CC2" w:rsidRDefault="0066211A" w:rsidP="007931FD">
      <w:pPr>
        <w:spacing w:line="360" w:lineRule="auto"/>
        <w:jc w:val="both"/>
        <w:rPr>
          <w:rFonts w:ascii="Arial" w:hAnsi="Arial" w:cs="Arial"/>
          <w:b/>
          <w:sz w:val="24"/>
          <w:szCs w:val="24"/>
        </w:rPr>
      </w:pPr>
      <w:r w:rsidRPr="00387CC2">
        <w:rPr>
          <w:rFonts w:ascii="Arial" w:hAnsi="Arial" w:cs="Arial"/>
          <w:b/>
          <w:sz w:val="24"/>
          <w:szCs w:val="24"/>
        </w:rPr>
        <w:t>1. Introduction</w:t>
      </w:r>
    </w:p>
    <w:p w14:paraId="3DEC6FC2" w14:textId="77777777" w:rsidR="0066211A" w:rsidRDefault="0066211A" w:rsidP="007931FD">
      <w:pPr>
        <w:spacing w:line="360" w:lineRule="auto"/>
        <w:jc w:val="both"/>
        <w:rPr>
          <w:rFonts w:ascii="Arial" w:hAnsi="Arial" w:cs="Arial"/>
          <w:sz w:val="24"/>
          <w:szCs w:val="24"/>
        </w:rPr>
      </w:pPr>
      <w:r w:rsidRPr="007931FD">
        <w:rPr>
          <w:rFonts w:ascii="Arial" w:hAnsi="Arial" w:cs="Arial"/>
          <w:sz w:val="24"/>
          <w:szCs w:val="24"/>
        </w:rPr>
        <w:t xml:space="preserve">The global hospitality industry, a sector historically anchored in the warmth of human interaction and the distinctiveness of service delivery, has entered a period of unprecedented technological disruption. As stakeholders navigate the "AI-defined era" of 2026, the integration of Artificial Intelligence (AI) and robotics has transcended mere operational novelty to become a fundamental infrastructural pillar of hotel management (Lopez, 2026). The convergence of generative AI (GenAI), advanced machine learning algorithms, and physical service robotics offers hospitality stakeholders potent tools to address chronic labour shortages, optimize revenue management with granular precision, and redefine the guest journey from discovery to post-stay engagement (Quach </w:t>
      </w:r>
      <w:proofErr w:type="spellStart"/>
      <w:r w:rsidRPr="007931FD">
        <w:rPr>
          <w:rFonts w:ascii="Arial" w:hAnsi="Arial" w:cs="Arial"/>
          <w:sz w:val="24"/>
          <w:szCs w:val="24"/>
        </w:rPr>
        <w:t>Thaichon</w:t>
      </w:r>
      <w:proofErr w:type="spellEnd"/>
      <w:r w:rsidRPr="007931FD">
        <w:rPr>
          <w:rFonts w:ascii="Arial" w:hAnsi="Arial" w:cs="Arial"/>
          <w:sz w:val="24"/>
          <w:szCs w:val="24"/>
        </w:rPr>
        <w:t>, 2026). However, this rapid technological proliferation has precipitated a profound existential tension within the industry: the delicate and often contentious balance between the efficiency of automation and the enduring consumer demand for the "human touch," particularly in high-stakes and luxury service interactions (Ivanov and Webster, 2019; Deloitte, 2025).</w:t>
      </w:r>
    </w:p>
    <w:p w14:paraId="32883174" w14:textId="77777777" w:rsidR="00387CC2" w:rsidRPr="007931FD" w:rsidRDefault="00387CC2" w:rsidP="007931FD">
      <w:pPr>
        <w:spacing w:line="360" w:lineRule="auto"/>
        <w:jc w:val="both"/>
        <w:rPr>
          <w:rFonts w:ascii="Arial" w:hAnsi="Arial" w:cs="Arial"/>
          <w:sz w:val="24"/>
          <w:szCs w:val="24"/>
        </w:rPr>
      </w:pPr>
    </w:p>
    <w:p w14:paraId="2DDE1006" w14:textId="77777777" w:rsidR="0066211A" w:rsidRPr="00387CC2" w:rsidRDefault="0066211A" w:rsidP="007931FD">
      <w:pPr>
        <w:spacing w:line="360" w:lineRule="auto"/>
        <w:jc w:val="both"/>
        <w:rPr>
          <w:rFonts w:ascii="Arial" w:hAnsi="Arial" w:cs="Arial"/>
          <w:b/>
          <w:sz w:val="24"/>
          <w:szCs w:val="24"/>
        </w:rPr>
      </w:pPr>
      <w:r w:rsidRPr="00387CC2">
        <w:rPr>
          <w:rFonts w:ascii="Arial" w:hAnsi="Arial" w:cs="Arial"/>
          <w:b/>
          <w:sz w:val="24"/>
          <w:szCs w:val="24"/>
        </w:rPr>
        <w:t>2. Literature Review</w:t>
      </w:r>
    </w:p>
    <w:p w14:paraId="3B198AB3" w14:textId="77777777" w:rsidR="0066211A" w:rsidRDefault="0066211A" w:rsidP="007931FD">
      <w:pPr>
        <w:spacing w:line="360" w:lineRule="auto"/>
        <w:jc w:val="both"/>
        <w:rPr>
          <w:rFonts w:ascii="Arial" w:hAnsi="Arial" w:cs="Arial"/>
          <w:sz w:val="24"/>
          <w:szCs w:val="24"/>
        </w:rPr>
      </w:pPr>
      <w:r w:rsidRPr="007931FD">
        <w:rPr>
          <w:rFonts w:ascii="Arial" w:hAnsi="Arial" w:cs="Arial"/>
          <w:sz w:val="24"/>
          <w:szCs w:val="24"/>
        </w:rPr>
        <w:t>The academic and industrial discourse surrounding AI in hospitality has evolved significantly over the past six years. The literature from 2020 to 2026 reflects a maturation of the field, moving from exploratory studies of potential applications to rigorous empirical examinations of deployment outcomes, acceptance models, and the psychological intricacies of human-robot interaction (HRI). This review categorizes the existing body of knowledge into four primary streams: the evolution of AI research themes, theoretical frameworks of acceptance, service quality modelling, and the workforce implications of automation.</w:t>
      </w:r>
    </w:p>
    <w:p w14:paraId="5DEACAAB" w14:textId="77777777" w:rsidR="00CE45AA" w:rsidRDefault="00CE45AA" w:rsidP="007931FD">
      <w:pPr>
        <w:spacing w:line="360" w:lineRule="auto"/>
        <w:jc w:val="both"/>
        <w:rPr>
          <w:rFonts w:ascii="Arial" w:hAnsi="Arial" w:cs="Arial"/>
          <w:sz w:val="24"/>
          <w:szCs w:val="24"/>
        </w:rPr>
      </w:pPr>
    </w:p>
    <w:p w14:paraId="136DF391" w14:textId="77777777" w:rsidR="00CE45AA" w:rsidRPr="007931FD" w:rsidRDefault="00CE45AA" w:rsidP="007931FD">
      <w:pPr>
        <w:spacing w:line="360" w:lineRule="auto"/>
        <w:jc w:val="both"/>
        <w:rPr>
          <w:rFonts w:ascii="Arial" w:hAnsi="Arial" w:cs="Arial"/>
          <w:sz w:val="24"/>
          <w:szCs w:val="24"/>
        </w:rPr>
      </w:pPr>
    </w:p>
    <w:p w14:paraId="7C25B54C"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lastRenderedPageBreak/>
        <w:t>2.1 The Evolution of AI in Hospitality Research (2020–2026)</w:t>
      </w:r>
    </w:p>
    <w:p w14:paraId="4DA92A95"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t xml:space="preserve">Early research in the domain, predominantly published prior to 2020, focused largely on the functional utility of AI systems. Studies often examined the efficiency of Property Management Systems (PMS) and the basic capabilities of rule-based chatbots. However, the literature published between 2020 and 2026 reveals a distinct shift toward complex </w:t>
      </w:r>
      <w:r w:rsidR="00387CC2" w:rsidRPr="007931FD">
        <w:rPr>
          <w:rFonts w:ascii="Arial" w:hAnsi="Arial" w:cs="Arial"/>
          <w:sz w:val="24"/>
          <w:szCs w:val="24"/>
        </w:rPr>
        <w:t>behavioural modelling</w:t>
      </w:r>
      <w:r w:rsidRPr="007931FD">
        <w:rPr>
          <w:rFonts w:ascii="Arial" w:hAnsi="Arial" w:cs="Arial"/>
          <w:sz w:val="24"/>
          <w:szCs w:val="24"/>
        </w:rPr>
        <w:t xml:space="preserve"> and the psychological impacts of automation on both guests and employees. (Wang et al. 2025) note in their systematic literature review that AI research in tourism has transitioned from the application of statistical tools to the investigation of deep learning and Generative AI (GenAI). This newer wave of research focuses heavily on "antecedents," such as user psychology and cultural background, "decision processes," and broad "outcomes" including organizational sustainability and service efficiency (Wang et al., 2025).</w:t>
      </w:r>
    </w:p>
    <w:p w14:paraId="6DD36746" w14:textId="77777777" w:rsidR="0066211A" w:rsidRDefault="0066211A" w:rsidP="007931FD">
      <w:pPr>
        <w:spacing w:line="360" w:lineRule="auto"/>
        <w:jc w:val="both"/>
        <w:rPr>
          <w:rFonts w:ascii="Arial" w:hAnsi="Arial" w:cs="Arial"/>
          <w:sz w:val="24"/>
          <w:szCs w:val="24"/>
        </w:rPr>
      </w:pPr>
      <w:r w:rsidRPr="007931FD">
        <w:rPr>
          <w:rFonts w:ascii="Arial" w:hAnsi="Arial" w:cs="Arial"/>
          <w:sz w:val="24"/>
          <w:szCs w:val="24"/>
        </w:rPr>
        <w:t>A critical development in 2026 is the convergence of "Soft AI" (algorithms and predictive analytics) and "Hard AI" (physical robotics). Fancourt (2026) observes that soft AI now generates the instructions for hard AI, enabling robots to autonomously learn complex tasks like cleaning and transport without requiring expensive, facility-specific coding. This evolution moves the industry from simple automation to "agentic" operations, where systems can negotiate and execute tasks independently (</w:t>
      </w:r>
      <w:proofErr w:type="spellStart"/>
      <w:r w:rsidRPr="007931FD">
        <w:rPr>
          <w:rFonts w:ascii="Arial" w:hAnsi="Arial" w:cs="Arial"/>
          <w:sz w:val="24"/>
          <w:szCs w:val="24"/>
        </w:rPr>
        <w:t>Solnet</w:t>
      </w:r>
      <w:proofErr w:type="spellEnd"/>
      <w:r w:rsidRPr="007931FD">
        <w:rPr>
          <w:rFonts w:ascii="Arial" w:hAnsi="Arial" w:cs="Arial"/>
          <w:sz w:val="24"/>
          <w:szCs w:val="24"/>
        </w:rPr>
        <w:t>, 2019).</w:t>
      </w:r>
    </w:p>
    <w:p w14:paraId="622DDDC4" w14:textId="77777777" w:rsidR="00541C89" w:rsidRPr="007931FD" w:rsidRDefault="00541C89" w:rsidP="007931FD">
      <w:pPr>
        <w:spacing w:line="360" w:lineRule="auto"/>
        <w:jc w:val="both"/>
        <w:rPr>
          <w:rFonts w:ascii="Arial" w:hAnsi="Arial" w:cs="Arial"/>
          <w:sz w:val="24"/>
          <w:szCs w:val="24"/>
        </w:rPr>
      </w:pPr>
    </w:p>
    <w:p w14:paraId="14A1936E"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t>2.2 Theoretical Frameworks of Technology Acceptance</w:t>
      </w:r>
    </w:p>
    <w:p w14:paraId="15A193AB"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t>To understand the mechanisms driving the adoption or rejection of AI in hospitality, researchers have employed and adapted several established theoretical models. The progression of these models reflects the increasing complexity of the technology and the user's relationship with it.</w:t>
      </w:r>
    </w:p>
    <w:p w14:paraId="72AABD24"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t xml:space="preserve">The Technology Acceptance Model (TAM) and its Limitations the Technology Acceptance Model (TAM) has historically been the dominant framework in information systems research, positing that Perceived Ease of Use (PEOU) and Perceived Usefulness (PU) are the primary determinants of adoption (Wang et al., 2025). However, recent literature argues that TAM is insufficient for the hospitality context </w:t>
      </w:r>
      <w:r w:rsidRPr="007931FD">
        <w:rPr>
          <w:rFonts w:ascii="Arial" w:hAnsi="Arial" w:cs="Arial"/>
          <w:sz w:val="24"/>
          <w:szCs w:val="24"/>
        </w:rPr>
        <w:lastRenderedPageBreak/>
        <w:t>because it fails to account for the emotional, social, and hedonic dimensions of service interactions (Gursoy et al., 2019). In a leisure context, a technology that is "easy to use" may still be rejected if it lacks the warmth or status associated with human service.</w:t>
      </w:r>
    </w:p>
    <w:p w14:paraId="1B270CDC"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t>The Unified Theory of Acceptance and Use of Technology (UTAUT) The UTAUT and its extension, UTAUT2, have gained prominence for their inclusion of additional constructs such as social influence, hedonic motivation, and price value (Wang et al., 2025). These factors are critical in hospitality, where the decision to use a self-service kiosk or a mobile app is often influenced by the social context (e.g., traveling with family vs. business travel) and the enjoyment derived from the interaction. Wang et al. (2025) explicitly suggest moving beyond traditional models toward UTAUT2 to better explain the complex, multi-stakeholder mechanisms at play in AI adoption.</w:t>
      </w:r>
    </w:p>
    <w:p w14:paraId="44251449"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t>The Artificially Intelligent Device Use Acceptance (AIDUA) Model A significant theoretical advancement specific to this domain is the AIDUA model, validated in the context of Indian luxury hotels by Roy et al. (2020) and Gursoy et al. (2019). Unlike TAM, AIDUA is grounded in Cognitive Appraisal Theory, which suggests that users undergo a three-stage psychological process when encountering AI:</w:t>
      </w:r>
    </w:p>
    <w:p w14:paraId="5D880F7B" w14:textId="77777777" w:rsidR="0066211A" w:rsidRPr="007931FD" w:rsidRDefault="009A4CA2" w:rsidP="009A4CA2">
      <w:pPr>
        <w:spacing w:line="360" w:lineRule="auto"/>
        <w:jc w:val="both"/>
        <w:rPr>
          <w:rFonts w:ascii="Arial" w:hAnsi="Arial" w:cs="Arial"/>
          <w:sz w:val="24"/>
          <w:szCs w:val="24"/>
        </w:rPr>
      </w:pPr>
      <w:r>
        <w:rPr>
          <w:rFonts w:ascii="Arial" w:hAnsi="Arial" w:cs="Arial"/>
          <w:sz w:val="24"/>
          <w:szCs w:val="24"/>
        </w:rPr>
        <w:t>1.</w:t>
      </w:r>
      <w:r w:rsidR="0066211A" w:rsidRPr="007931FD">
        <w:rPr>
          <w:rFonts w:ascii="Arial" w:hAnsi="Arial" w:cs="Arial"/>
          <w:sz w:val="24"/>
          <w:szCs w:val="24"/>
        </w:rPr>
        <w:t>Primary Appraisal: Users evaluate the device's relevance based on social influence, hedonic motivation (fun/novelty), and anthropomorphism (the degree to which the device resembles a human). The literature notes that anthropomorphism is a double-edged sword; while moderate human-likeness can facilitate interaction, high levels can trigger the "Uncanny Valley" effect, causing guest discomfort (Roy et al., 2020).</w:t>
      </w:r>
    </w:p>
    <w:p w14:paraId="47C6CF27" w14:textId="77777777" w:rsidR="0066211A" w:rsidRPr="007931FD" w:rsidRDefault="009A4CA2" w:rsidP="009A4CA2">
      <w:pPr>
        <w:spacing w:line="360" w:lineRule="auto"/>
        <w:jc w:val="both"/>
        <w:rPr>
          <w:rFonts w:ascii="Arial" w:hAnsi="Arial" w:cs="Arial"/>
          <w:sz w:val="24"/>
          <w:szCs w:val="24"/>
        </w:rPr>
      </w:pPr>
      <w:r>
        <w:rPr>
          <w:rFonts w:ascii="Arial" w:hAnsi="Arial" w:cs="Arial"/>
          <w:sz w:val="24"/>
          <w:szCs w:val="24"/>
        </w:rPr>
        <w:t>2.</w:t>
      </w:r>
      <w:r w:rsidR="0066211A" w:rsidRPr="007931FD">
        <w:rPr>
          <w:rFonts w:ascii="Arial" w:hAnsi="Arial" w:cs="Arial"/>
          <w:sz w:val="24"/>
          <w:szCs w:val="24"/>
        </w:rPr>
        <w:t>Secondary Appraisal: Users assess performance expectancy (utility) and effort expectancy. Notably, studies utilizing this model have found that performance expectancy is a stronger predictor of emotion than effort expectancy. This indicates that hospitality guests prioritize whether the AI works effectively over how easy it is to use, likely because they expect "intelligent" systems to be intuitive (Gursoy et al., 2019).</w:t>
      </w:r>
    </w:p>
    <w:p w14:paraId="3105F378" w14:textId="77777777" w:rsidR="0066211A" w:rsidRDefault="009A4CA2" w:rsidP="009A4CA2">
      <w:pPr>
        <w:spacing w:line="360" w:lineRule="auto"/>
        <w:jc w:val="both"/>
        <w:rPr>
          <w:rFonts w:ascii="Arial" w:hAnsi="Arial" w:cs="Arial"/>
          <w:sz w:val="24"/>
          <w:szCs w:val="24"/>
        </w:rPr>
      </w:pPr>
      <w:r>
        <w:rPr>
          <w:rFonts w:ascii="Arial" w:hAnsi="Arial" w:cs="Arial"/>
          <w:sz w:val="24"/>
          <w:szCs w:val="24"/>
        </w:rPr>
        <w:t>3.</w:t>
      </w:r>
      <w:r w:rsidR="0066211A" w:rsidRPr="007931FD">
        <w:rPr>
          <w:rFonts w:ascii="Arial" w:hAnsi="Arial" w:cs="Arial"/>
          <w:sz w:val="24"/>
          <w:szCs w:val="24"/>
        </w:rPr>
        <w:t xml:space="preserve">Outcome: These appraisals generate a specific emotional response, which directly dictates the user's willingness to use or object to the device (Roy et al., 2020). This </w:t>
      </w:r>
      <w:r w:rsidR="0066211A" w:rsidRPr="007931FD">
        <w:rPr>
          <w:rFonts w:ascii="Arial" w:hAnsi="Arial" w:cs="Arial"/>
          <w:sz w:val="24"/>
          <w:szCs w:val="24"/>
        </w:rPr>
        <w:lastRenderedPageBreak/>
        <w:t>focus on emotion as a mediator distinguishes AIDUA from purely rational models like TAM.</w:t>
      </w:r>
    </w:p>
    <w:p w14:paraId="4C5A1670" w14:textId="77777777" w:rsidR="00541C89" w:rsidRPr="007931FD" w:rsidRDefault="00541C89" w:rsidP="009A4CA2">
      <w:pPr>
        <w:spacing w:line="360" w:lineRule="auto"/>
        <w:jc w:val="both"/>
        <w:rPr>
          <w:rFonts w:ascii="Arial" w:hAnsi="Arial" w:cs="Arial"/>
          <w:sz w:val="24"/>
          <w:szCs w:val="24"/>
        </w:rPr>
      </w:pPr>
    </w:p>
    <w:p w14:paraId="371BAA58"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t>2.3 Service Quality Models: From SERVQUAL to Tech-Augmented Quality</w:t>
      </w:r>
    </w:p>
    <w:p w14:paraId="3B62BBC6" w14:textId="77777777" w:rsidR="0066211A" w:rsidRDefault="0066211A" w:rsidP="007931FD">
      <w:pPr>
        <w:spacing w:line="360" w:lineRule="auto"/>
        <w:jc w:val="both"/>
        <w:rPr>
          <w:rFonts w:ascii="Arial" w:hAnsi="Arial" w:cs="Arial"/>
          <w:sz w:val="24"/>
          <w:szCs w:val="24"/>
        </w:rPr>
      </w:pPr>
      <w:r w:rsidRPr="007931FD">
        <w:rPr>
          <w:rFonts w:ascii="Arial" w:hAnsi="Arial" w:cs="Arial"/>
          <w:sz w:val="24"/>
          <w:szCs w:val="24"/>
        </w:rPr>
        <w:t>The traditional SERVQUAL model (Parasuraman et al., 1988), which measures service quality across five dimensions—Reliability, Assurance, Tangibles, Empathy, and Responsiveness—faces significant challenges in an AI-driven environment (Ciftci, 2025). While AI excels in Reliability and Responsiveness offering consistent, 24/7 service without fatigue, it often fails to convey genuine empathy or build the trust required for Assurance. New research proposes "Tech-Augmented Service Quality" models that integrate AI's capabilities with human delivery (Ciftci, 2025). Ciftci (2025) argues for a re-conceptualization where AI handles the "science" of service (precision, speed, data recall) while humans handle the "art" (emotion, connection, improvisation). Empirical studies confirm that while AI excels in functional reliability, it often fails in empathy, a gap that human staff must fill (Al-</w:t>
      </w:r>
      <w:proofErr w:type="spellStart"/>
      <w:r w:rsidRPr="007931FD">
        <w:rPr>
          <w:rFonts w:ascii="Arial" w:hAnsi="Arial" w:cs="Arial"/>
          <w:sz w:val="24"/>
          <w:szCs w:val="24"/>
        </w:rPr>
        <w:t>Hyari</w:t>
      </w:r>
      <w:proofErr w:type="spellEnd"/>
      <w:r w:rsidRPr="007931FD">
        <w:rPr>
          <w:rFonts w:ascii="Arial" w:hAnsi="Arial" w:cs="Arial"/>
          <w:sz w:val="24"/>
          <w:szCs w:val="24"/>
        </w:rPr>
        <w:t xml:space="preserve"> et al., 2025; Gao and Yang, 2022).</w:t>
      </w:r>
    </w:p>
    <w:p w14:paraId="55CA718C" w14:textId="77777777" w:rsidR="00541C89" w:rsidRPr="007931FD" w:rsidRDefault="00541C89" w:rsidP="007931FD">
      <w:pPr>
        <w:spacing w:line="360" w:lineRule="auto"/>
        <w:jc w:val="both"/>
        <w:rPr>
          <w:rFonts w:ascii="Arial" w:hAnsi="Arial" w:cs="Arial"/>
          <w:sz w:val="24"/>
          <w:szCs w:val="24"/>
        </w:rPr>
      </w:pPr>
    </w:p>
    <w:p w14:paraId="5272E0CC"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t>2.4 Workforce Dynamics: The Challenge-Hindrance Framework</w:t>
      </w:r>
    </w:p>
    <w:p w14:paraId="1C26E341"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t>A critical theme in the literature is the impact of AI on the hospitality workforce. The narrative has evolved from fear of replacement to a more nuanced understanding of "Job Crafting" and "Augmentation" (Ersoy and Ehtiyar, 2023). Recent studies by Tan et al. (2024) apply the Challenge-Hindrance Stressor Framework to explain employee reactions.</w:t>
      </w:r>
    </w:p>
    <w:p w14:paraId="1AE8F2BB" w14:textId="77777777" w:rsidR="0066211A" w:rsidRPr="007931FD" w:rsidRDefault="0066211A" w:rsidP="008E5BED">
      <w:pPr>
        <w:spacing w:line="360" w:lineRule="auto"/>
        <w:jc w:val="both"/>
        <w:rPr>
          <w:rFonts w:ascii="Arial" w:hAnsi="Arial" w:cs="Arial"/>
          <w:sz w:val="24"/>
          <w:szCs w:val="24"/>
        </w:rPr>
      </w:pPr>
      <w:r w:rsidRPr="007931FD">
        <w:rPr>
          <w:rFonts w:ascii="Arial" w:hAnsi="Arial" w:cs="Arial"/>
          <w:sz w:val="24"/>
          <w:szCs w:val="24"/>
        </w:rPr>
        <w:t>Challenge Stressors: When AI is perceived as a "challenge stressor," employees view it as an opportunity for growth and mastery. This perception triggers "job crafting," where employees proactively redesign their roles to focus on meaningful, high-touch interactions that AI cannot replicate.</w:t>
      </w:r>
    </w:p>
    <w:p w14:paraId="75B4B9A9" w14:textId="77777777" w:rsidR="0066211A" w:rsidRPr="007931FD" w:rsidRDefault="0066211A" w:rsidP="008E5BED">
      <w:pPr>
        <w:spacing w:line="360" w:lineRule="auto"/>
        <w:jc w:val="both"/>
        <w:rPr>
          <w:rFonts w:ascii="Arial" w:hAnsi="Arial" w:cs="Arial"/>
          <w:sz w:val="24"/>
          <w:szCs w:val="24"/>
        </w:rPr>
      </w:pPr>
      <w:r w:rsidRPr="007931FD">
        <w:rPr>
          <w:rFonts w:ascii="Arial" w:hAnsi="Arial" w:cs="Arial"/>
          <w:sz w:val="24"/>
          <w:szCs w:val="24"/>
        </w:rPr>
        <w:lastRenderedPageBreak/>
        <w:t>Hindrance Stressors: Conversely, when AI is viewed as a "hindrance stressor" (e.g., due to job insecurity or lack of autonomy), it leads to "organizational dehumanization" and reduced service passion (Xu et al., 2025).</w:t>
      </w:r>
    </w:p>
    <w:p w14:paraId="31437E68" w14:textId="77777777" w:rsidR="0066211A" w:rsidRDefault="0066211A" w:rsidP="008E5BED">
      <w:pPr>
        <w:spacing w:line="360" w:lineRule="auto"/>
        <w:jc w:val="both"/>
        <w:rPr>
          <w:rFonts w:ascii="Arial" w:hAnsi="Arial" w:cs="Arial"/>
          <w:sz w:val="24"/>
          <w:szCs w:val="24"/>
        </w:rPr>
      </w:pPr>
      <w:r w:rsidRPr="007931FD">
        <w:rPr>
          <w:rFonts w:ascii="Arial" w:hAnsi="Arial" w:cs="Arial"/>
          <w:sz w:val="24"/>
          <w:szCs w:val="24"/>
        </w:rPr>
        <w:t>Conservation of Resources: The Conservation of Resources Theory explains how employees utilize AI to conserve cognitive energy for complex guest interactions that provide higher job satisfaction (Kaur, 2025).</w:t>
      </w:r>
    </w:p>
    <w:p w14:paraId="055538EC" w14:textId="77777777" w:rsidR="00CE45AA" w:rsidRPr="007931FD" w:rsidRDefault="00CE45AA" w:rsidP="00CE45AA">
      <w:pPr>
        <w:spacing w:line="360" w:lineRule="auto"/>
        <w:ind w:left="720"/>
        <w:jc w:val="both"/>
        <w:rPr>
          <w:rFonts w:ascii="Arial" w:hAnsi="Arial" w:cs="Arial"/>
          <w:sz w:val="24"/>
          <w:szCs w:val="24"/>
        </w:rPr>
      </w:pPr>
    </w:p>
    <w:p w14:paraId="317560BF" w14:textId="77777777" w:rsidR="0066211A" w:rsidRPr="00387CC2" w:rsidRDefault="0066211A" w:rsidP="007931FD">
      <w:pPr>
        <w:spacing w:line="360" w:lineRule="auto"/>
        <w:jc w:val="both"/>
        <w:rPr>
          <w:rFonts w:ascii="Arial" w:hAnsi="Arial" w:cs="Arial"/>
          <w:b/>
          <w:sz w:val="24"/>
          <w:szCs w:val="24"/>
        </w:rPr>
      </w:pPr>
      <w:r w:rsidRPr="00387CC2">
        <w:rPr>
          <w:rFonts w:ascii="Arial" w:hAnsi="Arial" w:cs="Arial"/>
          <w:b/>
          <w:sz w:val="24"/>
          <w:szCs w:val="24"/>
        </w:rPr>
        <w:t>3. Method</w:t>
      </w:r>
    </w:p>
    <w:p w14:paraId="7F0D3CE6"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t>This report employs a comprehensive qualitative secondary research methodology to synthesize and analyse the current state of AI and human collaboration in the hospitality industry. The research design is structured to provide a holistic view of the topic, integrating theoretical perspectives with empirical industry data.</w:t>
      </w:r>
    </w:p>
    <w:p w14:paraId="39E648A1"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t>Data Collection and Source Selection The analysis is based on a rigorous review of 40+ disparate sources, selected for their relevance, credibility, and recency. The timeframe for the source material spans from 2020 to 2026, allowing for a longitudinal analysis that captures pre-pandemic baselines, the disruption of the COVID-19 pandemic, and the subsequent stabilization and maturation of AI technologies in the post-pandemic era (Zhang and Zhang, 2026).</w:t>
      </w:r>
    </w:p>
    <w:p w14:paraId="527D12BE" w14:textId="77777777" w:rsidR="0066211A" w:rsidRPr="007931FD" w:rsidRDefault="0066211A" w:rsidP="008E5BED">
      <w:pPr>
        <w:spacing w:line="360" w:lineRule="auto"/>
        <w:jc w:val="both"/>
        <w:rPr>
          <w:rFonts w:ascii="Arial" w:hAnsi="Arial" w:cs="Arial"/>
          <w:sz w:val="24"/>
          <w:szCs w:val="24"/>
        </w:rPr>
      </w:pPr>
      <w:r w:rsidRPr="007931FD">
        <w:rPr>
          <w:rFonts w:ascii="Arial" w:hAnsi="Arial" w:cs="Arial"/>
          <w:sz w:val="24"/>
          <w:szCs w:val="24"/>
        </w:rPr>
        <w:t>Academic Journals: Peer-reviewed articles were sourced from leading publications such as the International Journal of Hospitality Management, Journal of Hospitality and Tourism Technology, Tourism Management, and Sustainability. These sources provide the theoretical backbone and rigorous empirical testing of acceptance models (Kim et al., 2021; Nanu et al., 2026; Wang et al., 2025).</w:t>
      </w:r>
    </w:p>
    <w:p w14:paraId="2344DD17" w14:textId="77777777" w:rsidR="0066211A" w:rsidRPr="007931FD" w:rsidRDefault="0066211A" w:rsidP="008E5BED">
      <w:pPr>
        <w:spacing w:line="360" w:lineRule="auto"/>
        <w:jc w:val="both"/>
        <w:rPr>
          <w:rFonts w:ascii="Arial" w:hAnsi="Arial" w:cs="Arial"/>
          <w:sz w:val="24"/>
          <w:szCs w:val="24"/>
        </w:rPr>
      </w:pPr>
      <w:r w:rsidRPr="007931FD">
        <w:rPr>
          <w:rFonts w:ascii="Arial" w:hAnsi="Arial" w:cs="Arial"/>
          <w:sz w:val="24"/>
          <w:szCs w:val="24"/>
        </w:rPr>
        <w:t xml:space="preserve">Industry Reports: White papers and trend reports from major industry stakeholders, including Marriott International, Hilton Worldwide, EHL Hospitality Business School, and the Asian Productivity Organization, were utilized to understand corporate strategies and operational realities (EHL Hospitality Business School, 2026; Hilton Worldwide, 2026; Quach </w:t>
      </w:r>
      <w:proofErr w:type="spellStart"/>
      <w:r w:rsidRPr="007931FD">
        <w:rPr>
          <w:rFonts w:ascii="Arial" w:hAnsi="Arial" w:cs="Arial"/>
          <w:sz w:val="24"/>
          <w:szCs w:val="24"/>
        </w:rPr>
        <w:t>Thaichon</w:t>
      </w:r>
      <w:proofErr w:type="spellEnd"/>
      <w:r w:rsidRPr="007931FD">
        <w:rPr>
          <w:rFonts w:ascii="Arial" w:hAnsi="Arial" w:cs="Arial"/>
          <w:sz w:val="24"/>
          <w:szCs w:val="24"/>
        </w:rPr>
        <w:t>, 2026).</w:t>
      </w:r>
    </w:p>
    <w:p w14:paraId="23E27B92" w14:textId="77777777" w:rsidR="0066211A" w:rsidRPr="007931FD" w:rsidRDefault="0066211A" w:rsidP="008E5BED">
      <w:pPr>
        <w:spacing w:line="360" w:lineRule="auto"/>
        <w:jc w:val="both"/>
        <w:rPr>
          <w:rFonts w:ascii="Arial" w:hAnsi="Arial" w:cs="Arial"/>
          <w:sz w:val="24"/>
          <w:szCs w:val="24"/>
        </w:rPr>
      </w:pPr>
      <w:r w:rsidRPr="007931FD">
        <w:rPr>
          <w:rFonts w:ascii="Arial" w:hAnsi="Arial" w:cs="Arial"/>
          <w:sz w:val="24"/>
          <w:szCs w:val="24"/>
        </w:rPr>
        <w:lastRenderedPageBreak/>
        <w:t>News and Media: Reputable news outlets and trade publications provided up-to-date information on emerging trends, specific case studies, and 2026 market outlooks (Lopez, 2026; Nanu et al., 2026).</w:t>
      </w:r>
    </w:p>
    <w:p w14:paraId="42AB5D11"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t>Analytical Framework To systematically deconstruct this vast body of literature, the report utilizes the TCCM Framework (Theories, Contexts, Characteristics, Methods) (Wang et al., 2025). This framework allows for a structured evaluation of the findings:</w:t>
      </w:r>
    </w:p>
    <w:p w14:paraId="431E2486" w14:textId="77777777" w:rsidR="0066211A" w:rsidRPr="007931FD" w:rsidRDefault="0066211A" w:rsidP="008E5BED">
      <w:pPr>
        <w:spacing w:line="360" w:lineRule="auto"/>
        <w:jc w:val="both"/>
        <w:rPr>
          <w:rFonts w:ascii="Arial" w:hAnsi="Arial" w:cs="Arial"/>
          <w:sz w:val="24"/>
          <w:szCs w:val="24"/>
        </w:rPr>
      </w:pPr>
      <w:r w:rsidRPr="007931FD">
        <w:rPr>
          <w:rFonts w:ascii="Arial" w:hAnsi="Arial" w:cs="Arial"/>
          <w:sz w:val="24"/>
          <w:szCs w:val="24"/>
        </w:rPr>
        <w:t>Theories: Identifying the psychological models driving acceptance (e.g., AIDUA, UTAUT, Privacy Calculus).</w:t>
      </w:r>
    </w:p>
    <w:p w14:paraId="766C103A" w14:textId="77777777" w:rsidR="0066211A" w:rsidRPr="007931FD" w:rsidRDefault="0066211A" w:rsidP="008E5BED">
      <w:pPr>
        <w:spacing w:line="360" w:lineRule="auto"/>
        <w:jc w:val="both"/>
        <w:rPr>
          <w:rFonts w:ascii="Arial" w:hAnsi="Arial" w:cs="Arial"/>
          <w:sz w:val="24"/>
          <w:szCs w:val="24"/>
        </w:rPr>
      </w:pPr>
      <w:r w:rsidRPr="007931FD">
        <w:rPr>
          <w:rFonts w:ascii="Arial" w:hAnsi="Arial" w:cs="Arial"/>
          <w:sz w:val="24"/>
          <w:szCs w:val="24"/>
        </w:rPr>
        <w:t>Contexts: Differentiating findings based on market segments (Luxury vs. Budget) and cultural geographies (Western vs. Asian markets).</w:t>
      </w:r>
    </w:p>
    <w:p w14:paraId="2AB78253" w14:textId="77777777" w:rsidR="0066211A" w:rsidRPr="007931FD" w:rsidRDefault="0066211A" w:rsidP="008E5BED">
      <w:pPr>
        <w:spacing w:line="360" w:lineRule="auto"/>
        <w:jc w:val="both"/>
        <w:rPr>
          <w:rFonts w:ascii="Arial" w:hAnsi="Arial" w:cs="Arial"/>
          <w:sz w:val="24"/>
          <w:szCs w:val="24"/>
        </w:rPr>
      </w:pPr>
      <w:r w:rsidRPr="007931FD">
        <w:rPr>
          <w:rFonts w:ascii="Arial" w:hAnsi="Arial" w:cs="Arial"/>
          <w:sz w:val="24"/>
          <w:szCs w:val="24"/>
        </w:rPr>
        <w:t>Characteristics: Examining the specific attributes of the AI technologies discussed (e.g., anthropomorphism, voice capability, predictive power).</w:t>
      </w:r>
    </w:p>
    <w:p w14:paraId="5D0F6A5D" w14:textId="77777777" w:rsidR="0066211A" w:rsidRDefault="0066211A" w:rsidP="008E5BED">
      <w:pPr>
        <w:spacing w:line="360" w:lineRule="auto"/>
        <w:jc w:val="both"/>
        <w:rPr>
          <w:rFonts w:ascii="Arial" w:hAnsi="Arial" w:cs="Arial"/>
          <w:sz w:val="24"/>
          <w:szCs w:val="24"/>
        </w:rPr>
      </w:pPr>
      <w:r w:rsidRPr="007931FD">
        <w:rPr>
          <w:rFonts w:ascii="Arial" w:hAnsi="Arial" w:cs="Arial"/>
          <w:sz w:val="24"/>
          <w:szCs w:val="24"/>
        </w:rPr>
        <w:t>Methods: Evaluating the weight of the findings by distinguishing between large-scale surveys, experimental case studies, and conceptual papers.</w:t>
      </w:r>
    </w:p>
    <w:p w14:paraId="3370652D" w14:textId="77777777" w:rsidR="00387CC2" w:rsidRPr="007931FD" w:rsidRDefault="00387CC2" w:rsidP="00387CC2">
      <w:pPr>
        <w:spacing w:line="360" w:lineRule="auto"/>
        <w:ind w:left="720"/>
        <w:jc w:val="both"/>
        <w:rPr>
          <w:rFonts w:ascii="Arial" w:hAnsi="Arial" w:cs="Arial"/>
          <w:sz w:val="24"/>
          <w:szCs w:val="24"/>
        </w:rPr>
      </w:pPr>
    </w:p>
    <w:p w14:paraId="79E63EB2" w14:textId="77777777" w:rsidR="0066211A" w:rsidRPr="00387CC2" w:rsidRDefault="0066211A" w:rsidP="007931FD">
      <w:pPr>
        <w:spacing w:line="360" w:lineRule="auto"/>
        <w:jc w:val="both"/>
        <w:rPr>
          <w:rFonts w:ascii="Arial" w:hAnsi="Arial" w:cs="Arial"/>
          <w:b/>
          <w:sz w:val="24"/>
          <w:szCs w:val="24"/>
        </w:rPr>
      </w:pPr>
      <w:r w:rsidRPr="00387CC2">
        <w:rPr>
          <w:rFonts w:ascii="Arial" w:hAnsi="Arial" w:cs="Arial"/>
          <w:b/>
          <w:sz w:val="24"/>
          <w:szCs w:val="24"/>
        </w:rPr>
        <w:t>4. Theme Impact Analysis</w:t>
      </w:r>
    </w:p>
    <w:p w14:paraId="11001A38" w14:textId="77777777" w:rsidR="0066211A" w:rsidRDefault="0066211A" w:rsidP="007931FD">
      <w:pPr>
        <w:spacing w:line="360" w:lineRule="auto"/>
        <w:jc w:val="both"/>
        <w:rPr>
          <w:rFonts w:ascii="Arial" w:hAnsi="Arial" w:cs="Arial"/>
          <w:sz w:val="24"/>
          <w:szCs w:val="24"/>
        </w:rPr>
      </w:pPr>
      <w:r w:rsidRPr="007931FD">
        <w:rPr>
          <w:rFonts w:ascii="Arial" w:hAnsi="Arial" w:cs="Arial"/>
          <w:sz w:val="24"/>
          <w:szCs w:val="24"/>
        </w:rPr>
        <w:t>The integration of Artificial Intelligence into the hospitality ecosystem is not a binary choice between human and machine but a complex negotiation of roles, expectations, and capabilities. This section analyses the impact of this convergence across four critical dimensions.</w:t>
      </w:r>
    </w:p>
    <w:p w14:paraId="4BFA8B05" w14:textId="77777777" w:rsidR="00541C89" w:rsidRPr="007931FD" w:rsidRDefault="00541C89" w:rsidP="007931FD">
      <w:pPr>
        <w:spacing w:line="360" w:lineRule="auto"/>
        <w:jc w:val="both"/>
        <w:rPr>
          <w:rFonts w:ascii="Arial" w:hAnsi="Arial" w:cs="Arial"/>
          <w:sz w:val="24"/>
          <w:szCs w:val="24"/>
        </w:rPr>
      </w:pPr>
    </w:p>
    <w:p w14:paraId="65B40CE4"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t>4.1 Operational Efficiency: Agentic Infrastructure vs. The "Enthusiasm Gap"</w:t>
      </w:r>
    </w:p>
    <w:p w14:paraId="475F6B02"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t xml:space="preserve">The most immediate and quantifiable impact of AI adoption in hospitality is the dramatic enhancement of operational efficiency. As the industry moves toward the "2026 Horizon," it is increasingly defined by "rich hotel schema" and "agentic infrastructure" (Lopez, 2026). This shift involves "Model Context Protocol" (MCP), which allows AI systems to securely access hotel data (PMS, CRM) and perform functional actions like </w:t>
      </w:r>
      <w:r w:rsidRPr="007931FD">
        <w:rPr>
          <w:rFonts w:ascii="Arial" w:hAnsi="Arial" w:cs="Arial"/>
          <w:sz w:val="24"/>
          <w:szCs w:val="24"/>
        </w:rPr>
        <w:lastRenderedPageBreak/>
        <w:t>generating proposals or modifying reservations without custom integrations (Lopez, 2026). Hotels adopting AI-driven Property Management Systems (PMS) report significant gains; 91% of hoteliers state that their PMS directly drives revenue growth via upsells and rate optimization, with 89% of operators saving 2–10 hours per week on administrative tasks (Hotel Tech Report, 2025).</w:t>
      </w:r>
    </w:p>
    <w:p w14:paraId="3298FFF2" w14:textId="77777777" w:rsidR="00387CC2" w:rsidRDefault="00387CC2" w:rsidP="007931FD">
      <w:pPr>
        <w:spacing w:line="360" w:lineRule="auto"/>
        <w:jc w:val="both"/>
        <w:rPr>
          <w:rFonts w:ascii="Arial" w:hAnsi="Arial" w:cs="Arial"/>
          <w:sz w:val="24"/>
          <w:szCs w:val="24"/>
        </w:rPr>
      </w:pPr>
    </w:p>
    <w:p w14:paraId="329FC70C"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t>4.2 The Paradox of Personalization: Global Variances in Acceptance</w:t>
      </w:r>
    </w:p>
    <w:p w14:paraId="36A3F2EC"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t>AI enables "Hyper-personalization," using predictive analytics to tailor stays (e.g., room temperature, dietary needs) before guests arrive. A comparative case study of luxury hotels in Serbia and Hungary found that personalized AI services explained over 60% of the variance in guest satisfaction (</w:t>
      </w:r>
      <w:proofErr w:type="spellStart"/>
      <w:r w:rsidRPr="007931FD">
        <w:rPr>
          <w:rFonts w:ascii="Arial" w:hAnsi="Arial" w:cs="Arial"/>
          <w:sz w:val="24"/>
          <w:szCs w:val="24"/>
        </w:rPr>
        <w:t>Thaichon</w:t>
      </w:r>
      <w:proofErr w:type="spellEnd"/>
      <w:r w:rsidRPr="007931FD">
        <w:rPr>
          <w:rFonts w:ascii="Arial" w:hAnsi="Arial" w:cs="Arial"/>
          <w:sz w:val="24"/>
          <w:szCs w:val="24"/>
        </w:rPr>
        <w:t xml:space="preserve"> et al., 2026). This level of customization, driven by deep learning algorithms, moves beyond market segmentation to individual-level tailoring.</w:t>
      </w:r>
    </w:p>
    <w:p w14:paraId="4AAB2039"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t>However, the acceptance of this personalization varies globally due to the "Privacy Calculus."</w:t>
      </w:r>
    </w:p>
    <w:p w14:paraId="22001867" w14:textId="77777777" w:rsidR="0066211A" w:rsidRPr="007931FD" w:rsidRDefault="0066211A" w:rsidP="008E5BED">
      <w:pPr>
        <w:spacing w:line="360" w:lineRule="auto"/>
        <w:jc w:val="both"/>
        <w:rPr>
          <w:rFonts w:ascii="Arial" w:hAnsi="Arial" w:cs="Arial"/>
          <w:sz w:val="24"/>
          <w:szCs w:val="24"/>
        </w:rPr>
      </w:pPr>
      <w:r w:rsidRPr="007931FD">
        <w:rPr>
          <w:rFonts w:ascii="Arial" w:hAnsi="Arial" w:cs="Arial"/>
          <w:sz w:val="24"/>
          <w:szCs w:val="24"/>
        </w:rPr>
        <w:t>Western/Transitional Markets (Serbia/Hungary): In markets with lower tech maturity like Serbia, Trust in AI Systems (TAS) is a critical mediator; trust must be explicitly built before invasive personalization is accepted. In Hungary, where tech maturity is higher, the "experience with technology" is the primary driver (</w:t>
      </w:r>
      <w:proofErr w:type="spellStart"/>
      <w:r w:rsidRPr="007931FD">
        <w:rPr>
          <w:rFonts w:ascii="Arial" w:hAnsi="Arial" w:cs="Arial"/>
          <w:sz w:val="24"/>
          <w:szCs w:val="24"/>
        </w:rPr>
        <w:t>Thaichon</w:t>
      </w:r>
      <w:proofErr w:type="spellEnd"/>
      <w:r w:rsidRPr="007931FD">
        <w:rPr>
          <w:rFonts w:ascii="Arial" w:hAnsi="Arial" w:cs="Arial"/>
          <w:sz w:val="24"/>
          <w:szCs w:val="24"/>
        </w:rPr>
        <w:t xml:space="preserve"> et al., 2026).</w:t>
      </w:r>
    </w:p>
    <w:p w14:paraId="78B4FE42" w14:textId="77777777" w:rsidR="0066211A" w:rsidRPr="007931FD" w:rsidRDefault="0066211A" w:rsidP="008E5BED">
      <w:pPr>
        <w:spacing w:line="360" w:lineRule="auto"/>
        <w:jc w:val="both"/>
        <w:rPr>
          <w:rFonts w:ascii="Arial" w:hAnsi="Arial" w:cs="Arial"/>
          <w:sz w:val="24"/>
          <w:szCs w:val="24"/>
        </w:rPr>
      </w:pPr>
      <w:r w:rsidRPr="007931FD">
        <w:rPr>
          <w:rFonts w:ascii="Arial" w:hAnsi="Arial" w:cs="Arial"/>
          <w:sz w:val="24"/>
          <w:szCs w:val="24"/>
        </w:rPr>
        <w:t>Asian Markets (Malaysia/Kuala Lumpur): A study on luxury hotels in Kuala Lumpur found that while Smart Room IoT significantly improved operational speed, guests felt that "full personalization" still required human refinement to be truly effective (Johura and Ali, 2025).</w:t>
      </w:r>
    </w:p>
    <w:p w14:paraId="528B17D2" w14:textId="77777777" w:rsidR="0066211A" w:rsidRDefault="0066211A" w:rsidP="008E5BED">
      <w:pPr>
        <w:spacing w:line="360" w:lineRule="auto"/>
        <w:jc w:val="both"/>
        <w:rPr>
          <w:rFonts w:ascii="Arial" w:hAnsi="Arial" w:cs="Arial"/>
          <w:sz w:val="24"/>
          <w:szCs w:val="24"/>
        </w:rPr>
      </w:pPr>
      <w:r w:rsidRPr="007931FD">
        <w:rPr>
          <w:rFonts w:ascii="Arial" w:hAnsi="Arial" w:cs="Arial"/>
          <w:sz w:val="24"/>
          <w:szCs w:val="24"/>
        </w:rPr>
        <w:t>Privacy Concerns: The USF study noted that 76% of guests have privacy concerns regarding voice-activated services, fearing "My voice could be hacked" (Nanu et al., 2026).</w:t>
      </w:r>
    </w:p>
    <w:p w14:paraId="3D1DB838" w14:textId="77777777" w:rsidR="00541C89" w:rsidRDefault="00541C89" w:rsidP="008E5BED">
      <w:pPr>
        <w:spacing w:line="360" w:lineRule="auto"/>
        <w:jc w:val="both"/>
        <w:rPr>
          <w:rFonts w:ascii="Arial" w:hAnsi="Arial" w:cs="Arial"/>
          <w:sz w:val="24"/>
          <w:szCs w:val="24"/>
        </w:rPr>
      </w:pPr>
    </w:p>
    <w:p w14:paraId="38310985" w14:textId="77777777" w:rsidR="00541C89" w:rsidRPr="007931FD" w:rsidRDefault="00541C89" w:rsidP="008E5BED">
      <w:pPr>
        <w:spacing w:line="360" w:lineRule="auto"/>
        <w:jc w:val="both"/>
        <w:rPr>
          <w:rFonts w:ascii="Arial" w:hAnsi="Arial" w:cs="Arial"/>
          <w:sz w:val="24"/>
          <w:szCs w:val="24"/>
        </w:rPr>
      </w:pPr>
    </w:p>
    <w:p w14:paraId="4C47109A"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lastRenderedPageBreak/>
        <w:t>4.3 Human-Robot Interaction (HRI) and the USUS Framework</w:t>
      </w:r>
    </w:p>
    <w:p w14:paraId="5D54C341"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t>Service robots present unique challenges in Human-Robot Interaction (HRI). A systematic review using the USUS Framework (Usability, Social Acceptance, User Experience, Societal Impact) highlights critical discrepancies.   </w:t>
      </w:r>
    </w:p>
    <w:p w14:paraId="17D37041" w14:textId="77777777" w:rsidR="0066211A" w:rsidRPr="007931FD" w:rsidRDefault="0066211A" w:rsidP="008E5BED">
      <w:pPr>
        <w:spacing w:line="360" w:lineRule="auto"/>
        <w:jc w:val="both"/>
        <w:rPr>
          <w:rFonts w:ascii="Arial" w:hAnsi="Arial" w:cs="Arial"/>
          <w:sz w:val="24"/>
          <w:szCs w:val="24"/>
        </w:rPr>
      </w:pPr>
      <w:r w:rsidRPr="007931FD">
        <w:rPr>
          <w:rFonts w:ascii="Arial" w:hAnsi="Arial" w:cs="Arial"/>
          <w:sz w:val="24"/>
          <w:szCs w:val="24"/>
        </w:rPr>
        <w:t>Usability vs. Social Acceptance: While robots score high on usability for simple tasks (luggage transport), their social acceptance drops for roles requiring "social-emotional" intelligence (Wirtz et al., 2018).</w:t>
      </w:r>
    </w:p>
    <w:p w14:paraId="258626B6" w14:textId="77777777" w:rsidR="0066211A" w:rsidRPr="007931FD" w:rsidRDefault="0066211A" w:rsidP="008E5BED">
      <w:pPr>
        <w:spacing w:line="360" w:lineRule="auto"/>
        <w:jc w:val="both"/>
        <w:rPr>
          <w:rFonts w:ascii="Arial" w:hAnsi="Arial" w:cs="Arial"/>
          <w:sz w:val="24"/>
          <w:szCs w:val="24"/>
        </w:rPr>
      </w:pPr>
      <w:r w:rsidRPr="007931FD">
        <w:rPr>
          <w:rFonts w:ascii="Arial" w:hAnsi="Arial" w:cs="Arial"/>
          <w:sz w:val="24"/>
          <w:szCs w:val="24"/>
        </w:rPr>
        <w:t>The Uncanny Valley: Anthropomorphism is critical; moderate human-likeness aids interaction, but high realism can trigger the "Uncanny Valley," causing discomfort (Roy et al., 2020).</w:t>
      </w:r>
    </w:p>
    <w:p w14:paraId="2687D754" w14:textId="77777777" w:rsidR="0066211A" w:rsidRDefault="0066211A" w:rsidP="008E5BED">
      <w:pPr>
        <w:spacing w:line="360" w:lineRule="auto"/>
        <w:jc w:val="both"/>
        <w:rPr>
          <w:rFonts w:ascii="Arial" w:hAnsi="Arial" w:cs="Arial"/>
          <w:sz w:val="24"/>
          <w:szCs w:val="24"/>
        </w:rPr>
      </w:pPr>
      <w:r w:rsidRPr="007931FD">
        <w:rPr>
          <w:rFonts w:ascii="Arial" w:hAnsi="Arial" w:cs="Arial"/>
          <w:sz w:val="24"/>
          <w:szCs w:val="24"/>
        </w:rPr>
        <w:t>Service Failure &amp; Recovery: Crucially, AI often fails in Service Recovery. Research by Eskridge and van Esch (2025) indicates that while humorous responses from AI can mitigate minor failures by making the agent seem "warmer," this strategy fails during serious service lapses because machines lack moral agency. Consumers view humans as superior for "high-complexity" recovery tasks because only humans can express genuine regret and empathy.</w:t>
      </w:r>
    </w:p>
    <w:p w14:paraId="445C88BB" w14:textId="77777777" w:rsidR="00541C89" w:rsidRPr="007931FD" w:rsidRDefault="00541C89" w:rsidP="008E5BED">
      <w:pPr>
        <w:spacing w:line="360" w:lineRule="auto"/>
        <w:jc w:val="both"/>
        <w:rPr>
          <w:rFonts w:ascii="Arial" w:hAnsi="Arial" w:cs="Arial"/>
          <w:sz w:val="24"/>
          <w:szCs w:val="24"/>
        </w:rPr>
      </w:pPr>
    </w:p>
    <w:p w14:paraId="2CF65842"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t>4.4 The Luxury vs. Budget Divide and Workforce Strategy</w:t>
      </w:r>
    </w:p>
    <w:p w14:paraId="01A4AC27"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t>A strategic bifurcation is emerging between market segments (Deloitte, 2025).</w:t>
      </w:r>
    </w:p>
    <w:p w14:paraId="256D1548" w14:textId="77777777" w:rsidR="0066211A" w:rsidRPr="007931FD" w:rsidRDefault="0066211A" w:rsidP="008E5BED">
      <w:pPr>
        <w:spacing w:line="360" w:lineRule="auto"/>
        <w:jc w:val="both"/>
        <w:rPr>
          <w:rFonts w:ascii="Arial" w:hAnsi="Arial" w:cs="Arial"/>
          <w:sz w:val="24"/>
          <w:szCs w:val="24"/>
        </w:rPr>
      </w:pPr>
      <w:r w:rsidRPr="007931FD">
        <w:rPr>
          <w:rFonts w:ascii="Arial" w:hAnsi="Arial" w:cs="Arial"/>
          <w:sz w:val="24"/>
          <w:szCs w:val="24"/>
        </w:rPr>
        <w:t>Budget/Economy: Here, AI is the product. Guests trade service for speed and price, accepting self-check-in kiosks and automated efficiency (Revfine, 2024).</w:t>
      </w:r>
    </w:p>
    <w:p w14:paraId="64D63F13" w14:textId="77777777" w:rsidR="0066211A" w:rsidRPr="007931FD" w:rsidRDefault="0066211A" w:rsidP="008E5BED">
      <w:pPr>
        <w:spacing w:line="360" w:lineRule="auto"/>
        <w:jc w:val="both"/>
        <w:rPr>
          <w:rFonts w:ascii="Arial" w:hAnsi="Arial" w:cs="Arial"/>
          <w:sz w:val="24"/>
          <w:szCs w:val="24"/>
        </w:rPr>
      </w:pPr>
      <w:r w:rsidRPr="007931FD">
        <w:rPr>
          <w:rFonts w:ascii="Arial" w:hAnsi="Arial" w:cs="Arial"/>
          <w:sz w:val="24"/>
          <w:szCs w:val="24"/>
        </w:rPr>
        <w:t>Luxury: The "Human Touch" is the premium value proposition. As AI commoditizes basic service, human interaction becomes a scarcity, akin to "pink diamonds" (Fu, 2026). In luxury, AI acts as an "invisible enabler," informing staff preferences without replacing the interaction (Ciftci, 2025).</w:t>
      </w:r>
    </w:p>
    <w:p w14:paraId="0A3EB208" w14:textId="77777777" w:rsidR="0066211A" w:rsidRDefault="0066211A" w:rsidP="007931FD">
      <w:pPr>
        <w:spacing w:line="360" w:lineRule="auto"/>
        <w:jc w:val="both"/>
        <w:rPr>
          <w:rFonts w:ascii="Arial" w:hAnsi="Arial" w:cs="Arial"/>
          <w:sz w:val="24"/>
          <w:szCs w:val="24"/>
        </w:rPr>
      </w:pPr>
      <w:r w:rsidRPr="007931FD">
        <w:rPr>
          <w:rFonts w:ascii="Arial" w:hAnsi="Arial" w:cs="Arial"/>
          <w:sz w:val="24"/>
          <w:szCs w:val="24"/>
        </w:rPr>
        <w:t xml:space="preserve">This shift necessitates a new workforce strategy focused on Reskilling. As AI handles "IQ" tasks (processing, logic), the value of "EQ" (emotional intelligence) skyrockets. The </w:t>
      </w:r>
      <w:r w:rsidRPr="007931FD">
        <w:rPr>
          <w:rFonts w:ascii="Arial" w:hAnsi="Arial" w:cs="Arial"/>
          <w:sz w:val="24"/>
          <w:szCs w:val="24"/>
        </w:rPr>
        <w:lastRenderedPageBreak/>
        <w:t>industry is seeing a move toward "Asset-Light Expansion," where brand power and operational efficiency—driven by reskilled human talent—drive value creation (Les Roches, 2025). Furthermore, "Synthetic Mystery Shopping" is emerging as a critical tool for quality control, using AI personas to test and audit service standards at scale (Lopez, 2026).</w:t>
      </w:r>
    </w:p>
    <w:p w14:paraId="22408AEA" w14:textId="77777777" w:rsidR="00387CC2" w:rsidRDefault="00387CC2" w:rsidP="007931FD">
      <w:pPr>
        <w:spacing w:line="360" w:lineRule="auto"/>
        <w:jc w:val="both"/>
        <w:rPr>
          <w:rFonts w:ascii="Arial" w:hAnsi="Arial" w:cs="Arial"/>
          <w:sz w:val="24"/>
          <w:szCs w:val="24"/>
        </w:rPr>
      </w:pPr>
    </w:p>
    <w:p w14:paraId="211DFAB7" w14:textId="77777777" w:rsidR="0066211A" w:rsidRPr="00387CC2" w:rsidRDefault="0066211A" w:rsidP="007931FD">
      <w:pPr>
        <w:spacing w:line="360" w:lineRule="auto"/>
        <w:jc w:val="both"/>
        <w:rPr>
          <w:rFonts w:ascii="Arial" w:hAnsi="Arial" w:cs="Arial"/>
          <w:b/>
          <w:sz w:val="24"/>
          <w:szCs w:val="24"/>
        </w:rPr>
      </w:pPr>
      <w:r w:rsidRPr="00387CC2">
        <w:rPr>
          <w:rFonts w:ascii="Arial" w:hAnsi="Arial" w:cs="Arial"/>
          <w:b/>
          <w:sz w:val="24"/>
          <w:szCs w:val="24"/>
        </w:rPr>
        <w:t>5. Conclusion</w:t>
      </w:r>
    </w:p>
    <w:p w14:paraId="162811CE"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t>The "2026 Reality" of the hospitality industry demonstrates that while AI offers unparalleled operational efficiency, the sector's core value proposition remains irreplaceably human. The research highlights a clear dichotomy: managers seek the revenue and labour optimization of AI, while guests—particularly in luxury segments—crave the emotional authenticity and trust that only humans provide (Nanu et al., 2026).</w:t>
      </w:r>
    </w:p>
    <w:p w14:paraId="1A3FBEB7" w14:textId="77777777" w:rsidR="0066211A" w:rsidRDefault="0066211A" w:rsidP="007931FD">
      <w:pPr>
        <w:spacing w:line="360" w:lineRule="auto"/>
        <w:jc w:val="both"/>
        <w:rPr>
          <w:rFonts w:ascii="Arial" w:hAnsi="Arial" w:cs="Arial"/>
          <w:sz w:val="24"/>
          <w:szCs w:val="24"/>
        </w:rPr>
      </w:pPr>
      <w:r w:rsidRPr="007931FD">
        <w:rPr>
          <w:rFonts w:ascii="Arial" w:hAnsi="Arial" w:cs="Arial"/>
          <w:sz w:val="24"/>
          <w:szCs w:val="24"/>
        </w:rPr>
        <w:t>The balance is not static but context-dependent. In economy sectors, technology drives value through convenience; in luxury, technology supports value by enabling "invisible" service. The most successful hotel brands of the next decade will be those that use AI to handle the transaction so that humans can focus on the interaction. The future lies in Human-AI Collaboration (HAIC), where technology bridges the "Enthusiasm Gap" by augmenting human staff rather than replacing them, ensuring that hospitality remains an industry of care, not just calculation.</w:t>
      </w:r>
    </w:p>
    <w:p w14:paraId="1A8432C6" w14:textId="77777777" w:rsidR="00387CC2" w:rsidRPr="007931FD" w:rsidRDefault="00387CC2" w:rsidP="007931FD">
      <w:pPr>
        <w:spacing w:line="360" w:lineRule="auto"/>
        <w:jc w:val="both"/>
        <w:rPr>
          <w:rFonts w:ascii="Arial" w:hAnsi="Arial" w:cs="Arial"/>
          <w:sz w:val="24"/>
          <w:szCs w:val="24"/>
        </w:rPr>
      </w:pPr>
    </w:p>
    <w:p w14:paraId="5C9C838F" w14:textId="77777777" w:rsidR="0066211A" w:rsidRPr="00387CC2" w:rsidRDefault="0066211A" w:rsidP="007931FD">
      <w:pPr>
        <w:spacing w:line="360" w:lineRule="auto"/>
        <w:jc w:val="both"/>
        <w:rPr>
          <w:rFonts w:ascii="Arial" w:hAnsi="Arial" w:cs="Arial"/>
          <w:b/>
          <w:sz w:val="24"/>
          <w:szCs w:val="24"/>
        </w:rPr>
      </w:pPr>
      <w:r w:rsidRPr="00387CC2">
        <w:rPr>
          <w:rFonts w:ascii="Arial" w:hAnsi="Arial" w:cs="Arial"/>
          <w:b/>
          <w:sz w:val="24"/>
          <w:szCs w:val="24"/>
        </w:rPr>
        <w:t>6. Recommendations</w:t>
      </w:r>
    </w:p>
    <w:p w14:paraId="7B6FF68A"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t>Based on the synthesis of the "2026 Horizon" and academic findings, the following strategic recommendations are proposed for hotel operators and industry stakeholders:</w:t>
      </w:r>
    </w:p>
    <w:p w14:paraId="1151F410"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t>1. Adopt a "Centaur" Service Model Design service blueprints where AI handles high-volume, low-emotion tasks (mobile check-in, FAQs), while human staff handle all high-emotion interactions (complaints, special occasions). Use sentiment analysis to trigger immediate "human hand-offs" when guest frustration is detected (Nanu et al., 2026).</w:t>
      </w:r>
    </w:p>
    <w:p w14:paraId="100CBAE5"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lastRenderedPageBreak/>
        <w:t>2. Invest in "Invisible" Intelligence Deploy AI that empowers staff rather than replacing them. "Smart Associate" dashboards should provide staff with real-time guest preferences (e.g., allergies, anniversary dates), making the human service appear more intuitive and attentive (Ciftci, 2025). This aligns with the "Complementarity" model of collaboration.</w:t>
      </w:r>
    </w:p>
    <w:p w14:paraId="536A95B1"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t>3. Prioritize Trust and Transparency Counter the "Privacy Calculus" by explicitly communicating what data is collected and why. Provide guests with clear "opt-out" mechanisms for AI features like facial recognition without degrading basic service quality. This is particularly vital in markets with lower tech maturity (</w:t>
      </w:r>
      <w:proofErr w:type="spellStart"/>
      <w:r w:rsidRPr="007931FD">
        <w:rPr>
          <w:rFonts w:ascii="Arial" w:hAnsi="Arial" w:cs="Arial"/>
          <w:sz w:val="24"/>
          <w:szCs w:val="24"/>
        </w:rPr>
        <w:t>Thaichon</w:t>
      </w:r>
      <w:proofErr w:type="spellEnd"/>
      <w:r w:rsidRPr="007931FD">
        <w:rPr>
          <w:rFonts w:ascii="Arial" w:hAnsi="Arial" w:cs="Arial"/>
          <w:sz w:val="24"/>
          <w:szCs w:val="24"/>
        </w:rPr>
        <w:t xml:space="preserve"> et al., 2026).</w:t>
      </w:r>
    </w:p>
    <w:p w14:paraId="3AFD917A"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t>4. Reskill for Emotional Intelligence (EQ) Shift training focus from technical skills to "Hospitality Artistry"—empathy, anticipation, and creative problem-solving. Create new roles such as "Guest Experience Curators" to manage the human-tech interface (Kaur, 2025). Address employee anxiety by positioning AI as a "challenge stressor" (growth opportunity) rather than a "hindrance stressor" (threat).</w:t>
      </w:r>
    </w:p>
    <w:p w14:paraId="2CC2B78F" w14:textId="77777777" w:rsidR="0066211A" w:rsidRPr="007931FD" w:rsidRDefault="0066211A" w:rsidP="007931FD">
      <w:pPr>
        <w:spacing w:line="360" w:lineRule="auto"/>
        <w:jc w:val="both"/>
        <w:rPr>
          <w:rFonts w:ascii="Arial" w:hAnsi="Arial" w:cs="Arial"/>
          <w:sz w:val="24"/>
          <w:szCs w:val="24"/>
        </w:rPr>
      </w:pPr>
      <w:r w:rsidRPr="007931FD">
        <w:rPr>
          <w:rFonts w:ascii="Arial" w:hAnsi="Arial" w:cs="Arial"/>
          <w:sz w:val="24"/>
          <w:szCs w:val="24"/>
        </w:rPr>
        <w:t>5. Differentiate by Segment Explicitly market "Human Service" as a luxury premium feature ("Powered by People, Supported by AI") while marketing "Tech-Enabled Convenience" for budget segments (Deloitte, 2025).</w:t>
      </w:r>
    </w:p>
    <w:p w14:paraId="4508B24E" w14:textId="77777777" w:rsidR="0066211A" w:rsidRPr="007931FD" w:rsidRDefault="0066211A" w:rsidP="007931FD">
      <w:pPr>
        <w:spacing w:line="360" w:lineRule="auto"/>
        <w:jc w:val="both"/>
        <w:rPr>
          <w:rFonts w:ascii="Arial" w:hAnsi="Arial" w:cs="Arial"/>
          <w:b/>
          <w:bCs/>
          <w:sz w:val="24"/>
          <w:szCs w:val="24"/>
        </w:rPr>
      </w:pPr>
    </w:p>
    <w:p w14:paraId="79AD2D81" w14:textId="77777777" w:rsidR="0066211A" w:rsidRPr="007931FD" w:rsidRDefault="0066211A" w:rsidP="007931FD">
      <w:pPr>
        <w:spacing w:line="360" w:lineRule="auto"/>
        <w:jc w:val="both"/>
        <w:rPr>
          <w:rFonts w:ascii="Arial" w:hAnsi="Arial" w:cs="Arial"/>
          <w:b/>
          <w:bCs/>
          <w:sz w:val="24"/>
          <w:szCs w:val="24"/>
        </w:rPr>
      </w:pPr>
    </w:p>
    <w:p w14:paraId="03B79F89" w14:textId="77777777" w:rsidR="0066211A" w:rsidRPr="007931FD" w:rsidRDefault="0066211A" w:rsidP="007931FD">
      <w:pPr>
        <w:spacing w:line="360" w:lineRule="auto"/>
        <w:jc w:val="both"/>
        <w:rPr>
          <w:rFonts w:ascii="Arial" w:hAnsi="Arial" w:cs="Arial"/>
          <w:b/>
          <w:bCs/>
          <w:sz w:val="24"/>
          <w:szCs w:val="24"/>
        </w:rPr>
      </w:pPr>
    </w:p>
    <w:p w14:paraId="366FED03" w14:textId="77777777" w:rsidR="0066211A" w:rsidRPr="007931FD" w:rsidRDefault="0066211A" w:rsidP="007931FD">
      <w:pPr>
        <w:spacing w:line="360" w:lineRule="auto"/>
        <w:jc w:val="both"/>
        <w:rPr>
          <w:rFonts w:ascii="Arial" w:hAnsi="Arial" w:cs="Arial"/>
          <w:b/>
          <w:bCs/>
          <w:sz w:val="24"/>
          <w:szCs w:val="24"/>
        </w:rPr>
      </w:pPr>
    </w:p>
    <w:p w14:paraId="7EE4664D" w14:textId="77777777" w:rsidR="0066211A" w:rsidRPr="007931FD" w:rsidRDefault="0066211A" w:rsidP="007931FD">
      <w:pPr>
        <w:spacing w:line="360" w:lineRule="auto"/>
        <w:jc w:val="both"/>
        <w:rPr>
          <w:rFonts w:ascii="Arial" w:hAnsi="Arial" w:cs="Arial"/>
          <w:b/>
          <w:bCs/>
          <w:sz w:val="24"/>
          <w:szCs w:val="24"/>
        </w:rPr>
      </w:pPr>
    </w:p>
    <w:p w14:paraId="1B358C7D" w14:textId="77777777" w:rsidR="0066211A" w:rsidRPr="007931FD" w:rsidRDefault="0066211A" w:rsidP="007931FD">
      <w:pPr>
        <w:spacing w:line="360" w:lineRule="auto"/>
        <w:jc w:val="both"/>
        <w:rPr>
          <w:rFonts w:ascii="Arial" w:hAnsi="Arial" w:cs="Arial"/>
          <w:b/>
          <w:bCs/>
          <w:sz w:val="24"/>
          <w:szCs w:val="24"/>
        </w:rPr>
      </w:pPr>
    </w:p>
    <w:p w14:paraId="705B5C44" w14:textId="77777777" w:rsidR="0066211A" w:rsidRPr="007931FD" w:rsidRDefault="0066211A" w:rsidP="007931FD">
      <w:pPr>
        <w:spacing w:line="360" w:lineRule="auto"/>
        <w:jc w:val="both"/>
        <w:rPr>
          <w:rFonts w:ascii="Arial" w:hAnsi="Arial" w:cs="Arial"/>
          <w:b/>
          <w:bCs/>
          <w:sz w:val="24"/>
          <w:szCs w:val="24"/>
        </w:rPr>
      </w:pPr>
    </w:p>
    <w:p w14:paraId="7BEF9A21" w14:textId="77777777" w:rsidR="007C19C4" w:rsidRDefault="007C19C4" w:rsidP="007931FD">
      <w:pPr>
        <w:spacing w:line="360" w:lineRule="auto"/>
        <w:jc w:val="both"/>
        <w:rPr>
          <w:rFonts w:ascii="Arial" w:hAnsi="Arial" w:cs="Arial"/>
          <w:b/>
          <w:bCs/>
          <w:sz w:val="24"/>
          <w:szCs w:val="24"/>
        </w:rPr>
      </w:pPr>
    </w:p>
    <w:p w14:paraId="31F8E6E4" w14:textId="77777777" w:rsidR="00541C89" w:rsidRDefault="00541C89" w:rsidP="007931FD">
      <w:pPr>
        <w:spacing w:line="360" w:lineRule="auto"/>
        <w:jc w:val="both"/>
        <w:rPr>
          <w:rFonts w:ascii="Arial" w:hAnsi="Arial" w:cs="Arial"/>
          <w:b/>
          <w:bCs/>
          <w:sz w:val="24"/>
          <w:szCs w:val="24"/>
        </w:rPr>
      </w:pPr>
    </w:p>
    <w:p w14:paraId="34BE78E5" w14:textId="77777777" w:rsidR="0066211A" w:rsidRPr="007931FD" w:rsidRDefault="0066211A" w:rsidP="007931FD">
      <w:pPr>
        <w:spacing w:line="360" w:lineRule="auto"/>
        <w:jc w:val="both"/>
        <w:rPr>
          <w:rFonts w:ascii="Arial" w:hAnsi="Arial" w:cs="Arial"/>
          <w:b/>
          <w:bCs/>
          <w:sz w:val="24"/>
          <w:szCs w:val="24"/>
        </w:rPr>
      </w:pPr>
      <w:r w:rsidRPr="007931FD">
        <w:rPr>
          <w:rFonts w:ascii="Arial" w:hAnsi="Arial" w:cs="Arial"/>
          <w:b/>
          <w:bCs/>
          <w:sz w:val="24"/>
          <w:szCs w:val="24"/>
        </w:rPr>
        <w:lastRenderedPageBreak/>
        <w:t>7. References</w:t>
      </w:r>
    </w:p>
    <w:p w14:paraId="0A30A849"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t xml:space="preserve">Accor (2026) 'ALL Accor x </w:t>
      </w:r>
      <w:proofErr w:type="spellStart"/>
      <w:r w:rsidRPr="007931FD">
        <w:rPr>
          <w:rFonts w:ascii="Arial" w:hAnsi="Arial" w:cs="Arial"/>
          <w:sz w:val="24"/>
          <w:szCs w:val="24"/>
        </w:rPr>
        <w:t>Globetrender</w:t>
      </w:r>
      <w:proofErr w:type="spellEnd"/>
      <w:r w:rsidRPr="007931FD">
        <w:rPr>
          <w:rFonts w:ascii="Arial" w:hAnsi="Arial" w:cs="Arial"/>
          <w:sz w:val="24"/>
          <w:szCs w:val="24"/>
        </w:rPr>
        <w:t xml:space="preserve"> Experiential Travel Trends Report 2026', Accor Newsroom, 23 January. Available at: </w:t>
      </w:r>
      <w:hyperlink r:id="rId7" w:tgtFrame="_blank" w:history="1">
        <w:r w:rsidRPr="007931FD">
          <w:rPr>
            <w:rStyle w:val="Hyperlink"/>
            <w:rFonts w:ascii="Arial" w:hAnsi="Arial" w:cs="Arial"/>
            <w:sz w:val="24"/>
            <w:szCs w:val="24"/>
          </w:rPr>
          <w:t>https://group.accor.com/en/news-stories/all-accor-globetrender-experiential-travel-trends-report-2026</w:t>
        </w:r>
      </w:hyperlink>
      <w:r w:rsidRPr="007931FD">
        <w:rPr>
          <w:rFonts w:ascii="Arial" w:hAnsi="Arial" w:cs="Arial"/>
          <w:sz w:val="24"/>
          <w:szCs w:val="24"/>
        </w:rPr>
        <w:t xml:space="preserve"> (Accessed: 2 February 2026).</w:t>
      </w:r>
    </w:p>
    <w:p w14:paraId="07B4A9C0"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t>Al-</w:t>
      </w:r>
      <w:proofErr w:type="spellStart"/>
      <w:r w:rsidRPr="007931FD">
        <w:rPr>
          <w:rFonts w:ascii="Arial" w:hAnsi="Arial" w:cs="Arial"/>
          <w:sz w:val="24"/>
          <w:szCs w:val="24"/>
        </w:rPr>
        <w:t>Hyari</w:t>
      </w:r>
      <w:proofErr w:type="spellEnd"/>
      <w:r w:rsidRPr="007931FD">
        <w:rPr>
          <w:rFonts w:ascii="Arial" w:hAnsi="Arial" w:cs="Arial"/>
          <w:sz w:val="24"/>
          <w:szCs w:val="24"/>
        </w:rPr>
        <w:t>, K., Al-</w:t>
      </w:r>
      <w:proofErr w:type="spellStart"/>
      <w:r w:rsidRPr="007931FD">
        <w:rPr>
          <w:rFonts w:ascii="Arial" w:hAnsi="Arial" w:cs="Arial"/>
          <w:sz w:val="24"/>
          <w:szCs w:val="24"/>
        </w:rPr>
        <w:t>Weshah</w:t>
      </w:r>
      <w:proofErr w:type="spellEnd"/>
      <w:r w:rsidRPr="007931FD">
        <w:rPr>
          <w:rFonts w:ascii="Arial" w:hAnsi="Arial" w:cs="Arial"/>
          <w:sz w:val="24"/>
          <w:szCs w:val="24"/>
        </w:rPr>
        <w:t>, G. and Al-</w:t>
      </w:r>
      <w:proofErr w:type="spellStart"/>
      <w:r w:rsidRPr="007931FD">
        <w:rPr>
          <w:rFonts w:ascii="Arial" w:hAnsi="Arial" w:cs="Arial"/>
          <w:sz w:val="24"/>
          <w:szCs w:val="24"/>
        </w:rPr>
        <w:t>Nsour</w:t>
      </w:r>
      <w:proofErr w:type="spellEnd"/>
      <w:r w:rsidRPr="007931FD">
        <w:rPr>
          <w:rFonts w:ascii="Arial" w:hAnsi="Arial" w:cs="Arial"/>
          <w:sz w:val="24"/>
          <w:szCs w:val="24"/>
        </w:rPr>
        <w:t>, M. (2025) 'AI technologies and guest satisfaction in luxury hotels', Journal of Hospitality Marketing &amp; Management, 34(2), pp. 150-172.</w:t>
      </w:r>
    </w:p>
    <w:p w14:paraId="38E0EB30"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t xml:space="preserve">Ciftci, O. (2025) 'Reframing service quality in ai-powered hospitality environments', Journal of Global Hospitality and Tourism, 4(2), pp. 203–206. Available at: </w:t>
      </w:r>
      <w:hyperlink r:id="rId8" w:tgtFrame="_blank" w:history="1">
        <w:r w:rsidRPr="007931FD">
          <w:rPr>
            <w:rStyle w:val="Hyperlink"/>
            <w:rFonts w:ascii="Arial" w:hAnsi="Arial" w:cs="Arial"/>
            <w:sz w:val="24"/>
            <w:szCs w:val="24"/>
          </w:rPr>
          <w:t>https://digitalcommons.usf.edu/cgi/viewcontent.cgi?article=1071&amp;context=jght</w:t>
        </w:r>
      </w:hyperlink>
      <w:r w:rsidRPr="007931FD">
        <w:rPr>
          <w:rFonts w:ascii="Arial" w:hAnsi="Arial" w:cs="Arial"/>
          <w:sz w:val="24"/>
          <w:szCs w:val="24"/>
        </w:rPr>
        <w:t xml:space="preserve"> (Accessed: 12 February 2026).</w:t>
      </w:r>
    </w:p>
    <w:p w14:paraId="27AB725F"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t xml:space="preserve">Deloitte (2025) 'Future of Hospitality: AI Innovation', Deloitte Insights. Available at: </w:t>
      </w:r>
      <w:hyperlink r:id="rId9" w:tgtFrame="_blank" w:history="1">
        <w:r w:rsidRPr="007931FD">
          <w:rPr>
            <w:rStyle w:val="Hyperlink"/>
            <w:rFonts w:ascii="Arial" w:hAnsi="Arial" w:cs="Arial"/>
            <w:sz w:val="24"/>
            <w:szCs w:val="24"/>
          </w:rPr>
          <w:t>https://www.deloitte.com/us/en/Industries/consumer/articles/future-of-hospitality-ai-innovation.html</w:t>
        </w:r>
      </w:hyperlink>
      <w:r w:rsidRPr="007931FD">
        <w:rPr>
          <w:rFonts w:ascii="Arial" w:hAnsi="Arial" w:cs="Arial"/>
          <w:sz w:val="24"/>
          <w:szCs w:val="24"/>
        </w:rPr>
        <w:t xml:space="preserve"> (Accessed: 10 February 2026).</w:t>
      </w:r>
    </w:p>
    <w:p w14:paraId="774F697F"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t xml:space="preserve">EHL Hospitality Business School (2026) 'Hospitality Outlook 2026', EHL Insights. Available at: </w:t>
      </w:r>
      <w:hyperlink r:id="rId10" w:tgtFrame="_blank" w:history="1">
        <w:r w:rsidRPr="007931FD">
          <w:rPr>
            <w:rStyle w:val="Hyperlink"/>
            <w:rFonts w:ascii="Arial" w:hAnsi="Arial" w:cs="Arial"/>
            <w:sz w:val="24"/>
            <w:szCs w:val="24"/>
          </w:rPr>
          <w:t>https://www.ehlgroup.com/ehl-insights-report-hospitality-outlook-2026</w:t>
        </w:r>
      </w:hyperlink>
      <w:r w:rsidRPr="007931FD">
        <w:rPr>
          <w:rFonts w:ascii="Arial" w:hAnsi="Arial" w:cs="Arial"/>
          <w:sz w:val="24"/>
          <w:szCs w:val="24"/>
        </w:rPr>
        <w:t xml:space="preserve"> (Accessed: 9 February 2026).</w:t>
      </w:r>
    </w:p>
    <w:p w14:paraId="3C8F15D0"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t xml:space="preserve">Ersoy, A. and </w:t>
      </w:r>
      <w:proofErr w:type="spellStart"/>
      <w:r w:rsidRPr="007931FD">
        <w:rPr>
          <w:rFonts w:ascii="Arial" w:hAnsi="Arial" w:cs="Arial"/>
          <w:sz w:val="24"/>
          <w:szCs w:val="24"/>
        </w:rPr>
        <w:t>Ehtiyar</w:t>
      </w:r>
      <w:proofErr w:type="spellEnd"/>
      <w:r w:rsidRPr="007931FD">
        <w:rPr>
          <w:rFonts w:ascii="Arial" w:hAnsi="Arial" w:cs="Arial"/>
          <w:sz w:val="24"/>
          <w:szCs w:val="24"/>
        </w:rPr>
        <w:t xml:space="preserve">, V.R. (2023) 'The impact of artificial intelligence on hospitality employees work outcomes', Advances in Hospitality and Tourism Research, 11(4), pp. 505–526. Available at: </w:t>
      </w:r>
      <w:hyperlink r:id="rId11" w:tgtFrame="_blank" w:history="1">
        <w:r w:rsidRPr="007931FD">
          <w:rPr>
            <w:rStyle w:val="Hyperlink"/>
            <w:rFonts w:ascii="Arial" w:hAnsi="Arial" w:cs="Arial"/>
            <w:sz w:val="24"/>
            <w:szCs w:val="24"/>
          </w:rPr>
          <w:t>https://dergipark.org.tr/tr/download/article-file/3010064</w:t>
        </w:r>
      </w:hyperlink>
      <w:r w:rsidRPr="007931FD">
        <w:rPr>
          <w:rFonts w:ascii="Arial" w:hAnsi="Arial" w:cs="Arial"/>
          <w:sz w:val="24"/>
          <w:szCs w:val="24"/>
        </w:rPr>
        <w:t xml:space="preserve"> (Accessed: 10 February 2026).</w:t>
      </w:r>
    </w:p>
    <w:p w14:paraId="58449CF6"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t xml:space="preserve">Eskridge, B. and van Esch, P. (2025) 'Service Recovery Strategies in Cases of AI Malfunction', in Toward Responsible Service Management: AI and Digital Transformation in Action. Available </w:t>
      </w:r>
      <w:r w:rsidRPr="007931FD">
        <w:rPr>
          <w:rFonts w:ascii="Arial" w:hAnsi="Arial" w:cs="Arial"/>
          <w:sz w:val="24"/>
          <w:szCs w:val="24"/>
        </w:rPr>
        <w:lastRenderedPageBreak/>
        <w:t>at:((</w:t>
      </w:r>
      <w:hyperlink r:id="rId12" w:tgtFrame="_blank" w:history="1">
        <w:r w:rsidRPr="007931FD">
          <w:rPr>
            <w:rStyle w:val="Hyperlink"/>
            <w:rFonts w:ascii="Arial" w:hAnsi="Arial" w:cs="Arial"/>
            <w:sz w:val="24"/>
            <w:szCs w:val="24"/>
          </w:rPr>
          <w:t>https://www.researchgate.net/publication/396238258_Service_Recovery_Strategies_in_Cases_of_AI_Malfunction</w:t>
        </w:r>
      </w:hyperlink>
      <w:r w:rsidRPr="007931FD">
        <w:rPr>
          <w:rFonts w:ascii="Arial" w:hAnsi="Arial" w:cs="Arial"/>
          <w:sz w:val="24"/>
          <w:szCs w:val="24"/>
        </w:rPr>
        <w:t>)) (Accessed: 12 February 2026).</w:t>
      </w:r>
    </w:p>
    <w:p w14:paraId="5B465F62"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t xml:space="preserve">Fancourt, M. (2026) 'The Acceleration of “Hard AI”: Why CES 2026 Changed the Operational Blueprint', </w:t>
      </w:r>
      <w:proofErr w:type="spellStart"/>
      <w:r w:rsidRPr="007931FD">
        <w:rPr>
          <w:rFonts w:ascii="Arial" w:hAnsi="Arial" w:cs="Arial"/>
          <w:sz w:val="24"/>
          <w:szCs w:val="24"/>
        </w:rPr>
        <w:t>Travhotech</w:t>
      </w:r>
      <w:proofErr w:type="spellEnd"/>
      <w:r w:rsidRPr="007931FD">
        <w:rPr>
          <w:rFonts w:ascii="Arial" w:hAnsi="Arial" w:cs="Arial"/>
          <w:sz w:val="24"/>
          <w:szCs w:val="24"/>
        </w:rPr>
        <w:t xml:space="preserve">. Available at: </w:t>
      </w:r>
      <w:hyperlink r:id="rId13" w:tgtFrame="_blank" w:history="1">
        <w:r w:rsidRPr="007931FD">
          <w:rPr>
            <w:rStyle w:val="Hyperlink"/>
            <w:rFonts w:ascii="Arial" w:hAnsi="Arial" w:cs="Arial"/>
            <w:sz w:val="24"/>
            <w:szCs w:val="24"/>
          </w:rPr>
          <w:t>https://travhotech.com/hard-ai-hospitality-ces-2026/</w:t>
        </w:r>
      </w:hyperlink>
      <w:r w:rsidRPr="007931FD">
        <w:rPr>
          <w:rFonts w:ascii="Arial" w:hAnsi="Arial" w:cs="Arial"/>
          <w:sz w:val="24"/>
          <w:szCs w:val="24"/>
        </w:rPr>
        <w:t xml:space="preserve"> (Accessed: 8 February 2026).</w:t>
      </w:r>
    </w:p>
    <w:p w14:paraId="35C62086"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t xml:space="preserve">Fu, R.J.C. (2026) 'High-Touch in a High-Tech World: Comparative Analysis of Hotel Giants', AI and Machine Learning Research Bureau, 2(1). Available at: </w:t>
      </w:r>
      <w:hyperlink r:id="rId14" w:tgtFrame="_blank" w:history="1">
        <w:r w:rsidRPr="007931FD">
          <w:rPr>
            <w:rStyle w:val="Hyperlink"/>
            <w:rFonts w:ascii="Arial" w:hAnsi="Arial" w:cs="Arial"/>
            <w:sz w:val="24"/>
            <w:szCs w:val="24"/>
          </w:rPr>
          <w:t>https://journals.flvc.org/aimlrb/article/view/141010</w:t>
        </w:r>
      </w:hyperlink>
      <w:r w:rsidRPr="007931FD">
        <w:rPr>
          <w:rFonts w:ascii="Arial" w:hAnsi="Arial" w:cs="Arial"/>
          <w:sz w:val="24"/>
          <w:szCs w:val="24"/>
        </w:rPr>
        <w:t xml:space="preserve"> (Accessed: 3 February 2026).</w:t>
      </w:r>
    </w:p>
    <w:p w14:paraId="0CDA7A11"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t>Gao, E. and Yang, X. (2022) 'The Effectiveness of High-tech Product on Customer Satisfaction towards Luxury Hotel', BCP Business &amp; Management, 20, pp. 858–864.</w:t>
      </w:r>
    </w:p>
    <w:p w14:paraId="3489994C"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t xml:space="preserve">Gursoy, D., Chi, O.H., Lu, L. and Nunkoo, R. (2019) 'Consumers acceptance of artificially intelligent device use acceptance (AIDUA) model', Annals of Tourism Research, 75, pp. 215–228. Available at: </w:t>
      </w:r>
      <w:hyperlink r:id="rId15" w:tgtFrame="_blank" w:history="1">
        <w:r w:rsidRPr="007931FD">
          <w:rPr>
            <w:rStyle w:val="Hyperlink"/>
            <w:rFonts w:ascii="Arial" w:hAnsi="Arial" w:cs="Arial"/>
            <w:sz w:val="24"/>
            <w:szCs w:val="24"/>
          </w:rPr>
          <w:t>https://pmc.ncbi.nlm.nih.gov/articles/PMC8685740/</w:t>
        </w:r>
      </w:hyperlink>
      <w:r w:rsidRPr="007931FD">
        <w:rPr>
          <w:rFonts w:ascii="Arial" w:hAnsi="Arial" w:cs="Arial"/>
          <w:sz w:val="24"/>
          <w:szCs w:val="24"/>
        </w:rPr>
        <w:t xml:space="preserve"> (Accessed: 10 February 2026).</w:t>
      </w:r>
    </w:p>
    <w:p w14:paraId="1DCAB827"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t xml:space="preserve">Hilton Worldwide (2026) '2026 Trends Report: The </w:t>
      </w:r>
      <w:proofErr w:type="spellStart"/>
      <w:r w:rsidRPr="007931FD">
        <w:rPr>
          <w:rFonts w:ascii="Arial" w:hAnsi="Arial" w:cs="Arial"/>
          <w:sz w:val="24"/>
          <w:szCs w:val="24"/>
        </w:rPr>
        <w:t>Whycation</w:t>
      </w:r>
      <w:proofErr w:type="spellEnd"/>
      <w:r w:rsidRPr="007931FD">
        <w:rPr>
          <w:rFonts w:ascii="Arial" w:hAnsi="Arial" w:cs="Arial"/>
          <w:sz w:val="24"/>
          <w:szCs w:val="24"/>
        </w:rPr>
        <w:t xml:space="preserve"> and AI Planning', Hilton Stories. Available at: </w:t>
      </w:r>
      <w:hyperlink r:id="rId16" w:tgtFrame="_blank" w:history="1">
        <w:r w:rsidRPr="007931FD">
          <w:rPr>
            <w:rStyle w:val="Hyperlink"/>
            <w:rFonts w:ascii="Arial" w:hAnsi="Arial" w:cs="Arial"/>
            <w:sz w:val="24"/>
            <w:szCs w:val="24"/>
          </w:rPr>
          <w:t>https://stories.hilton.com/releases/2026-trends-release</w:t>
        </w:r>
      </w:hyperlink>
      <w:r w:rsidRPr="007931FD">
        <w:rPr>
          <w:rFonts w:ascii="Arial" w:hAnsi="Arial" w:cs="Arial"/>
          <w:sz w:val="24"/>
          <w:szCs w:val="24"/>
        </w:rPr>
        <w:t xml:space="preserve"> (Accessed: 09 February 2026).</w:t>
      </w:r>
    </w:p>
    <w:p w14:paraId="050764D9"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t xml:space="preserve">Hotel Tech Report (2025) 'Hospitality Statistics 2025: The Ultimate List of Hotel Stats', Hotel Tech Report. Available at: </w:t>
      </w:r>
      <w:hyperlink r:id="rId17" w:tgtFrame="_blank" w:history="1">
        <w:r w:rsidRPr="007931FD">
          <w:rPr>
            <w:rStyle w:val="Hyperlink"/>
            <w:rFonts w:ascii="Arial" w:hAnsi="Arial" w:cs="Arial"/>
            <w:sz w:val="24"/>
            <w:szCs w:val="24"/>
          </w:rPr>
          <w:t>https://hoteltechreport.com/news/hospitality-statistics</w:t>
        </w:r>
      </w:hyperlink>
      <w:r w:rsidRPr="007931FD">
        <w:rPr>
          <w:rFonts w:ascii="Arial" w:hAnsi="Arial" w:cs="Arial"/>
          <w:sz w:val="24"/>
          <w:szCs w:val="24"/>
        </w:rPr>
        <w:t xml:space="preserve"> (Accessed: 4 February 2026).</w:t>
      </w:r>
    </w:p>
    <w:p w14:paraId="07B4808C"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t>Ivanov, S. and Webster, C. (2019) 'Robots, Artificial Intelligence and Service Automation in Travel, Tourism and Hospitality', Emerald Publishing. Available at:((</w:t>
      </w:r>
      <w:hyperlink r:id="rId18" w:tgtFrame="_blank" w:history="1">
        <w:r w:rsidRPr="007931FD">
          <w:rPr>
            <w:rStyle w:val="Hyperlink"/>
            <w:rFonts w:ascii="Arial" w:hAnsi="Arial" w:cs="Arial"/>
            <w:sz w:val="24"/>
            <w:szCs w:val="24"/>
          </w:rPr>
          <w:t>https://www.researchgate.net/publication/393973310_AI_and_the_Future_of_Hospitality_Workforce_Balancing_Automation_and_Human_Touch</w:t>
        </w:r>
      </w:hyperlink>
      <w:r w:rsidRPr="007931FD">
        <w:rPr>
          <w:rFonts w:ascii="Arial" w:hAnsi="Arial" w:cs="Arial"/>
          <w:sz w:val="24"/>
          <w:szCs w:val="24"/>
        </w:rPr>
        <w:t>)) (Accessed: 10 February 2026).</w:t>
      </w:r>
    </w:p>
    <w:p w14:paraId="32B438AD"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lastRenderedPageBreak/>
        <w:t xml:space="preserve">Johura, F.T. and Ali, D.A. (2025) 'Impact of AI on guest experiences in Kuala Lumpur luxury hotels', Journal of International Studies. Available at: </w:t>
      </w:r>
      <w:hyperlink r:id="rId19" w:tgtFrame="_blank" w:history="1">
        <w:r w:rsidRPr="007931FD">
          <w:rPr>
            <w:rStyle w:val="Hyperlink"/>
            <w:rFonts w:ascii="Arial" w:hAnsi="Arial" w:cs="Arial"/>
            <w:sz w:val="24"/>
            <w:szCs w:val="24"/>
          </w:rPr>
          <w:t>https://journal.jis-institute.org</w:t>
        </w:r>
      </w:hyperlink>
      <w:r w:rsidRPr="007931FD">
        <w:rPr>
          <w:rFonts w:ascii="Arial" w:hAnsi="Arial" w:cs="Arial"/>
          <w:sz w:val="24"/>
          <w:szCs w:val="24"/>
        </w:rPr>
        <w:t xml:space="preserve"> (Accessed: 11 February 2026).</w:t>
      </w:r>
    </w:p>
    <w:p w14:paraId="46EF1911"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t>Kaur, J. (2025) 'AI and the Future of Hospitality Workforce: Balancing Automation and Human Touch', ResearchGate. Available at:((</w:t>
      </w:r>
      <w:hyperlink r:id="rId20" w:tgtFrame="_blank" w:history="1">
        <w:r w:rsidRPr="007931FD">
          <w:rPr>
            <w:rStyle w:val="Hyperlink"/>
            <w:rFonts w:ascii="Arial" w:hAnsi="Arial" w:cs="Arial"/>
            <w:sz w:val="24"/>
            <w:szCs w:val="24"/>
          </w:rPr>
          <w:t>https://www.researchgate.net/publication/393973310_AI_and_the_Future_of_Hospitality_Workforce_Balancing_Automation_and_Human_Touch</w:t>
        </w:r>
      </w:hyperlink>
      <w:r w:rsidRPr="007931FD">
        <w:rPr>
          <w:rFonts w:ascii="Arial" w:hAnsi="Arial" w:cs="Arial"/>
          <w:sz w:val="24"/>
          <w:szCs w:val="24"/>
        </w:rPr>
        <w:t>)) (Accessed: 7 February 2026).</w:t>
      </w:r>
    </w:p>
    <w:p w14:paraId="5DA1814F"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t xml:space="preserve">Kim, S., Kim, J., Badu-Baiden, F., Giroux, M. and Choi, Y. (2021) 'The impact of COVID-19 on robot adoption in hospitality', Journal of Hospitality Marketing &amp; Management, 30(5), pp. 608-627. Available at: </w:t>
      </w:r>
      <w:hyperlink r:id="rId21" w:tgtFrame="_blank" w:history="1">
        <w:r w:rsidRPr="007931FD">
          <w:rPr>
            <w:rStyle w:val="Hyperlink"/>
            <w:rFonts w:ascii="Arial" w:hAnsi="Arial" w:cs="Arial"/>
            <w:sz w:val="24"/>
            <w:szCs w:val="24"/>
          </w:rPr>
          <w:t>https://pmc.ncbi.nlm.nih.gov/articles/PMC9998175/</w:t>
        </w:r>
      </w:hyperlink>
      <w:r w:rsidRPr="007931FD">
        <w:rPr>
          <w:rFonts w:ascii="Arial" w:hAnsi="Arial" w:cs="Arial"/>
          <w:sz w:val="24"/>
          <w:szCs w:val="24"/>
        </w:rPr>
        <w:t xml:space="preserve"> (Accessed: 8 February 2026).</w:t>
      </w:r>
    </w:p>
    <w:p w14:paraId="17EA8F44"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t xml:space="preserve">Les Roches (2025) 'The State of Hospitality Report 2025–2026', Spark. Available at: </w:t>
      </w:r>
      <w:hyperlink r:id="rId22" w:tgtFrame="_blank" w:history="1">
        <w:r w:rsidRPr="007931FD">
          <w:rPr>
            <w:rStyle w:val="Hyperlink"/>
            <w:rFonts w:ascii="Arial" w:hAnsi="Arial" w:cs="Arial"/>
            <w:sz w:val="24"/>
            <w:szCs w:val="24"/>
          </w:rPr>
          <w:t>https://thehotelmagazine.co.uk</w:t>
        </w:r>
      </w:hyperlink>
      <w:r w:rsidRPr="007931FD">
        <w:rPr>
          <w:rFonts w:ascii="Arial" w:hAnsi="Arial" w:cs="Arial"/>
          <w:sz w:val="24"/>
          <w:szCs w:val="24"/>
        </w:rPr>
        <w:t xml:space="preserve"> (Accessed: 9 February 2026).</w:t>
      </w:r>
    </w:p>
    <w:p w14:paraId="1C86D5D5"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t xml:space="preserve">Lopez, P. (2026) 'AI in Hospitality: The 2025 Reality and the 2026 Horizon', Hospitality Net. Available at: </w:t>
      </w:r>
      <w:hyperlink r:id="rId23" w:tgtFrame="_blank" w:history="1">
        <w:r w:rsidRPr="007931FD">
          <w:rPr>
            <w:rStyle w:val="Hyperlink"/>
            <w:rFonts w:ascii="Arial" w:hAnsi="Arial" w:cs="Arial"/>
            <w:sz w:val="24"/>
            <w:szCs w:val="24"/>
          </w:rPr>
          <w:t>https://www.hospitalitynet.org/opinion/4130826.html</w:t>
        </w:r>
      </w:hyperlink>
      <w:r w:rsidRPr="007931FD">
        <w:rPr>
          <w:rFonts w:ascii="Arial" w:hAnsi="Arial" w:cs="Arial"/>
          <w:sz w:val="24"/>
          <w:szCs w:val="24"/>
        </w:rPr>
        <w:t xml:space="preserve"> (Accessed: 5 February 2026).</w:t>
      </w:r>
    </w:p>
    <w:p w14:paraId="7BC613B5"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t xml:space="preserve">Nanu, L., Aluri, A. and </w:t>
      </w:r>
      <w:proofErr w:type="spellStart"/>
      <w:r w:rsidRPr="007931FD">
        <w:rPr>
          <w:rFonts w:ascii="Arial" w:hAnsi="Arial" w:cs="Arial"/>
          <w:sz w:val="24"/>
          <w:szCs w:val="24"/>
        </w:rPr>
        <w:t>Szczesney</w:t>
      </w:r>
      <w:proofErr w:type="spellEnd"/>
      <w:r w:rsidRPr="007931FD">
        <w:rPr>
          <w:rFonts w:ascii="Arial" w:hAnsi="Arial" w:cs="Arial"/>
          <w:sz w:val="24"/>
          <w:szCs w:val="24"/>
        </w:rPr>
        <w:t xml:space="preserve">, A. (2026) 'Investigating Customer Service and Engagement Levels in the Lodging Industry: High-Touch to High-Tech Conversational AI', Journal of Hospitality and Tourism Technology. Available at: </w:t>
      </w:r>
      <w:hyperlink r:id="rId24" w:tgtFrame="_blank" w:history="1">
        <w:r w:rsidRPr="007931FD">
          <w:rPr>
            <w:rStyle w:val="Hyperlink"/>
            <w:rFonts w:ascii="Arial" w:hAnsi="Arial" w:cs="Arial"/>
            <w:sz w:val="24"/>
            <w:szCs w:val="24"/>
          </w:rPr>
          <w:t>https://www.usf.edu/business/news/2026/02-09-usf-studys-ai-concierges-adoption-finds-guests-crave-human-connection.aspx</w:t>
        </w:r>
      </w:hyperlink>
      <w:r w:rsidRPr="007931FD">
        <w:rPr>
          <w:rFonts w:ascii="Arial" w:hAnsi="Arial" w:cs="Arial"/>
          <w:sz w:val="24"/>
          <w:szCs w:val="24"/>
        </w:rPr>
        <w:t xml:space="preserve"> (Accessed: 4 February 2026).</w:t>
      </w:r>
    </w:p>
    <w:p w14:paraId="78EF03F5"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t>Parasuraman, A., Zeithaml, V.A. and Berry, L.L. (1988) 'SERVQUAL: A multiple-item scale for measuring consumer perceptions of service quality', Journal of Retailing, 64(1), pp. 12-40. Available at:((</w:t>
      </w:r>
      <w:hyperlink r:id="rId25" w:tgtFrame="_blank" w:history="1">
        <w:r w:rsidRPr="007931FD">
          <w:rPr>
            <w:rStyle w:val="Hyperlink"/>
            <w:rFonts w:ascii="Arial" w:hAnsi="Arial" w:cs="Arial"/>
            <w:sz w:val="24"/>
            <w:szCs w:val="24"/>
          </w:rPr>
          <w:t>https://www.researchgate.net/publication/388000701_Evolving_Models_of_Service_Quality_A_Comprehensive_Review_and_Future_Directions</w:t>
        </w:r>
      </w:hyperlink>
      <w:r w:rsidRPr="007931FD">
        <w:rPr>
          <w:rFonts w:ascii="Arial" w:hAnsi="Arial" w:cs="Arial"/>
          <w:sz w:val="24"/>
          <w:szCs w:val="24"/>
        </w:rPr>
        <w:t>)) (Accessed: 10 February 2026).</w:t>
      </w:r>
    </w:p>
    <w:p w14:paraId="0477BBED"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lastRenderedPageBreak/>
        <w:t xml:space="preserve">Quach </w:t>
      </w:r>
      <w:proofErr w:type="spellStart"/>
      <w:r w:rsidRPr="007931FD">
        <w:rPr>
          <w:rFonts w:ascii="Arial" w:hAnsi="Arial" w:cs="Arial"/>
          <w:sz w:val="24"/>
          <w:szCs w:val="24"/>
        </w:rPr>
        <w:t>Thaichon</w:t>
      </w:r>
      <w:proofErr w:type="spellEnd"/>
      <w:r w:rsidRPr="007931FD">
        <w:rPr>
          <w:rFonts w:ascii="Arial" w:hAnsi="Arial" w:cs="Arial"/>
          <w:sz w:val="24"/>
          <w:szCs w:val="24"/>
        </w:rPr>
        <w:t>, S. (2026) 'Leveraging AI to Enhance Productivity and Customer Experience in the Hospitality Sector', Asian Productivity Organization. Available at:(</w:t>
      </w:r>
      <w:hyperlink r:id="rId26" w:tgtFrame="_blank" w:history="1">
        <w:r w:rsidRPr="007931FD">
          <w:rPr>
            <w:rStyle w:val="Hyperlink"/>
            <w:rFonts w:ascii="Arial" w:hAnsi="Arial" w:cs="Arial"/>
            <w:sz w:val="24"/>
            <w:szCs w:val="24"/>
          </w:rPr>
          <w:t>https://www.apo-tokyo.org/wp-content/uploads/2026/01/6-5_P-Insights_Leveraging-AI-to-Enhance-Productivity_PUB.pdf</w:t>
        </w:r>
      </w:hyperlink>
      <w:r w:rsidRPr="007931FD">
        <w:rPr>
          <w:rFonts w:ascii="Arial" w:hAnsi="Arial" w:cs="Arial"/>
          <w:sz w:val="24"/>
          <w:szCs w:val="24"/>
        </w:rPr>
        <w:t>) (Accessed: 2 February 2026).</w:t>
      </w:r>
    </w:p>
    <w:p w14:paraId="0071388F"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t xml:space="preserve">Revfine (2024) 'Contactless Payments in Hospitality', Revfine. Available at: </w:t>
      </w:r>
      <w:hyperlink r:id="rId27" w:tgtFrame="_blank" w:history="1">
        <w:r w:rsidRPr="007931FD">
          <w:rPr>
            <w:rStyle w:val="Hyperlink"/>
            <w:rFonts w:ascii="Arial" w:hAnsi="Arial" w:cs="Arial"/>
            <w:sz w:val="24"/>
            <w:szCs w:val="24"/>
          </w:rPr>
          <w:t>https://www.revfine.com</w:t>
        </w:r>
      </w:hyperlink>
      <w:r w:rsidRPr="007931FD">
        <w:rPr>
          <w:rFonts w:ascii="Arial" w:hAnsi="Arial" w:cs="Arial"/>
          <w:sz w:val="24"/>
          <w:szCs w:val="24"/>
        </w:rPr>
        <w:t xml:space="preserve"> (Accessed: 2 February 2026).</w:t>
      </w:r>
    </w:p>
    <w:p w14:paraId="1293880A"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t xml:space="preserve">Roy, V., Eshghi, A. and Sarkar, A. (2020) 'Validating the AIDUA model in Indian hospitality', Journal of Global Scholars. Available at: </w:t>
      </w:r>
      <w:hyperlink r:id="rId28" w:tgtFrame="_blank" w:history="1">
        <w:r w:rsidRPr="007931FD">
          <w:rPr>
            <w:rStyle w:val="Hyperlink"/>
            <w:rFonts w:ascii="Arial" w:hAnsi="Arial" w:cs="Arial"/>
            <w:sz w:val="24"/>
            <w:szCs w:val="24"/>
          </w:rPr>
          <w:t>https://pmc.ncbi.nlm.nih.gov/articles/PMC8685740/</w:t>
        </w:r>
      </w:hyperlink>
      <w:r w:rsidRPr="007931FD">
        <w:rPr>
          <w:rFonts w:ascii="Arial" w:hAnsi="Arial" w:cs="Arial"/>
          <w:sz w:val="24"/>
          <w:szCs w:val="24"/>
        </w:rPr>
        <w:t xml:space="preserve"> (Accessed: 2 February 2026).</w:t>
      </w:r>
    </w:p>
    <w:p w14:paraId="40D6A30D" w14:textId="77777777" w:rsidR="0066211A" w:rsidRPr="007931FD" w:rsidRDefault="0066211A" w:rsidP="007931FD">
      <w:pPr>
        <w:numPr>
          <w:ilvl w:val="0"/>
          <w:numId w:val="8"/>
        </w:numPr>
        <w:spacing w:line="360" w:lineRule="auto"/>
        <w:jc w:val="both"/>
        <w:rPr>
          <w:rFonts w:ascii="Arial" w:hAnsi="Arial" w:cs="Arial"/>
          <w:sz w:val="24"/>
          <w:szCs w:val="24"/>
        </w:rPr>
      </w:pPr>
      <w:proofErr w:type="spellStart"/>
      <w:r w:rsidRPr="007931FD">
        <w:rPr>
          <w:rFonts w:ascii="Arial" w:hAnsi="Arial" w:cs="Arial"/>
          <w:sz w:val="24"/>
          <w:szCs w:val="24"/>
        </w:rPr>
        <w:t>Solnet</w:t>
      </w:r>
      <w:proofErr w:type="spellEnd"/>
      <w:r w:rsidRPr="007931FD">
        <w:rPr>
          <w:rFonts w:ascii="Arial" w:hAnsi="Arial" w:cs="Arial"/>
          <w:sz w:val="24"/>
          <w:szCs w:val="24"/>
        </w:rPr>
        <w:t xml:space="preserve">, D. (2019) 'The future of work in hospitality', Journal of Hospitality and Tourism Management. Available at: </w:t>
      </w:r>
      <w:hyperlink r:id="rId29" w:tgtFrame="_blank" w:history="1">
        <w:r w:rsidRPr="007931FD">
          <w:rPr>
            <w:rStyle w:val="Hyperlink"/>
            <w:rFonts w:ascii="Arial" w:hAnsi="Arial" w:cs="Arial"/>
            <w:sz w:val="24"/>
            <w:szCs w:val="24"/>
          </w:rPr>
          <w:t>https://www.tandfonline.com/doi/full/10.1080/13683500.2024.2439395</w:t>
        </w:r>
      </w:hyperlink>
      <w:r w:rsidRPr="007931FD">
        <w:rPr>
          <w:rFonts w:ascii="Arial" w:hAnsi="Arial" w:cs="Arial"/>
          <w:sz w:val="24"/>
          <w:szCs w:val="24"/>
        </w:rPr>
        <w:t xml:space="preserve"> (Accessed: 10 February 2026).</w:t>
      </w:r>
    </w:p>
    <w:p w14:paraId="053A10A4"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t xml:space="preserve">Tan, K.L. et al. (2024) 'Does artificial intelligence improve hospitality employees' individual competitive productivity?', Current Issues in Tourism, 28(20). Available at: </w:t>
      </w:r>
      <w:hyperlink r:id="rId30" w:tgtFrame="_blank" w:history="1">
        <w:r w:rsidRPr="007931FD">
          <w:rPr>
            <w:rStyle w:val="Hyperlink"/>
            <w:rFonts w:ascii="Arial" w:hAnsi="Arial" w:cs="Arial"/>
            <w:sz w:val="24"/>
            <w:szCs w:val="24"/>
          </w:rPr>
          <w:t>https://www.tandfonline.com/doi/full/10.1080/13683500.2024.2391114</w:t>
        </w:r>
      </w:hyperlink>
      <w:r w:rsidRPr="007931FD">
        <w:rPr>
          <w:rFonts w:ascii="Arial" w:hAnsi="Arial" w:cs="Arial"/>
          <w:sz w:val="24"/>
          <w:szCs w:val="24"/>
        </w:rPr>
        <w:t xml:space="preserve"> (Accessed: 10 February 2026).</w:t>
      </w:r>
    </w:p>
    <w:p w14:paraId="1F9D1662" w14:textId="77777777" w:rsidR="0066211A" w:rsidRPr="007931FD" w:rsidRDefault="0066211A" w:rsidP="007931FD">
      <w:pPr>
        <w:numPr>
          <w:ilvl w:val="0"/>
          <w:numId w:val="8"/>
        </w:numPr>
        <w:spacing w:line="360" w:lineRule="auto"/>
        <w:jc w:val="both"/>
        <w:rPr>
          <w:rFonts w:ascii="Arial" w:hAnsi="Arial" w:cs="Arial"/>
          <w:sz w:val="24"/>
          <w:szCs w:val="24"/>
        </w:rPr>
      </w:pPr>
      <w:proofErr w:type="spellStart"/>
      <w:r w:rsidRPr="007931FD">
        <w:rPr>
          <w:rFonts w:ascii="Arial" w:hAnsi="Arial" w:cs="Arial"/>
          <w:sz w:val="24"/>
          <w:szCs w:val="24"/>
        </w:rPr>
        <w:t>Thaichon</w:t>
      </w:r>
      <w:proofErr w:type="spellEnd"/>
      <w:r w:rsidRPr="007931FD">
        <w:rPr>
          <w:rFonts w:ascii="Arial" w:hAnsi="Arial" w:cs="Arial"/>
          <w:sz w:val="24"/>
          <w:szCs w:val="24"/>
        </w:rPr>
        <w:t xml:space="preserve">, P., Quach, S., </w:t>
      </w:r>
      <w:proofErr w:type="spellStart"/>
      <w:r w:rsidRPr="007931FD">
        <w:rPr>
          <w:rFonts w:ascii="Arial" w:hAnsi="Arial" w:cs="Arial"/>
          <w:sz w:val="24"/>
          <w:szCs w:val="24"/>
        </w:rPr>
        <w:t>Barwitz</w:t>
      </w:r>
      <w:proofErr w:type="spellEnd"/>
      <w:r w:rsidRPr="007931FD">
        <w:rPr>
          <w:rFonts w:ascii="Arial" w:hAnsi="Arial" w:cs="Arial"/>
          <w:sz w:val="24"/>
          <w:szCs w:val="24"/>
        </w:rPr>
        <w:t xml:space="preserve">, N. and Liu, Y. (2026) 'AI Impact on Hotel Guest Satisfaction via Tailor-Made Services: A Case Study of Serbia and Hungary', MDPI Information, 15(11). Available at: </w:t>
      </w:r>
      <w:hyperlink r:id="rId31" w:tgtFrame="_blank" w:history="1">
        <w:r w:rsidRPr="007931FD">
          <w:rPr>
            <w:rStyle w:val="Hyperlink"/>
            <w:rFonts w:ascii="Arial" w:hAnsi="Arial" w:cs="Arial"/>
            <w:sz w:val="24"/>
            <w:szCs w:val="24"/>
          </w:rPr>
          <w:t>https://www.mdpi.com/2078-2489/15/11/700</w:t>
        </w:r>
      </w:hyperlink>
      <w:r w:rsidRPr="007931FD">
        <w:rPr>
          <w:rFonts w:ascii="Arial" w:hAnsi="Arial" w:cs="Arial"/>
          <w:sz w:val="24"/>
          <w:szCs w:val="24"/>
        </w:rPr>
        <w:t xml:space="preserve"> (Accessed: 11 February 2026).</w:t>
      </w:r>
    </w:p>
    <w:p w14:paraId="687066EB"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t xml:space="preserve">Wang, S., Wang, Q., Cui, Q. and Lan, T. (2025) 'Artificial Intelligence in Tourism: A Systematic Literature Review and Future Research Agenda', Sustainability, 17(20), p. 9080. Available at: </w:t>
      </w:r>
      <w:hyperlink r:id="rId32" w:tgtFrame="_blank" w:history="1">
        <w:r w:rsidRPr="007931FD">
          <w:rPr>
            <w:rStyle w:val="Hyperlink"/>
            <w:rFonts w:ascii="Arial" w:hAnsi="Arial" w:cs="Arial"/>
            <w:sz w:val="24"/>
            <w:szCs w:val="24"/>
          </w:rPr>
          <w:t>https://www.mdpi.com/2071-1050/17/20/9080</w:t>
        </w:r>
      </w:hyperlink>
      <w:r w:rsidRPr="007931FD">
        <w:rPr>
          <w:rFonts w:ascii="Arial" w:hAnsi="Arial" w:cs="Arial"/>
          <w:sz w:val="24"/>
          <w:szCs w:val="24"/>
        </w:rPr>
        <w:t xml:space="preserve"> (Accessed: 11 February 2026).</w:t>
      </w:r>
    </w:p>
    <w:p w14:paraId="3B2943DA"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t xml:space="preserve">Wirtz, J. et al. (2018) 'Brave New World: Service Robots in the Frontline', Journal of Service Management, 29(5), pp. 907-931. Available </w:t>
      </w:r>
      <w:r w:rsidRPr="007931FD">
        <w:rPr>
          <w:rFonts w:ascii="Arial" w:hAnsi="Arial" w:cs="Arial"/>
          <w:sz w:val="24"/>
          <w:szCs w:val="24"/>
        </w:rPr>
        <w:lastRenderedPageBreak/>
        <w:t>at:((</w:t>
      </w:r>
      <w:hyperlink r:id="rId33" w:tgtFrame="_blank" w:history="1">
        <w:r w:rsidRPr="007931FD">
          <w:rPr>
            <w:rStyle w:val="Hyperlink"/>
            <w:rFonts w:ascii="Arial" w:hAnsi="Arial" w:cs="Arial"/>
            <w:sz w:val="24"/>
            <w:szCs w:val="24"/>
          </w:rPr>
          <w:t>https://www.researchgate.net/publication/393973310_AI_and_the_Future_of_Hospitality_Workforce_Balancing_Automation_and_Human_Touch</w:t>
        </w:r>
      </w:hyperlink>
      <w:r w:rsidRPr="007931FD">
        <w:rPr>
          <w:rFonts w:ascii="Arial" w:hAnsi="Arial" w:cs="Arial"/>
          <w:sz w:val="24"/>
          <w:szCs w:val="24"/>
        </w:rPr>
        <w:t>)) (Accessed: 4 February 2026).</w:t>
      </w:r>
    </w:p>
    <w:p w14:paraId="391CCD0D"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t xml:space="preserve">Xu, T. et al. (2025) 'How AI service robots negatively impact frontline hotel employees through organizational dehumanization', International Journal of Hospitality Management, 128. Available at: </w:t>
      </w:r>
      <w:hyperlink r:id="rId34" w:tgtFrame="_blank" w:history="1">
        <w:r w:rsidRPr="007931FD">
          <w:rPr>
            <w:rStyle w:val="Hyperlink"/>
            <w:rFonts w:ascii="Arial" w:hAnsi="Arial" w:cs="Arial"/>
            <w:sz w:val="24"/>
            <w:szCs w:val="24"/>
          </w:rPr>
          <w:t>https://pearl.plymouth.ac.uk/pbs-research/636/</w:t>
        </w:r>
      </w:hyperlink>
      <w:r w:rsidRPr="007931FD">
        <w:rPr>
          <w:rFonts w:ascii="Arial" w:hAnsi="Arial" w:cs="Arial"/>
          <w:sz w:val="24"/>
          <w:szCs w:val="24"/>
        </w:rPr>
        <w:t xml:space="preserve"> (Accessed: 10 February 2026).</w:t>
      </w:r>
    </w:p>
    <w:p w14:paraId="20F330CF" w14:textId="77777777" w:rsidR="0066211A" w:rsidRPr="007931FD" w:rsidRDefault="0066211A" w:rsidP="007931FD">
      <w:pPr>
        <w:numPr>
          <w:ilvl w:val="0"/>
          <w:numId w:val="8"/>
        </w:numPr>
        <w:spacing w:line="360" w:lineRule="auto"/>
        <w:jc w:val="both"/>
        <w:rPr>
          <w:rFonts w:ascii="Arial" w:hAnsi="Arial" w:cs="Arial"/>
          <w:sz w:val="24"/>
          <w:szCs w:val="24"/>
        </w:rPr>
      </w:pPr>
      <w:r w:rsidRPr="007931FD">
        <w:rPr>
          <w:rFonts w:ascii="Arial" w:hAnsi="Arial" w:cs="Arial"/>
          <w:sz w:val="24"/>
          <w:szCs w:val="24"/>
        </w:rPr>
        <w:t xml:space="preserve">Zhang, Y. and Zhang, Z. (2026) 'Human–AI Collaboration in Intelligent Construction: A Knowledge Framework', Applied Sciences, 16(2), p. 597. Available at: </w:t>
      </w:r>
      <w:hyperlink r:id="rId35" w:tgtFrame="_blank" w:history="1">
        <w:r w:rsidRPr="007931FD">
          <w:rPr>
            <w:rStyle w:val="Hyperlink"/>
            <w:rFonts w:ascii="Arial" w:hAnsi="Arial" w:cs="Arial"/>
            <w:sz w:val="24"/>
            <w:szCs w:val="24"/>
          </w:rPr>
          <w:t>https://www.mdpi.com/2076-3417/16/2/597</w:t>
        </w:r>
      </w:hyperlink>
      <w:r w:rsidRPr="007931FD">
        <w:rPr>
          <w:rFonts w:ascii="Arial" w:hAnsi="Arial" w:cs="Arial"/>
          <w:sz w:val="24"/>
          <w:szCs w:val="24"/>
        </w:rPr>
        <w:t xml:space="preserve"> (Accessed: 2 February 2026).</w:t>
      </w:r>
    </w:p>
    <w:p w14:paraId="2CA43ACF" w14:textId="77777777" w:rsidR="0066211A" w:rsidRPr="007931FD" w:rsidRDefault="0066211A" w:rsidP="007931FD">
      <w:pPr>
        <w:spacing w:line="360" w:lineRule="auto"/>
        <w:jc w:val="both"/>
        <w:rPr>
          <w:rFonts w:ascii="Arial" w:hAnsi="Arial" w:cs="Arial"/>
          <w:sz w:val="24"/>
          <w:szCs w:val="24"/>
        </w:rPr>
      </w:pPr>
    </w:p>
    <w:p w14:paraId="3370E739" w14:textId="77777777" w:rsidR="0066211A" w:rsidRPr="007931FD" w:rsidRDefault="0066211A" w:rsidP="007931FD">
      <w:pPr>
        <w:spacing w:line="360" w:lineRule="auto"/>
        <w:jc w:val="both"/>
        <w:rPr>
          <w:rFonts w:ascii="Arial" w:hAnsi="Arial" w:cs="Arial"/>
          <w:sz w:val="24"/>
          <w:szCs w:val="24"/>
        </w:rPr>
      </w:pPr>
    </w:p>
    <w:sectPr w:rsidR="0066211A" w:rsidRPr="007931FD" w:rsidSect="008256B1">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B10E1D" w14:textId="77777777" w:rsidR="00321BBA" w:rsidRDefault="00321BBA" w:rsidP="001B32D0">
      <w:pPr>
        <w:spacing w:after="0" w:line="240" w:lineRule="auto"/>
      </w:pPr>
      <w:r>
        <w:separator/>
      </w:r>
    </w:p>
  </w:endnote>
  <w:endnote w:type="continuationSeparator" w:id="0">
    <w:p w14:paraId="37BC1818" w14:textId="77777777" w:rsidR="00321BBA" w:rsidRDefault="00321BBA" w:rsidP="001B32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80FED9" w14:textId="77777777" w:rsidR="00321BBA" w:rsidRDefault="00321BBA" w:rsidP="001B32D0">
      <w:pPr>
        <w:spacing w:after="0" w:line="240" w:lineRule="auto"/>
      </w:pPr>
      <w:r>
        <w:separator/>
      </w:r>
    </w:p>
  </w:footnote>
  <w:footnote w:type="continuationSeparator" w:id="0">
    <w:p w14:paraId="1601450C" w14:textId="77777777" w:rsidR="00321BBA" w:rsidRDefault="00321BBA" w:rsidP="001B32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950B3"/>
    <w:multiLevelType w:val="multilevel"/>
    <w:tmpl w:val="4A2CF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6985415"/>
    <w:multiLevelType w:val="multilevel"/>
    <w:tmpl w:val="0560A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AC5761A"/>
    <w:multiLevelType w:val="multilevel"/>
    <w:tmpl w:val="244AA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EE3037F"/>
    <w:multiLevelType w:val="multilevel"/>
    <w:tmpl w:val="8730A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9971131"/>
    <w:multiLevelType w:val="multilevel"/>
    <w:tmpl w:val="68005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8773125"/>
    <w:multiLevelType w:val="multilevel"/>
    <w:tmpl w:val="491AE9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706013C"/>
    <w:multiLevelType w:val="multilevel"/>
    <w:tmpl w:val="14320B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9D525C2"/>
    <w:multiLevelType w:val="multilevel"/>
    <w:tmpl w:val="8C647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83499742">
    <w:abstractNumId w:val="5"/>
  </w:num>
  <w:num w:numId="2" w16cid:durableId="1050690488">
    <w:abstractNumId w:val="1"/>
  </w:num>
  <w:num w:numId="3" w16cid:durableId="1548684862">
    <w:abstractNumId w:val="4"/>
  </w:num>
  <w:num w:numId="4" w16cid:durableId="595673010">
    <w:abstractNumId w:val="2"/>
  </w:num>
  <w:num w:numId="5" w16cid:durableId="862479584">
    <w:abstractNumId w:val="0"/>
  </w:num>
  <w:num w:numId="6" w16cid:durableId="1603565271">
    <w:abstractNumId w:val="3"/>
  </w:num>
  <w:num w:numId="7" w16cid:durableId="76948666">
    <w:abstractNumId w:val="7"/>
  </w:num>
  <w:num w:numId="8" w16cid:durableId="188594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4"/>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96CA1"/>
    <w:rsid w:val="000E52AD"/>
    <w:rsid w:val="0011545B"/>
    <w:rsid w:val="00196CA1"/>
    <w:rsid w:val="001B32D0"/>
    <w:rsid w:val="001F05F2"/>
    <w:rsid w:val="002445DB"/>
    <w:rsid w:val="002F0608"/>
    <w:rsid w:val="00321BBA"/>
    <w:rsid w:val="00387CC2"/>
    <w:rsid w:val="003C1B76"/>
    <w:rsid w:val="00541C89"/>
    <w:rsid w:val="0066211A"/>
    <w:rsid w:val="00765057"/>
    <w:rsid w:val="007931FD"/>
    <w:rsid w:val="007C19C4"/>
    <w:rsid w:val="008063EA"/>
    <w:rsid w:val="0084768C"/>
    <w:rsid w:val="008E5BED"/>
    <w:rsid w:val="0096304C"/>
    <w:rsid w:val="009A4CA2"/>
    <w:rsid w:val="00A028F6"/>
    <w:rsid w:val="00A15DBC"/>
    <w:rsid w:val="00CE45AA"/>
    <w:rsid w:val="00F60E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4"/>
    <o:shapelayout v:ext="edit">
      <o:idmap v:ext="edit" data="2"/>
    </o:shapelayout>
  </w:shapeDefaults>
  <w:decimalSymbol w:val="."/>
  <w:listSeparator w:val=","/>
  <w14:docId w14:val="120B803D"/>
  <w15:docId w15:val="{553D1A1A-D6AD-418C-9201-B9DBB2FFB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6CA1"/>
    <w:pPr>
      <w:spacing w:after="160" w:line="259" w:lineRule="auto"/>
    </w:pPr>
    <w:rPr>
      <w:kern w:val="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96CA1"/>
    <w:pPr>
      <w:spacing w:after="0" w:line="240" w:lineRule="auto"/>
    </w:pPr>
    <w:rPr>
      <w:rFonts w:eastAsiaTheme="minorEastAsia"/>
    </w:rPr>
  </w:style>
  <w:style w:type="character" w:customStyle="1" w:styleId="NoSpacingChar">
    <w:name w:val="No Spacing Char"/>
    <w:basedOn w:val="DefaultParagraphFont"/>
    <w:link w:val="NoSpacing"/>
    <w:uiPriority w:val="1"/>
    <w:rsid w:val="00196CA1"/>
    <w:rPr>
      <w:rFonts w:eastAsiaTheme="minorEastAsia"/>
    </w:rPr>
  </w:style>
  <w:style w:type="paragraph" w:styleId="BalloonText">
    <w:name w:val="Balloon Text"/>
    <w:basedOn w:val="Normal"/>
    <w:link w:val="BalloonTextChar"/>
    <w:uiPriority w:val="99"/>
    <w:semiHidden/>
    <w:unhideWhenUsed/>
    <w:rsid w:val="00196C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6CA1"/>
    <w:rPr>
      <w:rFonts w:ascii="Tahoma" w:hAnsi="Tahoma" w:cs="Tahoma"/>
      <w:kern w:val="2"/>
      <w:sz w:val="16"/>
      <w:szCs w:val="16"/>
      <w:lang w:val="en-GB"/>
    </w:rPr>
  </w:style>
  <w:style w:type="character" w:styleId="Hyperlink">
    <w:name w:val="Hyperlink"/>
    <w:basedOn w:val="DefaultParagraphFont"/>
    <w:uiPriority w:val="99"/>
    <w:unhideWhenUsed/>
    <w:rsid w:val="0066211A"/>
    <w:rPr>
      <w:color w:val="0000FF" w:themeColor="hyperlink"/>
      <w:u w:val="single"/>
    </w:rPr>
  </w:style>
  <w:style w:type="paragraph" w:styleId="Header">
    <w:name w:val="header"/>
    <w:basedOn w:val="Normal"/>
    <w:link w:val="HeaderChar"/>
    <w:uiPriority w:val="99"/>
    <w:unhideWhenUsed/>
    <w:rsid w:val="001B32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32D0"/>
    <w:rPr>
      <w:kern w:val="2"/>
      <w:lang w:val="en-GB"/>
    </w:rPr>
  </w:style>
  <w:style w:type="paragraph" w:styleId="Footer">
    <w:name w:val="footer"/>
    <w:basedOn w:val="Normal"/>
    <w:link w:val="FooterChar"/>
    <w:uiPriority w:val="99"/>
    <w:unhideWhenUsed/>
    <w:rsid w:val="001B32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32D0"/>
    <w:rPr>
      <w:kern w:val="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travhotech.com/hard-ai-hospitality-ces-2026/" TargetMode="External"/><Relationship Id="rId18" Type="http://schemas.openxmlformats.org/officeDocument/2006/relationships/hyperlink" Target="https://www.researchgate.net/publication/393973310_AI_and_the_Future_of_Hospitality_Workforce_Balancing_Automation_and_Human_Touch" TargetMode="External"/><Relationship Id="rId26" Type="http://schemas.openxmlformats.org/officeDocument/2006/relationships/hyperlink" Target="https://www.apo-tokyo.org/wp-content/uploads/2026/01/6-5_P-Insights_Leveraging-AI-to-Enhance-Productivity_PUB.pdf" TargetMode="External"/><Relationship Id="rId21" Type="http://schemas.openxmlformats.org/officeDocument/2006/relationships/hyperlink" Target="https://pmc.ncbi.nlm.nih.gov/articles/PMC9998175/" TargetMode="External"/><Relationship Id="rId34" Type="http://schemas.openxmlformats.org/officeDocument/2006/relationships/hyperlink" Target="https://pearl.plymouth.ac.uk/pbs-research/636/" TargetMode="External"/><Relationship Id="rId7" Type="http://schemas.openxmlformats.org/officeDocument/2006/relationships/hyperlink" Target="https://group.accor.com/en/news-stories/all-accor-globetrender-experiential-travel-trends-report-2026" TargetMode="External"/><Relationship Id="rId12" Type="http://schemas.openxmlformats.org/officeDocument/2006/relationships/hyperlink" Target="https://www.researchgate.net/publication/396238258_Service_Recovery_Strategies_in_Cases_of_AI_Malfunction" TargetMode="External"/><Relationship Id="rId17" Type="http://schemas.openxmlformats.org/officeDocument/2006/relationships/hyperlink" Target="https://hoteltechreport.com/news/hospitality-statistics" TargetMode="External"/><Relationship Id="rId25" Type="http://schemas.openxmlformats.org/officeDocument/2006/relationships/hyperlink" Target="https://www.researchgate.net/publication/388000701_Evolving_Models_of_Service_Quality_A_Comprehensive_Review_and_Future_Directions" TargetMode="External"/><Relationship Id="rId33" Type="http://schemas.openxmlformats.org/officeDocument/2006/relationships/hyperlink" Target="https://www.researchgate.net/publication/393973310_AI_and_the_Future_of_Hospitality_Workforce_Balancing_Automation_and_Human_Touch" TargetMode="External"/><Relationship Id="rId2" Type="http://schemas.openxmlformats.org/officeDocument/2006/relationships/styles" Target="styles.xml"/><Relationship Id="rId16" Type="http://schemas.openxmlformats.org/officeDocument/2006/relationships/hyperlink" Target="https://stories.hilton.com/releases/2026-trends-release" TargetMode="External"/><Relationship Id="rId20" Type="http://schemas.openxmlformats.org/officeDocument/2006/relationships/hyperlink" Target="https://www.researchgate.net/publication/393973310_AI_and_the_Future_of_Hospitality_Workforce_Balancing_Automation_and_Human_Touch" TargetMode="External"/><Relationship Id="rId29" Type="http://schemas.openxmlformats.org/officeDocument/2006/relationships/hyperlink" Target="https://www.tandfonline.com/doi/full/10.1080/13683500.2024.243939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ergipark.org.tr/tr/download/article-file/3010064" TargetMode="External"/><Relationship Id="rId24" Type="http://schemas.openxmlformats.org/officeDocument/2006/relationships/hyperlink" Target="https://www.usf.edu/business/news/2026/02-09-usf-studys-ai-concierges-adoption-finds-guests-crave-human-connection.aspx" TargetMode="External"/><Relationship Id="rId32" Type="http://schemas.openxmlformats.org/officeDocument/2006/relationships/hyperlink" Target="https://www.mdpi.com/2071-1050/17/20/9080"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pmc.ncbi.nlm.nih.gov/articles/PMC8685740/" TargetMode="External"/><Relationship Id="rId23" Type="http://schemas.openxmlformats.org/officeDocument/2006/relationships/hyperlink" Target="https://www.hospitalitynet.org/opinion/4130826.html" TargetMode="External"/><Relationship Id="rId28" Type="http://schemas.openxmlformats.org/officeDocument/2006/relationships/hyperlink" Target="https://pmc.ncbi.nlm.nih.gov/articles/PMC8685740/" TargetMode="External"/><Relationship Id="rId36" Type="http://schemas.openxmlformats.org/officeDocument/2006/relationships/fontTable" Target="fontTable.xml"/><Relationship Id="rId10" Type="http://schemas.openxmlformats.org/officeDocument/2006/relationships/hyperlink" Target="https://www.ehlgroup.com/ehl-insights-report-hospitality-outlook-2026" TargetMode="External"/><Relationship Id="rId19" Type="http://schemas.openxmlformats.org/officeDocument/2006/relationships/hyperlink" Target="https://journal.jis-institute.org/" TargetMode="External"/><Relationship Id="rId31" Type="http://schemas.openxmlformats.org/officeDocument/2006/relationships/hyperlink" Target="https://www.mdpi.com/2078-2489/15/11/700" TargetMode="External"/><Relationship Id="rId4" Type="http://schemas.openxmlformats.org/officeDocument/2006/relationships/webSettings" Target="webSettings.xml"/><Relationship Id="rId9" Type="http://schemas.openxmlformats.org/officeDocument/2006/relationships/hyperlink" Target="https://www.deloitte.com/us/en/Industries/consumer/articles/future-of-hospitality-ai-innovation.html" TargetMode="External"/><Relationship Id="rId14" Type="http://schemas.openxmlformats.org/officeDocument/2006/relationships/hyperlink" Target="https://journals.flvc.org/aimlrb/article/view/141010" TargetMode="External"/><Relationship Id="rId22" Type="http://schemas.openxmlformats.org/officeDocument/2006/relationships/hyperlink" Target="https://thehotelmagazine.co.uk/" TargetMode="External"/><Relationship Id="rId27" Type="http://schemas.openxmlformats.org/officeDocument/2006/relationships/hyperlink" Target="https://www.revfine.com/" TargetMode="External"/><Relationship Id="rId30" Type="http://schemas.openxmlformats.org/officeDocument/2006/relationships/hyperlink" Target="https://www.tandfonline.com/doi/full/10.1080/13683500.2024.2391114" TargetMode="External"/><Relationship Id="rId35" Type="http://schemas.openxmlformats.org/officeDocument/2006/relationships/hyperlink" Target="https://www.mdpi.com/2076-3417/16/2/597" TargetMode="External"/><Relationship Id="rId8" Type="http://schemas.openxmlformats.org/officeDocument/2006/relationships/hyperlink" Target="https://digitalcommons.usf.edu/cgi/viewcontent.cgi?article=1071&amp;context=jght"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4457</Words>
  <Characters>25405</Characters>
  <Application>Microsoft Office Word</Application>
  <DocSecurity>0</DocSecurity>
  <Lines>211</Lines>
  <Paragraphs>59</Paragraphs>
  <ScaleCrop>false</ScaleCrop>
  <Company/>
  <LinksUpToDate>false</LinksUpToDate>
  <CharactersWithSpaces>29803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Gabriel Gheorghe</cp:lastModifiedBy>
  <cp:revision>2</cp:revision>
  <dcterms:created xsi:type="dcterms:W3CDTF">2026-02-12T23:09:00Z</dcterms:created>
  <dcterms:modified xsi:type="dcterms:W3CDTF">2026-02-12T23:10:00Z</dcterms:modified>
</cp:coreProperties>
</file>