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E46920B" w14:textId="77777777" w:rsidR="003A637F" w:rsidRPr="00E66B85" w:rsidRDefault="003A637F" w:rsidP="003A637F">
      <w:pPr>
        <w:spacing w:before="120" w:after="120"/>
        <w:jc w:val="center"/>
        <w:rPr>
          <w:rFonts w:ascii="Arial" w:hAnsi="Arial" w:cs="Arial"/>
          <w:b/>
        </w:rPr>
      </w:pPr>
      <w:r w:rsidRPr="00E66B85">
        <w:rPr>
          <w:rFonts w:ascii="Arial" w:hAnsi="Arial" w:cs="Arial"/>
          <w:b/>
        </w:rPr>
        <w:t>Management Accounting for Managers</w:t>
      </w:r>
    </w:p>
    <w:p w14:paraId="645D7FA5" w14:textId="77777777" w:rsidR="003A637F" w:rsidRPr="00E66B85" w:rsidRDefault="003A637F" w:rsidP="003A637F">
      <w:pPr>
        <w:spacing w:before="120" w:after="120"/>
        <w:jc w:val="center"/>
        <w:rPr>
          <w:rFonts w:ascii="Arial" w:hAnsi="Arial" w:cs="Arial"/>
          <w:b/>
        </w:rPr>
      </w:pPr>
      <w:r w:rsidRPr="00E66B85">
        <w:rPr>
          <w:rFonts w:ascii="Arial" w:hAnsi="Arial" w:cs="Arial"/>
          <w:b/>
        </w:rPr>
        <w:t>LCBB5010</w:t>
      </w:r>
    </w:p>
    <w:p w14:paraId="71F6BA00" w14:textId="77777777" w:rsidR="003A637F" w:rsidRDefault="003A637F" w:rsidP="003A637F">
      <w:pPr>
        <w:jc w:val="center"/>
        <w:rPr>
          <w:lang w:val="en-US"/>
        </w:rPr>
      </w:pPr>
    </w:p>
    <w:p w14:paraId="214A82C5" w14:textId="6B3F60C9" w:rsidR="003A637F" w:rsidRPr="00E66B85" w:rsidRDefault="003A637F" w:rsidP="003A637F">
      <w:pPr>
        <w:jc w:val="center"/>
        <w:rPr>
          <w:b/>
          <w:bCs/>
          <w:lang w:val="en-US"/>
        </w:rPr>
      </w:pPr>
      <w:r w:rsidRPr="00E66B85">
        <w:rPr>
          <w:b/>
          <w:bCs/>
          <w:lang w:val="en-US"/>
        </w:rPr>
        <w:t>Student ID:</w:t>
      </w:r>
      <w:r w:rsidR="003D6719">
        <w:rPr>
          <w:b/>
          <w:bCs/>
          <w:lang w:val="en-US"/>
        </w:rPr>
        <w:t xml:space="preserve"> 2213590</w:t>
      </w:r>
    </w:p>
    <w:p w14:paraId="42878147" w14:textId="7246A8C9" w:rsidR="003A637F" w:rsidRPr="00E66B85" w:rsidRDefault="003A637F" w:rsidP="003A637F">
      <w:pPr>
        <w:jc w:val="center"/>
        <w:rPr>
          <w:b/>
          <w:bCs/>
          <w:lang w:val="en-US"/>
        </w:rPr>
      </w:pPr>
      <w:r w:rsidRPr="00E66B85">
        <w:rPr>
          <w:b/>
          <w:bCs/>
          <w:lang w:val="en-US"/>
        </w:rPr>
        <w:t>Student Name:</w:t>
      </w:r>
      <w:r w:rsidR="003D6719">
        <w:rPr>
          <w:b/>
          <w:bCs/>
          <w:lang w:val="en-US"/>
        </w:rPr>
        <w:t xml:space="preserve"> Clara Perca</w:t>
      </w:r>
    </w:p>
    <w:p w14:paraId="63776618" w14:textId="77777777" w:rsidR="003A637F" w:rsidRPr="00E66B85" w:rsidRDefault="003A637F" w:rsidP="003A637F">
      <w:pPr>
        <w:jc w:val="center"/>
        <w:rPr>
          <w:b/>
          <w:bCs/>
          <w:lang w:val="en-US"/>
        </w:rPr>
      </w:pPr>
    </w:p>
    <w:p w14:paraId="321CB6B7" w14:textId="550A7089" w:rsidR="003A637F" w:rsidRPr="003A637F" w:rsidRDefault="003A637F" w:rsidP="003A637F">
      <w:pPr>
        <w:jc w:val="center"/>
        <w:rPr>
          <w:b/>
          <w:sz w:val="28"/>
          <w:szCs w:val="28"/>
          <w:lang w:val="en-US"/>
        </w:rPr>
      </w:pPr>
      <w:r w:rsidRPr="00E66B85">
        <w:rPr>
          <w:b/>
          <w:bCs/>
          <w:lang w:val="en-US"/>
        </w:rPr>
        <w:t>Word of Count:</w:t>
      </w:r>
      <w:r>
        <w:rPr>
          <w:lang w:val="en-US"/>
        </w:rPr>
        <w:t xml:space="preserve"> 1805</w:t>
      </w:r>
      <w:r>
        <w:rPr>
          <w:lang w:val="en-US"/>
        </w:rPr>
        <w:br w:type="page"/>
      </w:r>
    </w:p>
    <w:sdt>
      <w:sdtPr>
        <w:rPr>
          <w:rFonts w:ascii="Times New Roman" w:eastAsia="Times New Roman" w:hAnsi="Times New Roman" w:cs="Times New Roman"/>
          <w:color w:val="auto"/>
          <w:sz w:val="24"/>
          <w:szCs w:val="24"/>
          <w:lang w:val="en-GB" w:eastAsia="zh-CN" w:bidi="bn-IN"/>
        </w:rPr>
        <w:id w:val="-1053921764"/>
        <w:docPartObj>
          <w:docPartGallery w:val="Table of Contents"/>
          <w:docPartUnique/>
        </w:docPartObj>
      </w:sdtPr>
      <w:sdtEndPr>
        <w:rPr>
          <w:b/>
          <w:bCs/>
          <w:noProof/>
        </w:rPr>
      </w:sdtEndPr>
      <w:sdtContent>
        <w:p w14:paraId="7E2EBFFC" w14:textId="30665355" w:rsidR="003A637F" w:rsidRDefault="003A637F">
          <w:pPr>
            <w:pStyle w:val="TOCHeading"/>
          </w:pPr>
          <w:r>
            <w:t>Table of Contents</w:t>
          </w:r>
        </w:p>
        <w:p w14:paraId="35FE0314" w14:textId="4B8965D1" w:rsidR="003A637F" w:rsidRDefault="003A637F">
          <w:pPr>
            <w:pStyle w:val="TOC1"/>
            <w:tabs>
              <w:tab w:val="right" w:leader="dot" w:pos="9016"/>
            </w:tabs>
            <w:rPr>
              <w:rFonts w:asciiTheme="minorHAnsi" w:eastAsiaTheme="minorEastAsia" w:hAnsiTheme="minorHAnsi" w:cstheme="minorBidi"/>
              <w:noProof/>
              <w:kern w:val="2"/>
              <w:lang w:val="en-US" w:eastAsia="en-US" w:bidi="th-TH"/>
            </w:rPr>
          </w:pPr>
          <w:r>
            <w:fldChar w:fldCharType="begin"/>
          </w:r>
          <w:r>
            <w:instrText xml:space="preserve"> TOC \o "1-3" \h \z \u </w:instrText>
          </w:r>
          <w:r>
            <w:fldChar w:fldCharType="separate"/>
          </w:r>
          <w:hyperlink w:anchor="_Toc200838865" w:history="1">
            <w:r w:rsidRPr="00890E61">
              <w:rPr>
                <w:rStyle w:val="Hyperlink"/>
                <w:rFonts w:eastAsiaTheme="majorEastAsia"/>
                <w:noProof/>
                <w:lang w:val="en-US"/>
              </w:rPr>
              <w:t>Introduction</w:t>
            </w:r>
            <w:r>
              <w:rPr>
                <w:noProof/>
                <w:webHidden/>
              </w:rPr>
              <w:tab/>
            </w:r>
            <w:r>
              <w:rPr>
                <w:noProof/>
                <w:webHidden/>
              </w:rPr>
              <w:fldChar w:fldCharType="begin"/>
            </w:r>
            <w:r>
              <w:rPr>
                <w:noProof/>
                <w:webHidden/>
              </w:rPr>
              <w:instrText xml:space="preserve"> PAGEREF _Toc200838865 \h </w:instrText>
            </w:r>
            <w:r>
              <w:rPr>
                <w:noProof/>
                <w:webHidden/>
              </w:rPr>
            </w:r>
            <w:r>
              <w:rPr>
                <w:noProof/>
                <w:webHidden/>
              </w:rPr>
              <w:fldChar w:fldCharType="separate"/>
            </w:r>
            <w:r>
              <w:rPr>
                <w:noProof/>
                <w:webHidden/>
              </w:rPr>
              <w:t>3</w:t>
            </w:r>
            <w:r>
              <w:rPr>
                <w:noProof/>
                <w:webHidden/>
              </w:rPr>
              <w:fldChar w:fldCharType="end"/>
            </w:r>
          </w:hyperlink>
        </w:p>
        <w:p w14:paraId="6CC8D7FA" w14:textId="2145A5AC" w:rsidR="003A637F" w:rsidRDefault="003A637F">
          <w:pPr>
            <w:pStyle w:val="TOC1"/>
            <w:tabs>
              <w:tab w:val="right" w:leader="dot" w:pos="9016"/>
            </w:tabs>
            <w:rPr>
              <w:rFonts w:asciiTheme="minorHAnsi" w:eastAsiaTheme="minorEastAsia" w:hAnsiTheme="minorHAnsi" w:cstheme="minorBidi"/>
              <w:noProof/>
              <w:kern w:val="2"/>
              <w:lang w:val="en-US" w:eastAsia="en-US" w:bidi="th-TH"/>
            </w:rPr>
          </w:pPr>
          <w:hyperlink w:anchor="_Toc200838866" w:history="1">
            <w:r w:rsidRPr="00890E61">
              <w:rPr>
                <w:rStyle w:val="Hyperlink"/>
                <w:rFonts w:eastAsiaTheme="majorEastAsia"/>
                <w:noProof/>
                <w:lang w:val="en-US"/>
              </w:rPr>
              <w:t>Cost Analysis and Business Model</w:t>
            </w:r>
            <w:r>
              <w:rPr>
                <w:noProof/>
                <w:webHidden/>
              </w:rPr>
              <w:tab/>
            </w:r>
            <w:r>
              <w:rPr>
                <w:noProof/>
                <w:webHidden/>
              </w:rPr>
              <w:fldChar w:fldCharType="begin"/>
            </w:r>
            <w:r>
              <w:rPr>
                <w:noProof/>
                <w:webHidden/>
              </w:rPr>
              <w:instrText xml:space="preserve"> PAGEREF _Toc200838866 \h </w:instrText>
            </w:r>
            <w:r>
              <w:rPr>
                <w:noProof/>
                <w:webHidden/>
              </w:rPr>
            </w:r>
            <w:r>
              <w:rPr>
                <w:noProof/>
                <w:webHidden/>
              </w:rPr>
              <w:fldChar w:fldCharType="separate"/>
            </w:r>
            <w:r>
              <w:rPr>
                <w:noProof/>
                <w:webHidden/>
              </w:rPr>
              <w:t>3</w:t>
            </w:r>
            <w:r>
              <w:rPr>
                <w:noProof/>
                <w:webHidden/>
              </w:rPr>
              <w:fldChar w:fldCharType="end"/>
            </w:r>
          </w:hyperlink>
        </w:p>
        <w:p w14:paraId="7012771F" w14:textId="55561D61" w:rsidR="003A637F" w:rsidRDefault="003A637F">
          <w:pPr>
            <w:pStyle w:val="TOC1"/>
            <w:tabs>
              <w:tab w:val="right" w:leader="dot" w:pos="9016"/>
            </w:tabs>
            <w:rPr>
              <w:rFonts w:asciiTheme="minorHAnsi" w:eastAsiaTheme="minorEastAsia" w:hAnsiTheme="minorHAnsi" w:cstheme="minorBidi"/>
              <w:noProof/>
              <w:kern w:val="2"/>
              <w:lang w:val="en-US" w:eastAsia="en-US" w:bidi="th-TH"/>
            </w:rPr>
          </w:pPr>
          <w:hyperlink w:anchor="_Toc200838867" w:history="1">
            <w:r w:rsidRPr="00890E61">
              <w:rPr>
                <w:rStyle w:val="Hyperlink"/>
                <w:rFonts w:eastAsiaTheme="majorEastAsia"/>
                <w:noProof/>
                <w:lang w:val="en-US"/>
              </w:rPr>
              <w:t>Budgeting and Financial Planning</w:t>
            </w:r>
            <w:r>
              <w:rPr>
                <w:noProof/>
                <w:webHidden/>
              </w:rPr>
              <w:tab/>
            </w:r>
            <w:r>
              <w:rPr>
                <w:noProof/>
                <w:webHidden/>
              </w:rPr>
              <w:fldChar w:fldCharType="begin"/>
            </w:r>
            <w:r>
              <w:rPr>
                <w:noProof/>
                <w:webHidden/>
              </w:rPr>
              <w:instrText xml:space="preserve"> PAGEREF _Toc200838867 \h </w:instrText>
            </w:r>
            <w:r>
              <w:rPr>
                <w:noProof/>
                <w:webHidden/>
              </w:rPr>
            </w:r>
            <w:r>
              <w:rPr>
                <w:noProof/>
                <w:webHidden/>
              </w:rPr>
              <w:fldChar w:fldCharType="separate"/>
            </w:r>
            <w:r>
              <w:rPr>
                <w:noProof/>
                <w:webHidden/>
              </w:rPr>
              <w:t>4</w:t>
            </w:r>
            <w:r>
              <w:rPr>
                <w:noProof/>
                <w:webHidden/>
              </w:rPr>
              <w:fldChar w:fldCharType="end"/>
            </w:r>
          </w:hyperlink>
        </w:p>
        <w:p w14:paraId="0F70D048" w14:textId="3F86213A" w:rsidR="003A637F" w:rsidRDefault="003A637F">
          <w:pPr>
            <w:pStyle w:val="TOC1"/>
            <w:tabs>
              <w:tab w:val="right" w:leader="dot" w:pos="9016"/>
            </w:tabs>
            <w:rPr>
              <w:rFonts w:asciiTheme="minorHAnsi" w:eastAsiaTheme="minorEastAsia" w:hAnsiTheme="minorHAnsi" w:cstheme="minorBidi"/>
              <w:noProof/>
              <w:kern w:val="2"/>
              <w:lang w:val="en-US" w:eastAsia="en-US" w:bidi="th-TH"/>
            </w:rPr>
          </w:pPr>
          <w:hyperlink w:anchor="_Toc200838868" w:history="1">
            <w:r w:rsidRPr="00890E61">
              <w:rPr>
                <w:rStyle w:val="Hyperlink"/>
                <w:rFonts w:eastAsiaTheme="majorEastAsia"/>
                <w:noProof/>
                <w:lang w:val="en-US"/>
              </w:rPr>
              <w:t>Performance Measurement and Decision-Making</w:t>
            </w:r>
            <w:r>
              <w:rPr>
                <w:noProof/>
                <w:webHidden/>
              </w:rPr>
              <w:tab/>
            </w:r>
            <w:r>
              <w:rPr>
                <w:noProof/>
                <w:webHidden/>
              </w:rPr>
              <w:fldChar w:fldCharType="begin"/>
            </w:r>
            <w:r>
              <w:rPr>
                <w:noProof/>
                <w:webHidden/>
              </w:rPr>
              <w:instrText xml:space="preserve"> PAGEREF _Toc200838868 \h </w:instrText>
            </w:r>
            <w:r>
              <w:rPr>
                <w:noProof/>
                <w:webHidden/>
              </w:rPr>
            </w:r>
            <w:r>
              <w:rPr>
                <w:noProof/>
                <w:webHidden/>
              </w:rPr>
              <w:fldChar w:fldCharType="separate"/>
            </w:r>
            <w:r>
              <w:rPr>
                <w:noProof/>
                <w:webHidden/>
              </w:rPr>
              <w:t>5</w:t>
            </w:r>
            <w:r>
              <w:rPr>
                <w:noProof/>
                <w:webHidden/>
              </w:rPr>
              <w:fldChar w:fldCharType="end"/>
            </w:r>
          </w:hyperlink>
        </w:p>
        <w:p w14:paraId="75F322E9" w14:textId="28545C87" w:rsidR="003A637F" w:rsidRDefault="003A637F">
          <w:pPr>
            <w:pStyle w:val="TOC1"/>
            <w:tabs>
              <w:tab w:val="right" w:leader="dot" w:pos="9016"/>
            </w:tabs>
            <w:rPr>
              <w:rFonts w:asciiTheme="minorHAnsi" w:eastAsiaTheme="minorEastAsia" w:hAnsiTheme="minorHAnsi" w:cstheme="minorBidi"/>
              <w:noProof/>
              <w:kern w:val="2"/>
              <w:lang w:val="en-US" w:eastAsia="en-US" w:bidi="th-TH"/>
            </w:rPr>
          </w:pPr>
          <w:hyperlink w:anchor="_Toc200838869" w:history="1">
            <w:r w:rsidRPr="00890E61">
              <w:rPr>
                <w:rStyle w:val="Hyperlink"/>
                <w:rFonts w:eastAsiaTheme="majorEastAsia"/>
                <w:noProof/>
                <w:lang w:val="en-US"/>
              </w:rPr>
              <w:t>Sustainability and Ethical Considerations</w:t>
            </w:r>
            <w:r>
              <w:rPr>
                <w:noProof/>
                <w:webHidden/>
              </w:rPr>
              <w:tab/>
            </w:r>
            <w:r>
              <w:rPr>
                <w:noProof/>
                <w:webHidden/>
              </w:rPr>
              <w:fldChar w:fldCharType="begin"/>
            </w:r>
            <w:r>
              <w:rPr>
                <w:noProof/>
                <w:webHidden/>
              </w:rPr>
              <w:instrText xml:space="preserve"> PAGEREF _Toc200838869 \h </w:instrText>
            </w:r>
            <w:r>
              <w:rPr>
                <w:noProof/>
                <w:webHidden/>
              </w:rPr>
            </w:r>
            <w:r>
              <w:rPr>
                <w:noProof/>
                <w:webHidden/>
              </w:rPr>
              <w:fldChar w:fldCharType="separate"/>
            </w:r>
            <w:r>
              <w:rPr>
                <w:noProof/>
                <w:webHidden/>
              </w:rPr>
              <w:t>6</w:t>
            </w:r>
            <w:r>
              <w:rPr>
                <w:noProof/>
                <w:webHidden/>
              </w:rPr>
              <w:fldChar w:fldCharType="end"/>
            </w:r>
          </w:hyperlink>
        </w:p>
        <w:p w14:paraId="0B8F2CCC" w14:textId="730E89E5" w:rsidR="003A637F" w:rsidRDefault="003A637F">
          <w:pPr>
            <w:pStyle w:val="TOC1"/>
            <w:tabs>
              <w:tab w:val="right" w:leader="dot" w:pos="9016"/>
            </w:tabs>
            <w:rPr>
              <w:rFonts w:asciiTheme="minorHAnsi" w:eastAsiaTheme="minorEastAsia" w:hAnsiTheme="minorHAnsi" w:cstheme="minorBidi"/>
              <w:noProof/>
              <w:kern w:val="2"/>
              <w:lang w:val="en-US" w:eastAsia="en-US" w:bidi="th-TH"/>
            </w:rPr>
          </w:pPr>
          <w:hyperlink w:anchor="_Toc200838870" w:history="1">
            <w:r w:rsidRPr="00890E61">
              <w:rPr>
                <w:rStyle w:val="Hyperlink"/>
                <w:rFonts w:eastAsiaTheme="majorEastAsia"/>
                <w:noProof/>
                <w:lang w:val="en-US"/>
              </w:rPr>
              <w:t>Conclusion and Recommendations</w:t>
            </w:r>
            <w:r>
              <w:rPr>
                <w:noProof/>
                <w:webHidden/>
              </w:rPr>
              <w:tab/>
            </w:r>
            <w:r>
              <w:rPr>
                <w:noProof/>
                <w:webHidden/>
              </w:rPr>
              <w:fldChar w:fldCharType="begin"/>
            </w:r>
            <w:r>
              <w:rPr>
                <w:noProof/>
                <w:webHidden/>
              </w:rPr>
              <w:instrText xml:space="preserve"> PAGEREF _Toc200838870 \h </w:instrText>
            </w:r>
            <w:r>
              <w:rPr>
                <w:noProof/>
                <w:webHidden/>
              </w:rPr>
            </w:r>
            <w:r>
              <w:rPr>
                <w:noProof/>
                <w:webHidden/>
              </w:rPr>
              <w:fldChar w:fldCharType="separate"/>
            </w:r>
            <w:r>
              <w:rPr>
                <w:noProof/>
                <w:webHidden/>
              </w:rPr>
              <w:t>7</w:t>
            </w:r>
            <w:r>
              <w:rPr>
                <w:noProof/>
                <w:webHidden/>
              </w:rPr>
              <w:fldChar w:fldCharType="end"/>
            </w:r>
          </w:hyperlink>
        </w:p>
        <w:p w14:paraId="0EB6542C" w14:textId="48150721" w:rsidR="003A637F" w:rsidRDefault="003A637F">
          <w:pPr>
            <w:pStyle w:val="TOC1"/>
            <w:tabs>
              <w:tab w:val="right" w:leader="dot" w:pos="9016"/>
            </w:tabs>
            <w:rPr>
              <w:rFonts w:asciiTheme="minorHAnsi" w:eastAsiaTheme="minorEastAsia" w:hAnsiTheme="minorHAnsi" w:cstheme="minorBidi"/>
              <w:noProof/>
              <w:kern w:val="2"/>
              <w:lang w:val="en-US" w:eastAsia="en-US" w:bidi="th-TH"/>
            </w:rPr>
          </w:pPr>
          <w:hyperlink w:anchor="_Toc200838871" w:history="1">
            <w:r w:rsidRPr="00890E61">
              <w:rPr>
                <w:rStyle w:val="Hyperlink"/>
                <w:rFonts w:eastAsiaTheme="majorEastAsia"/>
                <w:noProof/>
              </w:rPr>
              <w:t>References</w:t>
            </w:r>
            <w:r>
              <w:rPr>
                <w:noProof/>
                <w:webHidden/>
              </w:rPr>
              <w:tab/>
            </w:r>
            <w:r>
              <w:rPr>
                <w:noProof/>
                <w:webHidden/>
              </w:rPr>
              <w:fldChar w:fldCharType="begin"/>
            </w:r>
            <w:r>
              <w:rPr>
                <w:noProof/>
                <w:webHidden/>
              </w:rPr>
              <w:instrText xml:space="preserve"> PAGEREF _Toc200838871 \h </w:instrText>
            </w:r>
            <w:r>
              <w:rPr>
                <w:noProof/>
                <w:webHidden/>
              </w:rPr>
            </w:r>
            <w:r>
              <w:rPr>
                <w:noProof/>
                <w:webHidden/>
              </w:rPr>
              <w:fldChar w:fldCharType="separate"/>
            </w:r>
            <w:r>
              <w:rPr>
                <w:noProof/>
                <w:webHidden/>
              </w:rPr>
              <w:t>8</w:t>
            </w:r>
            <w:r>
              <w:rPr>
                <w:noProof/>
                <w:webHidden/>
              </w:rPr>
              <w:fldChar w:fldCharType="end"/>
            </w:r>
          </w:hyperlink>
        </w:p>
        <w:p w14:paraId="62882639" w14:textId="03C7C918" w:rsidR="003A637F" w:rsidRDefault="003A637F">
          <w:r>
            <w:rPr>
              <w:b/>
              <w:bCs/>
              <w:noProof/>
            </w:rPr>
            <w:fldChar w:fldCharType="end"/>
          </w:r>
        </w:p>
      </w:sdtContent>
    </w:sdt>
    <w:p w14:paraId="4469D91B" w14:textId="77777777" w:rsidR="003A637F" w:rsidRDefault="003A637F">
      <w:pPr>
        <w:spacing w:after="160" w:line="259" w:lineRule="auto"/>
        <w:jc w:val="left"/>
        <w:rPr>
          <w:rFonts w:eastAsiaTheme="majorEastAsia" w:cstheme="majorBidi"/>
          <w:b/>
          <w:sz w:val="32"/>
          <w:szCs w:val="32"/>
          <w:lang w:val="en-US"/>
        </w:rPr>
      </w:pPr>
      <w:r>
        <w:rPr>
          <w:lang w:val="en-US"/>
        </w:rPr>
        <w:br w:type="page"/>
      </w:r>
    </w:p>
    <w:p w14:paraId="3AE0B693" w14:textId="129A4C32" w:rsidR="00FD0313" w:rsidRPr="00FD0313" w:rsidRDefault="00FD0313" w:rsidP="00FD0313">
      <w:pPr>
        <w:pStyle w:val="Heading1"/>
        <w:rPr>
          <w:lang w:val="en-US"/>
        </w:rPr>
      </w:pPr>
      <w:bookmarkStart w:id="0" w:name="_Toc200838865"/>
      <w:r w:rsidRPr="00FD0313">
        <w:rPr>
          <w:lang w:val="en-US"/>
        </w:rPr>
        <w:lastRenderedPageBreak/>
        <w:t>Introduction</w:t>
      </w:r>
      <w:bookmarkEnd w:id="0"/>
    </w:p>
    <w:p w14:paraId="0DAD0DF1" w14:textId="654B95BD" w:rsidR="00FD0313" w:rsidRDefault="00FD0313" w:rsidP="00FD0313">
      <w:pPr>
        <w:rPr>
          <w:lang w:val="en-US"/>
        </w:rPr>
      </w:pPr>
      <w:r w:rsidRPr="00FD0313">
        <w:rPr>
          <w:lang w:val="en-US"/>
        </w:rPr>
        <w:t>Meta Platforms Inc. is a large global technology company founded in 2004. The company owns Facebook, Instagram, WhatsApp, and Horizon metaverse services. Its global user base includes over three billion monthly active platform users. Meta’s main income comes from digital ads and platform data services. The company also invests in AI tools, virtual devices, and online communities. Its services support communication, shopping, and gaming through digital networks worldwide.</w:t>
      </w:r>
      <w:r>
        <w:rPr>
          <w:lang w:val="en-US"/>
        </w:rPr>
        <w:t xml:space="preserve"> </w:t>
      </w:r>
      <w:r w:rsidRPr="00FD0313">
        <w:rPr>
          <w:lang w:val="en-US"/>
        </w:rPr>
        <w:t>Meta uses management accounting to support strong and accurate decisions daily. It helps track spending, control costs, and plan for long-term projects. Teams use it to guide changes in design, tech, and data security. Management accounting tools support budgets for AI, safety, and new products. These tools help Meta lead fast changes in tech and platform updates. Meta also uses these tools to review losses and growth each quarter. It improves planning and resource use across every business unit (Drury, 2018).</w:t>
      </w:r>
    </w:p>
    <w:p w14:paraId="1AFADF5E" w14:textId="64380B19" w:rsidR="00FD0313" w:rsidRDefault="00FD0313" w:rsidP="00FD0313">
      <w:pPr>
        <w:jc w:val="center"/>
        <w:rPr>
          <w:lang w:val="en-US"/>
        </w:rPr>
      </w:pPr>
      <w:r>
        <w:rPr>
          <w:noProof/>
        </w:rPr>
        <w:drawing>
          <wp:inline distT="0" distB="0" distL="0" distR="0" wp14:anchorId="1E80B8BE" wp14:editId="4D55510A">
            <wp:extent cx="3467100" cy="1135380"/>
            <wp:effectExtent l="0" t="0" r="0" b="0"/>
            <wp:docPr id="1527732666" name="Picture 1" descr="Introducing Meta: A Social Technology Compan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troducing Meta: A Social Technology Company"/>
                    <pic:cNvPicPr>
                      <a:picLocks noChangeAspect="1" noChangeArrowheads="1"/>
                    </pic:cNvPicPr>
                  </pic:nvPicPr>
                  <pic:blipFill rotWithShape="1">
                    <a:blip r:embed="rId5" cstate="print">
                      <a:extLst>
                        <a:ext uri="{28A0092B-C50C-407E-A947-70E740481C1C}">
                          <a14:useLocalDpi xmlns:a14="http://schemas.microsoft.com/office/drawing/2010/main" val="0"/>
                        </a:ext>
                      </a:extLst>
                    </a:blip>
                    <a:srcRect l="21795" t="37244" r="19872" b="37301"/>
                    <a:stretch>
                      <a:fillRect/>
                    </a:stretch>
                  </pic:blipFill>
                  <pic:spPr bwMode="auto">
                    <a:xfrm>
                      <a:off x="0" y="0"/>
                      <a:ext cx="3467100" cy="1135380"/>
                    </a:xfrm>
                    <a:prstGeom prst="rect">
                      <a:avLst/>
                    </a:prstGeom>
                    <a:noFill/>
                    <a:ln>
                      <a:noFill/>
                    </a:ln>
                    <a:extLst>
                      <a:ext uri="{53640926-AAD7-44D8-BBD7-CCE9431645EC}">
                        <a14:shadowObscured xmlns:a14="http://schemas.microsoft.com/office/drawing/2010/main"/>
                      </a:ext>
                    </a:extLst>
                  </pic:spPr>
                </pic:pic>
              </a:graphicData>
            </a:graphic>
          </wp:inline>
        </w:drawing>
      </w:r>
    </w:p>
    <w:p w14:paraId="2DFBAE14" w14:textId="207F16AA" w:rsidR="00FD0313" w:rsidRPr="003A637F" w:rsidRDefault="00FD0313" w:rsidP="00FD0313">
      <w:pPr>
        <w:jc w:val="center"/>
        <w:rPr>
          <w:i/>
          <w:iCs/>
          <w:lang w:val="en-US"/>
        </w:rPr>
      </w:pPr>
      <w:r w:rsidRPr="003A637F">
        <w:rPr>
          <w:i/>
          <w:iCs/>
          <w:lang w:val="en-US"/>
        </w:rPr>
        <w:t>Figure: Meta Logo</w:t>
      </w:r>
    </w:p>
    <w:p w14:paraId="649703BC" w14:textId="0D11C331" w:rsidR="00FD0313" w:rsidRPr="003A637F" w:rsidRDefault="00FD0313" w:rsidP="00FD0313">
      <w:pPr>
        <w:jc w:val="center"/>
        <w:rPr>
          <w:i/>
          <w:iCs/>
          <w:lang w:val="en-US"/>
        </w:rPr>
      </w:pPr>
      <w:r w:rsidRPr="003A637F">
        <w:rPr>
          <w:i/>
          <w:iCs/>
          <w:lang w:val="en-US"/>
        </w:rPr>
        <w:t xml:space="preserve">Source: </w:t>
      </w:r>
      <w:r w:rsidR="003A637F" w:rsidRPr="00FD0313">
        <w:rPr>
          <w:i/>
          <w:iCs/>
          <w:lang w:val="en-US"/>
        </w:rPr>
        <w:t>(Urohman et al., 2023)</w:t>
      </w:r>
    </w:p>
    <w:p w14:paraId="42FC9305" w14:textId="77777777" w:rsidR="00FD0313" w:rsidRDefault="00FD0313" w:rsidP="00FD0313">
      <w:pPr>
        <w:rPr>
          <w:lang w:val="en-US"/>
        </w:rPr>
      </w:pPr>
      <w:r w:rsidRPr="00FD0313">
        <w:rPr>
          <w:lang w:val="en-US"/>
        </w:rPr>
        <w:t>Meta applies cost systems to manage R&amp;D and server expansion work. Managers need data to plan safe, smart, and low-cost decisions (Banker et al., 2018). Budget tools and dashboards support major platform and metaverse planning (Weygandt et al., 2018). Accounting teams help shape smart decisions (ten Rouwelaar et al., 2018; Seal et al., 2018).</w:t>
      </w:r>
    </w:p>
    <w:p w14:paraId="3342876B" w14:textId="77777777" w:rsidR="00FD0313" w:rsidRPr="00FD0313" w:rsidRDefault="00FD0313" w:rsidP="003A637F">
      <w:pPr>
        <w:pStyle w:val="Heading1"/>
        <w:rPr>
          <w:lang w:val="en-US"/>
        </w:rPr>
      </w:pPr>
      <w:bookmarkStart w:id="1" w:name="_Toc200838866"/>
      <w:r w:rsidRPr="00FD0313">
        <w:rPr>
          <w:lang w:val="en-US"/>
        </w:rPr>
        <w:t>Cost Analysis and Business Model</w:t>
      </w:r>
      <w:bookmarkEnd w:id="1"/>
    </w:p>
    <w:p w14:paraId="3C50238E" w14:textId="56FF5332" w:rsidR="00FD0313" w:rsidRPr="00FD0313" w:rsidRDefault="00FD0313" w:rsidP="00FD0313">
      <w:pPr>
        <w:rPr>
          <w:lang w:val="en-US"/>
        </w:rPr>
      </w:pPr>
      <w:r w:rsidRPr="00FD0313">
        <w:rPr>
          <w:lang w:val="en-US"/>
        </w:rPr>
        <w:t>Meta earns money mainly from digital ads across its many platforms. Ads appear on Facebook, Instagram, Messenger, and third-party apps and sites. These ads are targeted using personal data like age, location, and interest. Most advertisers are small businesses that rely on Meta's ad tools. Meta also earns from hardware like Meta Quest and virtual items. New income comes from subscriptions and digital goods in the metaverse.</w:t>
      </w:r>
      <w:r w:rsidR="003A637F">
        <w:rPr>
          <w:lang w:val="en-US"/>
        </w:rPr>
        <w:t xml:space="preserve"> </w:t>
      </w:r>
      <w:r w:rsidRPr="00FD0313">
        <w:rPr>
          <w:lang w:val="en-US"/>
        </w:rPr>
        <w:t xml:space="preserve">Meta’s cost system includes both fixed and variable types of spending. Fixed costs include salaries, data centre operations, and software development. Meta also spends a lot on AI, security, and platform updates. These are long-term costs that support growth in core services. Variable costs include electricity, bandwidth, and third-party content payments. Meta also pays content creators and partners </w:t>
      </w:r>
      <w:r w:rsidRPr="00FD0313">
        <w:rPr>
          <w:lang w:val="en-US"/>
        </w:rPr>
        <w:lastRenderedPageBreak/>
        <w:t>based on user activity.</w:t>
      </w:r>
      <w:r w:rsidR="003A637F">
        <w:rPr>
          <w:lang w:val="en-US"/>
        </w:rPr>
        <w:t xml:space="preserve"> </w:t>
      </w:r>
      <w:r w:rsidRPr="00FD0313">
        <w:rPr>
          <w:lang w:val="en-US"/>
        </w:rPr>
        <w:t>Management accounting tools support Meta’s spending and pricing decisions. Contribution margin tools track the performance of each ad type. This helps Meta plan product pricing and budget allocation for future periods. Absorption costing is used in Meta Reality Labs and device production. This includes fixed and variable costs in full unit pricing (Wirtz, 2020).</w:t>
      </w:r>
      <w:r w:rsidR="003A637F">
        <w:rPr>
          <w:lang w:val="en-US"/>
        </w:rPr>
        <w:t xml:space="preserve"> </w:t>
      </w:r>
      <w:r w:rsidRPr="00FD0313">
        <w:rPr>
          <w:lang w:val="en-US"/>
        </w:rPr>
        <w:t>Meta applies circular economy models to reduce waste and improve efficiency. This includes recycling servers, reducing data waste, and greener hardware design. The goal is to lower environmental costs and improve reuse in supply chains. These models support smart use of parts and energy over long periods (Lüdeke‐Freund et al., 2019).</w:t>
      </w:r>
      <w:r w:rsidR="003A637F">
        <w:rPr>
          <w:lang w:val="en-US"/>
        </w:rPr>
        <w:t xml:space="preserve"> </w:t>
      </w:r>
      <w:r w:rsidRPr="00FD0313">
        <w:rPr>
          <w:lang w:val="en-US"/>
        </w:rPr>
        <w:t>Meta’s business model supports innovation, growth, and carbon responsibility together. Environmental management accounting helps track emissions from hardware and cloud services. Meta uses this data to improve sustainability reporting and reduce carbon risks. These tools help link environmental goals to financial planning clearly (Qian et al., 2018).</w:t>
      </w:r>
      <w:r w:rsidR="003A637F">
        <w:rPr>
          <w:lang w:val="en-US"/>
        </w:rPr>
        <w:t xml:space="preserve"> </w:t>
      </w:r>
      <w:r w:rsidRPr="00FD0313">
        <w:rPr>
          <w:lang w:val="en-US"/>
        </w:rPr>
        <w:t>The company’s digital model is flexible, global, and value-driven. It supports growth using partnerships, innovation, and strong cost design methods. Circular economy planning helps reduce supply chain risks and lower product costs. Business model tools also guide service changes and new project launches (Ranta et al., 2018).</w:t>
      </w:r>
      <w:r w:rsidR="003A637F">
        <w:rPr>
          <w:lang w:val="en-US"/>
        </w:rPr>
        <w:t xml:space="preserve"> </w:t>
      </w:r>
      <w:r w:rsidRPr="00FD0313">
        <w:rPr>
          <w:lang w:val="en-US"/>
        </w:rPr>
        <w:t>Meta’s model blends platform growth with strong cost and sustainability tools. These systems help reduce waste, improve planning, and protect company goals.</w:t>
      </w:r>
    </w:p>
    <w:p w14:paraId="22F239BA" w14:textId="77777777" w:rsidR="00FD0313" w:rsidRPr="00FD0313" w:rsidRDefault="00FD0313" w:rsidP="003A637F">
      <w:pPr>
        <w:pStyle w:val="Heading1"/>
        <w:rPr>
          <w:lang w:val="en-US"/>
        </w:rPr>
      </w:pPr>
      <w:bookmarkStart w:id="2" w:name="_Toc200838867"/>
      <w:r w:rsidRPr="00FD0313">
        <w:rPr>
          <w:lang w:val="en-US"/>
        </w:rPr>
        <w:t>Budgeting and Financial Planning</w:t>
      </w:r>
      <w:bookmarkEnd w:id="2"/>
    </w:p>
    <w:p w14:paraId="419D4A5E" w14:textId="77777777" w:rsidR="00FD0313" w:rsidRPr="00FD0313" w:rsidRDefault="00FD0313" w:rsidP="00FD0313">
      <w:pPr>
        <w:rPr>
          <w:lang w:val="en-US"/>
        </w:rPr>
      </w:pPr>
      <w:r w:rsidRPr="00FD0313">
        <w:rPr>
          <w:lang w:val="en-US"/>
        </w:rPr>
        <w:t>Meta uses budgets to control large costs and plan for future growth. Spending plans cover staff, servers, hardware, AI, and research units. Budgeting helps managers guide product planning and platform updates each year. Meta updates its budgets regularly based on real-time data and results. Capital budgets support new data centres and hardware development for Meta Quest. Operating budgets focus on salaries, tech upgrades, and user security tools.</w:t>
      </w:r>
    </w:p>
    <w:p w14:paraId="656A9236" w14:textId="1FC9FF86" w:rsidR="00FD0313" w:rsidRPr="00FD0313" w:rsidRDefault="00FD0313" w:rsidP="00FD0313">
      <w:pPr>
        <w:rPr>
          <w:lang w:val="en-US"/>
        </w:rPr>
      </w:pPr>
      <w:r w:rsidRPr="00FD0313">
        <w:rPr>
          <w:lang w:val="en-US"/>
        </w:rPr>
        <w:t>According to Bareebe (2022), Meta reduced spending after ad revenues declined in 2022. In 2023, Meta cut jobs and slowed hiring across many global teams. This helped lower total operating costs by billions across major departments. Budgets were adjusted to reflect reduced income and new market risks. Layoffs helped Meta cut losses in high-cost areas like Reality Labs. Tight budgeting also helped protect profit during global economic slowdown periods.</w:t>
      </w:r>
      <w:r w:rsidR="003A637F">
        <w:rPr>
          <w:lang w:val="en-US"/>
        </w:rPr>
        <w:t xml:space="preserve"> </w:t>
      </w:r>
      <w:r w:rsidRPr="00FD0313">
        <w:rPr>
          <w:lang w:val="en-US"/>
        </w:rPr>
        <w:t>External changes also shaped Meta’s spending and budgeting in recent years. Inflation increased costs for servers, staff, and data delivery systems. Ad budgets were reduced by clients facing rising costs and falling demand. Privacy laws in Europe and the US reduced data use in ads. Budget plans had to adjust to meet legal and tech rule changes.</w:t>
      </w:r>
      <w:r w:rsidR="003A637F">
        <w:rPr>
          <w:lang w:val="en-US"/>
        </w:rPr>
        <w:t xml:space="preserve"> </w:t>
      </w:r>
      <w:r w:rsidRPr="00FD0313">
        <w:rPr>
          <w:lang w:val="en-US"/>
        </w:rPr>
        <w:t xml:space="preserve">Meta uses flexible budgets </w:t>
      </w:r>
      <w:r w:rsidRPr="00FD0313">
        <w:rPr>
          <w:lang w:val="en-US"/>
        </w:rPr>
        <w:lastRenderedPageBreak/>
        <w:t>to match changes in ad revenue and costs. The company also uses real-time tracking to monitor expenses each quarter. Just in Time (JIT) budgeting helps reduce excess inventory and delays. This system improves cash flow and lowers waste in all units. It makes spending more efficient and supports fast supply chain changes (Urohman et al., 2023).</w:t>
      </w:r>
      <w:r w:rsidR="003A637F">
        <w:rPr>
          <w:lang w:val="en-US"/>
        </w:rPr>
        <w:t xml:space="preserve"> </w:t>
      </w:r>
      <w:r w:rsidRPr="00FD0313">
        <w:rPr>
          <w:lang w:val="en-US"/>
        </w:rPr>
        <w:t>Public budgeting ideas are used in Meta’s external reporting plans. Financial statements include cost controls, forecasts, and spending breakdowns clearly. Teams use cost-performance reviews to plan budgets for each new product. Good budgeting supports long-term financial stability and company growth (Güngör Göksu, 2023).</w:t>
      </w:r>
      <w:r w:rsidR="003A637F">
        <w:rPr>
          <w:lang w:val="en-US"/>
        </w:rPr>
        <w:t xml:space="preserve"> </w:t>
      </w:r>
      <w:r w:rsidRPr="00FD0313">
        <w:rPr>
          <w:lang w:val="en-US"/>
        </w:rPr>
        <w:t>Meta now focuses more on efficiency, speed, and smart resource use. Strategic budgeting allows the company to fund AI and safety systems. It also helps manage risks linked to economic and tech market shifts. Budgeting supports both growth and cost control in all departments globally.</w:t>
      </w:r>
    </w:p>
    <w:p w14:paraId="1CE18ADC" w14:textId="77777777" w:rsidR="00FD0313" w:rsidRPr="00FD0313" w:rsidRDefault="00FD0313" w:rsidP="003A637F">
      <w:pPr>
        <w:pStyle w:val="Heading1"/>
        <w:rPr>
          <w:lang w:val="en-US"/>
        </w:rPr>
      </w:pPr>
      <w:bookmarkStart w:id="3" w:name="_Toc200838868"/>
      <w:r w:rsidRPr="00FD0313">
        <w:rPr>
          <w:lang w:val="en-US"/>
        </w:rPr>
        <w:t>Performance Measurement and Decision-Making</w:t>
      </w:r>
      <w:bookmarkEnd w:id="3"/>
    </w:p>
    <w:p w14:paraId="1398ECB8" w14:textId="77777777" w:rsidR="00FD0313" w:rsidRPr="00FD0313" w:rsidRDefault="00FD0313" w:rsidP="00FD0313">
      <w:pPr>
        <w:rPr>
          <w:lang w:val="en-US"/>
        </w:rPr>
      </w:pPr>
      <w:r w:rsidRPr="00FD0313">
        <w:rPr>
          <w:lang w:val="en-US"/>
        </w:rPr>
        <w:t>Meta uses clear performance tools to track growth, service use, and results. These tools help check progress across business units like Reality Labs and Ads. Meta’s key indicators measure user numbers, ad income, and cost changes. Daily Active Users (DAU) is one main indicator of product performance. This shows how many people use Facebook, Instagram, or WhatsApp every day. It helps Meta plan updates and track feature success across platforms.</w:t>
      </w:r>
    </w:p>
    <w:p w14:paraId="35CE07F9" w14:textId="25CD7668" w:rsidR="00FD0313" w:rsidRPr="00FD0313" w:rsidRDefault="00FD0313" w:rsidP="00FD0313">
      <w:pPr>
        <w:rPr>
          <w:lang w:val="en-US"/>
        </w:rPr>
      </w:pPr>
      <w:r w:rsidRPr="00FD0313">
        <w:rPr>
          <w:lang w:val="en-US"/>
        </w:rPr>
        <w:t>Another major measure is Average Revenue Per User (ARPU). It compares earnings from each person using the company’s main services. A rising ARPU means better ad targeting and high product engagement levels. Operating margin shows how much profit Meta earns after subtracting main costs. A higher margin means more efficiency in business operations and management control.</w:t>
      </w:r>
      <w:r w:rsidR="003A637F">
        <w:rPr>
          <w:lang w:val="en-US"/>
        </w:rPr>
        <w:t xml:space="preserve"> </w:t>
      </w:r>
      <w:r w:rsidRPr="00FD0313">
        <w:rPr>
          <w:lang w:val="en-US"/>
        </w:rPr>
        <w:t>Capital Expenditure (CapEx) is tracked to monitor investments in tools and data centres. This covers Reality Labs, Meta Quest, and server upgrades worldwide. Another key indicator is Reality Labs losses, which show costs of future projects. Meta tracks these losses to decide which tools to cut or expand. In 2022–2023, Meta cut costs and delayed some metaverse hardware plans.</w:t>
      </w:r>
      <w:r w:rsidR="003A637F">
        <w:rPr>
          <w:lang w:val="en-US"/>
        </w:rPr>
        <w:t xml:space="preserve"> </w:t>
      </w:r>
      <w:r w:rsidRPr="00FD0313">
        <w:rPr>
          <w:lang w:val="en-US"/>
        </w:rPr>
        <w:t>Meta uses performance data to guide product changes and spending priorities. When ARPU dropped, ad tools were improved with stronger AI technology. Reels were upgraded to compete with TikTok and grow creator earnings. According to Endrikat et al. (2020), performance systems improve company results and control. Meta applies these systems to link team goals with wider company targets.</w:t>
      </w:r>
      <w:r w:rsidR="003A637F">
        <w:rPr>
          <w:lang w:val="en-US"/>
        </w:rPr>
        <w:t xml:space="preserve"> </w:t>
      </w:r>
      <w:r w:rsidRPr="00FD0313">
        <w:rPr>
          <w:lang w:val="en-US"/>
        </w:rPr>
        <w:t xml:space="preserve">Meta uses dashboards to show real-time progress to all department leaders. These dashboards include daily reports, goal updates, and alerts on major issues. This helps guide quick action during product failures or ad revenue drops. Zhang et al. (2023) explained that smart decisions </w:t>
      </w:r>
      <w:r w:rsidRPr="00FD0313">
        <w:rPr>
          <w:lang w:val="en-US"/>
        </w:rPr>
        <w:lastRenderedPageBreak/>
        <w:t>improve results using performance logic. Meta applies this logic to fix weak areas and boost user growth.</w:t>
      </w:r>
      <w:r>
        <w:rPr>
          <w:lang w:val="en-US"/>
        </w:rPr>
        <w:t xml:space="preserve"> </w:t>
      </w:r>
      <w:r w:rsidRPr="00FD0313">
        <w:rPr>
          <w:lang w:val="en-US"/>
        </w:rPr>
        <w:t>Public performance frameworks also support Meta’s platform health reviews. These reviews check safety features, user privacy, and feedback systems. Performance measures are used to review employee goals and bonus structures. This supports a strong link between efforts, outcomes, and fair rewards. Noorihekmat et al. (2020) noted these frameworks help improve complex systems.</w:t>
      </w:r>
      <w:r>
        <w:rPr>
          <w:lang w:val="en-US"/>
        </w:rPr>
        <w:t xml:space="preserve"> </w:t>
      </w:r>
      <w:r w:rsidRPr="00FD0313">
        <w:rPr>
          <w:lang w:val="en-US"/>
        </w:rPr>
        <w:t>Meta relies on clear performance tools and data-based decisions. These systems help align team actions with company growth and improvement goals.</w:t>
      </w:r>
    </w:p>
    <w:p w14:paraId="505DB05C" w14:textId="77777777" w:rsidR="00FD0313" w:rsidRPr="00FD0313" w:rsidRDefault="00FD0313" w:rsidP="00FD0313">
      <w:pPr>
        <w:pStyle w:val="Heading1"/>
        <w:rPr>
          <w:lang w:val="en-US"/>
        </w:rPr>
      </w:pPr>
      <w:bookmarkStart w:id="4" w:name="_Toc200838869"/>
      <w:r w:rsidRPr="00FD0313">
        <w:rPr>
          <w:lang w:val="en-US"/>
        </w:rPr>
        <w:t>Sustainability and Ethical Considerations</w:t>
      </w:r>
      <w:bookmarkEnd w:id="4"/>
    </w:p>
    <w:p w14:paraId="0F2677C6" w14:textId="0F40A568" w:rsidR="00FD0313" w:rsidRPr="00FD0313" w:rsidRDefault="00FD0313" w:rsidP="00FD0313">
      <w:pPr>
        <w:rPr>
          <w:lang w:val="en-US"/>
        </w:rPr>
      </w:pPr>
      <w:r w:rsidRPr="00FD0313">
        <w:rPr>
          <w:lang w:val="en-US"/>
        </w:rPr>
        <w:t>Meta includes sustainability goals in both short-term and long-term business planning. The company aims for net-zero emissions across its full value chain by 2030. Meta's global data centres already run on 100% renewable energy sources. Its hardware teams use recycled materials in devices like Meta Quest headsets. Logistics operations track carbon emissions and delivery routes for better energy control.</w:t>
      </w:r>
      <w:r>
        <w:rPr>
          <w:lang w:val="en-US"/>
        </w:rPr>
        <w:t xml:space="preserve"> </w:t>
      </w:r>
      <w:r w:rsidRPr="00FD0313">
        <w:rPr>
          <w:lang w:val="en-US"/>
        </w:rPr>
        <w:t>The company also invests in digital sustainability through its metaverse projects. According to Anshari et al. (2022), ethical planning is key in virtual platforms. Meta uses Environmental, Social, and Governance (ESG) targets in virtual business models. These include energy use, user safety, and diversity in virtual spaces. Meta teams also test new features for digital well-being and time limits.</w:t>
      </w:r>
      <w:r>
        <w:rPr>
          <w:lang w:val="en-US"/>
        </w:rPr>
        <w:t xml:space="preserve"> </w:t>
      </w:r>
      <w:r w:rsidRPr="00FD0313">
        <w:rPr>
          <w:lang w:val="en-US"/>
        </w:rPr>
        <w:t>Ethical sourcing is another major focus in Meta’s business strategy. Content moderation is partly outsourced, raising worker rights and safety issues. Meta sets rules for suppliers to follow fair pay and safety practices. These include mental health support for moderation teams working with harmful content. Transparency reports show where changes were made and what challenges remain.</w:t>
      </w:r>
      <w:r>
        <w:rPr>
          <w:lang w:val="en-US"/>
        </w:rPr>
        <w:t xml:space="preserve"> </w:t>
      </w:r>
      <w:r w:rsidRPr="00FD0313">
        <w:rPr>
          <w:lang w:val="en-US"/>
        </w:rPr>
        <w:t>Meta applies sustainability labels to highlight eco-friendly choices in its platforms. These tools inform users about carbon savings or energy use changes. Torma and Thøgersen (2021) noted clear labels support better user decisions. Meta includes such features in device packaging and product information pages.</w:t>
      </w:r>
      <w:r>
        <w:rPr>
          <w:lang w:val="en-US"/>
        </w:rPr>
        <w:t xml:space="preserve"> </w:t>
      </w:r>
      <w:r w:rsidRPr="00FD0313">
        <w:rPr>
          <w:lang w:val="en-US"/>
        </w:rPr>
        <w:t>Management accountants help track environmental costs in business unit budgets. They work with finance teams to set clean energy and ethical targets. These roles are vital for linking strategy, costs, and reporting tools (ten Rouwelaar et al., 2018). Meta's ethical spending is guided by accounting data and budget tools. According to Seal et al. (2018), management accounting supports balanced choices and control.</w:t>
      </w:r>
      <w:r>
        <w:rPr>
          <w:lang w:val="en-US"/>
        </w:rPr>
        <w:t xml:space="preserve"> </w:t>
      </w:r>
      <w:r w:rsidRPr="00FD0313">
        <w:rPr>
          <w:lang w:val="en-US"/>
        </w:rPr>
        <w:t>Meta uses accounting, labeling, and ESG targets to act responsibly. The company focuses on low-carbon actions and fair labour practices globally. Ethical choices are now part of decision-making across all Meta business units.</w:t>
      </w:r>
    </w:p>
    <w:p w14:paraId="3E1AFB45" w14:textId="77777777" w:rsidR="00FD0313" w:rsidRPr="00FD0313" w:rsidRDefault="00FD0313" w:rsidP="00FD0313">
      <w:pPr>
        <w:pStyle w:val="Heading1"/>
        <w:rPr>
          <w:lang w:val="en-US"/>
        </w:rPr>
      </w:pPr>
      <w:bookmarkStart w:id="5" w:name="_Toc200838870"/>
      <w:r w:rsidRPr="00FD0313">
        <w:rPr>
          <w:lang w:val="en-US"/>
        </w:rPr>
        <w:lastRenderedPageBreak/>
        <w:t>Conclusion and Recommendations</w:t>
      </w:r>
      <w:bookmarkEnd w:id="5"/>
    </w:p>
    <w:p w14:paraId="54153D2A" w14:textId="5D72BDB7" w:rsidR="00FD0313" w:rsidRPr="00FD0313" w:rsidRDefault="00FD0313" w:rsidP="00FD0313">
      <w:pPr>
        <w:rPr>
          <w:lang w:val="en-US"/>
        </w:rPr>
      </w:pPr>
      <w:r>
        <w:rPr>
          <w:lang w:val="en-US"/>
        </w:rPr>
        <w:t xml:space="preserve">Finally, </w:t>
      </w:r>
      <w:r w:rsidRPr="00FD0313">
        <w:rPr>
          <w:lang w:val="en-US"/>
        </w:rPr>
        <w:t>Meta uses management accounting tools to plan, control, and improve decisions. These tools support cost control, performance tracking, and accurate financial planning. Meta applies budgeting to allocate funds across AI, metaverse, and ad systems. Cost models help balance hardware investments with user platform growth goals. Key performance indicators support fast decision-making and smart business reactions. Environmental management accounting links green goals with cost and profit systems.</w:t>
      </w:r>
      <w:r>
        <w:rPr>
          <w:lang w:val="en-US"/>
        </w:rPr>
        <w:t xml:space="preserve"> </w:t>
      </w:r>
      <w:r w:rsidRPr="00FD0313">
        <w:rPr>
          <w:lang w:val="en-US"/>
        </w:rPr>
        <w:t>Ethical and sustainable decisions are now part of daily management work. Meta includes fairness, carbon targets, and digital safety in key budgets. Accounting systems support responsible supply chain and energy use planning.</w:t>
      </w:r>
    </w:p>
    <w:p w14:paraId="7E9AA25A" w14:textId="0D3A4EE5" w:rsidR="00FD0313" w:rsidRPr="00FD0313" w:rsidRDefault="00FD0313" w:rsidP="00FD0313">
      <w:pPr>
        <w:rPr>
          <w:lang w:val="en-US"/>
        </w:rPr>
      </w:pPr>
      <w:r w:rsidRPr="00FD0313">
        <w:rPr>
          <w:lang w:val="en-US"/>
        </w:rPr>
        <w:t>The first recommendation is to expand environmental cost tracking in all global units. This will improve accuracy in carbon reporting and green investment results. The second recommendation is to apply rolling forecasts in fast-changing ad markets. This will help Meta respond quickly to platform or user trends. The third recommendation is to integrate ethical performance goals into all budgeting tools. This ensures fairness is maintained in both digital and physical operations.</w:t>
      </w:r>
      <w:r>
        <w:rPr>
          <w:lang w:val="en-US"/>
        </w:rPr>
        <w:t xml:space="preserve"> </w:t>
      </w:r>
      <w:r w:rsidRPr="00FD0313">
        <w:rPr>
          <w:lang w:val="en-US"/>
        </w:rPr>
        <w:t>Meta uses strong management accounting tools for global innovation. Future success depends on linking cost, ethics, and performance more closely every year.</w:t>
      </w:r>
    </w:p>
    <w:p w14:paraId="096634A3" w14:textId="77777777" w:rsidR="00FD0313" w:rsidRPr="00FD0313" w:rsidRDefault="00FD0313" w:rsidP="00FD0313">
      <w:pPr>
        <w:rPr>
          <w:lang w:val="en-US"/>
        </w:rPr>
      </w:pPr>
    </w:p>
    <w:p w14:paraId="516DC480" w14:textId="77777777" w:rsidR="00FD0313" w:rsidRDefault="00FD0313">
      <w:pPr>
        <w:spacing w:after="160" w:line="259" w:lineRule="auto"/>
        <w:jc w:val="left"/>
        <w:rPr>
          <w:color w:val="FF0000"/>
        </w:rPr>
      </w:pPr>
      <w:r>
        <w:rPr>
          <w:color w:val="FF0000"/>
        </w:rPr>
        <w:br w:type="page"/>
      </w:r>
    </w:p>
    <w:p w14:paraId="338AAC2A" w14:textId="32773C46" w:rsidR="003A637F" w:rsidRDefault="003A637F" w:rsidP="003A637F">
      <w:pPr>
        <w:pStyle w:val="Heading1"/>
      </w:pPr>
      <w:bookmarkStart w:id="6" w:name="_Toc200838871"/>
      <w:r>
        <w:lastRenderedPageBreak/>
        <w:t>References</w:t>
      </w:r>
      <w:bookmarkEnd w:id="6"/>
    </w:p>
    <w:p w14:paraId="5EE8B90E" w14:textId="77777777" w:rsidR="003A637F" w:rsidRPr="003A637F" w:rsidRDefault="003A637F">
      <w:r w:rsidRPr="003A637F">
        <w:t>Anshari, M., Syafrudin, M., Fitriyani, N.L. and Razzaq, A., 2022. Ethical responsibility and sustainability (ERS) development in a metaverse business model. </w:t>
      </w:r>
      <w:r w:rsidRPr="003A637F">
        <w:rPr>
          <w:i/>
          <w:iCs/>
        </w:rPr>
        <w:t>Sustainability</w:t>
      </w:r>
      <w:r w:rsidRPr="003A637F">
        <w:t>, </w:t>
      </w:r>
      <w:r w:rsidRPr="003A637F">
        <w:rPr>
          <w:i/>
          <w:iCs/>
        </w:rPr>
        <w:t>14</w:t>
      </w:r>
      <w:r w:rsidRPr="003A637F">
        <w:t>(23), p.15805.</w:t>
      </w:r>
    </w:p>
    <w:p w14:paraId="21103E7B" w14:textId="77777777" w:rsidR="003A637F" w:rsidRPr="003A637F" w:rsidRDefault="003A637F" w:rsidP="00FD0313">
      <w:r w:rsidRPr="003A637F">
        <w:t>Banker, R.D., Byzalov, D., Fang, S. and Liang, Y., 2018. Cost management research. </w:t>
      </w:r>
      <w:r w:rsidRPr="003A637F">
        <w:rPr>
          <w:i/>
          <w:iCs/>
        </w:rPr>
        <w:t>Journal of Management Accounting Research</w:t>
      </w:r>
      <w:r w:rsidRPr="003A637F">
        <w:t>, </w:t>
      </w:r>
      <w:r w:rsidRPr="003A637F">
        <w:rPr>
          <w:i/>
          <w:iCs/>
        </w:rPr>
        <w:t>30</w:t>
      </w:r>
      <w:r w:rsidRPr="003A637F">
        <w:t>(3), pp.187-209.</w:t>
      </w:r>
    </w:p>
    <w:p w14:paraId="0739B9D9" w14:textId="77777777" w:rsidR="003A637F" w:rsidRPr="00FD0313" w:rsidRDefault="003A637F" w:rsidP="00FD0313">
      <w:pPr>
        <w:rPr>
          <w:lang w:val="en-US"/>
        </w:rPr>
      </w:pPr>
      <w:r w:rsidRPr="00FD0313">
        <w:rPr>
          <w:lang w:val="en-US"/>
        </w:rPr>
        <w:t xml:space="preserve">Bareebe, R. (2022) </w:t>
      </w:r>
      <w:r w:rsidRPr="00FD0313">
        <w:rPr>
          <w:i/>
          <w:iCs/>
          <w:lang w:val="en-US"/>
        </w:rPr>
        <w:t>Financial Performance Analysis of Meta Platforms, Inc</w:t>
      </w:r>
      <w:r w:rsidRPr="00FD0313">
        <w:rPr>
          <w:lang w:val="en-US"/>
        </w:rPr>
        <w:t xml:space="preserve">. Available at: </w:t>
      </w:r>
      <w:hyperlink r:id="rId6" w:tgtFrame="_new" w:history="1">
        <w:r w:rsidRPr="00FD0313">
          <w:rPr>
            <w:rStyle w:val="Hyperlink"/>
            <w:color w:val="auto"/>
            <w:lang w:val="en-US"/>
          </w:rPr>
          <w:t>https://www.researchgate.net/publication/368666875_Financial_Performance_Analysis_of_Meta_Platforms_Inc</w:t>
        </w:r>
      </w:hyperlink>
      <w:r w:rsidRPr="00FD0313">
        <w:rPr>
          <w:lang w:val="en-US"/>
        </w:rPr>
        <w:t xml:space="preserve"> (Accessed: 15 June 2025).</w:t>
      </w:r>
    </w:p>
    <w:p w14:paraId="4C9B600C" w14:textId="77777777" w:rsidR="003A637F" w:rsidRPr="003A637F" w:rsidRDefault="003A637F" w:rsidP="00FD0313">
      <w:r w:rsidRPr="003A637F">
        <w:t>Drury, C., 2018. </w:t>
      </w:r>
      <w:r w:rsidRPr="003A637F">
        <w:rPr>
          <w:i/>
          <w:iCs/>
        </w:rPr>
        <w:t>Cost and management accounting</w:t>
      </w:r>
      <w:r w:rsidRPr="003A637F">
        <w:t>. Belmont, CA, USA: Cengage Learning.</w:t>
      </w:r>
    </w:p>
    <w:p w14:paraId="7FC07842" w14:textId="77777777" w:rsidR="003A637F" w:rsidRPr="003A637F" w:rsidRDefault="003A637F">
      <w:r w:rsidRPr="003A637F">
        <w:t>Endrikat, J., Guenther, T.W. and Titus, R., 2020. Consequences of strategic performance measurement systems: A meta-analytic review. </w:t>
      </w:r>
      <w:r w:rsidRPr="003A637F">
        <w:rPr>
          <w:i/>
          <w:iCs/>
        </w:rPr>
        <w:t>Journal of Management Accounting Research</w:t>
      </w:r>
      <w:r w:rsidRPr="003A637F">
        <w:t>, </w:t>
      </w:r>
      <w:r w:rsidRPr="003A637F">
        <w:rPr>
          <w:i/>
          <w:iCs/>
        </w:rPr>
        <w:t>32</w:t>
      </w:r>
      <w:r w:rsidRPr="003A637F">
        <w:t>(1), pp.103-136.</w:t>
      </w:r>
    </w:p>
    <w:p w14:paraId="15D27C42" w14:textId="77777777" w:rsidR="003A637F" w:rsidRPr="003A637F" w:rsidRDefault="003A637F">
      <w:r w:rsidRPr="003A637F">
        <w:t>Güngör Göksu, G., 2023. A retrospective overview of the Journal of Public Budgeting, Accounting and Financial Management using bibliometric analysis. </w:t>
      </w:r>
      <w:r w:rsidRPr="003A637F">
        <w:rPr>
          <w:i/>
          <w:iCs/>
        </w:rPr>
        <w:t>Journal of Public Budgeting, Accounting &amp; Financial Management</w:t>
      </w:r>
      <w:r w:rsidRPr="003A637F">
        <w:t>, </w:t>
      </w:r>
      <w:r w:rsidRPr="003A637F">
        <w:rPr>
          <w:i/>
          <w:iCs/>
        </w:rPr>
        <w:t>35</w:t>
      </w:r>
      <w:r w:rsidRPr="003A637F">
        <w:t>(2), pp.264-295.</w:t>
      </w:r>
    </w:p>
    <w:p w14:paraId="46F5A241" w14:textId="77777777" w:rsidR="003A637F" w:rsidRPr="003A637F" w:rsidRDefault="003A637F" w:rsidP="00FD0313">
      <w:r w:rsidRPr="003A637F">
        <w:t>Lüdeke‐Freund, F., Gold, S. and Bocken, N.M., 2019. A review and typology of circular economy business model patterns. </w:t>
      </w:r>
      <w:r w:rsidRPr="003A637F">
        <w:rPr>
          <w:i/>
          <w:iCs/>
        </w:rPr>
        <w:t>Journal of industrial ecology</w:t>
      </w:r>
      <w:r w:rsidRPr="003A637F">
        <w:t>, </w:t>
      </w:r>
      <w:r w:rsidRPr="003A637F">
        <w:rPr>
          <w:i/>
          <w:iCs/>
        </w:rPr>
        <w:t>23</w:t>
      </w:r>
      <w:r w:rsidRPr="003A637F">
        <w:t>(1), pp.36-61.</w:t>
      </w:r>
    </w:p>
    <w:p w14:paraId="585E6CE1" w14:textId="77777777" w:rsidR="003A637F" w:rsidRPr="003A637F" w:rsidRDefault="003A637F">
      <w:r w:rsidRPr="003A637F">
        <w:t>Noorihekmat, S., Rahimi, H., Mehrolhassani, M.H., Chashmyazdan, M., Haghdoost, A.A., Tabatabaei, S.V.A. and Dehnavieh, R., 2020. Frameworks of performance measurement in public health and primary care system: A scoping review and meta-synthesis. </w:t>
      </w:r>
      <w:r w:rsidRPr="003A637F">
        <w:rPr>
          <w:i/>
          <w:iCs/>
        </w:rPr>
        <w:t>International Journal of Preventive Medicine</w:t>
      </w:r>
      <w:r w:rsidRPr="003A637F">
        <w:t>, </w:t>
      </w:r>
      <w:r w:rsidRPr="003A637F">
        <w:rPr>
          <w:i/>
          <w:iCs/>
        </w:rPr>
        <w:t>11</w:t>
      </w:r>
      <w:r w:rsidRPr="003A637F">
        <w:t>(1), p.165.</w:t>
      </w:r>
    </w:p>
    <w:p w14:paraId="3983E8B4" w14:textId="77777777" w:rsidR="003A637F" w:rsidRPr="003A637F" w:rsidRDefault="003A637F" w:rsidP="00FD0313">
      <w:r w:rsidRPr="003A637F">
        <w:t>Qian, W., Hörisch, J. and Schaltegger, S., 2018. Environmental management accounting and its effects on carbon management and disclosure quality. </w:t>
      </w:r>
      <w:r w:rsidRPr="003A637F">
        <w:rPr>
          <w:i/>
          <w:iCs/>
        </w:rPr>
        <w:t>Journal of cleaner production</w:t>
      </w:r>
      <w:r w:rsidRPr="003A637F">
        <w:t>, </w:t>
      </w:r>
      <w:r w:rsidRPr="003A637F">
        <w:rPr>
          <w:i/>
          <w:iCs/>
        </w:rPr>
        <w:t>174</w:t>
      </w:r>
      <w:r w:rsidRPr="003A637F">
        <w:t>, pp.1608-1619.</w:t>
      </w:r>
    </w:p>
    <w:p w14:paraId="148309A0" w14:textId="77777777" w:rsidR="003A637F" w:rsidRPr="003A637F" w:rsidRDefault="003A637F" w:rsidP="00FD0313">
      <w:r w:rsidRPr="003A637F">
        <w:t>Ranta, V., Aarikka-Stenroos, L. and Mäkinen, S.J., 2018. Creating value in the circular economy: A structured multiple-case analysis of business models. </w:t>
      </w:r>
      <w:r w:rsidRPr="003A637F">
        <w:rPr>
          <w:i/>
          <w:iCs/>
        </w:rPr>
        <w:t>Journal of cleaner production</w:t>
      </w:r>
      <w:r w:rsidRPr="003A637F">
        <w:t>, </w:t>
      </w:r>
      <w:r w:rsidRPr="003A637F">
        <w:rPr>
          <w:i/>
          <w:iCs/>
        </w:rPr>
        <w:t>201</w:t>
      </w:r>
      <w:r w:rsidRPr="003A637F">
        <w:t>, pp.988-1000.</w:t>
      </w:r>
    </w:p>
    <w:p w14:paraId="0214F680" w14:textId="77777777" w:rsidR="003A637F" w:rsidRPr="003A637F" w:rsidRDefault="003A637F" w:rsidP="00FD0313">
      <w:r w:rsidRPr="003A637F">
        <w:t>Seal, W., Rohde, C., Garrison, R. and Noreen, E., 2018. Management Accounting, 6e. McGraw-Hill Education (UK).</w:t>
      </w:r>
    </w:p>
    <w:p w14:paraId="794148E4" w14:textId="77777777" w:rsidR="003A637F" w:rsidRPr="003A637F" w:rsidRDefault="003A637F" w:rsidP="00FD0313">
      <w:r w:rsidRPr="003A637F">
        <w:t>ten Rouwelaar, H., Bots, J. and De Loo, I., 2018. The influence of management accountants on managerial decisions. </w:t>
      </w:r>
      <w:r w:rsidRPr="003A637F">
        <w:rPr>
          <w:i/>
          <w:iCs/>
        </w:rPr>
        <w:t>Journal of Applied Accounting Research</w:t>
      </w:r>
      <w:r w:rsidRPr="003A637F">
        <w:t>, </w:t>
      </w:r>
      <w:r w:rsidRPr="003A637F">
        <w:rPr>
          <w:i/>
          <w:iCs/>
        </w:rPr>
        <w:t>19</w:t>
      </w:r>
      <w:r w:rsidRPr="003A637F">
        <w:t>(4), pp.442-464.</w:t>
      </w:r>
    </w:p>
    <w:p w14:paraId="58963C1B" w14:textId="77777777" w:rsidR="003A637F" w:rsidRPr="003A637F" w:rsidRDefault="003A637F">
      <w:r w:rsidRPr="003A637F">
        <w:lastRenderedPageBreak/>
        <w:t>Torma, G. and Thøgersen, J., 2021. A systematic literature review on meta sustainability labeling–what do we (not) know?. </w:t>
      </w:r>
      <w:r w:rsidRPr="003A637F">
        <w:rPr>
          <w:i/>
          <w:iCs/>
        </w:rPr>
        <w:t>Journal of Cleaner Production</w:t>
      </w:r>
      <w:r w:rsidRPr="003A637F">
        <w:t>, </w:t>
      </w:r>
      <w:r w:rsidRPr="003A637F">
        <w:rPr>
          <w:i/>
          <w:iCs/>
        </w:rPr>
        <w:t>293</w:t>
      </w:r>
      <w:r w:rsidRPr="003A637F">
        <w:t>, p.126194.</w:t>
      </w:r>
    </w:p>
    <w:p w14:paraId="168CAA28" w14:textId="77777777" w:rsidR="003A637F" w:rsidRPr="00FD0313" w:rsidRDefault="003A637F" w:rsidP="00FD0313">
      <w:pPr>
        <w:rPr>
          <w:lang w:val="en-US"/>
        </w:rPr>
      </w:pPr>
      <w:r w:rsidRPr="00FD0313">
        <w:rPr>
          <w:lang w:val="en-US"/>
        </w:rPr>
        <w:t xml:space="preserve">Urohman, T., Suryana, A.J. and Pandin, M.Y.R. (2023) </w:t>
      </w:r>
      <w:r w:rsidRPr="00FD0313">
        <w:rPr>
          <w:i/>
          <w:iCs/>
          <w:lang w:val="en-US"/>
        </w:rPr>
        <w:t>Meta Analysis: Impact of Just in Time Implementation on Cost Efficiency and Profit</w:t>
      </w:r>
      <w:r w:rsidRPr="00FD0313">
        <w:rPr>
          <w:lang w:val="en-US"/>
        </w:rPr>
        <w:t xml:space="preserve">. Available at: </w:t>
      </w:r>
      <w:hyperlink r:id="rId7" w:tgtFrame="_new" w:history="1">
        <w:r w:rsidRPr="00FD0313">
          <w:rPr>
            <w:rStyle w:val="Hyperlink"/>
            <w:color w:val="auto"/>
            <w:lang w:val="en-US"/>
          </w:rPr>
          <w:t>https://www.researchgate.net/publication/377427492_Meta_Analysis_Impact_of_Just_in_Time_Implementation_on_Cost_Efficiency_and_Profit</w:t>
        </w:r>
      </w:hyperlink>
      <w:r w:rsidRPr="00FD0313">
        <w:rPr>
          <w:lang w:val="en-US"/>
        </w:rPr>
        <w:t xml:space="preserve"> (Accessed: 15 June 2025).</w:t>
      </w:r>
    </w:p>
    <w:p w14:paraId="2D688BE9" w14:textId="77777777" w:rsidR="003A637F" w:rsidRPr="003A637F" w:rsidRDefault="003A637F" w:rsidP="00FD0313">
      <w:r w:rsidRPr="003A637F">
        <w:t>Weygandt, J.J., Kimmel, P.D., Kieso, D.E. and Aly, I.M., 2018. </w:t>
      </w:r>
      <w:r w:rsidRPr="003A637F">
        <w:rPr>
          <w:i/>
          <w:iCs/>
        </w:rPr>
        <w:t>Managerial accounting: Tools for business decision-making</w:t>
      </w:r>
      <w:r w:rsidRPr="003A637F">
        <w:t>. John Wiley &amp; Sons.</w:t>
      </w:r>
    </w:p>
    <w:p w14:paraId="1ECC3925" w14:textId="77777777" w:rsidR="003A637F" w:rsidRPr="003A637F" w:rsidRDefault="003A637F" w:rsidP="00FD0313">
      <w:r w:rsidRPr="003A637F">
        <w:t>Wirtz, B.W., 2020. </w:t>
      </w:r>
      <w:r w:rsidRPr="003A637F">
        <w:rPr>
          <w:i/>
          <w:iCs/>
        </w:rPr>
        <w:t>Business model management: design-process-instruments</w:t>
      </w:r>
      <w:r w:rsidRPr="003A637F">
        <w:t>. Springer Nature.</w:t>
      </w:r>
    </w:p>
    <w:p w14:paraId="1BB90F91" w14:textId="77777777" w:rsidR="003A637F" w:rsidRPr="003A637F" w:rsidRDefault="003A637F">
      <w:r w:rsidRPr="003A637F">
        <w:t>Zhang, Y., Li, Z., Sha, Y. and Yang, K., 2023. The impact of decision-making styles (effectuation logic and causation logic) on firm performance: a meta-analysis. </w:t>
      </w:r>
      <w:r w:rsidRPr="003A637F">
        <w:rPr>
          <w:i/>
          <w:iCs/>
        </w:rPr>
        <w:t>Journal of Business &amp; Industrial Marketing</w:t>
      </w:r>
      <w:r w:rsidRPr="003A637F">
        <w:t>, </w:t>
      </w:r>
      <w:r w:rsidRPr="003A637F">
        <w:rPr>
          <w:i/>
          <w:iCs/>
        </w:rPr>
        <w:t>38</w:t>
      </w:r>
      <w:r w:rsidRPr="003A637F">
        <w:t>(1), pp.85-101.</w:t>
      </w:r>
    </w:p>
    <w:p w14:paraId="6BBF1CB8" w14:textId="77777777" w:rsidR="00FD0313" w:rsidRPr="003A637F" w:rsidRDefault="00FD0313">
      <w:pPr>
        <w:rPr>
          <w:lang w:val="en-US"/>
        </w:rPr>
      </w:pPr>
    </w:p>
    <w:sectPr w:rsidR="00FD0313" w:rsidRPr="003A637F" w:rsidSect="00FD0313">
      <w:pgSz w:w="11906" w:h="16838" w:code="9"/>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Cordia New">
    <w:panose1 w:val="020B0304020202020204"/>
    <w:charset w:val="DE"/>
    <w:family w:val="swiss"/>
    <w:pitch w:val="variable"/>
    <w:sig w:usb0="81000003" w:usb1="00000000" w:usb2="00000000" w:usb3="00000000" w:csb0="00010001" w:csb1="00000000"/>
  </w:font>
  <w:font w:name="Times New Roman">
    <w:panose1 w:val="02020603050405020304"/>
    <w:charset w:val="00"/>
    <w:family w:val="roman"/>
    <w:pitch w:val="variable"/>
    <w:sig w:usb0="E0002EFF" w:usb1="C000785B" w:usb2="00000009" w:usb3="00000000" w:csb0="000001FF" w:csb1="00000000"/>
  </w:font>
  <w:font w:name="Angsana New">
    <w:panose1 w:val="02020603050405020304"/>
    <w:charset w:val="DE"/>
    <w:family w:val="roman"/>
    <w:pitch w:val="variable"/>
    <w:sig w:usb0="81000003" w:usb1="00000000" w:usb2="00000000" w:usb3="00000000" w:csb0="00010001"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0313"/>
    <w:rsid w:val="00126F17"/>
    <w:rsid w:val="003A637F"/>
    <w:rsid w:val="003D6719"/>
    <w:rsid w:val="005F5EBF"/>
    <w:rsid w:val="006C7F81"/>
    <w:rsid w:val="00747C57"/>
    <w:rsid w:val="0094051F"/>
    <w:rsid w:val="00973E1D"/>
    <w:rsid w:val="00AF7855"/>
    <w:rsid w:val="00AF78C8"/>
    <w:rsid w:val="00B7676D"/>
    <w:rsid w:val="00B9218A"/>
    <w:rsid w:val="00C05903"/>
    <w:rsid w:val="00D46513"/>
    <w:rsid w:val="00DC181A"/>
    <w:rsid w:val="00DE16B9"/>
    <w:rsid w:val="00E70CE0"/>
    <w:rsid w:val="00E86995"/>
    <w:rsid w:val="00F111BD"/>
    <w:rsid w:val="00F2451F"/>
    <w:rsid w:val="00FD0313"/>
  </w:rsids>
  <m:mathPr>
    <m:mathFont m:val="Cambria Math"/>
    <m:brkBin m:val="before"/>
    <m:brkBinSub m:val="--"/>
    <m:smallFrac m:val="0"/>
    <m:dispDef/>
    <m:lMargin m:val="0"/>
    <m:rMargin m:val="0"/>
    <m:defJc m:val="centerGroup"/>
    <m:wrapIndent m:val="1440"/>
    <m:intLim m:val="subSup"/>
    <m:naryLim m:val="undOvr"/>
  </m:mathPr>
  <w:themeFontLang w:val="en-US" w:bidi="th-TH"/>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8341FE9"/>
  <w15:chartTrackingRefBased/>
  <w15:docId w15:val="{84FFCA56-796A-4EBB-BCDD-07A83E5D3D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8"/>
        <w:lang w:val="en-US" w:eastAsia="en-US" w:bidi="th-TH"/>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D0313"/>
    <w:pPr>
      <w:spacing w:after="0" w:line="360" w:lineRule="auto"/>
      <w:jc w:val="both"/>
    </w:pPr>
    <w:rPr>
      <w:rFonts w:ascii="Times New Roman" w:eastAsia="Times New Roman" w:hAnsi="Times New Roman" w:cs="Times New Roman"/>
      <w:kern w:val="0"/>
      <w:sz w:val="24"/>
      <w:szCs w:val="24"/>
      <w:lang w:val="en-GB" w:eastAsia="zh-CN" w:bidi="bn-IN"/>
    </w:rPr>
  </w:style>
  <w:style w:type="paragraph" w:styleId="Heading1">
    <w:name w:val="heading 1"/>
    <w:basedOn w:val="Normal"/>
    <w:next w:val="Normal"/>
    <w:link w:val="Heading1Char"/>
    <w:uiPriority w:val="9"/>
    <w:qFormat/>
    <w:rsid w:val="00E86995"/>
    <w:pPr>
      <w:keepNext/>
      <w:keepLines/>
      <w:outlineLvl w:val="0"/>
    </w:pPr>
    <w:rPr>
      <w:rFonts w:eastAsiaTheme="majorEastAsia" w:cstheme="majorBidi"/>
      <w:b/>
      <w:sz w:val="32"/>
      <w:szCs w:val="32"/>
    </w:rPr>
  </w:style>
  <w:style w:type="paragraph" w:styleId="Heading2">
    <w:name w:val="heading 2"/>
    <w:basedOn w:val="Normal"/>
    <w:next w:val="Normal"/>
    <w:link w:val="Heading2Char"/>
    <w:autoRedefine/>
    <w:uiPriority w:val="9"/>
    <w:unhideWhenUsed/>
    <w:qFormat/>
    <w:rsid w:val="00126F17"/>
    <w:pPr>
      <w:keepNext/>
      <w:keepLines/>
      <w:outlineLvl w:val="1"/>
    </w:pPr>
    <w:rPr>
      <w:rFonts w:eastAsiaTheme="majorEastAsia" w:cstheme="majorBidi"/>
      <w:b/>
      <w:iCs/>
      <w:sz w:val="28"/>
      <w:szCs w:val="33"/>
    </w:rPr>
  </w:style>
  <w:style w:type="paragraph" w:styleId="Heading3">
    <w:name w:val="heading 3"/>
    <w:basedOn w:val="Normal"/>
    <w:next w:val="Normal"/>
    <w:link w:val="Heading3Char"/>
    <w:uiPriority w:val="9"/>
    <w:semiHidden/>
    <w:unhideWhenUsed/>
    <w:qFormat/>
    <w:rsid w:val="00E70CE0"/>
    <w:pPr>
      <w:keepNext/>
      <w:keepLines/>
      <w:outlineLvl w:val="2"/>
    </w:pPr>
    <w:rPr>
      <w:rFonts w:eastAsiaTheme="majorEastAsia" w:cstheme="majorBidi"/>
      <w:b/>
      <w:sz w:val="26"/>
      <w:szCs w:val="30"/>
    </w:rPr>
  </w:style>
  <w:style w:type="paragraph" w:styleId="Heading4">
    <w:name w:val="heading 4"/>
    <w:basedOn w:val="Normal"/>
    <w:next w:val="Normal"/>
    <w:link w:val="Heading4Char"/>
    <w:uiPriority w:val="9"/>
    <w:semiHidden/>
    <w:unhideWhenUsed/>
    <w:qFormat/>
    <w:rsid w:val="00FD0313"/>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FD0313"/>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FD0313"/>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FD0313"/>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FD0313"/>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FD0313"/>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86995"/>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126F17"/>
    <w:rPr>
      <w:rFonts w:ascii="Times New Roman" w:eastAsiaTheme="majorEastAsia" w:hAnsi="Times New Roman" w:cstheme="majorBidi"/>
      <w:b/>
      <w:iCs/>
      <w:color w:val="000000" w:themeColor="text1"/>
      <w:sz w:val="28"/>
      <w:szCs w:val="33"/>
      <w:lang w:val="en-GB"/>
    </w:rPr>
  </w:style>
  <w:style w:type="table" w:styleId="TableGridLight">
    <w:name w:val="Grid Table Light"/>
    <w:basedOn w:val="TableNormal"/>
    <w:uiPriority w:val="40"/>
    <w:rsid w:val="00D46513"/>
    <w:pPr>
      <w:spacing w:after="0" w:line="240" w:lineRule="auto"/>
    </w:pPr>
    <w:tblPr>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Pr>
  </w:style>
  <w:style w:type="character" w:customStyle="1" w:styleId="Heading3Char">
    <w:name w:val="Heading 3 Char"/>
    <w:basedOn w:val="DefaultParagraphFont"/>
    <w:link w:val="Heading3"/>
    <w:uiPriority w:val="9"/>
    <w:semiHidden/>
    <w:rsid w:val="00E70CE0"/>
    <w:rPr>
      <w:rFonts w:ascii="Times New Roman" w:eastAsiaTheme="majorEastAsia" w:hAnsi="Times New Roman" w:cstheme="majorBidi"/>
      <w:b/>
      <w:sz w:val="26"/>
      <w:szCs w:val="30"/>
      <w:lang w:val="en-GB"/>
    </w:rPr>
  </w:style>
  <w:style w:type="character" w:customStyle="1" w:styleId="Heading4Char">
    <w:name w:val="Heading 4 Char"/>
    <w:basedOn w:val="DefaultParagraphFont"/>
    <w:link w:val="Heading4"/>
    <w:uiPriority w:val="9"/>
    <w:semiHidden/>
    <w:rsid w:val="00FD0313"/>
    <w:rPr>
      <w:rFonts w:eastAsiaTheme="majorEastAsia" w:cstheme="majorBidi"/>
      <w:i/>
      <w:iCs/>
      <w:color w:val="0F4761" w:themeColor="accent1" w:themeShade="BF"/>
      <w:sz w:val="24"/>
      <w:lang w:val="en-GB"/>
    </w:rPr>
  </w:style>
  <w:style w:type="character" w:customStyle="1" w:styleId="Heading5Char">
    <w:name w:val="Heading 5 Char"/>
    <w:basedOn w:val="DefaultParagraphFont"/>
    <w:link w:val="Heading5"/>
    <w:uiPriority w:val="9"/>
    <w:semiHidden/>
    <w:rsid w:val="00FD0313"/>
    <w:rPr>
      <w:rFonts w:eastAsiaTheme="majorEastAsia" w:cstheme="majorBidi"/>
      <w:color w:val="0F4761" w:themeColor="accent1" w:themeShade="BF"/>
      <w:sz w:val="24"/>
      <w:lang w:val="en-GB"/>
    </w:rPr>
  </w:style>
  <w:style w:type="character" w:customStyle="1" w:styleId="Heading6Char">
    <w:name w:val="Heading 6 Char"/>
    <w:basedOn w:val="DefaultParagraphFont"/>
    <w:link w:val="Heading6"/>
    <w:uiPriority w:val="9"/>
    <w:semiHidden/>
    <w:rsid w:val="00FD0313"/>
    <w:rPr>
      <w:rFonts w:eastAsiaTheme="majorEastAsia" w:cstheme="majorBidi"/>
      <w:i/>
      <w:iCs/>
      <w:color w:val="595959" w:themeColor="text1" w:themeTint="A6"/>
      <w:sz w:val="24"/>
      <w:lang w:val="en-GB"/>
    </w:rPr>
  </w:style>
  <w:style w:type="character" w:customStyle="1" w:styleId="Heading7Char">
    <w:name w:val="Heading 7 Char"/>
    <w:basedOn w:val="DefaultParagraphFont"/>
    <w:link w:val="Heading7"/>
    <w:uiPriority w:val="9"/>
    <w:semiHidden/>
    <w:rsid w:val="00FD0313"/>
    <w:rPr>
      <w:rFonts w:eastAsiaTheme="majorEastAsia" w:cstheme="majorBidi"/>
      <w:color w:val="595959" w:themeColor="text1" w:themeTint="A6"/>
      <w:sz w:val="24"/>
      <w:lang w:val="en-GB"/>
    </w:rPr>
  </w:style>
  <w:style w:type="character" w:customStyle="1" w:styleId="Heading8Char">
    <w:name w:val="Heading 8 Char"/>
    <w:basedOn w:val="DefaultParagraphFont"/>
    <w:link w:val="Heading8"/>
    <w:uiPriority w:val="9"/>
    <w:semiHidden/>
    <w:rsid w:val="00FD0313"/>
    <w:rPr>
      <w:rFonts w:eastAsiaTheme="majorEastAsia" w:cstheme="majorBidi"/>
      <w:i/>
      <w:iCs/>
      <w:color w:val="272727" w:themeColor="text1" w:themeTint="D8"/>
      <w:sz w:val="24"/>
      <w:lang w:val="en-GB"/>
    </w:rPr>
  </w:style>
  <w:style w:type="character" w:customStyle="1" w:styleId="Heading9Char">
    <w:name w:val="Heading 9 Char"/>
    <w:basedOn w:val="DefaultParagraphFont"/>
    <w:link w:val="Heading9"/>
    <w:uiPriority w:val="9"/>
    <w:semiHidden/>
    <w:rsid w:val="00FD0313"/>
    <w:rPr>
      <w:rFonts w:eastAsiaTheme="majorEastAsia" w:cstheme="majorBidi"/>
      <w:color w:val="272727" w:themeColor="text1" w:themeTint="D8"/>
      <w:sz w:val="24"/>
      <w:lang w:val="en-GB"/>
    </w:rPr>
  </w:style>
  <w:style w:type="paragraph" w:styleId="Title">
    <w:name w:val="Title"/>
    <w:basedOn w:val="Normal"/>
    <w:next w:val="Normal"/>
    <w:link w:val="TitleChar"/>
    <w:uiPriority w:val="10"/>
    <w:qFormat/>
    <w:rsid w:val="00FD0313"/>
    <w:pPr>
      <w:spacing w:after="80" w:line="240" w:lineRule="auto"/>
      <w:contextualSpacing/>
    </w:pPr>
    <w:rPr>
      <w:rFonts w:asciiTheme="majorHAnsi" w:eastAsiaTheme="majorEastAsia" w:hAnsiTheme="majorHAnsi" w:cstheme="majorBidi"/>
      <w:spacing w:val="-10"/>
      <w:kern w:val="28"/>
      <w:sz w:val="56"/>
      <w:szCs w:val="71"/>
    </w:rPr>
  </w:style>
  <w:style w:type="character" w:customStyle="1" w:styleId="TitleChar">
    <w:name w:val="Title Char"/>
    <w:basedOn w:val="DefaultParagraphFont"/>
    <w:link w:val="Title"/>
    <w:uiPriority w:val="10"/>
    <w:rsid w:val="00FD0313"/>
    <w:rPr>
      <w:rFonts w:asciiTheme="majorHAnsi" w:eastAsiaTheme="majorEastAsia" w:hAnsiTheme="majorHAnsi" w:cstheme="majorBidi"/>
      <w:spacing w:val="-10"/>
      <w:kern w:val="28"/>
      <w:sz w:val="56"/>
      <w:szCs w:val="71"/>
      <w:lang w:val="en-GB"/>
    </w:rPr>
  </w:style>
  <w:style w:type="paragraph" w:styleId="Subtitle">
    <w:name w:val="Subtitle"/>
    <w:basedOn w:val="Normal"/>
    <w:next w:val="Normal"/>
    <w:link w:val="SubtitleChar"/>
    <w:uiPriority w:val="11"/>
    <w:qFormat/>
    <w:rsid w:val="00FD0313"/>
    <w:pPr>
      <w:numPr>
        <w:ilvl w:val="1"/>
      </w:numPr>
      <w:spacing w:after="160"/>
    </w:pPr>
    <w:rPr>
      <w:rFonts w:asciiTheme="minorHAnsi" w:eastAsiaTheme="majorEastAsia" w:hAnsiTheme="minorHAnsi" w:cstheme="majorBidi"/>
      <w:color w:val="595959" w:themeColor="text1" w:themeTint="A6"/>
      <w:spacing w:val="15"/>
      <w:sz w:val="28"/>
      <w:szCs w:val="35"/>
    </w:rPr>
  </w:style>
  <w:style w:type="character" w:customStyle="1" w:styleId="SubtitleChar">
    <w:name w:val="Subtitle Char"/>
    <w:basedOn w:val="DefaultParagraphFont"/>
    <w:link w:val="Subtitle"/>
    <w:uiPriority w:val="11"/>
    <w:rsid w:val="00FD0313"/>
    <w:rPr>
      <w:rFonts w:eastAsiaTheme="majorEastAsia" w:cstheme="majorBidi"/>
      <w:color w:val="595959" w:themeColor="text1" w:themeTint="A6"/>
      <w:spacing w:val="15"/>
      <w:sz w:val="28"/>
      <w:szCs w:val="35"/>
      <w:lang w:val="en-GB"/>
    </w:rPr>
  </w:style>
  <w:style w:type="paragraph" w:styleId="Quote">
    <w:name w:val="Quote"/>
    <w:basedOn w:val="Normal"/>
    <w:next w:val="Normal"/>
    <w:link w:val="QuoteChar"/>
    <w:uiPriority w:val="29"/>
    <w:qFormat/>
    <w:rsid w:val="00FD0313"/>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FD0313"/>
    <w:rPr>
      <w:rFonts w:ascii="Times New Roman" w:hAnsi="Times New Roman"/>
      <w:i/>
      <w:iCs/>
      <w:color w:val="404040" w:themeColor="text1" w:themeTint="BF"/>
      <w:sz w:val="24"/>
      <w:lang w:val="en-GB"/>
    </w:rPr>
  </w:style>
  <w:style w:type="paragraph" w:styleId="ListParagraph">
    <w:name w:val="List Paragraph"/>
    <w:basedOn w:val="Normal"/>
    <w:uiPriority w:val="34"/>
    <w:qFormat/>
    <w:rsid w:val="00FD0313"/>
    <w:pPr>
      <w:ind w:left="720"/>
      <w:contextualSpacing/>
    </w:pPr>
  </w:style>
  <w:style w:type="character" w:styleId="IntenseEmphasis">
    <w:name w:val="Intense Emphasis"/>
    <w:basedOn w:val="DefaultParagraphFont"/>
    <w:uiPriority w:val="21"/>
    <w:qFormat/>
    <w:rsid w:val="00FD0313"/>
    <w:rPr>
      <w:i/>
      <w:iCs/>
      <w:color w:val="0F4761" w:themeColor="accent1" w:themeShade="BF"/>
    </w:rPr>
  </w:style>
  <w:style w:type="paragraph" w:styleId="IntenseQuote">
    <w:name w:val="Intense Quote"/>
    <w:basedOn w:val="Normal"/>
    <w:next w:val="Normal"/>
    <w:link w:val="IntenseQuoteChar"/>
    <w:uiPriority w:val="30"/>
    <w:qFormat/>
    <w:rsid w:val="00FD031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D0313"/>
    <w:rPr>
      <w:rFonts w:ascii="Times New Roman" w:hAnsi="Times New Roman"/>
      <w:i/>
      <w:iCs/>
      <w:color w:val="0F4761" w:themeColor="accent1" w:themeShade="BF"/>
      <w:sz w:val="24"/>
      <w:lang w:val="en-GB"/>
    </w:rPr>
  </w:style>
  <w:style w:type="character" w:styleId="IntenseReference">
    <w:name w:val="Intense Reference"/>
    <w:basedOn w:val="DefaultParagraphFont"/>
    <w:uiPriority w:val="32"/>
    <w:qFormat/>
    <w:rsid w:val="00FD0313"/>
    <w:rPr>
      <w:b/>
      <w:bCs/>
      <w:smallCaps/>
      <w:color w:val="0F4761" w:themeColor="accent1" w:themeShade="BF"/>
      <w:spacing w:val="5"/>
    </w:rPr>
  </w:style>
  <w:style w:type="character" w:styleId="Hyperlink">
    <w:name w:val="Hyperlink"/>
    <w:basedOn w:val="DefaultParagraphFont"/>
    <w:uiPriority w:val="99"/>
    <w:unhideWhenUsed/>
    <w:rsid w:val="00FD0313"/>
    <w:rPr>
      <w:color w:val="467886" w:themeColor="hyperlink"/>
      <w:u w:val="single"/>
    </w:rPr>
  </w:style>
  <w:style w:type="character" w:styleId="UnresolvedMention">
    <w:name w:val="Unresolved Mention"/>
    <w:basedOn w:val="DefaultParagraphFont"/>
    <w:uiPriority w:val="99"/>
    <w:semiHidden/>
    <w:unhideWhenUsed/>
    <w:rsid w:val="00FD0313"/>
    <w:rPr>
      <w:color w:val="605E5C"/>
      <w:shd w:val="clear" w:color="auto" w:fill="E1DFDD"/>
    </w:rPr>
  </w:style>
  <w:style w:type="paragraph" w:styleId="TOCHeading">
    <w:name w:val="TOC Heading"/>
    <w:basedOn w:val="Heading1"/>
    <w:next w:val="Normal"/>
    <w:uiPriority w:val="39"/>
    <w:unhideWhenUsed/>
    <w:qFormat/>
    <w:rsid w:val="003A637F"/>
    <w:pPr>
      <w:spacing w:before="240" w:line="259" w:lineRule="auto"/>
      <w:jc w:val="left"/>
      <w:outlineLvl w:val="9"/>
    </w:pPr>
    <w:rPr>
      <w:rFonts w:asciiTheme="majorHAnsi" w:hAnsiTheme="majorHAnsi"/>
      <w:b w:val="0"/>
      <w:color w:val="0F4761" w:themeColor="accent1" w:themeShade="BF"/>
      <w:lang w:val="en-US" w:eastAsia="en-US" w:bidi="ar-SA"/>
    </w:rPr>
  </w:style>
  <w:style w:type="paragraph" w:styleId="TOC1">
    <w:name w:val="toc 1"/>
    <w:basedOn w:val="Normal"/>
    <w:next w:val="Normal"/>
    <w:autoRedefine/>
    <w:uiPriority w:val="39"/>
    <w:unhideWhenUsed/>
    <w:rsid w:val="003A637F"/>
    <w:pPr>
      <w:spacing w:after="100"/>
    </w:pPr>
    <w:rPr>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766429">
      <w:bodyDiv w:val="1"/>
      <w:marLeft w:val="0"/>
      <w:marRight w:val="0"/>
      <w:marTop w:val="0"/>
      <w:marBottom w:val="0"/>
      <w:divBdr>
        <w:top w:val="none" w:sz="0" w:space="0" w:color="auto"/>
        <w:left w:val="none" w:sz="0" w:space="0" w:color="auto"/>
        <w:bottom w:val="none" w:sz="0" w:space="0" w:color="auto"/>
        <w:right w:val="none" w:sz="0" w:space="0" w:color="auto"/>
      </w:divBdr>
    </w:div>
    <w:div w:id="223027393">
      <w:bodyDiv w:val="1"/>
      <w:marLeft w:val="0"/>
      <w:marRight w:val="0"/>
      <w:marTop w:val="0"/>
      <w:marBottom w:val="0"/>
      <w:divBdr>
        <w:top w:val="none" w:sz="0" w:space="0" w:color="auto"/>
        <w:left w:val="none" w:sz="0" w:space="0" w:color="auto"/>
        <w:bottom w:val="none" w:sz="0" w:space="0" w:color="auto"/>
        <w:right w:val="none" w:sz="0" w:space="0" w:color="auto"/>
      </w:divBdr>
      <w:divsChild>
        <w:div w:id="567809656">
          <w:marLeft w:val="0"/>
          <w:marRight w:val="0"/>
          <w:marTop w:val="0"/>
          <w:marBottom w:val="0"/>
          <w:divBdr>
            <w:top w:val="none" w:sz="0" w:space="0" w:color="auto"/>
            <w:left w:val="none" w:sz="0" w:space="0" w:color="auto"/>
            <w:bottom w:val="none" w:sz="0" w:space="0" w:color="auto"/>
            <w:right w:val="none" w:sz="0" w:space="0" w:color="auto"/>
          </w:divBdr>
          <w:divsChild>
            <w:div w:id="624770316">
              <w:marLeft w:val="0"/>
              <w:marRight w:val="0"/>
              <w:marTop w:val="0"/>
              <w:marBottom w:val="0"/>
              <w:divBdr>
                <w:top w:val="none" w:sz="0" w:space="0" w:color="auto"/>
                <w:left w:val="none" w:sz="0" w:space="0" w:color="auto"/>
                <w:bottom w:val="none" w:sz="0" w:space="0" w:color="auto"/>
                <w:right w:val="none" w:sz="0" w:space="0" w:color="auto"/>
              </w:divBdr>
              <w:divsChild>
                <w:div w:id="1666856454">
                  <w:marLeft w:val="0"/>
                  <w:marRight w:val="0"/>
                  <w:marTop w:val="0"/>
                  <w:marBottom w:val="0"/>
                  <w:divBdr>
                    <w:top w:val="none" w:sz="0" w:space="0" w:color="auto"/>
                    <w:left w:val="none" w:sz="0" w:space="0" w:color="auto"/>
                    <w:bottom w:val="none" w:sz="0" w:space="0" w:color="auto"/>
                    <w:right w:val="none" w:sz="0" w:space="0" w:color="auto"/>
                  </w:divBdr>
                  <w:divsChild>
                    <w:div w:id="1337924449">
                      <w:marLeft w:val="0"/>
                      <w:marRight w:val="0"/>
                      <w:marTop w:val="0"/>
                      <w:marBottom w:val="0"/>
                      <w:divBdr>
                        <w:top w:val="none" w:sz="0" w:space="0" w:color="auto"/>
                        <w:left w:val="none" w:sz="0" w:space="0" w:color="auto"/>
                        <w:bottom w:val="none" w:sz="0" w:space="0" w:color="auto"/>
                        <w:right w:val="none" w:sz="0" w:space="0" w:color="auto"/>
                      </w:divBdr>
                      <w:divsChild>
                        <w:div w:id="2101750088">
                          <w:marLeft w:val="0"/>
                          <w:marRight w:val="0"/>
                          <w:marTop w:val="0"/>
                          <w:marBottom w:val="0"/>
                          <w:divBdr>
                            <w:top w:val="none" w:sz="0" w:space="0" w:color="auto"/>
                            <w:left w:val="none" w:sz="0" w:space="0" w:color="auto"/>
                            <w:bottom w:val="none" w:sz="0" w:space="0" w:color="auto"/>
                            <w:right w:val="none" w:sz="0" w:space="0" w:color="auto"/>
                          </w:divBdr>
                          <w:divsChild>
                            <w:div w:id="766845701">
                              <w:marLeft w:val="0"/>
                              <w:marRight w:val="0"/>
                              <w:marTop w:val="0"/>
                              <w:marBottom w:val="0"/>
                              <w:divBdr>
                                <w:top w:val="none" w:sz="0" w:space="0" w:color="auto"/>
                                <w:left w:val="none" w:sz="0" w:space="0" w:color="auto"/>
                                <w:bottom w:val="none" w:sz="0" w:space="0" w:color="auto"/>
                                <w:right w:val="none" w:sz="0" w:space="0" w:color="auto"/>
                              </w:divBdr>
                              <w:divsChild>
                                <w:div w:id="466507546">
                                  <w:marLeft w:val="0"/>
                                  <w:marRight w:val="0"/>
                                  <w:marTop w:val="0"/>
                                  <w:marBottom w:val="0"/>
                                  <w:divBdr>
                                    <w:top w:val="none" w:sz="0" w:space="0" w:color="auto"/>
                                    <w:left w:val="none" w:sz="0" w:space="0" w:color="auto"/>
                                    <w:bottom w:val="none" w:sz="0" w:space="0" w:color="auto"/>
                                    <w:right w:val="none" w:sz="0" w:space="0" w:color="auto"/>
                                  </w:divBdr>
                                  <w:divsChild>
                                    <w:div w:id="13057013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44483666">
      <w:bodyDiv w:val="1"/>
      <w:marLeft w:val="0"/>
      <w:marRight w:val="0"/>
      <w:marTop w:val="0"/>
      <w:marBottom w:val="0"/>
      <w:divBdr>
        <w:top w:val="none" w:sz="0" w:space="0" w:color="auto"/>
        <w:left w:val="none" w:sz="0" w:space="0" w:color="auto"/>
        <w:bottom w:val="none" w:sz="0" w:space="0" w:color="auto"/>
        <w:right w:val="none" w:sz="0" w:space="0" w:color="auto"/>
      </w:divBdr>
    </w:div>
    <w:div w:id="440075775">
      <w:bodyDiv w:val="1"/>
      <w:marLeft w:val="0"/>
      <w:marRight w:val="0"/>
      <w:marTop w:val="0"/>
      <w:marBottom w:val="0"/>
      <w:divBdr>
        <w:top w:val="none" w:sz="0" w:space="0" w:color="auto"/>
        <w:left w:val="none" w:sz="0" w:space="0" w:color="auto"/>
        <w:bottom w:val="none" w:sz="0" w:space="0" w:color="auto"/>
        <w:right w:val="none" w:sz="0" w:space="0" w:color="auto"/>
      </w:divBdr>
    </w:div>
    <w:div w:id="689140012">
      <w:bodyDiv w:val="1"/>
      <w:marLeft w:val="0"/>
      <w:marRight w:val="0"/>
      <w:marTop w:val="0"/>
      <w:marBottom w:val="0"/>
      <w:divBdr>
        <w:top w:val="none" w:sz="0" w:space="0" w:color="auto"/>
        <w:left w:val="none" w:sz="0" w:space="0" w:color="auto"/>
        <w:bottom w:val="none" w:sz="0" w:space="0" w:color="auto"/>
        <w:right w:val="none" w:sz="0" w:space="0" w:color="auto"/>
      </w:divBdr>
    </w:div>
    <w:div w:id="691228613">
      <w:bodyDiv w:val="1"/>
      <w:marLeft w:val="0"/>
      <w:marRight w:val="0"/>
      <w:marTop w:val="0"/>
      <w:marBottom w:val="0"/>
      <w:divBdr>
        <w:top w:val="none" w:sz="0" w:space="0" w:color="auto"/>
        <w:left w:val="none" w:sz="0" w:space="0" w:color="auto"/>
        <w:bottom w:val="none" w:sz="0" w:space="0" w:color="auto"/>
        <w:right w:val="none" w:sz="0" w:space="0" w:color="auto"/>
      </w:divBdr>
      <w:divsChild>
        <w:div w:id="73091278">
          <w:marLeft w:val="0"/>
          <w:marRight w:val="0"/>
          <w:marTop w:val="0"/>
          <w:marBottom w:val="0"/>
          <w:divBdr>
            <w:top w:val="none" w:sz="0" w:space="0" w:color="auto"/>
            <w:left w:val="none" w:sz="0" w:space="0" w:color="auto"/>
            <w:bottom w:val="none" w:sz="0" w:space="0" w:color="auto"/>
            <w:right w:val="none" w:sz="0" w:space="0" w:color="auto"/>
          </w:divBdr>
          <w:divsChild>
            <w:div w:id="1024207978">
              <w:marLeft w:val="0"/>
              <w:marRight w:val="0"/>
              <w:marTop w:val="0"/>
              <w:marBottom w:val="0"/>
              <w:divBdr>
                <w:top w:val="none" w:sz="0" w:space="0" w:color="auto"/>
                <w:left w:val="none" w:sz="0" w:space="0" w:color="auto"/>
                <w:bottom w:val="none" w:sz="0" w:space="0" w:color="auto"/>
                <w:right w:val="none" w:sz="0" w:space="0" w:color="auto"/>
              </w:divBdr>
              <w:divsChild>
                <w:div w:id="817452183">
                  <w:marLeft w:val="0"/>
                  <w:marRight w:val="0"/>
                  <w:marTop w:val="0"/>
                  <w:marBottom w:val="0"/>
                  <w:divBdr>
                    <w:top w:val="none" w:sz="0" w:space="0" w:color="auto"/>
                    <w:left w:val="none" w:sz="0" w:space="0" w:color="auto"/>
                    <w:bottom w:val="none" w:sz="0" w:space="0" w:color="auto"/>
                    <w:right w:val="none" w:sz="0" w:space="0" w:color="auto"/>
                  </w:divBdr>
                  <w:divsChild>
                    <w:div w:id="2050645587">
                      <w:marLeft w:val="0"/>
                      <w:marRight w:val="0"/>
                      <w:marTop w:val="0"/>
                      <w:marBottom w:val="0"/>
                      <w:divBdr>
                        <w:top w:val="none" w:sz="0" w:space="0" w:color="auto"/>
                        <w:left w:val="none" w:sz="0" w:space="0" w:color="auto"/>
                        <w:bottom w:val="none" w:sz="0" w:space="0" w:color="auto"/>
                        <w:right w:val="none" w:sz="0" w:space="0" w:color="auto"/>
                      </w:divBdr>
                      <w:divsChild>
                        <w:div w:id="1337876536">
                          <w:marLeft w:val="0"/>
                          <w:marRight w:val="0"/>
                          <w:marTop w:val="0"/>
                          <w:marBottom w:val="0"/>
                          <w:divBdr>
                            <w:top w:val="none" w:sz="0" w:space="0" w:color="auto"/>
                            <w:left w:val="none" w:sz="0" w:space="0" w:color="auto"/>
                            <w:bottom w:val="none" w:sz="0" w:space="0" w:color="auto"/>
                            <w:right w:val="none" w:sz="0" w:space="0" w:color="auto"/>
                          </w:divBdr>
                          <w:divsChild>
                            <w:div w:id="1138104981">
                              <w:marLeft w:val="0"/>
                              <w:marRight w:val="0"/>
                              <w:marTop w:val="0"/>
                              <w:marBottom w:val="0"/>
                              <w:divBdr>
                                <w:top w:val="none" w:sz="0" w:space="0" w:color="auto"/>
                                <w:left w:val="none" w:sz="0" w:space="0" w:color="auto"/>
                                <w:bottom w:val="none" w:sz="0" w:space="0" w:color="auto"/>
                                <w:right w:val="none" w:sz="0" w:space="0" w:color="auto"/>
                              </w:divBdr>
                              <w:divsChild>
                                <w:div w:id="138543870">
                                  <w:marLeft w:val="0"/>
                                  <w:marRight w:val="0"/>
                                  <w:marTop w:val="0"/>
                                  <w:marBottom w:val="0"/>
                                  <w:divBdr>
                                    <w:top w:val="none" w:sz="0" w:space="0" w:color="auto"/>
                                    <w:left w:val="none" w:sz="0" w:space="0" w:color="auto"/>
                                    <w:bottom w:val="none" w:sz="0" w:space="0" w:color="auto"/>
                                    <w:right w:val="none" w:sz="0" w:space="0" w:color="auto"/>
                                  </w:divBdr>
                                  <w:divsChild>
                                    <w:div w:id="13611293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78529629">
      <w:bodyDiv w:val="1"/>
      <w:marLeft w:val="0"/>
      <w:marRight w:val="0"/>
      <w:marTop w:val="0"/>
      <w:marBottom w:val="0"/>
      <w:divBdr>
        <w:top w:val="none" w:sz="0" w:space="0" w:color="auto"/>
        <w:left w:val="none" w:sz="0" w:space="0" w:color="auto"/>
        <w:bottom w:val="none" w:sz="0" w:space="0" w:color="auto"/>
        <w:right w:val="none" w:sz="0" w:space="0" w:color="auto"/>
      </w:divBdr>
    </w:div>
    <w:div w:id="830482806">
      <w:bodyDiv w:val="1"/>
      <w:marLeft w:val="0"/>
      <w:marRight w:val="0"/>
      <w:marTop w:val="0"/>
      <w:marBottom w:val="0"/>
      <w:divBdr>
        <w:top w:val="none" w:sz="0" w:space="0" w:color="auto"/>
        <w:left w:val="none" w:sz="0" w:space="0" w:color="auto"/>
        <w:bottom w:val="none" w:sz="0" w:space="0" w:color="auto"/>
        <w:right w:val="none" w:sz="0" w:space="0" w:color="auto"/>
      </w:divBdr>
    </w:div>
    <w:div w:id="1028868742">
      <w:bodyDiv w:val="1"/>
      <w:marLeft w:val="0"/>
      <w:marRight w:val="0"/>
      <w:marTop w:val="0"/>
      <w:marBottom w:val="0"/>
      <w:divBdr>
        <w:top w:val="none" w:sz="0" w:space="0" w:color="auto"/>
        <w:left w:val="none" w:sz="0" w:space="0" w:color="auto"/>
        <w:bottom w:val="none" w:sz="0" w:space="0" w:color="auto"/>
        <w:right w:val="none" w:sz="0" w:space="0" w:color="auto"/>
      </w:divBdr>
      <w:divsChild>
        <w:div w:id="1602641398">
          <w:marLeft w:val="0"/>
          <w:marRight w:val="0"/>
          <w:marTop w:val="0"/>
          <w:marBottom w:val="0"/>
          <w:divBdr>
            <w:top w:val="none" w:sz="0" w:space="0" w:color="auto"/>
            <w:left w:val="none" w:sz="0" w:space="0" w:color="auto"/>
            <w:bottom w:val="none" w:sz="0" w:space="0" w:color="auto"/>
            <w:right w:val="none" w:sz="0" w:space="0" w:color="auto"/>
          </w:divBdr>
          <w:divsChild>
            <w:div w:id="413749670">
              <w:marLeft w:val="0"/>
              <w:marRight w:val="0"/>
              <w:marTop w:val="0"/>
              <w:marBottom w:val="0"/>
              <w:divBdr>
                <w:top w:val="none" w:sz="0" w:space="0" w:color="auto"/>
                <w:left w:val="none" w:sz="0" w:space="0" w:color="auto"/>
                <w:bottom w:val="none" w:sz="0" w:space="0" w:color="auto"/>
                <w:right w:val="none" w:sz="0" w:space="0" w:color="auto"/>
              </w:divBdr>
              <w:divsChild>
                <w:div w:id="1868639689">
                  <w:marLeft w:val="0"/>
                  <w:marRight w:val="0"/>
                  <w:marTop w:val="0"/>
                  <w:marBottom w:val="0"/>
                  <w:divBdr>
                    <w:top w:val="none" w:sz="0" w:space="0" w:color="auto"/>
                    <w:left w:val="none" w:sz="0" w:space="0" w:color="auto"/>
                    <w:bottom w:val="none" w:sz="0" w:space="0" w:color="auto"/>
                    <w:right w:val="none" w:sz="0" w:space="0" w:color="auto"/>
                  </w:divBdr>
                  <w:divsChild>
                    <w:div w:id="1801802007">
                      <w:marLeft w:val="0"/>
                      <w:marRight w:val="0"/>
                      <w:marTop w:val="0"/>
                      <w:marBottom w:val="0"/>
                      <w:divBdr>
                        <w:top w:val="none" w:sz="0" w:space="0" w:color="auto"/>
                        <w:left w:val="none" w:sz="0" w:space="0" w:color="auto"/>
                        <w:bottom w:val="none" w:sz="0" w:space="0" w:color="auto"/>
                        <w:right w:val="none" w:sz="0" w:space="0" w:color="auto"/>
                      </w:divBdr>
                      <w:divsChild>
                        <w:div w:id="1254507951">
                          <w:marLeft w:val="0"/>
                          <w:marRight w:val="0"/>
                          <w:marTop w:val="0"/>
                          <w:marBottom w:val="0"/>
                          <w:divBdr>
                            <w:top w:val="none" w:sz="0" w:space="0" w:color="auto"/>
                            <w:left w:val="none" w:sz="0" w:space="0" w:color="auto"/>
                            <w:bottom w:val="none" w:sz="0" w:space="0" w:color="auto"/>
                            <w:right w:val="none" w:sz="0" w:space="0" w:color="auto"/>
                          </w:divBdr>
                          <w:divsChild>
                            <w:div w:id="1507868578">
                              <w:marLeft w:val="0"/>
                              <w:marRight w:val="0"/>
                              <w:marTop w:val="0"/>
                              <w:marBottom w:val="0"/>
                              <w:divBdr>
                                <w:top w:val="none" w:sz="0" w:space="0" w:color="auto"/>
                                <w:left w:val="none" w:sz="0" w:space="0" w:color="auto"/>
                                <w:bottom w:val="none" w:sz="0" w:space="0" w:color="auto"/>
                                <w:right w:val="none" w:sz="0" w:space="0" w:color="auto"/>
                              </w:divBdr>
                              <w:divsChild>
                                <w:div w:id="1527788867">
                                  <w:marLeft w:val="0"/>
                                  <w:marRight w:val="0"/>
                                  <w:marTop w:val="0"/>
                                  <w:marBottom w:val="0"/>
                                  <w:divBdr>
                                    <w:top w:val="none" w:sz="0" w:space="0" w:color="auto"/>
                                    <w:left w:val="none" w:sz="0" w:space="0" w:color="auto"/>
                                    <w:bottom w:val="none" w:sz="0" w:space="0" w:color="auto"/>
                                    <w:right w:val="none" w:sz="0" w:space="0" w:color="auto"/>
                                  </w:divBdr>
                                  <w:divsChild>
                                    <w:div w:id="2029258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78866448">
      <w:bodyDiv w:val="1"/>
      <w:marLeft w:val="0"/>
      <w:marRight w:val="0"/>
      <w:marTop w:val="0"/>
      <w:marBottom w:val="0"/>
      <w:divBdr>
        <w:top w:val="none" w:sz="0" w:space="0" w:color="auto"/>
        <w:left w:val="none" w:sz="0" w:space="0" w:color="auto"/>
        <w:bottom w:val="none" w:sz="0" w:space="0" w:color="auto"/>
        <w:right w:val="none" w:sz="0" w:space="0" w:color="auto"/>
      </w:divBdr>
    </w:div>
    <w:div w:id="1154950651">
      <w:bodyDiv w:val="1"/>
      <w:marLeft w:val="0"/>
      <w:marRight w:val="0"/>
      <w:marTop w:val="0"/>
      <w:marBottom w:val="0"/>
      <w:divBdr>
        <w:top w:val="none" w:sz="0" w:space="0" w:color="auto"/>
        <w:left w:val="none" w:sz="0" w:space="0" w:color="auto"/>
        <w:bottom w:val="none" w:sz="0" w:space="0" w:color="auto"/>
        <w:right w:val="none" w:sz="0" w:space="0" w:color="auto"/>
      </w:divBdr>
    </w:div>
    <w:div w:id="1293175415">
      <w:bodyDiv w:val="1"/>
      <w:marLeft w:val="0"/>
      <w:marRight w:val="0"/>
      <w:marTop w:val="0"/>
      <w:marBottom w:val="0"/>
      <w:divBdr>
        <w:top w:val="none" w:sz="0" w:space="0" w:color="auto"/>
        <w:left w:val="none" w:sz="0" w:space="0" w:color="auto"/>
        <w:bottom w:val="none" w:sz="0" w:space="0" w:color="auto"/>
        <w:right w:val="none" w:sz="0" w:space="0" w:color="auto"/>
      </w:divBdr>
      <w:divsChild>
        <w:div w:id="1868982368">
          <w:marLeft w:val="0"/>
          <w:marRight w:val="0"/>
          <w:marTop w:val="0"/>
          <w:marBottom w:val="0"/>
          <w:divBdr>
            <w:top w:val="none" w:sz="0" w:space="0" w:color="auto"/>
            <w:left w:val="none" w:sz="0" w:space="0" w:color="auto"/>
            <w:bottom w:val="none" w:sz="0" w:space="0" w:color="auto"/>
            <w:right w:val="none" w:sz="0" w:space="0" w:color="auto"/>
          </w:divBdr>
          <w:divsChild>
            <w:div w:id="1239946107">
              <w:marLeft w:val="0"/>
              <w:marRight w:val="0"/>
              <w:marTop w:val="0"/>
              <w:marBottom w:val="0"/>
              <w:divBdr>
                <w:top w:val="none" w:sz="0" w:space="0" w:color="auto"/>
                <w:left w:val="none" w:sz="0" w:space="0" w:color="auto"/>
                <w:bottom w:val="none" w:sz="0" w:space="0" w:color="auto"/>
                <w:right w:val="none" w:sz="0" w:space="0" w:color="auto"/>
              </w:divBdr>
              <w:divsChild>
                <w:div w:id="888689428">
                  <w:marLeft w:val="0"/>
                  <w:marRight w:val="0"/>
                  <w:marTop w:val="0"/>
                  <w:marBottom w:val="0"/>
                  <w:divBdr>
                    <w:top w:val="none" w:sz="0" w:space="0" w:color="auto"/>
                    <w:left w:val="none" w:sz="0" w:space="0" w:color="auto"/>
                    <w:bottom w:val="none" w:sz="0" w:space="0" w:color="auto"/>
                    <w:right w:val="none" w:sz="0" w:space="0" w:color="auto"/>
                  </w:divBdr>
                  <w:divsChild>
                    <w:div w:id="492381485">
                      <w:marLeft w:val="0"/>
                      <w:marRight w:val="0"/>
                      <w:marTop w:val="0"/>
                      <w:marBottom w:val="0"/>
                      <w:divBdr>
                        <w:top w:val="none" w:sz="0" w:space="0" w:color="auto"/>
                        <w:left w:val="none" w:sz="0" w:space="0" w:color="auto"/>
                        <w:bottom w:val="none" w:sz="0" w:space="0" w:color="auto"/>
                        <w:right w:val="none" w:sz="0" w:space="0" w:color="auto"/>
                      </w:divBdr>
                      <w:divsChild>
                        <w:div w:id="764543387">
                          <w:marLeft w:val="0"/>
                          <w:marRight w:val="0"/>
                          <w:marTop w:val="0"/>
                          <w:marBottom w:val="0"/>
                          <w:divBdr>
                            <w:top w:val="none" w:sz="0" w:space="0" w:color="auto"/>
                            <w:left w:val="none" w:sz="0" w:space="0" w:color="auto"/>
                            <w:bottom w:val="none" w:sz="0" w:space="0" w:color="auto"/>
                            <w:right w:val="none" w:sz="0" w:space="0" w:color="auto"/>
                          </w:divBdr>
                          <w:divsChild>
                            <w:div w:id="1841460243">
                              <w:marLeft w:val="0"/>
                              <w:marRight w:val="0"/>
                              <w:marTop w:val="0"/>
                              <w:marBottom w:val="0"/>
                              <w:divBdr>
                                <w:top w:val="none" w:sz="0" w:space="0" w:color="auto"/>
                                <w:left w:val="none" w:sz="0" w:space="0" w:color="auto"/>
                                <w:bottom w:val="none" w:sz="0" w:space="0" w:color="auto"/>
                                <w:right w:val="none" w:sz="0" w:space="0" w:color="auto"/>
                              </w:divBdr>
                              <w:divsChild>
                                <w:div w:id="1960909392">
                                  <w:marLeft w:val="0"/>
                                  <w:marRight w:val="0"/>
                                  <w:marTop w:val="0"/>
                                  <w:marBottom w:val="0"/>
                                  <w:divBdr>
                                    <w:top w:val="none" w:sz="0" w:space="0" w:color="auto"/>
                                    <w:left w:val="none" w:sz="0" w:space="0" w:color="auto"/>
                                    <w:bottom w:val="none" w:sz="0" w:space="0" w:color="auto"/>
                                    <w:right w:val="none" w:sz="0" w:space="0" w:color="auto"/>
                                  </w:divBdr>
                                  <w:divsChild>
                                    <w:div w:id="4226047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189466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researchgate.net/publication/377427492_Meta_Analysis_Impact_of_Just_in_Time_Implementation_on_Cost_Efficiency_and_Profit"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researchgate.net/publication/368666875_Financial_Performance_Analysis_of_Meta_Platforms_Inc" TargetMode="External"/><Relationship Id="rId5" Type="http://schemas.openxmlformats.org/officeDocument/2006/relationships/image" Target="media/image1.jpe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BFD2300-147D-48BE-A318-8874631CE3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Pages>
  <Words>2463</Words>
  <Characters>14041</Characters>
  <Application>Microsoft Office Word</Application>
  <DocSecurity>0</DocSecurity>
  <Lines>117</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Rafid</dc:creator>
  <cp:keywords/>
  <dc:description/>
  <cp:lastModifiedBy>Alex Andrei Perca (2020362)</cp:lastModifiedBy>
  <cp:revision>3</cp:revision>
  <dcterms:created xsi:type="dcterms:W3CDTF">2025-06-14T18:01:00Z</dcterms:created>
  <dcterms:modified xsi:type="dcterms:W3CDTF">2026-02-19T20:17:00Z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a77f3470-55e5-4e6f-a56a-de8d7b0d83bb</vt:lpwstr>
  </property>
  <property fmtid="{D5CDD505-2E9C-101B-9397-08002B2CF9AE}" pid="3" name="MSIP_Label_defa4170-0d19-0005-0004-bc88714345d2_Enabled">
    <vt:lpwstr>true</vt:lpwstr>
  </property>
  <property fmtid="{D5CDD505-2E9C-101B-9397-08002B2CF9AE}" pid="4" name="MSIP_Label_defa4170-0d19-0005-0004-bc88714345d2_SetDate">
    <vt:lpwstr>2025-06-14T18:14:12Z</vt:lpwstr>
  </property>
  <property fmtid="{D5CDD505-2E9C-101B-9397-08002B2CF9AE}" pid="5" name="MSIP_Label_defa4170-0d19-0005-0004-bc88714345d2_Method">
    <vt:lpwstr>Standard</vt:lpwstr>
  </property>
  <property fmtid="{D5CDD505-2E9C-101B-9397-08002B2CF9AE}" pid="6" name="MSIP_Label_defa4170-0d19-0005-0004-bc88714345d2_Name">
    <vt:lpwstr>defa4170-0d19-0005-0004-bc88714345d2</vt:lpwstr>
  </property>
  <property fmtid="{D5CDD505-2E9C-101B-9397-08002B2CF9AE}" pid="7" name="MSIP_Label_defa4170-0d19-0005-0004-bc88714345d2_SiteId">
    <vt:lpwstr>43bfd43f-1952-47ce-b956-d0c29c3dc983</vt:lpwstr>
  </property>
  <property fmtid="{D5CDD505-2E9C-101B-9397-08002B2CF9AE}" pid="8" name="MSIP_Label_defa4170-0d19-0005-0004-bc88714345d2_ActionId">
    <vt:lpwstr>6622e960-247b-49e1-9338-5319637447fb</vt:lpwstr>
  </property>
  <property fmtid="{D5CDD505-2E9C-101B-9397-08002B2CF9AE}" pid="9" name="MSIP_Label_defa4170-0d19-0005-0004-bc88714345d2_ContentBits">
    <vt:lpwstr>0</vt:lpwstr>
  </property>
  <property fmtid="{D5CDD505-2E9C-101B-9397-08002B2CF9AE}" pid="10" name="MSIP_Label_defa4170-0d19-0005-0004-bc88714345d2_Tag">
    <vt:lpwstr>10, 3, 0, 1</vt:lpwstr>
  </property>
</Properties>
</file>